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F67" w:rsidRPr="00F740CD" w:rsidRDefault="007D5F67" w:rsidP="003C14FB">
      <w:pPr>
        <w:jc w:val="center"/>
        <w:rPr>
          <w:rFonts w:eastAsia="Times New Roman" w:cs="Verdana"/>
          <w:b/>
          <w:bCs/>
          <w:caps/>
          <w:snapToGrid w:val="0"/>
          <w:lang w:val="es-CR" w:eastAsia="es-ES"/>
        </w:rPr>
      </w:pPr>
      <w:bookmarkStart w:id="0" w:name="_GoBack"/>
      <w:bookmarkEnd w:id="0"/>
    </w:p>
    <w:p w:rsidR="007D5F67" w:rsidRPr="00F740CD" w:rsidRDefault="007D5F67" w:rsidP="003C14FB">
      <w:pPr>
        <w:jc w:val="center"/>
        <w:rPr>
          <w:rFonts w:eastAsia="Times New Roman" w:cs="Verdana"/>
          <w:b/>
          <w:bCs/>
          <w:caps/>
          <w:snapToGrid w:val="0"/>
          <w:lang w:val="es-CR" w:eastAsia="es-ES"/>
        </w:rPr>
      </w:pPr>
    </w:p>
    <w:p w:rsidR="006B4A49" w:rsidRPr="00F740CD" w:rsidRDefault="006B4A49" w:rsidP="003C14FB">
      <w:pPr>
        <w:jc w:val="center"/>
        <w:rPr>
          <w:rFonts w:eastAsia="Times New Roman" w:cs="Verdana"/>
          <w:b/>
          <w:bCs/>
          <w:caps/>
          <w:snapToGrid w:val="0"/>
          <w:lang w:val="es-CR" w:eastAsia="es-ES"/>
        </w:rPr>
      </w:pPr>
    </w:p>
    <w:p w:rsidR="006B4A49" w:rsidRPr="00F740CD" w:rsidRDefault="006B4A49" w:rsidP="003C14FB">
      <w:pPr>
        <w:jc w:val="center"/>
        <w:rPr>
          <w:rFonts w:eastAsia="Times New Roman" w:cs="Verdana"/>
          <w:b/>
          <w:bCs/>
          <w:caps/>
          <w:snapToGrid w:val="0"/>
          <w:lang w:val="es-CR" w:eastAsia="es-ES"/>
        </w:rPr>
      </w:pPr>
    </w:p>
    <w:p w:rsidR="006B4A49" w:rsidRPr="00F740CD" w:rsidRDefault="006B4A49" w:rsidP="003C14FB">
      <w:pPr>
        <w:jc w:val="center"/>
        <w:rPr>
          <w:rFonts w:eastAsia="Times New Roman" w:cs="Verdana"/>
          <w:b/>
          <w:bCs/>
          <w:caps/>
          <w:snapToGrid w:val="0"/>
          <w:lang w:val="es-CR" w:eastAsia="es-ES"/>
        </w:rPr>
      </w:pPr>
    </w:p>
    <w:p w:rsidR="007D5F67" w:rsidRPr="00F740CD" w:rsidRDefault="007D5F67" w:rsidP="003C14FB">
      <w:pPr>
        <w:jc w:val="center"/>
        <w:rPr>
          <w:rFonts w:eastAsia="Times New Roman" w:cs="Verdana"/>
          <w:b/>
          <w:bCs/>
          <w:caps/>
          <w:snapToGrid w:val="0"/>
          <w:lang w:val="es-CR" w:eastAsia="es-ES"/>
        </w:rPr>
      </w:pPr>
    </w:p>
    <w:p w:rsidR="007D5F67" w:rsidRPr="00F740CD" w:rsidRDefault="007D5F67" w:rsidP="003C14FB">
      <w:pPr>
        <w:jc w:val="center"/>
        <w:rPr>
          <w:rFonts w:eastAsia="Times New Roman" w:cs="Verdana"/>
          <w:b/>
          <w:bCs/>
          <w:caps/>
          <w:snapToGrid w:val="0"/>
          <w:lang w:val="es-CR" w:eastAsia="es-ES"/>
        </w:rPr>
      </w:pPr>
    </w:p>
    <w:p w:rsidR="007D5F67" w:rsidRPr="00F740CD" w:rsidRDefault="007D5F67" w:rsidP="003C14FB">
      <w:pPr>
        <w:jc w:val="center"/>
        <w:rPr>
          <w:rFonts w:eastAsia="Times New Roman" w:cs="Verdana"/>
          <w:b/>
          <w:bCs/>
          <w:caps/>
          <w:snapToGrid w:val="0"/>
          <w:lang w:val="es-CR" w:eastAsia="es-ES"/>
        </w:rPr>
      </w:pPr>
    </w:p>
    <w:p w:rsidR="008F5901" w:rsidRPr="00F740CD" w:rsidRDefault="008F5901" w:rsidP="003C14FB">
      <w:pPr>
        <w:jc w:val="center"/>
        <w:rPr>
          <w:rFonts w:eastAsia="Times New Roman" w:cs="Verdana"/>
          <w:b/>
          <w:bCs/>
          <w:caps/>
          <w:snapToGrid w:val="0"/>
          <w:lang w:val="es-CR" w:eastAsia="es-ES"/>
        </w:rPr>
      </w:pPr>
      <w:r w:rsidRPr="00F740CD">
        <w:rPr>
          <w:rFonts w:eastAsia="Times New Roman" w:cs="Verdana"/>
          <w:b/>
          <w:bCs/>
          <w:caps/>
          <w:snapToGrid w:val="0"/>
          <w:lang w:val="es-CR" w:eastAsia="es-ES"/>
        </w:rPr>
        <w:t>Corte Interamericana de Derechos Humanos</w:t>
      </w:r>
    </w:p>
    <w:p w:rsidR="008F5901" w:rsidRPr="00F740CD" w:rsidRDefault="008F5901" w:rsidP="003C14FB">
      <w:pPr>
        <w:jc w:val="center"/>
        <w:rPr>
          <w:rFonts w:eastAsia="Times New Roman" w:cs="Verdana"/>
          <w:b/>
          <w:bCs/>
          <w:caps/>
          <w:snapToGrid w:val="0"/>
          <w:lang w:val="es-CR" w:eastAsia="es-ES"/>
        </w:rPr>
      </w:pPr>
    </w:p>
    <w:p w:rsidR="008F5901" w:rsidRPr="00F740CD" w:rsidRDefault="008F5901" w:rsidP="003C14FB">
      <w:pPr>
        <w:jc w:val="center"/>
        <w:rPr>
          <w:rFonts w:eastAsia="Times New Roman" w:cs="Verdana"/>
          <w:b/>
          <w:bCs/>
          <w:caps/>
          <w:snapToGrid w:val="0"/>
          <w:lang w:val="es-CR" w:eastAsia="es-ES"/>
        </w:rPr>
      </w:pPr>
    </w:p>
    <w:p w:rsidR="008F5901" w:rsidRPr="00F740CD" w:rsidRDefault="006733BF" w:rsidP="00E41F49">
      <w:pPr>
        <w:jc w:val="center"/>
        <w:rPr>
          <w:rFonts w:eastAsia="Times New Roman" w:cs="Verdana"/>
          <w:b/>
          <w:bCs/>
          <w:caps/>
          <w:snapToGrid w:val="0"/>
          <w:lang w:val="es-CR" w:eastAsia="es-ES"/>
        </w:rPr>
      </w:pPr>
      <w:r w:rsidRPr="00F740CD">
        <w:rPr>
          <w:rFonts w:eastAsia="MS Mincho"/>
          <w:b/>
          <w:lang w:val="es-CR"/>
        </w:rPr>
        <w:t xml:space="preserve">CASO </w:t>
      </w:r>
      <w:r w:rsidR="008F47E9" w:rsidRPr="00F740CD">
        <w:rPr>
          <w:rFonts w:eastAsia="MS Mincho"/>
          <w:b/>
          <w:lang w:val="es-CR"/>
        </w:rPr>
        <w:t xml:space="preserve">I.V. </w:t>
      </w:r>
      <w:r w:rsidRPr="00F740CD">
        <w:rPr>
          <w:rFonts w:eastAsia="MS Mincho"/>
          <w:b/>
          <w:i/>
          <w:lang w:val="es-CR"/>
        </w:rPr>
        <w:t>VS.</w:t>
      </w:r>
      <w:r w:rsidRPr="00F740CD">
        <w:rPr>
          <w:rFonts w:eastAsia="MS Mincho"/>
          <w:b/>
          <w:lang w:val="es-CR"/>
        </w:rPr>
        <w:t xml:space="preserve"> </w:t>
      </w:r>
      <w:r w:rsidR="008F47E9" w:rsidRPr="00F740CD">
        <w:rPr>
          <w:rFonts w:eastAsia="MS Mincho"/>
          <w:b/>
          <w:lang w:val="es-CR"/>
        </w:rPr>
        <w:t>BOLIVIA</w:t>
      </w:r>
    </w:p>
    <w:p w:rsidR="008F5901" w:rsidRPr="00F740CD" w:rsidRDefault="008F5901" w:rsidP="003C14FB">
      <w:pPr>
        <w:jc w:val="center"/>
        <w:rPr>
          <w:rFonts w:eastAsia="Times New Roman" w:cs="Verdana"/>
          <w:b/>
          <w:bCs/>
          <w:caps/>
          <w:snapToGrid w:val="0"/>
          <w:lang w:val="es-CR" w:eastAsia="es-ES"/>
        </w:rPr>
      </w:pPr>
    </w:p>
    <w:p w:rsidR="008F5901" w:rsidRPr="00F740CD" w:rsidRDefault="008F5901" w:rsidP="003C14FB">
      <w:pPr>
        <w:jc w:val="center"/>
        <w:rPr>
          <w:rFonts w:eastAsia="Times New Roman" w:cs="Verdana"/>
          <w:b/>
          <w:bCs/>
          <w:caps/>
          <w:snapToGrid w:val="0"/>
          <w:lang w:val="es-CR" w:eastAsia="es-ES"/>
        </w:rPr>
      </w:pPr>
    </w:p>
    <w:p w:rsidR="008F5901" w:rsidRPr="00F740CD" w:rsidRDefault="008F5901" w:rsidP="003C14FB">
      <w:pPr>
        <w:jc w:val="center"/>
        <w:rPr>
          <w:rFonts w:eastAsia="Times New Roman" w:cs="Verdana"/>
          <w:b/>
          <w:bCs/>
          <w:caps/>
          <w:snapToGrid w:val="0"/>
          <w:lang w:val="es-CR" w:eastAsia="es-ES"/>
        </w:rPr>
      </w:pPr>
      <w:r w:rsidRPr="00F740CD">
        <w:rPr>
          <w:rFonts w:eastAsia="Times New Roman" w:cs="Verdana"/>
          <w:b/>
          <w:bCs/>
          <w:caps/>
          <w:snapToGrid w:val="0"/>
          <w:lang w:val="es-CR" w:eastAsia="es-ES"/>
        </w:rPr>
        <w:t xml:space="preserve">Sentencia de </w:t>
      </w:r>
      <w:r w:rsidR="000E7C73" w:rsidRPr="00F740CD">
        <w:rPr>
          <w:rFonts w:eastAsia="Times New Roman" w:cs="Verdana"/>
          <w:b/>
          <w:bCs/>
          <w:caps/>
          <w:snapToGrid w:val="0"/>
          <w:lang w:val="es-CR" w:eastAsia="es-ES"/>
        </w:rPr>
        <w:t>25</w:t>
      </w:r>
      <w:r w:rsidR="00277010" w:rsidRPr="00F740CD">
        <w:rPr>
          <w:rFonts w:eastAsia="Times New Roman" w:cs="Verdana"/>
          <w:b/>
          <w:bCs/>
          <w:caps/>
          <w:snapToGrid w:val="0"/>
          <w:lang w:val="es-CR" w:eastAsia="es-ES"/>
        </w:rPr>
        <w:t xml:space="preserve"> DE </w:t>
      </w:r>
      <w:r w:rsidR="000E7C73" w:rsidRPr="00F740CD">
        <w:rPr>
          <w:rFonts w:eastAsia="Times New Roman" w:cs="Verdana"/>
          <w:b/>
          <w:bCs/>
          <w:caps/>
          <w:snapToGrid w:val="0"/>
          <w:lang w:val="es-CR" w:eastAsia="es-ES"/>
        </w:rPr>
        <w:t>MAYO</w:t>
      </w:r>
      <w:r w:rsidR="008F47E9" w:rsidRPr="00F740CD">
        <w:rPr>
          <w:rFonts w:eastAsia="Times New Roman" w:cs="Verdana"/>
          <w:b/>
          <w:bCs/>
          <w:caps/>
          <w:snapToGrid w:val="0"/>
          <w:lang w:val="es-CR" w:eastAsia="es-ES"/>
        </w:rPr>
        <w:t xml:space="preserve"> DE 2017</w:t>
      </w:r>
    </w:p>
    <w:p w:rsidR="004124D5" w:rsidRPr="00F740CD" w:rsidRDefault="004124D5" w:rsidP="003C14FB">
      <w:pPr>
        <w:jc w:val="center"/>
        <w:rPr>
          <w:rFonts w:eastAsia="Times New Roman" w:cs="Verdana"/>
          <w:b/>
          <w:bCs/>
          <w:caps/>
          <w:snapToGrid w:val="0"/>
          <w:lang w:val="es-CR" w:eastAsia="es-ES"/>
        </w:rPr>
      </w:pPr>
    </w:p>
    <w:p w:rsidR="008F5901" w:rsidRPr="00F740CD" w:rsidRDefault="008F5901" w:rsidP="003C14FB">
      <w:pPr>
        <w:jc w:val="center"/>
        <w:rPr>
          <w:rFonts w:eastAsia="Times New Roman" w:cs="Verdana"/>
          <w:b/>
          <w:bCs/>
          <w:i/>
          <w:snapToGrid w:val="0"/>
          <w:lang w:val="es-CR" w:eastAsia="es-ES"/>
        </w:rPr>
      </w:pPr>
      <w:r w:rsidRPr="00F740CD">
        <w:rPr>
          <w:rFonts w:eastAsia="Times New Roman" w:cs="Verdana"/>
          <w:b/>
          <w:bCs/>
          <w:i/>
          <w:snapToGrid w:val="0"/>
          <w:lang w:val="es-CR" w:eastAsia="es-ES"/>
        </w:rPr>
        <w:t>(</w:t>
      </w:r>
      <w:r w:rsidR="00E64796" w:rsidRPr="00F740CD">
        <w:rPr>
          <w:rFonts w:eastAsia="Times New Roman" w:cs="Verdana"/>
          <w:b/>
          <w:bCs/>
          <w:i/>
          <w:snapToGrid w:val="0"/>
          <w:lang w:val="es-CR" w:eastAsia="es-ES"/>
        </w:rPr>
        <w:t>Interpretación de la Sentencia</w:t>
      </w:r>
      <w:r w:rsidR="00570276" w:rsidRPr="00F740CD">
        <w:rPr>
          <w:rFonts w:eastAsia="Times New Roman" w:cs="Verdana"/>
          <w:b/>
          <w:bCs/>
          <w:i/>
          <w:snapToGrid w:val="0"/>
          <w:lang w:val="es-CR" w:eastAsia="es-ES"/>
        </w:rPr>
        <w:t xml:space="preserve"> </w:t>
      </w:r>
      <w:r w:rsidRPr="00F740CD">
        <w:rPr>
          <w:rFonts w:eastAsia="Times New Roman" w:cs="Verdana"/>
          <w:b/>
          <w:bCs/>
          <w:i/>
          <w:snapToGrid w:val="0"/>
          <w:lang w:val="es-CR" w:eastAsia="es-ES"/>
        </w:rPr>
        <w:t>de</w:t>
      </w:r>
      <w:r w:rsidR="00B57D5F" w:rsidRPr="00F740CD">
        <w:rPr>
          <w:rFonts w:eastAsia="Times New Roman" w:cs="Verdana"/>
          <w:b/>
          <w:bCs/>
          <w:caps/>
          <w:snapToGrid w:val="0"/>
          <w:kern w:val="32"/>
          <w:lang w:val="es-CR"/>
        </w:rPr>
        <w:br/>
      </w:r>
      <w:r w:rsidR="00B57D5F" w:rsidRPr="00F740CD">
        <w:rPr>
          <w:rFonts w:eastAsia="Times New Roman" w:cs="Verdana"/>
          <w:b/>
          <w:bCs/>
          <w:i/>
          <w:snapToGrid w:val="0"/>
          <w:lang w:val="es-CR" w:eastAsia="es-ES"/>
        </w:rPr>
        <w:t xml:space="preserve">Excepciones Preliminares, </w:t>
      </w:r>
      <w:r w:rsidRPr="00F740CD">
        <w:rPr>
          <w:rFonts w:eastAsia="Times New Roman" w:cs="Verdana"/>
          <w:b/>
          <w:bCs/>
          <w:i/>
          <w:snapToGrid w:val="0"/>
          <w:lang w:val="es-CR" w:eastAsia="es-ES"/>
        </w:rPr>
        <w:t>Fondo, Reparaciones y Costas</w:t>
      </w:r>
      <w:r w:rsidRPr="00F740CD">
        <w:rPr>
          <w:rFonts w:eastAsia="Times New Roman" w:cs="Verdana"/>
          <w:b/>
          <w:bCs/>
          <w:i/>
          <w:caps/>
          <w:snapToGrid w:val="0"/>
          <w:lang w:val="es-CR" w:eastAsia="es-ES"/>
        </w:rPr>
        <w:t>)</w:t>
      </w:r>
    </w:p>
    <w:p w:rsidR="008F5901" w:rsidRPr="00F740CD" w:rsidRDefault="008F5901" w:rsidP="003C14FB">
      <w:pPr>
        <w:jc w:val="both"/>
        <w:rPr>
          <w:lang w:val="es-CR"/>
        </w:rPr>
      </w:pPr>
    </w:p>
    <w:p w:rsidR="008F5901" w:rsidRPr="00F740CD" w:rsidRDefault="008F5901" w:rsidP="003C14FB">
      <w:pPr>
        <w:jc w:val="both"/>
        <w:rPr>
          <w:lang w:val="es-CR"/>
        </w:rPr>
      </w:pPr>
    </w:p>
    <w:p w:rsidR="008F5901" w:rsidRPr="00F740CD" w:rsidRDefault="008F5901" w:rsidP="003C14FB">
      <w:pPr>
        <w:jc w:val="both"/>
        <w:rPr>
          <w:lang w:val="es-CR"/>
        </w:rPr>
      </w:pPr>
    </w:p>
    <w:p w:rsidR="00BF3B6C" w:rsidRPr="00F740CD" w:rsidRDefault="00BF3B6C" w:rsidP="00BF3B6C">
      <w:pPr>
        <w:rPr>
          <w:lang w:val="es-CR"/>
        </w:rPr>
      </w:pPr>
      <w:r w:rsidRPr="00F740CD">
        <w:rPr>
          <w:lang w:val="es-CR"/>
        </w:rPr>
        <w:t xml:space="preserve">En el caso </w:t>
      </w:r>
      <w:r w:rsidR="008F47E9" w:rsidRPr="00F740CD">
        <w:rPr>
          <w:i/>
          <w:lang w:val="es-CR"/>
        </w:rPr>
        <w:t>I.V. Vs. Bolivia</w:t>
      </w:r>
      <w:r w:rsidR="00277010" w:rsidRPr="00F740CD">
        <w:rPr>
          <w:i/>
          <w:lang w:val="es-CR"/>
        </w:rPr>
        <w:t>,</w:t>
      </w:r>
    </w:p>
    <w:p w:rsidR="00BF3B6C" w:rsidRPr="00F740CD" w:rsidRDefault="00BF3B6C" w:rsidP="00BF3B6C">
      <w:pPr>
        <w:rPr>
          <w:lang w:val="es-CR"/>
        </w:rPr>
      </w:pPr>
    </w:p>
    <w:p w:rsidR="00BF3B6C" w:rsidRPr="00F740CD" w:rsidRDefault="00BF3B6C" w:rsidP="00BF3B6C">
      <w:pPr>
        <w:rPr>
          <w:lang w:val="es-CR"/>
        </w:rPr>
      </w:pPr>
      <w:r w:rsidRPr="00F740CD">
        <w:rPr>
          <w:lang w:val="es-CR"/>
        </w:rPr>
        <w:t xml:space="preserve">la Corte Interamericana de Derechos Humanos (en adelante “la Corte Interamericana”, “la Corte” </w:t>
      </w:r>
      <w:r w:rsidRPr="00F740CD">
        <w:rPr>
          <w:rFonts w:cs="Verdana"/>
          <w:lang w:val="es-CR"/>
        </w:rPr>
        <w:t>o “e</w:t>
      </w:r>
      <w:r w:rsidR="00903B11" w:rsidRPr="00F740CD">
        <w:rPr>
          <w:rFonts w:cs="Verdana"/>
          <w:lang w:val="es-CR"/>
        </w:rPr>
        <w:t>ste</w:t>
      </w:r>
      <w:r w:rsidRPr="00F740CD">
        <w:rPr>
          <w:rFonts w:cs="Verdana"/>
          <w:lang w:val="es-CR"/>
        </w:rPr>
        <w:t xml:space="preserve"> Tribunal”</w:t>
      </w:r>
      <w:r w:rsidRPr="00F740CD">
        <w:rPr>
          <w:lang w:val="es-CR"/>
        </w:rPr>
        <w:t>), integrada por los siguientes Jueces:</w:t>
      </w:r>
    </w:p>
    <w:p w:rsidR="003E27A2" w:rsidRPr="00F740CD" w:rsidRDefault="003E27A2" w:rsidP="003E27A2">
      <w:pPr>
        <w:rPr>
          <w:lang w:val="es-CR"/>
        </w:rPr>
      </w:pPr>
    </w:p>
    <w:p w:rsidR="008F47E9" w:rsidRPr="00F740CD" w:rsidRDefault="008F47E9" w:rsidP="008F47E9">
      <w:pPr>
        <w:tabs>
          <w:tab w:val="left" w:pos="720"/>
        </w:tabs>
        <w:rPr>
          <w:rFonts w:eastAsia="Calibri" w:cs="Verdana"/>
          <w:lang w:val="es-CR"/>
        </w:rPr>
      </w:pPr>
      <w:r w:rsidRPr="00F740CD">
        <w:rPr>
          <w:rFonts w:eastAsia="Calibri" w:cs="Verdana"/>
          <w:lang w:val="es-CR"/>
        </w:rPr>
        <w:t xml:space="preserve">Roberto F. Caldas, Presidente; </w:t>
      </w:r>
    </w:p>
    <w:p w:rsidR="008F47E9" w:rsidRPr="00F740CD" w:rsidRDefault="008F47E9" w:rsidP="008F47E9">
      <w:pPr>
        <w:tabs>
          <w:tab w:val="left" w:pos="720"/>
        </w:tabs>
        <w:rPr>
          <w:rFonts w:eastAsia="Calibri" w:cs="Verdana"/>
          <w:lang w:val="es-CR"/>
        </w:rPr>
      </w:pPr>
      <w:r w:rsidRPr="00F740CD">
        <w:rPr>
          <w:rFonts w:eastAsia="Calibri" w:cs="Verdana"/>
          <w:lang w:val="es-CR"/>
        </w:rPr>
        <w:t>Eduardo Ferrer Mac-Gregor Poisot, Vicepresidente;</w:t>
      </w:r>
    </w:p>
    <w:p w:rsidR="008F47E9" w:rsidRPr="00F740CD" w:rsidRDefault="008F47E9" w:rsidP="008F47E9">
      <w:pPr>
        <w:tabs>
          <w:tab w:val="left" w:pos="720"/>
        </w:tabs>
        <w:rPr>
          <w:rFonts w:eastAsia="Calibri" w:cs="Verdana"/>
          <w:lang w:val="es-CR"/>
        </w:rPr>
      </w:pPr>
      <w:r w:rsidRPr="00F740CD">
        <w:rPr>
          <w:rFonts w:eastAsia="Calibri" w:cs="Verdana"/>
          <w:lang w:val="es-CR"/>
        </w:rPr>
        <w:t>Eduardo Vio Grossi, Juez;</w:t>
      </w:r>
    </w:p>
    <w:p w:rsidR="008F47E9" w:rsidRPr="00F740CD" w:rsidRDefault="008F47E9" w:rsidP="008F47E9">
      <w:pPr>
        <w:tabs>
          <w:tab w:val="left" w:pos="720"/>
        </w:tabs>
        <w:rPr>
          <w:rFonts w:eastAsia="Calibri" w:cs="Verdana"/>
          <w:lang w:val="es-CR"/>
        </w:rPr>
      </w:pPr>
      <w:r w:rsidRPr="00F740CD">
        <w:rPr>
          <w:rFonts w:eastAsia="Calibri" w:cs="Verdana"/>
          <w:lang w:val="es-CR"/>
        </w:rPr>
        <w:t>Humberto Antonio Sierra Porto, Juez;</w:t>
      </w:r>
    </w:p>
    <w:p w:rsidR="008F47E9" w:rsidRPr="00F740CD" w:rsidRDefault="008F47E9" w:rsidP="008F47E9">
      <w:pPr>
        <w:tabs>
          <w:tab w:val="left" w:pos="720"/>
        </w:tabs>
        <w:rPr>
          <w:rFonts w:eastAsia="Calibri" w:cs="Verdana"/>
          <w:lang w:val="es-CR"/>
        </w:rPr>
      </w:pPr>
      <w:r w:rsidRPr="00F740CD">
        <w:rPr>
          <w:rFonts w:eastAsia="Calibri" w:cs="Verdana"/>
          <w:lang w:val="es-CR"/>
        </w:rPr>
        <w:t>Elizabeth Odio Benito, Jueza;</w:t>
      </w:r>
    </w:p>
    <w:p w:rsidR="008F47E9" w:rsidRPr="00F740CD" w:rsidRDefault="008F47E9" w:rsidP="008F47E9">
      <w:pPr>
        <w:tabs>
          <w:tab w:val="left" w:pos="720"/>
        </w:tabs>
        <w:rPr>
          <w:rFonts w:eastAsia="Calibri" w:cs="Verdana"/>
          <w:lang w:val="es-CR"/>
        </w:rPr>
      </w:pPr>
      <w:r w:rsidRPr="00F740CD">
        <w:rPr>
          <w:rFonts w:eastAsia="Calibri" w:cs="Verdana"/>
          <w:lang w:val="es-CR"/>
        </w:rPr>
        <w:t>Eugenio Raúl Zaffaroni, Juez, y</w:t>
      </w:r>
    </w:p>
    <w:p w:rsidR="008F47E9" w:rsidRPr="00F740CD" w:rsidRDefault="008F47E9" w:rsidP="008F47E9">
      <w:pPr>
        <w:tabs>
          <w:tab w:val="left" w:pos="720"/>
        </w:tabs>
        <w:rPr>
          <w:rFonts w:eastAsia="Calibri" w:cs="Verdana"/>
          <w:lang w:val="es-CR"/>
        </w:rPr>
      </w:pPr>
      <w:r w:rsidRPr="00F740CD">
        <w:rPr>
          <w:rFonts w:eastAsia="Calibri" w:cs="Verdana"/>
          <w:lang w:val="es-CR"/>
        </w:rPr>
        <w:t>L. Patricio Pazmiño Freire, Juez;</w:t>
      </w:r>
    </w:p>
    <w:p w:rsidR="0038391E" w:rsidRPr="00F740CD" w:rsidRDefault="0038391E" w:rsidP="0038391E">
      <w:pPr>
        <w:tabs>
          <w:tab w:val="left" w:pos="720"/>
        </w:tabs>
        <w:rPr>
          <w:lang w:val="es-CR"/>
        </w:rPr>
      </w:pPr>
    </w:p>
    <w:p w:rsidR="0038391E" w:rsidRPr="00F740CD" w:rsidRDefault="0038391E" w:rsidP="0038391E">
      <w:pPr>
        <w:tabs>
          <w:tab w:val="left" w:pos="720"/>
        </w:tabs>
        <w:rPr>
          <w:lang w:val="es-CR"/>
        </w:rPr>
      </w:pPr>
      <w:r w:rsidRPr="00F740CD">
        <w:rPr>
          <w:lang w:val="es-CR"/>
        </w:rPr>
        <w:t>presentes</w:t>
      </w:r>
      <w:r w:rsidR="004124D5" w:rsidRPr="00F740CD">
        <w:rPr>
          <w:lang w:val="es-CR"/>
        </w:rPr>
        <w:t>,</w:t>
      </w:r>
      <w:r w:rsidRPr="00F740CD">
        <w:rPr>
          <w:lang w:val="es-CR"/>
        </w:rPr>
        <w:t xml:space="preserve"> además,</w:t>
      </w:r>
    </w:p>
    <w:p w:rsidR="0038391E" w:rsidRPr="00F740CD" w:rsidRDefault="0038391E" w:rsidP="0038391E">
      <w:pPr>
        <w:tabs>
          <w:tab w:val="left" w:pos="720"/>
        </w:tabs>
        <w:rPr>
          <w:lang w:val="es-CR"/>
        </w:rPr>
      </w:pPr>
    </w:p>
    <w:p w:rsidR="0038391E" w:rsidRPr="00F740CD" w:rsidRDefault="0038391E" w:rsidP="0038391E">
      <w:pPr>
        <w:tabs>
          <w:tab w:val="left" w:pos="720"/>
        </w:tabs>
        <w:rPr>
          <w:lang w:val="es-CR"/>
        </w:rPr>
      </w:pPr>
      <w:r w:rsidRPr="00F740CD">
        <w:rPr>
          <w:lang w:val="es-CR"/>
        </w:rPr>
        <w:t xml:space="preserve">Pablo Saavedra Alessandri, Secretario, y </w:t>
      </w:r>
    </w:p>
    <w:p w:rsidR="0038391E" w:rsidRPr="00F740CD" w:rsidRDefault="0038391E" w:rsidP="0038391E">
      <w:pPr>
        <w:tabs>
          <w:tab w:val="left" w:pos="720"/>
        </w:tabs>
        <w:rPr>
          <w:lang w:val="es-CR"/>
        </w:rPr>
      </w:pPr>
      <w:r w:rsidRPr="00F740CD">
        <w:rPr>
          <w:lang w:val="es-CR" w:eastAsia="es-MX"/>
        </w:rPr>
        <w:t>Emilia Segares Rodríguez, Secretaria Adjunta,</w:t>
      </w:r>
    </w:p>
    <w:p w:rsidR="008F5901" w:rsidRPr="00F740CD" w:rsidRDefault="008F5901" w:rsidP="003C14FB">
      <w:pPr>
        <w:jc w:val="both"/>
        <w:rPr>
          <w:lang w:val="es-CR"/>
        </w:rPr>
      </w:pPr>
    </w:p>
    <w:p w:rsidR="008F5901" w:rsidRPr="00F740CD" w:rsidRDefault="008F5901" w:rsidP="003C14FB">
      <w:pPr>
        <w:autoSpaceDE w:val="0"/>
        <w:autoSpaceDN w:val="0"/>
        <w:adjustRightInd w:val="0"/>
        <w:jc w:val="both"/>
        <w:rPr>
          <w:rFonts w:eastAsia="Calibri" w:cs="Verdana"/>
          <w:b/>
          <w:lang w:val="es-CR"/>
        </w:rPr>
      </w:pPr>
      <w:r w:rsidRPr="00F740CD">
        <w:rPr>
          <w:rFonts w:eastAsia="Calibri" w:cs="Verdana"/>
          <w:lang w:val="es-CR"/>
        </w:rPr>
        <w:t>de conformidad con el artículo 67 de la Convención Americana sobre Derechos Humanos (en adelante “la Convención Americana” o “la Convención”) y el artículo 68 del Reglamento de la Corte (en adelante “el Reglamento”), resuelve la solicitud de interpretación de la Sentencia de</w:t>
      </w:r>
      <w:r w:rsidR="00903B11" w:rsidRPr="00F740CD">
        <w:rPr>
          <w:rFonts w:eastAsia="Calibri" w:cs="Verdana"/>
          <w:lang w:val="es-CR"/>
        </w:rPr>
        <w:t xml:space="preserve"> excepciones preliminares, </w:t>
      </w:r>
      <w:r w:rsidRPr="00F740CD">
        <w:rPr>
          <w:rFonts w:eastAsia="Calibri" w:cs="Verdana"/>
          <w:lang w:val="es-CR"/>
        </w:rPr>
        <w:t xml:space="preserve">fondo, reparaciones y costas emitida por </w:t>
      </w:r>
      <w:r w:rsidR="00903B11" w:rsidRPr="00F740CD">
        <w:rPr>
          <w:rFonts w:eastAsia="Calibri" w:cs="Verdana"/>
          <w:lang w:val="es-CR"/>
        </w:rPr>
        <w:t>este</w:t>
      </w:r>
      <w:r w:rsidRPr="00F740CD">
        <w:rPr>
          <w:rFonts w:eastAsia="Calibri" w:cs="Verdana"/>
          <w:lang w:val="es-CR"/>
        </w:rPr>
        <w:t xml:space="preserve"> Tribunal el </w:t>
      </w:r>
      <w:r w:rsidR="00293600" w:rsidRPr="00F740CD">
        <w:rPr>
          <w:rFonts w:eastAsia="Calibri" w:cs="Verdana"/>
          <w:lang w:val="es-CR"/>
        </w:rPr>
        <w:t xml:space="preserve">30 </w:t>
      </w:r>
      <w:r w:rsidR="00277010" w:rsidRPr="00F740CD">
        <w:rPr>
          <w:rFonts w:eastAsia="Calibri" w:cs="Verdana"/>
          <w:lang w:val="es-CR"/>
        </w:rPr>
        <w:t>de noviembre de 201</w:t>
      </w:r>
      <w:r w:rsidR="00293600" w:rsidRPr="00F740CD">
        <w:rPr>
          <w:rFonts w:eastAsia="Calibri" w:cs="Verdana"/>
          <w:lang w:val="es-CR"/>
        </w:rPr>
        <w:t>6</w:t>
      </w:r>
      <w:r w:rsidRPr="00F740CD">
        <w:rPr>
          <w:rFonts w:eastAsia="Calibri" w:cs="Verdana"/>
          <w:lang w:val="es-CR"/>
        </w:rPr>
        <w:t xml:space="preserve"> en el presente caso (en adelante también “la Sentencia”), interpuesta el </w:t>
      </w:r>
      <w:r w:rsidR="00293600" w:rsidRPr="00F740CD">
        <w:rPr>
          <w:rFonts w:eastAsia="Calibri" w:cs="Verdana"/>
          <w:lang w:val="es-CR"/>
        </w:rPr>
        <w:t xml:space="preserve">19 </w:t>
      </w:r>
      <w:r w:rsidRPr="00F740CD">
        <w:rPr>
          <w:rFonts w:eastAsia="Calibri" w:cs="Verdana"/>
          <w:lang w:val="es-CR"/>
        </w:rPr>
        <w:t xml:space="preserve">de </w:t>
      </w:r>
      <w:r w:rsidR="0038391E" w:rsidRPr="00F740CD">
        <w:rPr>
          <w:rFonts w:eastAsia="Calibri" w:cs="Verdana"/>
          <w:lang w:val="es-CR"/>
        </w:rPr>
        <w:t>marzo</w:t>
      </w:r>
      <w:r w:rsidR="00BB3D2A" w:rsidRPr="00F740CD">
        <w:rPr>
          <w:rFonts w:eastAsia="Calibri" w:cs="Verdana"/>
          <w:lang w:val="es-CR"/>
        </w:rPr>
        <w:t xml:space="preserve"> </w:t>
      </w:r>
      <w:r w:rsidRPr="00F740CD">
        <w:rPr>
          <w:rFonts w:eastAsia="Calibri" w:cs="Verdana"/>
          <w:lang w:val="es-CR"/>
        </w:rPr>
        <w:t>de 201</w:t>
      </w:r>
      <w:r w:rsidR="00293600" w:rsidRPr="00F740CD">
        <w:rPr>
          <w:rFonts w:eastAsia="Calibri" w:cs="Verdana"/>
          <w:lang w:val="es-CR"/>
        </w:rPr>
        <w:t>7</w:t>
      </w:r>
      <w:r w:rsidRPr="00F740CD">
        <w:rPr>
          <w:rFonts w:eastAsia="Calibri" w:cs="Verdana"/>
          <w:lang w:val="es-CR"/>
        </w:rPr>
        <w:t xml:space="preserve"> por</w:t>
      </w:r>
      <w:r w:rsidR="000B4952" w:rsidRPr="00F740CD">
        <w:rPr>
          <w:rFonts w:eastAsia="Calibri" w:cs="Verdana"/>
          <w:lang w:val="es-CR"/>
        </w:rPr>
        <w:t xml:space="preserve"> la representante de la señora I.V. </w:t>
      </w:r>
      <w:r w:rsidR="000B4952" w:rsidRPr="00F740CD">
        <w:rPr>
          <w:rFonts w:eastAsia="Verdana" w:cs="Verdana"/>
          <w:lang w:val="es-CR"/>
        </w:rPr>
        <w:t>(en adelante “la representante de la víctima” o “la representante”)</w:t>
      </w:r>
      <w:r w:rsidRPr="00F740CD">
        <w:rPr>
          <w:rFonts w:eastAsia="Calibri" w:cs="Verdana"/>
          <w:lang w:val="es-CR"/>
        </w:rPr>
        <w:t>.</w:t>
      </w:r>
    </w:p>
    <w:p w:rsidR="00912305" w:rsidRPr="00F740CD" w:rsidRDefault="00912305" w:rsidP="003C14FB">
      <w:pPr>
        <w:autoSpaceDE w:val="0"/>
        <w:autoSpaceDN w:val="0"/>
        <w:adjustRightInd w:val="0"/>
        <w:jc w:val="both"/>
        <w:rPr>
          <w:rFonts w:eastAsia="Calibri" w:cs="Verdana"/>
          <w:lang w:val="es-CR"/>
        </w:rPr>
      </w:pPr>
    </w:p>
    <w:p w:rsidR="003571E1" w:rsidRPr="00F740CD" w:rsidRDefault="003571E1" w:rsidP="003C14FB">
      <w:pPr>
        <w:autoSpaceDE w:val="0"/>
        <w:autoSpaceDN w:val="0"/>
        <w:adjustRightInd w:val="0"/>
        <w:jc w:val="both"/>
        <w:rPr>
          <w:rFonts w:eastAsia="Calibri" w:cs="Verdana"/>
          <w:lang w:val="es-CR"/>
        </w:rPr>
      </w:pPr>
      <w:r w:rsidRPr="00F740CD">
        <w:rPr>
          <w:rFonts w:eastAsia="Calibri" w:cs="Verdana"/>
          <w:lang w:val="es-CR"/>
        </w:rPr>
        <w:br w:type="page"/>
      </w:r>
    </w:p>
    <w:p w:rsidR="008F5901" w:rsidRPr="00F740CD" w:rsidRDefault="008F5901" w:rsidP="00BC2A32">
      <w:pPr>
        <w:pStyle w:val="Heading1"/>
      </w:pPr>
      <w:r w:rsidRPr="00F740CD">
        <w:lastRenderedPageBreak/>
        <w:t>I</w:t>
      </w:r>
      <w:r w:rsidR="00B57D5F" w:rsidRPr="00F740CD">
        <w:rPr>
          <w:b w:val="0"/>
          <w:bCs w:val="0"/>
          <w:caps w:val="0"/>
          <w:kern w:val="32"/>
        </w:rPr>
        <w:br/>
      </w:r>
      <w:r w:rsidRPr="00F740CD">
        <w:rPr>
          <w:rFonts w:eastAsia="Calibri"/>
        </w:rPr>
        <w:t>SOLICITUD DE INTERPRETACIÓN</w:t>
      </w:r>
      <w:r w:rsidR="008F47E9" w:rsidRPr="00F740CD">
        <w:rPr>
          <w:b w:val="0"/>
          <w:bCs w:val="0"/>
          <w:caps w:val="0"/>
          <w:kern w:val="32"/>
        </w:rPr>
        <w:t xml:space="preserve"> </w:t>
      </w:r>
      <w:r w:rsidRPr="00F740CD">
        <w:rPr>
          <w:rFonts w:eastAsia="Calibri"/>
        </w:rPr>
        <w:t>Y PROCEDIMIENTO ANTE LA CORTE</w:t>
      </w:r>
    </w:p>
    <w:p w:rsidR="008F5901" w:rsidRPr="00F740CD" w:rsidRDefault="008F5901" w:rsidP="003C14FB">
      <w:pPr>
        <w:jc w:val="both"/>
        <w:rPr>
          <w:lang w:val="es-CR"/>
        </w:rPr>
      </w:pPr>
    </w:p>
    <w:p w:rsidR="00AC30B7" w:rsidRPr="00F740CD" w:rsidRDefault="004644C9" w:rsidP="00331F4E">
      <w:pPr>
        <w:numPr>
          <w:ilvl w:val="0"/>
          <w:numId w:val="1"/>
        </w:numPr>
        <w:tabs>
          <w:tab w:val="num" w:pos="720"/>
        </w:tabs>
        <w:autoSpaceDE w:val="0"/>
        <w:autoSpaceDN w:val="0"/>
        <w:adjustRightInd w:val="0"/>
        <w:jc w:val="both"/>
        <w:rPr>
          <w:rFonts w:eastAsia="Calibri" w:cs="Verdana"/>
          <w:lang w:val="es-CR"/>
        </w:rPr>
      </w:pPr>
      <w:r w:rsidRPr="00F740CD">
        <w:rPr>
          <w:rFonts w:eastAsia="Calibri" w:cs="Verdana"/>
          <w:lang w:val="es-CR"/>
        </w:rPr>
        <w:t xml:space="preserve">El </w:t>
      </w:r>
      <w:r w:rsidR="006E555E" w:rsidRPr="00F740CD">
        <w:rPr>
          <w:rFonts w:eastAsia="Calibri" w:cs="Verdana"/>
          <w:lang w:val="es-CR"/>
        </w:rPr>
        <w:t>30 de noviembre de 2016</w:t>
      </w:r>
      <w:r w:rsidR="002E681F" w:rsidRPr="00F740CD">
        <w:rPr>
          <w:rFonts w:eastAsia="Calibri" w:cs="Verdana"/>
          <w:lang w:val="es-CR"/>
        </w:rPr>
        <w:t xml:space="preserve"> </w:t>
      </w:r>
      <w:r w:rsidRPr="00F740CD">
        <w:rPr>
          <w:lang w:val="es-CR"/>
        </w:rPr>
        <w:t xml:space="preserve">la Corte </w:t>
      </w:r>
      <w:r w:rsidR="000B4952" w:rsidRPr="00F740CD">
        <w:rPr>
          <w:lang w:val="es-CR"/>
        </w:rPr>
        <w:t xml:space="preserve">Interamericana </w:t>
      </w:r>
      <w:r w:rsidRPr="00F740CD">
        <w:rPr>
          <w:lang w:val="es-CR"/>
        </w:rPr>
        <w:t xml:space="preserve">emitió la Sentencia, la cual fue notificada a las partes </w:t>
      </w:r>
      <w:r w:rsidR="00570456" w:rsidRPr="00F740CD">
        <w:rPr>
          <w:lang w:val="es-CR"/>
        </w:rPr>
        <w:t xml:space="preserve">y a la Comisión </w:t>
      </w:r>
      <w:r w:rsidR="00A320F3" w:rsidRPr="00F740CD">
        <w:rPr>
          <w:lang w:val="es-CR"/>
        </w:rPr>
        <w:t xml:space="preserve">Interamericana de Derechos Humanos </w:t>
      </w:r>
      <w:r w:rsidR="00A320F3" w:rsidRPr="00F740CD">
        <w:rPr>
          <w:rFonts w:eastAsia="Calibri" w:cs="Verdana"/>
          <w:lang w:val="es-CR"/>
        </w:rPr>
        <w:t xml:space="preserve">(en adelante “la Comisión Interamericana” o “la Comisión”) </w:t>
      </w:r>
      <w:r w:rsidRPr="00F740CD">
        <w:rPr>
          <w:lang w:val="es-CR"/>
        </w:rPr>
        <w:t xml:space="preserve">el </w:t>
      </w:r>
      <w:r w:rsidR="006E555E" w:rsidRPr="00F740CD">
        <w:rPr>
          <w:lang w:val="es-CR"/>
        </w:rPr>
        <w:t>22</w:t>
      </w:r>
      <w:r w:rsidR="006B527B" w:rsidRPr="00F740CD">
        <w:rPr>
          <w:lang w:val="es-CR"/>
        </w:rPr>
        <w:t xml:space="preserve"> de diciembre </w:t>
      </w:r>
      <w:r w:rsidRPr="00F740CD">
        <w:rPr>
          <w:lang w:val="es-CR"/>
        </w:rPr>
        <w:t>del mismo año.</w:t>
      </w:r>
    </w:p>
    <w:p w:rsidR="00AC30B7" w:rsidRPr="00F740CD" w:rsidRDefault="00AC30B7" w:rsidP="00AC30B7">
      <w:pPr>
        <w:autoSpaceDE w:val="0"/>
        <w:autoSpaceDN w:val="0"/>
        <w:adjustRightInd w:val="0"/>
        <w:jc w:val="both"/>
        <w:rPr>
          <w:rFonts w:eastAsia="Calibri" w:cs="Verdana"/>
          <w:lang w:val="es-CR"/>
        </w:rPr>
      </w:pPr>
    </w:p>
    <w:p w:rsidR="00C45878" w:rsidRDefault="00E41F49" w:rsidP="00C45878">
      <w:pPr>
        <w:numPr>
          <w:ilvl w:val="0"/>
          <w:numId w:val="1"/>
        </w:numPr>
        <w:tabs>
          <w:tab w:val="num" w:pos="720"/>
        </w:tabs>
        <w:autoSpaceDE w:val="0"/>
        <w:autoSpaceDN w:val="0"/>
        <w:adjustRightInd w:val="0"/>
        <w:jc w:val="both"/>
        <w:rPr>
          <w:rFonts w:eastAsia="Calibri" w:cs="Verdana"/>
          <w:lang w:val="es-CR"/>
        </w:rPr>
      </w:pPr>
      <w:r w:rsidRPr="00F740CD">
        <w:rPr>
          <w:rFonts w:eastAsia="Calibri" w:cs="Verdana"/>
          <w:lang w:val="es-CR"/>
        </w:rPr>
        <w:t xml:space="preserve">El </w:t>
      </w:r>
      <w:r w:rsidR="006E555E" w:rsidRPr="00F740CD">
        <w:rPr>
          <w:rFonts w:eastAsia="Calibri" w:cs="Verdana"/>
          <w:lang w:val="es-CR"/>
        </w:rPr>
        <w:t>19 de marzo de 2017</w:t>
      </w:r>
      <w:r w:rsidR="002E681F" w:rsidRPr="00F740CD">
        <w:rPr>
          <w:rFonts w:eastAsia="Calibri" w:cs="Verdana"/>
          <w:lang w:val="es-CR"/>
        </w:rPr>
        <w:t xml:space="preserve"> </w:t>
      </w:r>
      <w:r w:rsidR="006E555E" w:rsidRPr="00F740CD">
        <w:rPr>
          <w:rFonts w:eastAsia="Calibri" w:cs="Verdana"/>
          <w:lang w:val="es-CR"/>
        </w:rPr>
        <w:t xml:space="preserve">la representante </w:t>
      </w:r>
      <w:r w:rsidR="000B4952" w:rsidRPr="00F740CD">
        <w:rPr>
          <w:rFonts w:eastAsia="Calibri" w:cs="Verdana"/>
          <w:lang w:val="es-CR"/>
        </w:rPr>
        <w:t xml:space="preserve">de la víctima </w:t>
      </w:r>
      <w:r w:rsidR="002E681F" w:rsidRPr="00F740CD">
        <w:rPr>
          <w:rFonts w:eastAsia="Calibri" w:cs="Verdana"/>
          <w:lang w:val="es-CR"/>
        </w:rPr>
        <w:t>sometió</w:t>
      </w:r>
      <w:r w:rsidR="004644C9" w:rsidRPr="00F740CD">
        <w:rPr>
          <w:bCs/>
          <w:lang w:val="es-CR"/>
        </w:rPr>
        <w:t xml:space="preserve"> a</w:t>
      </w:r>
      <w:r w:rsidR="00194D86" w:rsidRPr="00F740CD">
        <w:rPr>
          <w:bCs/>
          <w:lang w:val="es-CR"/>
        </w:rPr>
        <w:t xml:space="preserve"> </w:t>
      </w:r>
      <w:r w:rsidR="004644C9" w:rsidRPr="00F740CD">
        <w:rPr>
          <w:bCs/>
          <w:lang w:val="es-CR"/>
        </w:rPr>
        <w:t>l</w:t>
      </w:r>
      <w:r w:rsidR="00194D86" w:rsidRPr="00F740CD">
        <w:rPr>
          <w:bCs/>
          <w:lang w:val="es-CR"/>
        </w:rPr>
        <w:t>a</w:t>
      </w:r>
      <w:r w:rsidR="004644C9" w:rsidRPr="00F740CD">
        <w:rPr>
          <w:bCs/>
          <w:lang w:val="es-CR"/>
        </w:rPr>
        <w:t xml:space="preserve"> </w:t>
      </w:r>
      <w:r w:rsidR="00194D86" w:rsidRPr="00F740CD">
        <w:rPr>
          <w:bCs/>
          <w:lang w:val="es-CR"/>
        </w:rPr>
        <w:t>Corte</w:t>
      </w:r>
      <w:r w:rsidR="004644C9" w:rsidRPr="00F740CD">
        <w:rPr>
          <w:bCs/>
          <w:lang w:val="es-CR"/>
        </w:rPr>
        <w:t xml:space="preserve"> una solicitud de interpretación</w:t>
      </w:r>
      <w:r w:rsidR="00EA7882" w:rsidRPr="00F740CD">
        <w:rPr>
          <w:bCs/>
          <w:lang w:val="es-CR"/>
        </w:rPr>
        <w:t>, en relación con</w:t>
      </w:r>
      <w:r w:rsidR="006E555E" w:rsidRPr="00F740CD">
        <w:rPr>
          <w:lang w:val="es-CR"/>
        </w:rPr>
        <w:t xml:space="preserve"> tres</w:t>
      </w:r>
      <w:r w:rsidR="00F91AC4" w:rsidRPr="00F740CD">
        <w:rPr>
          <w:lang w:val="es-CR"/>
        </w:rPr>
        <w:t xml:space="preserve"> aspectos </w:t>
      </w:r>
      <w:r w:rsidR="00EA7882" w:rsidRPr="00F740CD">
        <w:rPr>
          <w:lang w:val="es-CR"/>
        </w:rPr>
        <w:t>de la Sentencia</w:t>
      </w:r>
      <w:r w:rsidR="00F91AC4" w:rsidRPr="00F740CD">
        <w:rPr>
          <w:lang w:val="es-CR"/>
        </w:rPr>
        <w:t xml:space="preserve">: (1) la </w:t>
      </w:r>
      <w:r w:rsidR="006E555E" w:rsidRPr="00F740CD">
        <w:rPr>
          <w:lang w:val="es-CR"/>
        </w:rPr>
        <w:t xml:space="preserve">razón jurídica por la cual la Corte utilizó la terminología “esterilización no consentida o involuntaria” en vez del término “esterilización forzada o forzosa”; (2) la </w:t>
      </w:r>
      <w:r w:rsidR="00ED6311" w:rsidRPr="00F740CD">
        <w:rPr>
          <w:lang w:val="es-CR"/>
        </w:rPr>
        <w:t xml:space="preserve">supuesta </w:t>
      </w:r>
      <w:r w:rsidR="006E555E" w:rsidRPr="00F740CD">
        <w:rPr>
          <w:lang w:val="es-CR"/>
        </w:rPr>
        <w:t>falta de claridad respecto de la decisión de la Corte de no emitir un pronunciamiento sobre la alegada violación del derecho a</w:t>
      </w:r>
      <w:r w:rsidR="00400006" w:rsidRPr="00F740CD">
        <w:rPr>
          <w:lang w:val="es-CR"/>
        </w:rPr>
        <w:t>l reconocimiento de</w:t>
      </w:r>
      <w:r w:rsidR="006E555E" w:rsidRPr="00F740CD">
        <w:rPr>
          <w:lang w:val="es-CR"/>
        </w:rPr>
        <w:t xml:space="preserve"> la personalidad jurídica</w:t>
      </w:r>
      <w:r w:rsidR="006B3DBC" w:rsidRPr="00F740CD">
        <w:rPr>
          <w:lang w:val="es-CR"/>
        </w:rPr>
        <w:t>, y</w:t>
      </w:r>
      <w:r w:rsidR="00F91AC4" w:rsidRPr="00F740CD">
        <w:rPr>
          <w:lang w:val="es-CR"/>
        </w:rPr>
        <w:t xml:space="preserve"> (3) la repa</w:t>
      </w:r>
      <w:r w:rsidR="006E555E" w:rsidRPr="00F740CD">
        <w:rPr>
          <w:lang w:val="es-CR"/>
        </w:rPr>
        <w:t>ración ordenada en relación con la atención adecuada a los padecimientos psicológicos y físicos de la víctima.</w:t>
      </w:r>
    </w:p>
    <w:p w:rsidR="00C45878" w:rsidRDefault="00C45878" w:rsidP="00C45878">
      <w:pPr>
        <w:pStyle w:val="ListParagraph"/>
        <w:rPr>
          <w:rFonts w:eastAsia="Calibri" w:cs="Verdana"/>
          <w:lang w:val="es-CR"/>
        </w:rPr>
      </w:pPr>
    </w:p>
    <w:p w:rsidR="004644C9" w:rsidRPr="00C45878" w:rsidRDefault="004644C9" w:rsidP="00C45878">
      <w:pPr>
        <w:numPr>
          <w:ilvl w:val="0"/>
          <w:numId w:val="1"/>
        </w:numPr>
        <w:tabs>
          <w:tab w:val="num" w:pos="720"/>
        </w:tabs>
        <w:autoSpaceDE w:val="0"/>
        <w:autoSpaceDN w:val="0"/>
        <w:adjustRightInd w:val="0"/>
        <w:jc w:val="both"/>
        <w:rPr>
          <w:rFonts w:eastAsia="Calibri" w:cs="Verdana"/>
          <w:lang w:val="es-CR"/>
        </w:rPr>
      </w:pPr>
      <w:r w:rsidRPr="00C45878">
        <w:rPr>
          <w:rFonts w:eastAsia="Calibri" w:cs="Verdana"/>
          <w:lang w:val="es-CR"/>
        </w:rPr>
        <w:t xml:space="preserve">El </w:t>
      </w:r>
      <w:r w:rsidR="006454DF" w:rsidRPr="00C45878">
        <w:rPr>
          <w:rFonts w:eastAsia="Calibri" w:cs="Verdana"/>
          <w:lang w:val="es-CR"/>
        </w:rPr>
        <w:t xml:space="preserve">3 de abril </w:t>
      </w:r>
      <w:r w:rsidR="006E555E" w:rsidRPr="00C45878">
        <w:rPr>
          <w:rFonts w:eastAsia="Calibri" w:cs="Verdana"/>
          <w:lang w:val="es-CR"/>
        </w:rPr>
        <w:t>de 2017</w:t>
      </w:r>
      <w:r w:rsidRPr="00C45878">
        <w:rPr>
          <w:rFonts w:eastAsia="Calibri" w:cs="Verdana"/>
          <w:lang w:val="es-CR"/>
        </w:rPr>
        <w:t xml:space="preserve">, siguiendo instrucciones del Presidente de la Corte, la Secretaría del Tribunal transmitió la referida comunicación </w:t>
      </w:r>
      <w:r w:rsidR="006E555E" w:rsidRPr="00C45878">
        <w:rPr>
          <w:rFonts w:eastAsia="Calibri" w:cs="Verdana"/>
          <w:lang w:val="es-CR"/>
        </w:rPr>
        <w:t xml:space="preserve">al Estado </w:t>
      </w:r>
      <w:r w:rsidR="000B4952" w:rsidRPr="00C45878">
        <w:rPr>
          <w:rFonts w:eastAsia="Calibri" w:cs="Verdana"/>
          <w:lang w:val="es-CR"/>
        </w:rPr>
        <w:t>Plurinacional de Bolivia (en adelante “el Estado de Bolivia”, “el Estado” o “Bolivia”)</w:t>
      </w:r>
      <w:r w:rsidR="006E555E" w:rsidRPr="00C45878">
        <w:rPr>
          <w:rFonts w:eastAsia="Verdana" w:cs="Verdana"/>
          <w:lang w:val="es-CR"/>
        </w:rPr>
        <w:t xml:space="preserve"> </w:t>
      </w:r>
      <w:r w:rsidRPr="00C45878">
        <w:rPr>
          <w:rFonts w:eastAsia="Calibri" w:cs="Verdana"/>
          <w:lang w:val="es-CR"/>
        </w:rPr>
        <w:t xml:space="preserve">y a la Comisión Interamericana </w:t>
      </w:r>
      <w:r w:rsidR="006D5F9E" w:rsidRPr="00C45878">
        <w:rPr>
          <w:rFonts w:eastAsia="Calibri" w:cs="Verdana"/>
          <w:lang w:val="es-CR"/>
        </w:rPr>
        <w:t xml:space="preserve">y les otorgó un plazo hasta el </w:t>
      </w:r>
      <w:r w:rsidR="006454DF" w:rsidRPr="00C45878">
        <w:rPr>
          <w:rFonts w:eastAsia="Calibri" w:cs="Verdana"/>
          <w:lang w:val="es-CR"/>
        </w:rPr>
        <w:t>5 de mayo de 2017</w:t>
      </w:r>
      <w:r w:rsidR="006D5F9E" w:rsidRPr="00C45878">
        <w:rPr>
          <w:rFonts w:eastAsia="Calibri" w:cs="Verdana"/>
          <w:lang w:val="es-CR"/>
        </w:rPr>
        <w:t xml:space="preserve"> para</w:t>
      </w:r>
      <w:r w:rsidRPr="00C45878">
        <w:rPr>
          <w:rFonts w:eastAsia="Calibri" w:cs="Verdana"/>
          <w:lang w:val="es-CR"/>
        </w:rPr>
        <w:t xml:space="preserve"> presentar los alegatos escritos que estimaran pertinentes</w:t>
      </w:r>
      <w:r w:rsidR="00272D03" w:rsidRPr="00C45878">
        <w:rPr>
          <w:rFonts w:eastAsia="Calibri" w:cs="Verdana"/>
          <w:lang w:val="es-CR"/>
        </w:rPr>
        <w:t>.</w:t>
      </w:r>
      <w:r w:rsidR="001B403A" w:rsidRPr="00C45878">
        <w:rPr>
          <w:b/>
          <w:sz w:val="16"/>
          <w:szCs w:val="16"/>
          <w:lang w:val="es-CR"/>
        </w:rPr>
        <w:t xml:space="preserve"> </w:t>
      </w:r>
    </w:p>
    <w:p w:rsidR="004644C9" w:rsidRPr="00F740CD" w:rsidRDefault="004644C9" w:rsidP="00582A58">
      <w:pPr>
        <w:pStyle w:val="ListParagraph"/>
        <w:ind w:left="0"/>
        <w:rPr>
          <w:rFonts w:eastAsia="Calibri" w:cs="Verdana"/>
          <w:szCs w:val="20"/>
          <w:lang w:val="es-CR"/>
        </w:rPr>
      </w:pPr>
    </w:p>
    <w:p w:rsidR="001B3AF6" w:rsidRPr="00F740CD" w:rsidRDefault="004644C9" w:rsidP="003C14FB">
      <w:pPr>
        <w:numPr>
          <w:ilvl w:val="0"/>
          <w:numId w:val="1"/>
        </w:numPr>
        <w:tabs>
          <w:tab w:val="num" w:pos="720"/>
        </w:tabs>
        <w:autoSpaceDE w:val="0"/>
        <w:autoSpaceDN w:val="0"/>
        <w:adjustRightInd w:val="0"/>
        <w:jc w:val="both"/>
        <w:rPr>
          <w:rFonts w:eastAsia="Calibri" w:cs="Verdana"/>
          <w:lang w:val="es-CR"/>
        </w:rPr>
      </w:pPr>
      <w:r w:rsidRPr="00F740CD">
        <w:rPr>
          <w:rFonts w:eastAsia="Calibri" w:cs="Verdana"/>
          <w:lang w:val="es-CR"/>
        </w:rPr>
        <w:t xml:space="preserve">El </w:t>
      </w:r>
      <w:r w:rsidR="00CA6BDA" w:rsidRPr="00F740CD">
        <w:rPr>
          <w:rFonts w:eastAsia="Calibri" w:cs="Verdana"/>
          <w:lang w:val="es-CR"/>
        </w:rPr>
        <w:t xml:space="preserve">5 de mayo de 2017 el Estado </w:t>
      </w:r>
      <w:r w:rsidR="00224654" w:rsidRPr="00F740CD">
        <w:rPr>
          <w:rFonts w:eastAsia="Calibri" w:cs="Verdana"/>
          <w:lang w:val="es-CR"/>
        </w:rPr>
        <w:t xml:space="preserve">y la Comisión Interamericana </w:t>
      </w:r>
      <w:r w:rsidRPr="00F740CD">
        <w:rPr>
          <w:rFonts w:eastAsia="Calibri" w:cs="Verdana"/>
          <w:lang w:val="es-CR"/>
        </w:rPr>
        <w:t>present</w:t>
      </w:r>
      <w:r w:rsidR="00CA6BDA" w:rsidRPr="00F740CD">
        <w:rPr>
          <w:rFonts w:eastAsia="Calibri" w:cs="Verdana"/>
          <w:lang w:val="es-CR"/>
        </w:rPr>
        <w:t xml:space="preserve">aron </w:t>
      </w:r>
      <w:r w:rsidRPr="00F740CD">
        <w:rPr>
          <w:rFonts w:eastAsia="Calibri" w:cs="Verdana"/>
          <w:lang w:val="es-CR"/>
        </w:rPr>
        <w:t>sus alegatos con respecto a l</w:t>
      </w:r>
      <w:r w:rsidR="00CA6BDA" w:rsidRPr="00F740CD">
        <w:rPr>
          <w:rFonts w:eastAsia="Calibri" w:cs="Verdana"/>
          <w:lang w:val="es-CR"/>
        </w:rPr>
        <w:t>a solicitud de interpretación presentada por la representante de la víctima</w:t>
      </w:r>
      <w:r w:rsidRPr="00F740CD">
        <w:rPr>
          <w:rFonts w:eastAsia="Calibri" w:cs="Verdana"/>
          <w:lang w:val="es-CR"/>
        </w:rPr>
        <w:t>.</w:t>
      </w:r>
      <w:r w:rsidR="00F93FC5" w:rsidRPr="00F740CD">
        <w:rPr>
          <w:rFonts w:eastAsia="Calibri" w:cs="Verdana"/>
          <w:lang w:val="es-CR"/>
        </w:rPr>
        <w:t xml:space="preserve"> </w:t>
      </w:r>
    </w:p>
    <w:p w:rsidR="00986752" w:rsidRPr="00F740CD" w:rsidRDefault="00986752" w:rsidP="003C14FB">
      <w:pPr>
        <w:jc w:val="center"/>
        <w:rPr>
          <w:b/>
          <w:bCs/>
          <w:lang w:val="es-CR"/>
        </w:rPr>
      </w:pPr>
    </w:p>
    <w:p w:rsidR="008F5901" w:rsidRPr="00F740CD" w:rsidRDefault="008F5901" w:rsidP="00BC2A32">
      <w:pPr>
        <w:pStyle w:val="Heading1"/>
      </w:pPr>
      <w:r w:rsidRPr="00F740CD">
        <w:t>II</w:t>
      </w:r>
      <w:r w:rsidR="00B57D5F" w:rsidRPr="00F740CD">
        <w:rPr>
          <w:b w:val="0"/>
          <w:bCs w:val="0"/>
          <w:caps w:val="0"/>
          <w:kern w:val="32"/>
        </w:rPr>
        <w:br/>
      </w:r>
      <w:r w:rsidRPr="00F740CD">
        <w:t>COMPETENCIA</w:t>
      </w:r>
    </w:p>
    <w:p w:rsidR="008F5901" w:rsidRPr="00F740CD" w:rsidRDefault="008F5901" w:rsidP="00E22772">
      <w:pPr>
        <w:pStyle w:val="ListParagraph"/>
        <w:ind w:left="0"/>
        <w:rPr>
          <w:szCs w:val="20"/>
          <w:lang w:val="es-CR"/>
        </w:rPr>
      </w:pPr>
    </w:p>
    <w:p w:rsidR="008F5901" w:rsidRPr="00F740CD" w:rsidRDefault="008F5901" w:rsidP="003C14FB">
      <w:pPr>
        <w:numPr>
          <w:ilvl w:val="0"/>
          <w:numId w:val="1"/>
        </w:numPr>
        <w:tabs>
          <w:tab w:val="clear" w:pos="1247"/>
          <w:tab w:val="num" w:pos="720"/>
        </w:tabs>
        <w:autoSpaceDE w:val="0"/>
        <w:autoSpaceDN w:val="0"/>
        <w:adjustRightInd w:val="0"/>
        <w:jc w:val="both"/>
        <w:rPr>
          <w:bCs/>
          <w:lang w:val="es-CR"/>
        </w:rPr>
      </w:pPr>
      <w:bookmarkStart w:id="1" w:name="_Ref392064772"/>
      <w:r w:rsidRPr="00F740CD">
        <w:rPr>
          <w:lang w:val="es-CR"/>
        </w:rPr>
        <w:t>El artículo 67 de la Convención establece que:</w:t>
      </w:r>
      <w:bookmarkEnd w:id="1"/>
    </w:p>
    <w:p w:rsidR="008F5901" w:rsidRPr="00F740CD" w:rsidRDefault="008F5901" w:rsidP="003C14FB">
      <w:pPr>
        <w:autoSpaceDE w:val="0"/>
        <w:autoSpaceDN w:val="0"/>
        <w:adjustRightInd w:val="0"/>
        <w:jc w:val="both"/>
        <w:rPr>
          <w:bCs/>
          <w:sz w:val="16"/>
          <w:szCs w:val="16"/>
          <w:lang w:val="es-CR"/>
        </w:rPr>
      </w:pPr>
    </w:p>
    <w:p w:rsidR="008F5901" w:rsidRPr="00F740CD" w:rsidRDefault="008F5901" w:rsidP="003C14FB">
      <w:pPr>
        <w:ind w:left="720" w:right="639"/>
        <w:jc w:val="both"/>
        <w:rPr>
          <w:sz w:val="16"/>
          <w:szCs w:val="16"/>
          <w:lang w:val="es-CR"/>
        </w:rPr>
      </w:pPr>
      <w:r w:rsidRPr="00F740CD">
        <w:rPr>
          <w:sz w:val="16"/>
          <w:szCs w:val="16"/>
          <w:lang w:val="es-CR"/>
        </w:rPr>
        <w:t>[e]l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p w:rsidR="008F5901" w:rsidRPr="00F740CD" w:rsidRDefault="008F5901" w:rsidP="003C14FB">
      <w:pPr>
        <w:autoSpaceDE w:val="0"/>
        <w:autoSpaceDN w:val="0"/>
        <w:adjustRightInd w:val="0"/>
        <w:jc w:val="both"/>
        <w:rPr>
          <w:bCs/>
          <w:lang w:val="es-CR"/>
        </w:rPr>
      </w:pPr>
    </w:p>
    <w:p w:rsidR="001B3AF6" w:rsidRPr="00F740CD" w:rsidRDefault="008F5901" w:rsidP="003C14FB">
      <w:pPr>
        <w:numPr>
          <w:ilvl w:val="0"/>
          <w:numId w:val="1"/>
        </w:numPr>
        <w:tabs>
          <w:tab w:val="clear" w:pos="1247"/>
          <w:tab w:val="num" w:pos="720"/>
        </w:tabs>
        <w:autoSpaceDE w:val="0"/>
        <w:autoSpaceDN w:val="0"/>
        <w:adjustRightInd w:val="0"/>
        <w:jc w:val="both"/>
        <w:rPr>
          <w:rFonts w:eastAsia="Calibri" w:cs="Verdana"/>
          <w:lang w:val="es-CR"/>
        </w:rPr>
      </w:pPr>
      <w:r w:rsidRPr="00F740CD">
        <w:rPr>
          <w:lang w:val="es-CR"/>
        </w:rPr>
        <w:t xml:space="preserve">De conformidad con el artículo citado, la Corte es competente para interpretar sus fallos. Para realizar el examen de la </w:t>
      </w:r>
      <w:r w:rsidR="007F0F5B" w:rsidRPr="00F740CD">
        <w:rPr>
          <w:lang w:val="es-CR"/>
        </w:rPr>
        <w:t xml:space="preserve">solicitud </w:t>
      </w:r>
      <w:r w:rsidRPr="00F740CD">
        <w:rPr>
          <w:lang w:val="es-CR"/>
        </w:rPr>
        <w:t>de interpretación y resolver lo que a este respecto corresponda, el Tribunal debe tener, si es posible, la misma composición que tenía al dictar la Sentencia respectiva, de acuerdo con el artículo 68.3 del Reglamento. En esta ocasión, la Corte se integra</w:t>
      </w:r>
      <w:r w:rsidR="00960BDE" w:rsidRPr="00F740CD">
        <w:rPr>
          <w:lang w:val="es-CR"/>
        </w:rPr>
        <w:t xml:space="preserve"> </w:t>
      </w:r>
      <w:r w:rsidRPr="00F740CD">
        <w:rPr>
          <w:lang w:val="es-CR"/>
        </w:rPr>
        <w:t xml:space="preserve">con los </w:t>
      </w:r>
      <w:r w:rsidR="009C4A0A" w:rsidRPr="00F740CD">
        <w:rPr>
          <w:lang w:val="es-CR"/>
        </w:rPr>
        <w:t>j</w:t>
      </w:r>
      <w:r w:rsidRPr="00F740CD">
        <w:rPr>
          <w:lang w:val="es-CR"/>
        </w:rPr>
        <w:t xml:space="preserve">ueces que dictaron la Sentencia cuya interpretación </w:t>
      </w:r>
      <w:r w:rsidR="007B20D4" w:rsidRPr="00F740CD">
        <w:rPr>
          <w:lang w:val="es-CR"/>
        </w:rPr>
        <w:t xml:space="preserve">ha sido solicitada por </w:t>
      </w:r>
      <w:r w:rsidR="00960BDE" w:rsidRPr="00F740CD">
        <w:rPr>
          <w:lang w:val="es-CR"/>
        </w:rPr>
        <w:t>la representante de la víctima.</w:t>
      </w:r>
    </w:p>
    <w:p w:rsidR="00E10A55" w:rsidRPr="00F740CD" w:rsidRDefault="00E10A55" w:rsidP="00E10A55">
      <w:pPr>
        <w:autoSpaceDE w:val="0"/>
        <w:autoSpaceDN w:val="0"/>
        <w:adjustRightInd w:val="0"/>
        <w:jc w:val="both"/>
        <w:rPr>
          <w:rFonts w:eastAsia="Calibri" w:cs="Verdana"/>
          <w:lang w:val="es-CR"/>
        </w:rPr>
      </w:pPr>
    </w:p>
    <w:p w:rsidR="008F5901" w:rsidRPr="00F740CD" w:rsidRDefault="008F5901" w:rsidP="00BC2A32">
      <w:pPr>
        <w:pStyle w:val="Heading1"/>
        <w:rPr>
          <w:rFonts w:eastAsia="Calibri"/>
        </w:rPr>
      </w:pPr>
      <w:r w:rsidRPr="00F740CD">
        <w:rPr>
          <w:rFonts w:eastAsia="Calibri"/>
        </w:rPr>
        <w:t>III</w:t>
      </w:r>
      <w:r w:rsidR="00A76B37" w:rsidRPr="00F740CD">
        <w:rPr>
          <w:b w:val="0"/>
          <w:bCs w:val="0"/>
          <w:caps w:val="0"/>
          <w:kern w:val="32"/>
        </w:rPr>
        <w:br/>
      </w:r>
      <w:r w:rsidRPr="00F740CD">
        <w:rPr>
          <w:rFonts w:eastAsia="Calibri"/>
        </w:rPr>
        <w:t>ADMISIBILIDAD</w:t>
      </w:r>
    </w:p>
    <w:p w:rsidR="008F5901" w:rsidRPr="00F740CD" w:rsidRDefault="008F5901" w:rsidP="003C14FB">
      <w:pPr>
        <w:autoSpaceDE w:val="0"/>
        <w:autoSpaceDN w:val="0"/>
        <w:adjustRightInd w:val="0"/>
        <w:rPr>
          <w:rFonts w:eastAsia="Calibri" w:cs="Verdana"/>
          <w:b/>
          <w:lang w:val="es-CR"/>
        </w:rPr>
      </w:pPr>
    </w:p>
    <w:p w:rsidR="008F5901" w:rsidRPr="00F740CD" w:rsidRDefault="008F5901" w:rsidP="003C14FB">
      <w:pPr>
        <w:numPr>
          <w:ilvl w:val="0"/>
          <w:numId w:val="1"/>
        </w:numPr>
        <w:tabs>
          <w:tab w:val="clear" w:pos="1247"/>
          <w:tab w:val="num" w:pos="720"/>
        </w:tabs>
        <w:autoSpaceDE w:val="0"/>
        <w:autoSpaceDN w:val="0"/>
        <w:adjustRightInd w:val="0"/>
        <w:jc w:val="both"/>
        <w:rPr>
          <w:rFonts w:eastAsia="Calibri" w:cs="Verdana"/>
          <w:lang w:val="es-CR"/>
        </w:rPr>
      </w:pPr>
      <w:bookmarkStart w:id="2" w:name="_Ref391898657"/>
      <w:r w:rsidRPr="00F740CD">
        <w:rPr>
          <w:lang w:val="es-CR"/>
        </w:rPr>
        <w:t xml:space="preserve">Corresponde a la Corte verificar si la solicitud presentada por </w:t>
      </w:r>
      <w:r w:rsidR="00960BDE" w:rsidRPr="00F740CD">
        <w:rPr>
          <w:lang w:val="es-CR"/>
        </w:rPr>
        <w:t xml:space="preserve">la representante de la señora I.V. </w:t>
      </w:r>
      <w:r w:rsidRPr="00F740CD">
        <w:rPr>
          <w:lang w:val="es-CR"/>
        </w:rPr>
        <w:t>cumple con los requisitos establecidos en las normas aplicables a una solicitud de interpretación de Sentencia, a saber, el artículo 67 de la Convención, anteriormente citado, y el artículo 68 del Reglamento que dispone, en lo pertinente, que:</w:t>
      </w:r>
      <w:bookmarkEnd w:id="2"/>
    </w:p>
    <w:p w:rsidR="008F5901" w:rsidRPr="00F740CD" w:rsidRDefault="008F5901" w:rsidP="003C14FB">
      <w:pPr>
        <w:rPr>
          <w:sz w:val="16"/>
          <w:szCs w:val="16"/>
          <w:lang w:val="es-CR"/>
        </w:rPr>
      </w:pPr>
    </w:p>
    <w:p w:rsidR="008F5901" w:rsidRPr="00F740CD" w:rsidRDefault="008F5901" w:rsidP="00AC0A2B">
      <w:pPr>
        <w:spacing w:after="120"/>
        <w:ind w:left="720" w:right="582"/>
        <w:jc w:val="both"/>
        <w:rPr>
          <w:sz w:val="16"/>
          <w:szCs w:val="16"/>
          <w:lang w:val="es-CR"/>
        </w:rPr>
      </w:pPr>
      <w:r w:rsidRPr="00F740CD">
        <w:rPr>
          <w:sz w:val="16"/>
          <w:szCs w:val="16"/>
          <w:lang w:val="es-CR"/>
        </w:rPr>
        <w:t>1.</w:t>
      </w:r>
      <w:r w:rsidRPr="00F740CD">
        <w:rPr>
          <w:sz w:val="16"/>
          <w:szCs w:val="16"/>
          <w:lang w:val="es-CR"/>
        </w:rPr>
        <w:tab/>
        <w:t>La solicitud de interpretación a que se refiere el artículo 67 de la Convención podrá promoverse en relación con las sentencias de excepciones preliminares, fondo o reparaciones y costas y se presentará en la Secretaría de la Corte indicándose en ella, con precisión, las cuestiones relativas al sentido o alcance de la sentencia cuya interpretación se pida.</w:t>
      </w:r>
    </w:p>
    <w:p w:rsidR="008F5901" w:rsidRPr="00F740CD" w:rsidRDefault="008F5901" w:rsidP="00AC0A2B">
      <w:pPr>
        <w:spacing w:after="120"/>
        <w:ind w:left="720" w:right="582"/>
        <w:rPr>
          <w:sz w:val="16"/>
          <w:szCs w:val="16"/>
          <w:lang w:val="es-CR"/>
        </w:rPr>
      </w:pPr>
      <w:r w:rsidRPr="00F740CD">
        <w:rPr>
          <w:sz w:val="16"/>
          <w:szCs w:val="16"/>
          <w:lang w:val="es-CR"/>
        </w:rPr>
        <w:t>[…]</w:t>
      </w:r>
    </w:p>
    <w:p w:rsidR="008F5901" w:rsidRPr="00F740CD" w:rsidRDefault="008F5901" w:rsidP="00AC0A2B">
      <w:pPr>
        <w:spacing w:after="120"/>
        <w:ind w:left="720" w:right="582"/>
        <w:jc w:val="both"/>
        <w:rPr>
          <w:sz w:val="16"/>
          <w:szCs w:val="16"/>
          <w:lang w:val="es-CR"/>
        </w:rPr>
      </w:pPr>
      <w:r w:rsidRPr="00F740CD">
        <w:rPr>
          <w:sz w:val="16"/>
          <w:szCs w:val="16"/>
          <w:lang w:val="es-CR"/>
        </w:rPr>
        <w:t>4.</w:t>
      </w:r>
      <w:r w:rsidRPr="00F740CD">
        <w:rPr>
          <w:sz w:val="16"/>
          <w:szCs w:val="16"/>
          <w:lang w:val="es-CR"/>
        </w:rPr>
        <w:tab/>
        <w:t>La solicitud de interpretación no suspenderá la ejecución de la sentencia.</w:t>
      </w:r>
    </w:p>
    <w:p w:rsidR="008F5901" w:rsidRPr="00F740CD" w:rsidRDefault="008F5901" w:rsidP="00AC0A2B">
      <w:pPr>
        <w:spacing w:after="120"/>
        <w:ind w:left="720" w:right="582"/>
        <w:jc w:val="both"/>
        <w:rPr>
          <w:sz w:val="16"/>
          <w:szCs w:val="16"/>
          <w:lang w:val="es-CR"/>
        </w:rPr>
      </w:pPr>
      <w:r w:rsidRPr="00F740CD">
        <w:rPr>
          <w:sz w:val="16"/>
          <w:szCs w:val="16"/>
          <w:lang w:val="es-CR"/>
        </w:rPr>
        <w:t>5.</w:t>
      </w:r>
      <w:r w:rsidRPr="00F740CD">
        <w:rPr>
          <w:sz w:val="16"/>
          <w:szCs w:val="16"/>
          <w:lang w:val="es-CR"/>
        </w:rPr>
        <w:tab/>
        <w:t>La Corte determinará el procedimiento que se seguirá y resolverá mediante una sentencia.</w:t>
      </w:r>
    </w:p>
    <w:p w:rsidR="000D6143" w:rsidRPr="00F740CD" w:rsidRDefault="008F5901" w:rsidP="003C14FB">
      <w:pPr>
        <w:numPr>
          <w:ilvl w:val="0"/>
          <w:numId w:val="1"/>
        </w:numPr>
        <w:tabs>
          <w:tab w:val="clear" w:pos="1247"/>
          <w:tab w:val="num" w:pos="720"/>
        </w:tabs>
        <w:jc w:val="both"/>
        <w:rPr>
          <w:lang w:val="es-CR"/>
        </w:rPr>
      </w:pPr>
      <w:r w:rsidRPr="00F740CD">
        <w:rPr>
          <w:lang w:val="es-CR"/>
        </w:rPr>
        <w:lastRenderedPageBreak/>
        <w:t>Asimismo, el artículo 31.3 del Reglamento establece que “[c]ontra las sentencias y resoluciones de la Corte no procede ningún medio de impugnación”.</w:t>
      </w:r>
    </w:p>
    <w:p w:rsidR="002D1BB1" w:rsidRPr="00F740CD" w:rsidRDefault="002D1BB1" w:rsidP="002D1BB1">
      <w:pPr>
        <w:jc w:val="both"/>
        <w:rPr>
          <w:lang w:val="es-CR"/>
        </w:rPr>
      </w:pPr>
    </w:p>
    <w:p w:rsidR="0054182B" w:rsidRPr="00F740CD" w:rsidRDefault="000D6143" w:rsidP="0054182B">
      <w:pPr>
        <w:numPr>
          <w:ilvl w:val="0"/>
          <w:numId w:val="1"/>
        </w:numPr>
        <w:tabs>
          <w:tab w:val="clear" w:pos="1247"/>
          <w:tab w:val="num" w:pos="720"/>
        </w:tabs>
        <w:jc w:val="both"/>
        <w:rPr>
          <w:lang w:val="es-CR"/>
        </w:rPr>
      </w:pPr>
      <w:bookmarkStart w:id="3" w:name="_Ref391898691"/>
      <w:r w:rsidRPr="00F740CD">
        <w:rPr>
          <w:lang w:val="es-CR"/>
        </w:rPr>
        <w:t xml:space="preserve">La Corte </w:t>
      </w:r>
      <w:r w:rsidR="00CC59BB" w:rsidRPr="00F740CD">
        <w:rPr>
          <w:lang w:val="es-CR"/>
        </w:rPr>
        <w:t xml:space="preserve">nota </w:t>
      </w:r>
      <w:r w:rsidRPr="00F740CD">
        <w:rPr>
          <w:lang w:val="es-CR"/>
        </w:rPr>
        <w:t xml:space="preserve">que </w:t>
      </w:r>
      <w:r w:rsidR="00960BDE" w:rsidRPr="00F740CD">
        <w:rPr>
          <w:lang w:val="es-CR"/>
        </w:rPr>
        <w:t xml:space="preserve">la representante de la señora I.V. </w:t>
      </w:r>
      <w:r w:rsidRPr="00F740CD">
        <w:rPr>
          <w:lang w:val="es-CR"/>
        </w:rPr>
        <w:t>present</w:t>
      </w:r>
      <w:r w:rsidR="006B527B" w:rsidRPr="00F740CD">
        <w:rPr>
          <w:lang w:val="es-CR"/>
        </w:rPr>
        <w:t>ó</w:t>
      </w:r>
      <w:r w:rsidRPr="00F740CD">
        <w:rPr>
          <w:lang w:val="es-CR"/>
        </w:rPr>
        <w:t xml:space="preserve"> su solicitud de interpretación de la Sentencia </w:t>
      </w:r>
      <w:r w:rsidR="00960BDE" w:rsidRPr="00F740CD">
        <w:rPr>
          <w:lang w:val="es-CR"/>
        </w:rPr>
        <w:t xml:space="preserve">el 19 de marzo de 2017, </w:t>
      </w:r>
      <w:r w:rsidRPr="00F740CD">
        <w:rPr>
          <w:lang w:val="es-CR"/>
        </w:rPr>
        <w:t xml:space="preserve">dentro del plazo de noventa días establecido en el artículo 67 de la Convención, ya que la misma fue notificada el </w:t>
      </w:r>
      <w:r w:rsidR="00960BDE" w:rsidRPr="00F740CD">
        <w:rPr>
          <w:lang w:val="es-CR"/>
        </w:rPr>
        <w:t>22</w:t>
      </w:r>
      <w:r w:rsidR="006B527B" w:rsidRPr="00F740CD">
        <w:rPr>
          <w:lang w:val="es-CR"/>
        </w:rPr>
        <w:t xml:space="preserve"> de diciembre </w:t>
      </w:r>
      <w:r w:rsidR="007A30B7" w:rsidRPr="00F740CD">
        <w:rPr>
          <w:lang w:val="es-CR"/>
        </w:rPr>
        <w:t>de 201</w:t>
      </w:r>
      <w:r w:rsidR="00960BDE" w:rsidRPr="00F740CD">
        <w:rPr>
          <w:lang w:val="es-CR"/>
        </w:rPr>
        <w:t>6</w:t>
      </w:r>
      <w:r w:rsidR="007A30B7" w:rsidRPr="00F740CD">
        <w:rPr>
          <w:lang w:val="es-CR"/>
        </w:rPr>
        <w:t>.</w:t>
      </w:r>
      <w:r w:rsidR="00A14969" w:rsidRPr="00F740CD">
        <w:rPr>
          <w:lang w:val="es-CR"/>
        </w:rPr>
        <w:t xml:space="preserve"> </w:t>
      </w:r>
      <w:r w:rsidR="00C926C5" w:rsidRPr="00F740CD">
        <w:rPr>
          <w:lang w:val="es-CR"/>
        </w:rPr>
        <w:t xml:space="preserve">Por ende, la solicitud resulta admisible en lo que </w:t>
      </w:r>
      <w:r w:rsidR="00E43CFD" w:rsidRPr="00F740CD">
        <w:rPr>
          <w:lang w:val="es-CR"/>
        </w:rPr>
        <w:t xml:space="preserve">se </w:t>
      </w:r>
      <w:r w:rsidR="00C926C5" w:rsidRPr="00F740CD">
        <w:rPr>
          <w:lang w:val="es-CR"/>
        </w:rPr>
        <w:t>refiere al plazo de su presentación.</w:t>
      </w:r>
      <w:bookmarkStart w:id="4" w:name="_Ref325023272"/>
      <w:r w:rsidR="00C926C5" w:rsidRPr="00F740CD">
        <w:rPr>
          <w:lang w:val="es-CR"/>
        </w:rPr>
        <w:t xml:space="preserve"> </w:t>
      </w:r>
      <w:bookmarkEnd w:id="4"/>
      <w:r w:rsidR="00244AD2" w:rsidRPr="00F740CD">
        <w:rPr>
          <w:lang w:val="es-CR"/>
        </w:rPr>
        <w:t>En cuanto a los demás requisitos, la Corte realizará el análisis respectivo al examinar el contenido de la presente solicitud de interpretación en el próximo capítulo.</w:t>
      </w:r>
      <w:bookmarkEnd w:id="3"/>
    </w:p>
    <w:p w:rsidR="001B3AF6" w:rsidRPr="00F740CD" w:rsidRDefault="001B3AF6" w:rsidP="007B4E27">
      <w:pPr>
        <w:jc w:val="both"/>
        <w:rPr>
          <w:lang w:val="es-CR"/>
        </w:rPr>
      </w:pPr>
    </w:p>
    <w:p w:rsidR="00B0035A" w:rsidRPr="00F740CD" w:rsidRDefault="00B0035A" w:rsidP="00BC2A32">
      <w:pPr>
        <w:pStyle w:val="Heading1"/>
        <w:rPr>
          <w:rFonts w:eastAsia="Calibri"/>
        </w:rPr>
      </w:pPr>
      <w:r w:rsidRPr="00F740CD">
        <w:t>IV</w:t>
      </w:r>
      <w:r w:rsidR="00B57D5F" w:rsidRPr="00F740CD">
        <w:rPr>
          <w:b w:val="0"/>
          <w:bCs w:val="0"/>
          <w:caps w:val="0"/>
          <w:kern w:val="32"/>
        </w:rPr>
        <w:br/>
      </w:r>
      <w:r w:rsidRPr="00F740CD">
        <w:rPr>
          <w:rFonts w:eastAsia="Calibri"/>
        </w:rPr>
        <w:t>ANÁLISIS DE LA PROCEDENCIA DE LA SOLICITUD DE INTERPRETACIÓN</w:t>
      </w:r>
    </w:p>
    <w:p w:rsidR="00D54AD7" w:rsidRPr="00F740CD" w:rsidRDefault="00D54AD7" w:rsidP="00B0035A">
      <w:pPr>
        <w:jc w:val="both"/>
        <w:rPr>
          <w:lang w:val="es-CR"/>
        </w:rPr>
      </w:pPr>
    </w:p>
    <w:p w:rsidR="00287CA8" w:rsidRPr="00F740CD" w:rsidRDefault="00287CA8" w:rsidP="00287CA8">
      <w:pPr>
        <w:numPr>
          <w:ilvl w:val="0"/>
          <w:numId w:val="1"/>
        </w:numPr>
        <w:tabs>
          <w:tab w:val="clear" w:pos="1247"/>
          <w:tab w:val="num" w:pos="720"/>
        </w:tabs>
        <w:jc w:val="both"/>
        <w:rPr>
          <w:b/>
          <w:lang w:val="es-CR"/>
        </w:rPr>
      </w:pPr>
      <w:r w:rsidRPr="00F740CD">
        <w:rPr>
          <w:lang w:val="es-CR"/>
        </w:rPr>
        <w:t xml:space="preserve">A continuación, </w:t>
      </w:r>
      <w:r w:rsidR="00194D86" w:rsidRPr="00F740CD">
        <w:rPr>
          <w:lang w:val="es-CR"/>
        </w:rPr>
        <w:t>la Corte</w:t>
      </w:r>
      <w:r w:rsidRPr="00F740CD">
        <w:rPr>
          <w:lang w:val="es-CR"/>
        </w:rPr>
        <w:t xml:space="preserve"> analizará la solicitud de</w:t>
      </w:r>
      <w:r w:rsidR="00D77A5B" w:rsidRPr="00F740CD">
        <w:rPr>
          <w:lang w:val="es-CR"/>
        </w:rPr>
        <w:t xml:space="preserve"> </w:t>
      </w:r>
      <w:r w:rsidRPr="00F740CD">
        <w:rPr>
          <w:lang w:val="es-CR"/>
        </w:rPr>
        <w:t>l</w:t>
      </w:r>
      <w:r w:rsidR="00D77A5B" w:rsidRPr="00F740CD">
        <w:rPr>
          <w:lang w:val="es-CR"/>
        </w:rPr>
        <w:t>a representante</w:t>
      </w:r>
      <w:r w:rsidRPr="00F740CD">
        <w:rPr>
          <w:lang w:val="es-CR"/>
        </w:rPr>
        <w:t xml:space="preserve"> para determinar si, de acuerdo a la normativa (</w:t>
      </w:r>
      <w:r w:rsidRPr="00F740CD">
        <w:rPr>
          <w:i/>
          <w:lang w:val="es-CR"/>
        </w:rPr>
        <w:t xml:space="preserve">supra </w:t>
      </w:r>
      <w:r w:rsidRPr="00F740CD">
        <w:rPr>
          <w:lang w:val="es-CR"/>
        </w:rPr>
        <w:t xml:space="preserve">párrs. </w:t>
      </w:r>
      <w:r w:rsidR="00CC59BB" w:rsidRPr="00F740CD">
        <w:rPr>
          <w:lang w:val="es-CR"/>
        </w:rPr>
        <w:t xml:space="preserve">5 </w:t>
      </w:r>
      <w:r w:rsidR="00960BDE" w:rsidRPr="00F740CD">
        <w:rPr>
          <w:lang w:val="es-CR"/>
        </w:rPr>
        <w:t xml:space="preserve">y </w:t>
      </w:r>
      <w:r w:rsidR="00CC59BB" w:rsidRPr="00F740CD">
        <w:rPr>
          <w:lang w:val="es-CR"/>
        </w:rPr>
        <w:t>7</w:t>
      </w:r>
      <w:r w:rsidRPr="00F740CD">
        <w:rPr>
          <w:lang w:val="es-CR"/>
        </w:rPr>
        <w:t xml:space="preserve">) y a los </w:t>
      </w:r>
      <w:r w:rsidR="003A1CBC" w:rsidRPr="00F740CD">
        <w:rPr>
          <w:lang w:val="es-CR"/>
        </w:rPr>
        <w:t>criterios</w:t>
      </w:r>
      <w:r w:rsidRPr="00F740CD">
        <w:rPr>
          <w:lang w:val="es-CR"/>
        </w:rPr>
        <w:t xml:space="preserve"> desarrollados en su jurisprudencia, procede aclarar el sentido o alcance de algún punto de la Sentencia.</w:t>
      </w:r>
    </w:p>
    <w:p w:rsidR="00287CA8" w:rsidRPr="00F740CD" w:rsidRDefault="00287CA8" w:rsidP="00287CA8">
      <w:pPr>
        <w:jc w:val="both"/>
        <w:rPr>
          <w:b/>
          <w:lang w:val="es-CR"/>
        </w:rPr>
      </w:pPr>
    </w:p>
    <w:p w:rsidR="007F60F5" w:rsidRPr="00F740CD" w:rsidRDefault="007F60F5" w:rsidP="007F60F5">
      <w:pPr>
        <w:numPr>
          <w:ilvl w:val="0"/>
          <w:numId w:val="1"/>
        </w:numPr>
        <w:tabs>
          <w:tab w:val="clear" w:pos="1247"/>
          <w:tab w:val="num" w:pos="720"/>
        </w:tabs>
        <w:jc w:val="both"/>
        <w:rPr>
          <w:lang w:val="es-CR"/>
        </w:rPr>
      </w:pPr>
      <w:bookmarkStart w:id="5" w:name="_Ref392082429"/>
      <w:r w:rsidRPr="00F740CD">
        <w:rPr>
          <w:lang w:val="es-CR"/>
        </w:rPr>
        <w:t>Para analizar la procedencia de la solicitud de</w:t>
      </w:r>
      <w:r w:rsidR="00960BDE" w:rsidRPr="00F740CD">
        <w:rPr>
          <w:lang w:val="es-CR"/>
        </w:rPr>
        <w:t xml:space="preserve"> la representante</w:t>
      </w:r>
      <w:r w:rsidRPr="00F740CD">
        <w:rPr>
          <w:lang w:val="es-CR"/>
        </w:rPr>
        <w:t xml:space="preserve">, </w:t>
      </w:r>
      <w:r w:rsidR="00194D86" w:rsidRPr="00F740CD">
        <w:rPr>
          <w:lang w:val="es-CR"/>
        </w:rPr>
        <w:t>la Corte</w:t>
      </w:r>
      <w:r w:rsidRPr="00F740CD">
        <w:rPr>
          <w:lang w:val="es-CR"/>
        </w:rPr>
        <w:t xml:space="preserve"> toma en consideración su jurisprudencia constante, claramente sustentada en el ordenamiento aplicable, en cuanto a que una solicitud de interpretación de sentencia no puede utilizarse como medio de impugnación de la decisión cuya interpretación se requiere. Dicha solicitud tiene como objeto, exclusivamente, determinar el sentido de un fallo cuando alguna de las partes sostiene que el texto de sus puntos resolutivos o de sus consideraciones carece de claridad o precisión, siempre y cuando esas consideraciones incidan en dicha parte resolutiva</w:t>
      </w:r>
      <w:r w:rsidR="000A3DBB" w:rsidRPr="00F740CD">
        <w:rPr>
          <w:rStyle w:val="FootnoteReference"/>
          <w:lang w:val="es-CR"/>
        </w:rPr>
        <w:footnoteReference w:id="1"/>
      </w:r>
      <w:r w:rsidRPr="00F740CD">
        <w:rPr>
          <w:lang w:val="es-CR"/>
        </w:rPr>
        <w:t xml:space="preserve">. Por lo tanto, no se puede </w:t>
      </w:r>
      <w:r w:rsidR="004D314A" w:rsidRPr="00F740CD">
        <w:rPr>
          <w:lang w:val="es-CR"/>
        </w:rPr>
        <w:t>solicitar</w:t>
      </w:r>
      <w:r w:rsidRPr="00F740CD">
        <w:rPr>
          <w:lang w:val="es-CR"/>
        </w:rPr>
        <w:t xml:space="preserve"> la modificación o anulación de la sentencia respectiva a través de una solicitud de interpretación</w:t>
      </w:r>
      <w:r w:rsidR="000A3DBB" w:rsidRPr="00F740CD">
        <w:rPr>
          <w:rStyle w:val="FootnoteReference"/>
          <w:lang w:val="es-CR"/>
        </w:rPr>
        <w:footnoteReference w:id="2"/>
      </w:r>
      <w:r w:rsidRPr="00F740CD">
        <w:rPr>
          <w:lang w:val="es-CR"/>
        </w:rPr>
        <w:t>.</w:t>
      </w:r>
      <w:bookmarkEnd w:id="5"/>
    </w:p>
    <w:p w:rsidR="007F60F5" w:rsidRPr="00F740CD" w:rsidRDefault="007F60F5" w:rsidP="007F60F5">
      <w:pPr>
        <w:pStyle w:val="ListParagraph"/>
        <w:ind w:left="0"/>
        <w:rPr>
          <w:lang w:val="es-CR"/>
        </w:rPr>
      </w:pPr>
    </w:p>
    <w:p w:rsidR="00C63EF1" w:rsidRPr="00F740CD" w:rsidRDefault="007F60F5" w:rsidP="00E10A55">
      <w:pPr>
        <w:numPr>
          <w:ilvl w:val="0"/>
          <w:numId w:val="1"/>
        </w:numPr>
        <w:tabs>
          <w:tab w:val="clear" w:pos="1247"/>
          <w:tab w:val="num" w:pos="720"/>
        </w:tabs>
        <w:jc w:val="both"/>
        <w:rPr>
          <w:lang w:val="es-CR"/>
        </w:rPr>
      </w:pPr>
      <w:r w:rsidRPr="00F740CD">
        <w:rPr>
          <w:lang w:val="es-CR"/>
        </w:rPr>
        <w:t xml:space="preserve">Adicionalmente, </w:t>
      </w:r>
      <w:r w:rsidR="00194D86" w:rsidRPr="00F740CD">
        <w:rPr>
          <w:lang w:val="es-CR"/>
        </w:rPr>
        <w:t>la Corte</w:t>
      </w:r>
      <w:r w:rsidRPr="00F740CD">
        <w:rPr>
          <w:lang w:val="es-CR"/>
        </w:rPr>
        <w:t xml:space="preserve"> ha sostenido la improcedencia de utilizar una solicitud de interpretación para someter cuestiones de hecho y de derecho que ya fueron planteadas en su oportunidad procesal y sobre las cuales la Corte ya adoptó una decisión</w:t>
      </w:r>
      <w:r w:rsidR="00373364" w:rsidRPr="00F740CD">
        <w:rPr>
          <w:rStyle w:val="FootnoteReference"/>
          <w:lang w:val="es-CR"/>
        </w:rPr>
        <w:footnoteReference w:id="3"/>
      </w:r>
      <w:r w:rsidRPr="00F740CD">
        <w:rPr>
          <w:lang w:val="es-CR"/>
        </w:rPr>
        <w:t xml:space="preserve">, así como para pretender que </w:t>
      </w:r>
      <w:r w:rsidR="00194D86" w:rsidRPr="00F740CD">
        <w:rPr>
          <w:lang w:val="es-CR"/>
        </w:rPr>
        <w:t>la Corte</w:t>
      </w:r>
      <w:r w:rsidRPr="00F740CD">
        <w:rPr>
          <w:lang w:val="es-CR"/>
        </w:rPr>
        <w:t xml:space="preserve"> valore nuevamente cuestiones que ya han sido resueltas por ést</w:t>
      </w:r>
      <w:r w:rsidR="003A1CBC" w:rsidRPr="00F740CD">
        <w:rPr>
          <w:lang w:val="es-CR"/>
        </w:rPr>
        <w:t>a</w:t>
      </w:r>
      <w:r w:rsidRPr="00F740CD">
        <w:rPr>
          <w:lang w:val="es-CR"/>
        </w:rPr>
        <w:t xml:space="preserve"> en su Sentencia</w:t>
      </w:r>
      <w:r w:rsidR="00373364" w:rsidRPr="00F740CD">
        <w:rPr>
          <w:rStyle w:val="FootnoteReference"/>
          <w:lang w:val="es-CR"/>
        </w:rPr>
        <w:footnoteReference w:id="4"/>
      </w:r>
      <w:r w:rsidRPr="00F740CD">
        <w:rPr>
          <w:lang w:val="es-CR"/>
        </w:rPr>
        <w:t>. De igual manera, por esta vía tampoco se puede intentar que se amplíe el alcance de una medida de reparación ordenada oportunamente</w:t>
      </w:r>
      <w:r w:rsidR="00373364" w:rsidRPr="00F740CD">
        <w:rPr>
          <w:rStyle w:val="FootnoteReference"/>
          <w:lang w:val="es-CR"/>
        </w:rPr>
        <w:footnoteReference w:id="5"/>
      </w:r>
      <w:r w:rsidRPr="00F740CD">
        <w:rPr>
          <w:lang w:val="es-CR"/>
        </w:rPr>
        <w:t xml:space="preserve">. </w:t>
      </w:r>
      <w:r w:rsidR="000218BF" w:rsidRPr="00F740CD">
        <w:rPr>
          <w:lang w:val="es-CR"/>
        </w:rPr>
        <w:t>Bajo este entendido, la Corte examinará las cue</w:t>
      </w:r>
      <w:r w:rsidR="008475C6" w:rsidRPr="00F740CD">
        <w:rPr>
          <w:lang w:val="es-CR"/>
        </w:rPr>
        <w:t>stiones planteadas por la representante</w:t>
      </w:r>
      <w:r w:rsidR="000218BF" w:rsidRPr="00F740CD">
        <w:rPr>
          <w:lang w:val="es-CR"/>
        </w:rPr>
        <w:t xml:space="preserve">, así como los alegatos presentados por </w:t>
      </w:r>
      <w:r w:rsidR="008475C6" w:rsidRPr="00F740CD">
        <w:rPr>
          <w:lang w:val="es-CR"/>
        </w:rPr>
        <w:t xml:space="preserve">el Estado </w:t>
      </w:r>
      <w:r w:rsidR="000218BF" w:rsidRPr="00F740CD">
        <w:rPr>
          <w:lang w:val="es-CR"/>
        </w:rPr>
        <w:t>y la Comisión, respectivamente</w:t>
      </w:r>
      <w:r w:rsidR="004073B8" w:rsidRPr="00F740CD">
        <w:rPr>
          <w:lang w:val="es-CR"/>
        </w:rPr>
        <w:t>,</w:t>
      </w:r>
      <w:r w:rsidR="000218BF" w:rsidRPr="00F740CD">
        <w:rPr>
          <w:lang w:val="es-CR"/>
        </w:rPr>
        <w:t xml:space="preserve"> y</w:t>
      </w:r>
      <w:r w:rsidR="008D1649" w:rsidRPr="00F740CD">
        <w:rPr>
          <w:lang w:val="es-CR"/>
        </w:rPr>
        <w:t xml:space="preserve"> </w:t>
      </w:r>
      <w:r w:rsidR="00E01BFE" w:rsidRPr="00F740CD">
        <w:rPr>
          <w:lang w:val="es-CR"/>
        </w:rPr>
        <w:t xml:space="preserve">determinará la procedencia </w:t>
      </w:r>
      <w:r w:rsidR="00C36EEB" w:rsidRPr="00F740CD">
        <w:rPr>
          <w:lang w:val="es-CR"/>
        </w:rPr>
        <w:t>de</w:t>
      </w:r>
      <w:r w:rsidR="000218BF" w:rsidRPr="00F740CD">
        <w:rPr>
          <w:lang w:val="es-CR"/>
        </w:rPr>
        <w:t xml:space="preserve"> </w:t>
      </w:r>
      <w:r w:rsidR="00C36EEB" w:rsidRPr="00F740CD">
        <w:rPr>
          <w:lang w:val="es-CR"/>
        </w:rPr>
        <w:t>l</w:t>
      </w:r>
      <w:r w:rsidR="000218BF" w:rsidRPr="00F740CD">
        <w:rPr>
          <w:lang w:val="es-CR"/>
        </w:rPr>
        <w:t>as</w:t>
      </w:r>
      <w:r w:rsidR="00C36EEB" w:rsidRPr="00F740CD">
        <w:rPr>
          <w:lang w:val="es-CR"/>
        </w:rPr>
        <w:t xml:space="preserve"> mism</w:t>
      </w:r>
      <w:r w:rsidR="000218BF" w:rsidRPr="00F740CD">
        <w:rPr>
          <w:lang w:val="es-CR"/>
        </w:rPr>
        <w:t>as.</w:t>
      </w:r>
    </w:p>
    <w:p w:rsidR="00EB205E" w:rsidRPr="00F740CD" w:rsidRDefault="00EB205E" w:rsidP="00EB205E">
      <w:pPr>
        <w:jc w:val="both"/>
        <w:rPr>
          <w:lang w:val="es-CR"/>
        </w:rPr>
      </w:pPr>
    </w:p>
    <w:p w:rsidR="008B40BB" w:rsidRPr="00F740CD" w:rsidRDefault="008B40BB" w:rsidP="00EB205E">
      <w:pPr>
        <w:jc w:val="both"/>
        <w:rPr>
          <w:lang w:val="es-CR"/>
        </w:rPr>
      </w:pPr>
    </w:p>
    <w:p w:rsidR="00C63EF1" w:rsidRPr="00F740CD" w:rsidRDefault="00560DF9" w:rsidP="004B4C7F">
      <w:pPr>
        <w:pStyle w:val="Heading3"/>
        <w:rPr>
          <w:lang w:val="es-CR"/>
        </w:rPr>
      </w:pPr>
      <w:r w:rsidRPr="00F740CD">
        <w:rPr>
          <w:lang w:val="es-CR"/>
        </w:rPr>
        <w:lastRenderedPageBreak/>
        <w:t xml:space="preserve">Solicitud de </w:t>
      </w:r>
      <w:r w:rsidR="00EB205E" w:rsidRPr="00F740CD">
        <w:rPr>
          <w:lang w:val="es-CR"/>
        </w:rPr>
        <w:t>interpretación</w:t>
      </w:r>
      <w:r w:rsidRPr="00F740CD">
        <w:rPr>
          <w:lang w:val="es-CR"/>
        </w:rPr>
        <w:t xml:space="preserve"> sobre el párrafo 204 de la Sentencia</w:t>
      </w:r>
    </w:p>
    <w:p w:rsidR="00D54AD7" w:rsidRPr="00F740CD" w:rsidRDefault="00D54AD7" w:rsidP="00D54AD7">
      <w:pPr>
        <w:ind w:left="426"/>
        <w:jc w:val="both"/>
        <w:rPr>
          <w:rFonts w:eastAsia="Calibri"/>
          <w:i/>
          <w:lang w:val="es-CR"/>
        </w:rPr>
      </w:pPr>
    </w:p>
    <w:p w:rsidR="00184EBD" w:rsidRPr="00F740CD" w:rsidRDefault="00E6428F" w:rsidP="007A45E6">
      <w:pPr>
        <w:ind w:left="708" w:firstLine="708"/>
        <w:jc w:val="both"/>
        <w:rPr>
          <w:rFonts w:eastAsia="Calibri"/>
          <w:i/>
          <w:lang w:val="es-CR"/>
        </w:rPr>
      </w:pPr>
      <w:r w:rsidRPr="00F740CD">
        <w:rPr>
          <w:i/>
          <w:lang w:val="es-CR"/>
        </w:rPr>
        <w:t xml:space="preserve">A.1 </w:t>
      </w:r>
      <w:r w:rsidR="00184EBD" w:rsidRPr="00F740CD">
        <w:rPr>
          <w:i/>
          <w:lang w:val="es-CR"/>
        </w:rPr>
        <w:t>Argumentos de las partes y de la Comisión</w:t>
      </w:r>
    </w:p>
    <w:p w:rsidR="002A0CB6" w:rsidRPr="00F740CD" w:rsidRDefault="002A0CB6" w:rsidP="00184EBD">
      <w:pPr>
        <w:jc w:val="both"/>
        <w:rPr>
          <w:lang w:val="es-CR"/>
        </w:rPr>
      </w:pPr>
    </w:p>
    <w:p w:rsidR="00E15315" w:rsidRPr="00F740CD" w:rsidRDefault="009537CD" w:rsidP="00B47A41">
      <w:pPr>
        <w:numPr>
          <w:ilvl w:val="0"/>
          <w:numId w:val="1"/>
        </w:numPr>
        <w:tabs>
          <w:tab w:val="clear" w:pos="1247"/>
          <w:tab w:val="num" w:pos="720"/>
        </w:tabs>
        <w:jc w:val="both"/>
        <w:rPr>
          <w:b/>
          <w:sz w:val="16"/>
          <w:szCs w:val="16"/>
          <w:lang w:val="es-CR"/>
        </w:rPr>
      </w:pPr>
      <w:r w:rsidRPr="00F740CD">
        <w:rPr>
          <w:lang w:val="es-CR"/>
        </w:rPr>
        <w:t xml:space="preserve">La </w:t>
      </w:r>
      <w:r w:rsidRPr="00F740CD">
        <w:rPr>
          <w:b/>
          <w:i/>
          <w:lang w:val="es-CR"/>
        </w:rPr>
        <w:t>representante</w:t>
      </w:r>
      <w:r w:rsidR="00A422C5" w:rsidRPr="00F740CD">
        <w:rPr>
          <w:b/>
          <w:i/>
          <w:lang w:val="es-CR"/>
        </w:rPr>
        <w:t xml:space="preserve"> </w:t>
      </w:r>
      <w:r w:rsidR="00A422C5" w:rsidRPr="00F740CD">
        <w:rPr>
          <w:lang w:val="es-CR"/>
        </w:rPr>
        <w:t>s</w:t>
      </w:r>
      <w:r w:rsidR="00560DF9" w:rsidRPr="00F740CD">
        <w:rPr>
          <w:lang w:val="es-CR"/>
        </w:rPr>
        <w:t>olicitó que la Corte interpretara el párrafo 204 de la Sentencia. Al respecto, s</w:t>
      </w:r>
      <w:r w:rsidR="00A422C5" w:rsidRPr="00F740CD">
        <w:rPr>
          <w:lang w:val="es-CR"/>
        </w:rPr>
        <w:t>eñaló</w:t>
      </w:r>
      <w:r w:rsidR="00FF2DF0" w:rsidRPr="00F740CD">
        <w:rPr>
          <w:lang w:val="es-CR"/>
        </w:rPr>
        <w:t xml:space="preserve"> </w:t>
      </w:r>
      <w:r w:rsidR="00A422C5" w:rsidRPr="00F740CD">
        <w:rPr>
          <w:lang w:val="es-CR"/>
        </w:rPr>
        <w:t>que</w:t>
      </w:r>
      <w:r w:rsidR="0041325D" w:rsidRPr="00F740CD">
        <w:rPr>
          <w:lang w:val="es-CR"/>
        </w:rPr>
        <w:t>,</w:t>
      </w:r>
      <w:r w:rsidR="00A422C5" w:rsidRPr="00F740CD">
        <w:rPr>
          <w:lang w:val="es-CR"/>
        </w:rPr>
        <w:t xml:space="preserve"> </w:t>
      </w:r>
      <w:r w:rsidRPr="00F740CD">
        <w:rPr>
          <w:lang w:val="es-CR"/>
        </w:rPr>
        <w:t xml:space="preserve">conforme fue alegado durante el proceso ante la Corte y en contradicción con lo establecido por el Estado, el término esterilización forzada no </w:t>
      </w:r>
      <w:r w:rsidR="00961E9E" w:rsidRPr="00F740CD">
        <w:rPr>
          <w:lang w:val="es-CR"/>
        </w:rPr>
        <w:t xml:space="preserve">estaba reservado a políticas públicas de control de la natalidad ni </w:t>
      </w:r>
      <w:r w:rsidRPr="00F740CD">
        <w:rPr>
          <w:lang w:val="es-CR"/>
        </w:rPr>
        <w:t xml:space="preserve">era de uso exclusivo del </w:t>
      </w:r>
      <w:r w:rsidR="0078566E" w:rsidRPr="00F740CD">
        <w:rPr>
          <w:lang w:val="es-CR"/>
        </w:rPr>
        <w:t>derecho penal internacional</w:t>
      </w:r>
      <w:r w:rsidRPr="00F740CD">
        <w:rPr>
          <w:lang w:val="es-CR"/>
        </w:rPr>
        <w:t>, sino que se utilizaba en este ámbito legal, cuando la conducta ilícita re</w:t>
      </w:r>
      <w:r w:rsidR="00961E9E" w:rsidRPr="00F740CD">
        <w:rPr>
          <w:lang w:val="es-CR"/>
        </w:rPr>
        <w:t>unía</w:t>
      </w:r>
      <w:r w:rsidRPr="00F740CD">
        <w:rPr>
          <w:lang w:val="es-CR"/>
        </w:rPr>
        <w:t xml:space="preserve"> las características de los crímenes internacionales.</w:t>
      </w:r>
      <w:r w:rsidR="00A36EE8" w:rsidRPr="00F740CD">
        <w:rPr>
          <w:lang w:val="es-CR"/>
        </w:rPr>
        <w:t xml:space="preserve"> </w:t>
      </w:r>
      <w:r w:rsidRPr="00F740CD">
        <w:rPr>
          <w:lang w:val="es-CR"/>
        </w:rPr>
        <w:t>Asimismo, la representante destacó que dicha terminología era también una noción de</w:t>
      </w:r>
      <w:r w:rsidR="0078566E" w:rsidRPr="00F740CD">
        <w:rPr>
          <w:lang w:val="es-CR"/>
        </w:rPr>
        <w:t>l</w:t>
      </w:r>
      <w:r w:rsidRPr="00F740CD">
        <w:rPr>
          <w:lang w:val="es-CR"/>
        </w:rPr>
        <w:t xml:space="preserve"> </w:t>
      </w:r>
      <w:r w:rsidR="0070655B" w:rsidRPr="00F740CD">
        <w:rPr>
          <w:lang w:val="es-CR"/>
        </w:rPr>
        <w:t>derecho internacional de los derechos humanos</w:t>
      </w:r>
      <w:r w:rsidRPr="00F740CD">
        <w:rPr>
          <w:lang w:val="es-CR"/>
        </w:rPr>
        <w:t>, con lo cual la Corte coincidió en su Sentencia, y es a su vez, empleada actualmente por el derecho nacional de Bolivia, el cual ha tipificado el delito común de esterilización forzada en el artículo 271 BIS del Código Penal.</w:t>
      </w:r>
      <w:r w:rsidR="00A36EE8" w:rsidRPr="00F740CD">
        <w:rPr>
          <w:lang w:val="es-CR"/>
        </w:rPr>
        <w:t xml:space="preserve"> </w:t>
      </w:r>
      <w:r w:rsidR="00E15315" w:rsidRPr="00F740CD">
        <w:rPr>
          <w:lang w:val="es-CR"/>
        </w:rPr>
        <w:t>La representante alegó que la Corte decidió utilizar la noción de “esterilización no consentida o involuntaria”</w:t>
      </w:r>
      <w:r w:rsidR="00B47A41" w:rsidRPr="00F740CD">
        <w:rPr>
          <w:lang w:val="es-CR"/>
        </w:rPr>
        <w:t xml:space="preserve"> sin que fuera clara </w:t>
      </w:r>
      <w:r w:rsidR="00B47A41" w:rsidRPr="00F740CD">
        <w:rPr>
          <w:rFonts w:eastAsiaTheme="minorHAnsi" w:cs="Arial"/>
          <w:lang w:val="es-CR"/>
        </w:rPr>
        <w:t>la razón jurídica para decidirse por esa expresión y no por la otra (</w:t>
      </w:r>
      <w:r w:rsidR="00560DF9" w:rsidRPr="00F740CD">
        <w:rPr>
          <w:rFonts w:eastAsiaTheme="minorHAnsi" w:cs="Arial"/>
          <w:lang w:val="es-CR"/>
        </w:rPr>
        <w:t>“</w:t>
      </w:r>
      <w:r w:rsidR="00B47A41" w:rsidRPr="00F740CD">
        <w:rPr>
          <w:rFonts w:eastAsiaTheme="minorHAnsi" w:cs="Arial"/>
          <w:lang w:val="es-CR"/>
        </w:rPr>
        <w:t>esterilización forzada o forzosa</w:t>
      </w:r>
      <w:r w:rsidR="00560DF9" w:rsidRPr="00F740CD">
        <w:rPr>
          <w:rFonts w:eastAsiaTheme="minorHAnsi" w:cs="Arial"/>
          <w:lang w:val="es-CR"/>
        </w:rPr>
        <w:t>”</w:t>
      </w:r>
      <w:r w:rsidR="00B47A41" w:rsidRPr="00F740CD">
        <w:rPr>
          <w:rFonts w:eastAsiaTheme="minorHAnsi" w:cs="Arial"/>
          <w:lang w:val="es-CR"/>
        </w:rPr>
        <w:t xml:space="preserve">), o por ambas como nociones de uso alternativo. Consideró que era muy importante que existiera total precisión en el empleo de las nociones referidas y señaló que la víctima siempre ha estado convencida de haber sufrido una </w:t>
      </w:r>
      <w:r w:rsidR="00D77A5B" w:rsidRPr="00F740CD">
        <w:rPr>
          <w:rFonts w:eastAsiaTheme="minorHAnsi" w:cs="Arial"/>
          <w:lang w:val="es-CR"/>
        </w:rPr>
        <w:t>“</w:t>
      </w:r>
      <w:r w:rsidR="00B47A41" w:rsidRPr="00F740CD">
        <w:rPr>
          <w:rFonts w:eastAsiaTheme="minorHAnsi" w:cs="Arial"/>
          <w:lang w:val="es-CR"/>
        </w:rPr>
        <w:t>esterilización forzada o forzosa</w:t>
      </w:r>
      <w:r w:rsidR="00D77A5B" w:rsidRPr="00F740CD">
        <w:rPr>
          <w:rFonts w:eastAsiaTheme="minorHAnsi" w:cs="Arial"/>
          <w:lang w:val="es-CR"/>
        </w:rPr>
        <w:t>”</w:t>
      </w:r>
      <w:r w:rsidR="00B47A41" w:rsidRPr="00F740CD">
        <w:rPr>
          <w:rFonts w:eastAsiaTheme="minorHAnsi" w:cs="Arial"/>
          <w:lang w:val="es-CR"/>
        </w:rPr>
        <w:t xml:space="preserve"> por haber sido sometida a ese acto en contra de su libertad de decisión, por lo que para una total recuperación de la víctima a nivel psicológico, era importante que tanto el terapeuta como la </w:t>
      </w:r>
      <w:r w:rsidR="00D77A5B" w:rsidRPr="00F740CD">
        <w:rPr>
          <w:rFonts w:eastAsiaTheme="minorHAnsi" w:cs="Arial"/>
          <w:lang w:val="es-CR"/>
        </w:rPr>
        <w:t>“</w:t>
      </w:r>
      <w:r w:rsidR="00B47A41" w:rsidRPr="00F740CD">
        <w:rPr>
          <w:rFonts w:eastAsiaTheme="minorHAnsi" w:cs="Arial"/>
          <w:lang w:val="es-CR"/>
        </w:rPr>
        <w:t>paciente</w:t>
      </w:r>
      <w:r w:rsidR="00D77A5B" w:rsidRPr="00F740CD">
        <w:rPr>
          <w:rFonts w:eastAsiaTheme="minorHAnsi" w:cs="Arial"/>
          <w:lang w:val="es-CR"/>
        </w:rPr>
        <w:t>”</w:t>
      </w:r>
      <w:r w:rsidR="00B47A41" w:rsidRPr="00F740CD">
        <w:rPr>
          <w:rFonts w:eastAsiaTheme="minorHAnsi" w:cs="Arial"/>
          <w:lang w:val="es-CR"/>
        </w:rPr>
        <w:t xml:space="preserve"> entendieran y utilizaran correctamente los términos que dan significado o representación a la realidad. Indicó que</w:t>
      </w:r>
      <w:r w:rsidR="0070655B" w:rsidRPr="00F740CD">
        <w:rPr>
          <w:rFonts w:eastAsiaTheme="minorHAnsi" w:cs="Arial"/>
          <w:lang w:val="es-CR"/>
        </w:rPr>
        <w:t>,</w:t>
      </w:r>
      <w:r w:rsidR="00B47A41" w:rsidRPr="00F740CD">
        <w:rPr>
          <w:rFonts w:eastAsiaTheme="minorHAnsi" w:cs="Arial"/>
          <w:lang w:val="es-CR"/>
        </w:rPr>
        <w:t xml:space="preserve"> en este asunto, la semántica trascendía de la lingüística a la psicología y a la salud mental.</w:t>
      </w:r>
    </w:p>
    <w:p w:rsidR="006E2417" w:rsidRPr="00F740CD" w:rsidRDefault="006E2417" w:rsidP="006E2417">
      <w:pPr>
        <w:jc w:val="both"/>
        <w:rPr>
          <w:lang w:val="es-CR"/>
        </w:rPr>
      </w:pPr>
    </w:p>
    <w:p w:rsidR="00E15315" w:rsidRPr="00F740CD" w:rsidRDefault="0041325D" w:rsidP="000631B6">
      <w:pPr>
        <w:numPr>
          <w:ilvl w:val="0"/>
          <w:numId w:val="1"/>
        </w:numPr>
        <w:tabs>
          <w:tab w:val="clear" w:pos="1247"/>
          <w:tab w:val="num" w:pos="720"/>
        </w:tabs>
        <w:jc w:val="both"/>
        <w:rPr>
          <w:lang w:val="es-CR"/>
        </w:rPr>
      </w:pPr>
      <w:r w:rsidRPr="00F740CD">
        <w:rPr>
          <w:lang w:val="es-CR"/>
        </w:rPr>
        <w:t xml:space="preserve">El </w:t>
      </w:r>
      <w:r w:rsidRPr="00F740CD">
        <w:rPr>
          <w:b/>
          <w:i/>
          <w:lang w:val="es-CR"/>
        </w:rPr>
        <w:t xml:space="preserve">Estado </w:t>
      </w:r>
      <w:r w:rsidR="0070655B" w:rsidRPr="00F740CD">
        <w:rPr>
          <w:lang w:val="es-CR"/>
        </w:rPr>
        <w:t>sostuvo que</w:t>
      </w:r>
      <w:r w:rsidR="007279B5" w:rsidRPr="00F740CD">
        <w:rPr>
          <w:lang w:val="es-CR"/>
        </w:rPr>
        <w:t xml:space="preserve"> la solicitud de interpretación era inadmisible, ya que la Sentencia emitida en el caso era lo suficientemente clara, precisa y específica en sus términos </w:t>
      </w:r>
      <w:r w:rsidR="000631B6" w:rsidRPr="00F740CD">
        <w:rPr>
          <w:lang w:val="es-CR"/>
        </w:rPr>
        <w:t xml:space="preserve">y contaba con fundamentación jurídica necesaria, </w:t>
      </w:r>
      <w:r w:rsidR="007279B5" w:rsidRPr="00F740CD">
        <w:rPr>
          <w:lang w:val="es-CR"/>
        </w:rPr>
        <w:t xml:space="preserve">por lo que no requería interpretación alguna, y alegó que la intención de la representante era utilizar la interpretación como un recurso para solicitar una modificación en cuanto a la forma de cumplimiento de la Sentencia. </w:t>
      </w:r>
      <w:r w:rsidR="000631B6" w:rsidRPr="00F740CD">
        <w:rPr>
          <w:lang w:val="es-CR"/>
        </w:rPr>
        <w:t xml:space="preserve">En particular, el Estado señaló que en el párrafo 204 de la Sentencia la Corte hizo referencia a la diversidad en la utilización de la terminología en el ámbito de los derechos humanos y resolvió que “para efectos de esta Sentencia”, la Corte </w:t>
      </w:r>
      <w:r w:rsidR="00BB5FF8" w:rsidRPr="00F740CD">
        <w:rPr>
          <w:lang w:val="es-CR"/>
        </w:rPr>
        <w:t>utilizaría el término esterilización no consentida o involuntaria.</w:t>
      </w:r>
      <w:r w:rsidR="00BA0E7C" w:rsidRPr="00F740CD">
        <w:rPr>
          <w:lang w:val="es-CR"/>
        </w:rPr>
        <w:t xml:space="preserve"> </w:t>
      </w:r>
      <w:r w:rsidR="00BB5FF8" w:rsidRPr="00F740CD">
        <w:rPr>
          <w:lang w:val="es-CR"/>
        </w:rPr>
        <w:t xml:space="preserve">En ese sentido, el Estado alegó que la </w:t>
      </w:r>
      <w:r w:rsidR="000631B6" w:rsidRPr="00F740CD">
        <w:rPr>
          <w:lang w:val="es-CR"/>
        </w:rPr>
        <w:t>aseveración de la representante de que el párrafo 204 no expresa</w:t>
      </w:r>
      <w:r w:rsidR="00BB5FF8" w:rsidRPr="00F740CD">
        <w:rPr>
          <w:lang w:val="es-CR"/>
        </w:rPr>
        <w:t>ba</w:t>
      </w:r>
      <w:r w:rsidR="000631B6" w:rsidRPr="00F740CD">
        <w:rPr>
          <w:lang w:val="es-CR"/>
        </w:rPr>
        <w:t xml:space="preserve"> de forma clara la razón jurídica para </w:t>
      </w:r>
      <w:r w:rsidR="00BB5FF8" w:rsidRPr="00F740CD">
        <w:rPr>
          <w:lang w:val="es-CR"/>
        </w:rPr>
        <w:t xml:space="preserve">que el Tribunal </w:t>
      </w:r>
      <w:r w:rsidR="000631B6" w:rsidRPr="00F740CD">
        <w:rPr>
          <w:lang w:val="es-CR"/>
        </w:rPr>
        <w:t>determinara el uso de dicha expresión y no la de este</w:t>
      </w:r>
      <w:r w:rsidR="00BB5FF8" w:rsidRPr="00F740CD">
        <w:rPr>
          <w:lang w:val="es-CR"/>
        </w:rPr>
        <w:t>rilización forzada o forzosa era infundada, y contenía</w:t>
      </w:r>
      <w:r w:rsidR="000631B6" w:rsidRPr="00F740CD">
        <w:rPr>
          <w:lang w:val="es-CR"/>
        </w:rPr>
        <w:t xml:space="preserve"> una intencionalidad específica, la de pretender el uso alternativo del término esterilización forzada o forzosa, lo cual supondría un cambio en el fondo.</w:t>
      </w:r>
      <w:r w:rsidR="00BB5FF8" w:rsidRPr="00F740CD">
        <w:rPr>
          <w:lang w:val="es-CR"/>
        </w:rPr>
        <w:t xml:space="preserve"> </w:t>
      </w:r>
      <w:r w:rsidR="00BA0E7C" w:rsidRPr="00F740CD">
        <w:rPr>
          <w:lang w:val="es-CR"/>
        </w:rPr>
        <w:t>El Estado indicó que</w:t>
      </w:r>
      <w:r w:rsidR="0070655B" w:rsidRPr="00F740CD">
        <w:rPr>
          <w:lang w:val="es-CR"/>
        </w:rPr>
        <w:t>,</w:t>
      </w:r>
      <w:r w:rsidR="00BA0E7C" w:rsidRPr="00F740CD">
        <w:rPr>
          <w:lang w:val="es-CR"/>
        </w:rPr>
        <w:t xml:space="preserve"> si bien la legislación boliviana contemplaba el delito de esterilización forzada, la atribución de responsabilidad internacional era diferente a las categorías penales propias de la jurisdicción interna, la cual es la llamada a determinar el tipo penal en el que se encuadra una conducta. Por todo ello, el Estado solicitó que se declare improcedente la solicitud de interpretación del párrafo 204 de la Sentencia</w:t>
      </w:r>
      <w:r w:rsidR="00A76F97" w:rsidRPr="00F740CD">
        <w:rPr>
          <w:lang w:val="es-CR"/>
        </w:rPr>
        <w:t>,</w:t>
      </w:r>
      <w:r w:rsidR="00BA0E7C" w:rsidRPr="00F740CD">
        <w:rPr>
          <w:lang w:val="es-CR"/>
        </w:rPr>
        <w:t xml:space="preserve"> pues su texto brinda elementos suficientes para comprender la razón jurídica para la decisión del Tribunal en torno a la terminología empleada.</w:t>
      </w:r>
    </w:p>
    <w:p w:rsidR="000779AA" w:rsidRPr="00F740CD" w:rsidRDefault="000779AA" w:rsidP="000779AA">
      <w:pPr>
        <w:jc w:val="both"/>
        <w:rPr>
          <w:lang w:val="es-CR"/>
        </w:rPr>
      </w:pPr>
    </w:p>
    <w:p w:rsidR="000779AA" w:rsidRPr="00F740CD" w:rsidRDefault="00BB5FF8" w:rsidP="000779AA">
      <w:pPr>
        <w:numPr>
          <w:ilvl w:val="0"/>
          <w:numId w:val="1"/>
        </w:numPr>
        <w:tabs>
          <w:tab w:val="clear" w:pos="1247"/>
          <w:tab w:val="num" w:pos="720"/>
        </w:tabs>
        <w:jc w:val="both"/>
        <w:rPr>
          <w:lang w:val="es-CR"/>
        </w:rPr>
      </w:pPr>
      <w:r w:rsidRPr="00F740CD">
        <w:rPr>
          <w:lang w:val="es-CR"/>
        </w:rPr>
        <w:t>L</w:t>
      </w:r>
      <w:r w:rsidR="00CB007D" w:rsidRPr="00F740CD">
        <w:rPr>
          <w:lang w:val="es-CR"/>
        </w:rPr>
        <w:t xml:space="preserve">a </w:t>
      </w:r>
      <w:r w:rsidR="00CB007D" w:rsidRPr="00F740CD">
        <w:rPr>
          <w:rFonts w:cs="Arial"/>
          <w:b/>
          <w:i/>
          <w:lang w:val="es-CR"/>
        </w:rPr>
        <w:t>Comisión</w:t>
      </w:r>
      <w:r w:rsidR="00CB007D" w:rsidRPr="00F740CD">
        <w:rPr>
          <w:rFonts w:cs="Arial"/>
          <w:lang w:val="es-CR"/>
        </w:rPr>
        <w:t xml:space="preserve"> notó que </w:t>
      </w:r>
      <w:r w:rsidR="000779AA" w:rsidRPr="00F740CD">
        <w:rPr>
          <w:rFonts w:eastAsia="Cambria"/>
          <w:lang w:val="es-CR" w:eastAsia="es-CR"/>
        </w:rPr>
        <w:t xml:space="preserve">la representante fundamentó la importancia de tener claridad sobre este punto, tanto por el impacto directo que tenía para la víctima y su salud mental, como por el hecho de que el Código Penal de Bolivia se refería a la noción de </w:t>
      </w:r>
      <w:r w:rsidR="0070655B" w:rsidRPr="00F740CD">
        <w:rPr>
          <w:rFonts w:eastAsia="Cambria"/>
          <w:lang w:val="es-CR" w:eastAsia="es-CR"/>
        </w:rPr>
        <w:t>“</w:t>
      </w:r>
      <w:r w:rsidR="000779AA" w:rsidRPr="00F740CD">
        <w:rPr>
          <w:rFonts w:eastAsia="Cambria"/>
          <w:lang w:val="es-CR" w:eastAsia="es-CR"/>
        </w:rPr>
        <w:t>esterilización forzada</w:t>
      </w:r>
      <w:r w:rsidR="0070655B" w:rsidRPr="00F740CD">
        <w:rPr>
          <w:rFonts w:eastAsia="Cambria"/>
          <w:lang w:val="es-CR" w:eastAsia="es-CR"/>
        </w:rPr>
        <w:t>”</w:t>
      </w:r>
      <w:r w:rsidR="000779AA" w:rsidRPr="00F740CD">
        <w:rPr>
          <w:rFonts w:eastAsia="Cambria"/>
          <w:lang w:val="es-CR" w:eastAsia="es-CR"/>
        </w:rPr>
        <w:t xml:space="preserve"> y consideraba necesario </w:t>
      </w:r>
      <w:r w:rsidR="0070655B" w:rsidRPr="00F740CD">
        <w:rPr>
          <w:rFonts w:eastAsia="Cambria"/>
          <w:lang w:val="es-CR" w:eastAsia="es-CR"/>
        </w:rPr>
        <w:t>“</w:t>
      </w:r>
      <w:r w:rsidR="000779AA" w:rsidRPr="00F740CD">
        <w:rPr>
          <w:rFonts w:eastAsia="Cambria"/>
          <w:lang w:val="es-CR" w:eastAsia="es-CR"/>
        </w:rPr>
        <w:t>entender con toda precisión los puntos de conexión entre ambas nociones [...]</w:t>
      </w:r>
      <w:r w:rsidR="0070655B" w:rsidRPr="00F740CD">
        <w:rPr>
          <w:rFonts w:eastAsia="Cambria"/>
          <w:lang w:val="es-CR" w:eastAsia="es-CR"/>
        </w:rPr>
        <w:t>”</w:t>
      </w:r>
      <w:r w:rsidR="000779AA" w:rsidRPr="00F740CD">
        <w:rPr>
          <w:rFonts w:eastAsia="Cambria"/>
          <w:lang w:val="es-CR" w:eastAsia="es-CR"/>
        </w:rPr>
        <w:t xml:space="preserve">. Al respecto, la Comisión consideró que la solicitud de la representante planteaba elementos en cuanto a la relevancia que una aclaración de la Corte podría tener en el proceso de implementación de ciertas medidas de reparación del presente caso. En ese sentido, la Comisión observó que la terminología utilizada en materia de derechos humanos no debería ser interpretada en sede interna como factor limitante </w:t>
      </w:r>
      <w:r w:rsidR="00F67309" w:rsidRPr="00F740CD">
        <w:rPr>
          <w:rFonts w:eastAsia="Cambria"/>
          <w:lang w:val="es-CR" w:eastAsia="es-CR"/>
        </w:rPr>
        <w:t>tomando</w:t>
      </w:r>
      <w:r w:rsidR="000779AA" w:rsidRPr="00F740CD">
        <w:rPr>
          <w:rFonts w:eastAsia="Cambria"/>
          <w:lang w:val="es-CR" w:eastAsia="es-CR"/>
        </w:rPr>
        <w:t xml:space="preserve"> </w:t>
      </w:r>
      <w:r w:rsidR="00F67309" w:rsidRPr="00F740CD">
        <w:rPr>
          <w:rFonts w:eastAsia="Cambria"/>
          <w:lang w:val="es-CR" w:eastAsia="es-CR"/>
        </w:rPr>
        <w:t>en cuenta</w:t>
      </w:r>
      <w:r w:rsidR="000779AA" w:rsidRPr="00F740CD">
        <w:rPr>
          <w:rFonts w:eastAsia="Cambria"/>
          <w:lang w:val="es-CR" w:eastAsia="es-CR"/>
        </w:rPr>
        <w:t xml:space="preserve"> las diferencias entre los dos campos. Estimó que una interpretación de la Corte que explicara su enfoque en cuanto a la terminología </w:t>
      </w:r>
      <w:r w:rsidR="000779AA" w:rsidRPr="00F740CD">
        <w:rPr>
          <w:rFonts w:eastAsia="Cambria"/>
          <w:lang w:val="es-CR" w:eastAsia="es-CR"/>
        </w:rPr>
        <w:lastRenderedPageBreak/>
        <w:t>empleada, si es que tuviera algún alcance en particular, facilitaría el entendimiento sobre los estándares desarrollados y lo relacionado con las medidas de reparación.</w:t>
      </w:r>
    </w:p>
    <w:p w:rsidR="000779AA" w:rsidRPr="00F740CD" w:rsidRDefault="000779AA" w:rsidP="000779AA">
      <w:pPr>
        <w:autoSpaceDE w:val="0"/>
        <w:autoSpaceDN w:val="0"/>
        <w:adjustRightInd w:val="0"/>
        <w:rPr>
          <w:rFonts w:ascii="Times New Roman" w:eastAsia="Cambria" w:hAnsi="Times New Roman"/>
          <w:color w:val="525252"/>
          <w:sz w:val="21"/>
          <w:szCs w:val="21"/>
          <w:lang w:val="es-CR" w:eastAsia="es-CR"/>
        </w:rPr>
      </w:pPr>
    </w:p>
    <w:p w:rsidR="00560B9F" w:rsidRPr="00F740CD" w:rsidRDefault="00BB5FF8" w:rsidP="007A45E6">
      <w:pPr>
        <w:ind w:left="708" w:firstLine="708"/>
        <w:jc w:val="both"/>
        <w:rPr>
          <w:lang w:val="es-CR"/>
        </w:rPr>
      </w:pPr>
      <w:r w:rsidRPr="00F740CD">
        <w:rPr>
          <w:rFonts w:cs="Arial"/>
          <w:i/>
          <w:lang w:val="es-CR"/>
        </w:rPr>
        <w:t xml:space="preserve">A.2 </w:t>
      </w:r>
      <w:r w:rsidR="00C63EF1" w:rsidRPr="00F740CD">
        <w:rPr>
          <w:rFonts w:cs="Arial"/>
          <w:i/>
          <w:lang w:val="es-CR"/>
        </w:rPr>
        <w:t>Consideraciones de la Corte</w:t>
      </w:r>
    </w:p>
    <w:p w:rsidR="00A45394" w:rsidRPr="00F740CD" w:rsidRDefault="00A45394" w:rsidP="00C63EF1">
      <w:pPr>
        <w:jc w:val="both"/>
        <w:rPr>
          <w:rFonts w:cs="Arial"/>
          <w:i/>
          <w:lang w:val="es-CR"/>
        </w:rPr>
      </w:pPr>
    </w:p>
    <w:p w:rsidR="00560B9F" w:rsidRPr="00F740CD" w:rsidRDefault="00F67309" w:rsidP="00560B9F">
      <w:pPr>
        <w:numPr>
          <w:ilvl w:val="0"/>
          <w:numId w:val="1"/>
        </w:numPr>
        <w:tabs>
          <w:tab w:val="clear" w:pos="1247"/>
        </w:tabs>
        <w:jc w:val="both"/>
        <w:rPr>
          <w:bCs/>
          <w:lang w:val="es-CR"/>
        </w:rPr>
      </w:pPr>
      <w:bookmarkStart w:id="6" w:name="_Toc375517143"/>
      <w:r w:rsidRPr="00F740CD">
        <w:rPr>
          <w:bCs/>
          <w:lang w:val="es-CR"/>
        </w:rPr>
        <w:t>En el apartado “B.3</w:t>
      </w:r>
      <w:r w:rsidR="00560B9F" w:rsidRPr="00F740CD">
        <w:rPr>
          <w:bCs/>
          <w:lang w:val="es-CR"/>
        </w:rPr>
        <w:t>.</w:t>
      </w:r>
      <w:bookmarkStart w:id="7" w:name="_Toc370421899"/>
      <w:r w:rsidR="00560B9F" w:rsidRPr="00F740CD">
        <w:rPr>
          <w:bCs/>
          <w:lang w:val="es-CR"/>
        </w:rPr>
        <w:t xml:space="preserve"> </w:t>
      </w:r>
      <w:bookmarkEnd w:id="6"/>
      <w:bookmarkEnd w:id="7"/>
      <w:r w:rsidRPr="00F740CD">
        <w:rPr>
          <w:bCs/>
          <w:lang w:val="es-CR"/>
        </w:rPr>
        <w:t xml:space="preserve">Determinación de los alcances de la responsabilidad </w:t>
      </w:r>
      <w:r w:rsidR="00F740CD" w:rsidRPr="00F740CD">
        <w:rPr>
          <w:bCs/>
          <w:lang w:val="es-CR"/>
        </w:rPr>
        <w:t xml:space="preserve">internacional </w:t>
      </w:r>
      <w:r w:rsidRPr="00F740CD">
        <w:rPr>
          <w:bCs/>
          <w:lang w:val="es-CR"/>
        </w:rPr>
        <w:t>del Estado</w:t>
      </w:r>
      <w:r w:rsidR="00560B9F" w:rsidRPr="00F740CD">
        <w:rPr>
          <w:bCs/>
          <w:lang w:val="es-CR"/>
        </w:rPr>
        <w:t>” de la Sentencia, la Corte determinó lo siguiente:</w:t>
      </w:r>
    </w:p>
    <w:p w:rsidR="00560B9F" w:rsidRPr="00F740CD" w:rsidRDefault="00560B9F" w:rsidP="00560B9F">
      <w:pPr>
        <w:tabs>
          <w:tab w:val="left" w:pos="709"/>
          <w:tab w:val="left" w:pos="1134"/>
          <w:tab w:val="num" w:pos="6042"/>
        </w:tabs>
        <w:jc w:val="both"/>
        <w:rPr>
          <w:sz w:val="18"/>
          <w:szCs w:val="18"/>
          <w:lang w:val="es-CR"/>
        </w:rPr>
      </w:pPr>
    </w:p>
    <w:p w:rsidR="00F67309" w:rsidRPr="00F740CD" w:rsidRDefault="00F67309" w:rsidP="00BB5FF8">
      <w:pPr>
        <w:numPr>
          <w:ilvl w:val="0"/>
          <w:numId w:val="18"/>
        </w:numPr>
        <w:tabs>
          <w:tab w:val="left" w:pos="709"/>
          <w:tab w:val="num" w:pos="1427"/>
        </w:tabs>
        <w:ind w:left="720" w:right="582"/>
        <w:contextualSpacing/>
        <w:jc w:val="both"/>
        <w:rPr>
          <w:i/>
          <w:sz w:val="16"/>
          <w:szCs w:val="16"/>
          <w:u w:val="single"/>
          <w:lang w:val="es-CR"/>
        </w:rPr>
      </w:pPr>
      <w:r w:rsidRPr="00F740CD">
        <w:rPr>
          <w:rFonts w:eastAsia="MS Mincho"/>
          <w:sz w:val="16"/>
          <w:szCs w:val="16"/>
          <w:lang w:val="es-CR" w:bidi="en-US"/>
        </w:rPr>
        <w:t xml:space="preserve">La Corte nota que, si bien las prohibiciones expresas respecto a las esterilizaciones forzadas o involuntarias han sido establecidas en el marco del derecho penal internacional o en la tipificación de delitos a nivel interno, la ausencia de un consentimiento informado en cuanto a la privación de la capacidad de reproducción biológica de una mujer puede constituir una violación de los derechos reconocidos en la Convención Americana, como fue desarrollado. </w:t>
      </w:r>
      <w:r w:rsidRPr="00F740CD">
        <w:rPr>
          <w:rFonts w:eastAsia="MS Mincho"/>
          <w:bCs/>
          <w:sz w:val="16"/>
          <w:szCs w:val="16"/>
          <w:lang w:val="es-CR"/>
        </w:rPr>
        <w:t xml:space="preserve">Ahora bien, existe una disputa en el presente caso en cuanto a la terminología adecuada a utilizarse. Por un lado, tanto la Comisión como la representante catalogaron los hechos en este caso como una esterilización forzada, mientras que el Estado argumentó que dicha nomenclatura es propia del derecho penal internacional, por lo que en este caso debería la Corte referirse eventualmente a una esterilización </w:t>
      </w:r>
      <w:r w:rsidRPr="00F740CD">
        <w:rPr>
          <w:sz w:val="16"/>
          <w:szCs w:val="16"/>
          <w:lang w:val="es-CR"/>
        </w:rPr>
        <w:t>sin consentimiento o involuntaria</w:t>
      </w:r>
      <w:r w:rsidRPr="00F740CD">
        <w:rPr>
          <w:rFonts w:eastAsia="MS Mincho"/>
          <w:bCs/>
          <w:sz w:val="16"/>
          <w:szCs w:val="16"/>
          <w:lang w:val="es-CR"/>
        </w:rPr>
        <w:t xml:space="preserve">. La Corte nota que, en el ámbito de los derechos humanos, se ha utilizado terminología diversa por parte de organismos internacionales y regionales de derecho humanos. Se ha </w:t>
      </w:r>
      <w:r w:rsidRPr="00F740CD">
        <w:rPr>
          <w:sz w:val="16"/>
          <w:szCs w:val="16"/>
          <w:lang w:val="es-CR"/>
        </w:rPr>
        <w:t xml:space="preserve">hecho referencia a </w:t>
      </w:r>
      <w:r w:rsidRPr="00F740CD">
        <w:rPr>
          <w:bCs/>
          <w:sz w:val="16"/>
          <w:szCs w:val="16"/>
          <w:lang w:val="es-CR"/>
        </w:rPr>
        <w:t>esterilización sin consentimiento,</w:t>
      </w:r>
      <w:r w:rsidRPr="00F740CD">
        <w:rPr>
          <w:sz w:val="16"/>
          <w:szCs w:val="16"/>
          <w:lang w:val="es-CR"/>
        </w:rPr>
        <w:t xml:space="preserve"> esterilización no consentida, esterilización involuntaria, esterilización obligatoria, esterilización forzada o </w:t>
      </w:r>
      <w:r w:rsidRPr="00F740CD">
        <w:rPr>
          <w:bCs/>
          <w:sz w:val="16"/>
          <w:szCs w:val="16"/>
          <w:lang w:val="es-CR"/>
        </w:rPr>
        <w:t xml:space="preserve">forzosa, </w:t>
      </w:r>
      <w:r w:rsidRPr="00F740CD">
        <w:rPr>
          <w:sz w:val="16"/>
          <w:szCs w:val="16"/>
          <w:lang w:val="es-CR"/>
        </w:rPr>
        <w:t xml:space="preserve">y </w:t>
      </w:r>
      <w:r w:rsidRPr="00F740CD">
        <w:rPr>
          <w:rFonts w:eastAsia="MS Mincho"/>
          <w:bCs/>
          <w:sz w:val="16"/>
          <w:szCs w:val="16"/>
          <w:lang w:val="es-CR"/>
        </w:rPr>
        <w:t>esterilización coercitiva o bajo coacción. A efectos de esta sentencia, la esterilización sin consentimiento previo, libre, pleno e informado será considerada por la Corte, como una esterilización no consentida o involuntaria.</w:t>
      </w:r>
    </w:p>
    <w:p w:rsidR="00B87C4E" w:rsidRPr="00F740CD" w:rsidRDefault="00B87C4E" w:rsidP="00B87C4E">
      <w:pPr>
        <w:autoSpaceDE w:val="0"/>
        <w:autoSpaceDN w:val="0"/>
        <w:adjustRightInd w:val="0"/>
        <w:jc w:val="both"/>
        <w:rPr>
          <w:rFonts w:eastAsia="Calibri" w:cs="Verdana"/>
          <w:lang w:val="es-CR"/>
        </w:rPr>
      </w:pPr>
    </w:p>
    <w:p w:rsidR="00BF499D" w:rsidRPr="00F740CD" w:rsidRDefault="00C16421" w:rsidP="00FE16D9">
      <w:pPr>
        <w:numPr>
          <w:ilvl w:val="0"/>
          <w:numId w:val="1"/>
        </w:numPr>
        <w:tabs>
          <w:tab w:val="clear" w:pos="1247"/>
        </w:tabs>
        <w:jc w:val="both"/>
        <w:rPr>
          <w:rFonts w:eastAsia="Calibri" w:cs="Verdana"/>
          <w:lang w:val="es-CR"/>
        </w:rPr>
      </w:pPr>
      <w:r w:rsidRPr="00F740CD">
        <w:rPr>
          <w:rFonts w:eastAsia="Calibri" w:cs="Verdana"/>
          <w:lang w:val="es-CR"/>
        </w:rPr>
        <w:t>L</w:t>
      </w:r>
      <w:r w:rsidR="008022ED" w:rsidRPr="00F740CD">
        <w:rPr>
          <w:rFonts w:eastAsia="Calibri" w:cs="Verdana"/>
          <w:lang w:val="es-CR"/>
        </w:rPr>
        <w:t>a Corte estima que el párrafo 204 establece claramente que</w:t>
      </w:r>
      <w:r w:rsidR="00ED1FAE" w:rsidRPr="00F740CD">
        <w:rPr>
          <w:rFonts w:eastAsia="Calibri" w:cs="Verdana"/>
          <w:lang w:val="es-CR"/>
        </w:rPr>
        <w:t xml:space="preserve"> </w:t>
      </w:r>
      <w:r w:rsidR="001F7958" w:rsidRPr="00F740CD">
        <w:rPr>
          <w:rFonts w:eastAsia="Calibri" w:cs="Verdana"/>
          <w:lang w:val="es-CR"/>
        </w:rPr>
        <w:t xml:space="preserve">los </w:t>
      </w:r>
      <w:r w:rsidR="001F7958" w:rsidRPr="00F740CD">
        <w:rPr>
          <w:rFonts w:eastAsia="Cambria" w:cs="Arial"/>
          <w:lang w:val="es-CR" w:eastAsia="es-CR"/>
        </w:rPr>
        <w:t xml:space="preserve">organismos internacionales y regionales de derecho humanos </w:t>
      </w:r>
      <w:r w:rsidR="00ED1FAE" w:rsidRPr="00F740CD">
        <w:rPr>
          <w:rFonts w:eastAsia="Cambria" w:cs="Arial"/>
          <w:lang w:val="es-CR" w:eastAsia="es-CR"/>
        </w:rPr>
        <w:t>ha</w:t>
      </w:r>
      <w:r w:rsidR="001F7958" w:rsidRPr="00F740CD">
        <w:rPr>
          <w:rFonts w:eastAsia="Cambria" w:cs="Arial"/>
          <w:lang w:val="es-CR" w:eastAsia="es-CR"/>
        </w:rPr>
        <w:t>n</w:t>
      </w:r>
      <w:r w:rsidR="00ED1FAE" w:rsidRPr="00F740CD">
        <w:rPr>
          <w:rFonts w:eastAsia="Cambria" w:cs="Arial"/>
          <w:lang w:val="es-CR" w:eastAsia="es-CR"/>
        </w:rPr>
        <w:t xml:space="preserve"> utilizado terminología diversa, no existiendo</w:t>
      </w:r>
      <w:r w:rsidR="004F635E" w:rsidRPr="00F740CD">
        <w:rPr>
          <w:rFonts w:eastAsia="Cambria" w:cs="Arial"/>
          <w:lang w:val="es-CR" w:eastAsia="es-CR"/>
        </w:rPr>
        <w:t xml:space="preserve"> en el ámbito del derecho internacional de los derechos humanos</w:t>
      </w:r>
      <w:r w:rsidR="00ED1FAE" w:rsidRPr="00F740CD">
        <w:rPr>
          <w:rFonts w:eastAsia="Cambria" w:cs="Arial"/>
          <w:lang w:val="es-CR" w:eastAsia="es-CR"/>
        </w:rPr>
        <w:t xml:space="preserve"> definiciones unívocas para cada uno de los términos</w:t>
      </w:r>
      <w:r w:rsidR="00BF499D" w:rsidRPr="00F740CD">
        <w:rPr>
          <w:rFonts w:eastAsia="Cambria" w:cs="Arial"/>
          <w:lang w:val="es-CR" w:eastAsia="es-CR"/>
        </w:rPr>
        <w:t xml:space="preserve">. Sobre esta base, la Corte </w:t>
      </w:r>
      <w:r w:rsidR="00601A97" w:rsidRPr="00F740CD">
        <w:rPr>
          <w:rFonts w:eastAsia="Cambria" w:cs="Arial"/>
          <w:lang w:val="es-CR" w:eastAsia="es-CR"/>
        </w:rPr>
        <w:t>decidió</w:t>
      </w:r>
      <w:r w:rsidR="00ED1FAE" w:rsidRPr="00F740CD">
        <w:rPr>
          <w:rFonts w:eastAsia="Cambria" w:cs="Arial"/>
          <w:lang w:val="es-CR" w:eastAsia="es-CR"/>
        </w:rPr>
        <w:t xml:space="preserve"> la forma en que procedería </w:t>
      </w:r>
      <w:r w:rsidR="00BF499D" w:rsidRPr="00F740CD">
        <w:rPr>
          <w:rFonts w:eastAsia="Cambria" w:cs="Arial"/>
          <w:lang w:val="es-CR" w:eastAsia="es-CR"/>
        </w:rPr>
        <w:t>a</w:t>
      </w:r>
      <w:r w:rsidR="004F635E" w:rsidRPr="00F740CD">
        <w:rPr>
          <w:rFonts w:eastAsia="Cambria" w:cs="Arial"/>
          <w:lang w:val="es-CR" w:eastAsia="es-CR"/>
        </w:rPr>
        <w:t xml:space="preserve"> considerar la esterilización sin consentimiento a</w:t>
      </w:r>
      <w:r w:rsidR="00BF499D" w:rsidRPr="00F740CD">
        <w:rPr>
          <w:rFonts w:eastAsia="Cambria" w:cs="Arial"/>
          <w:lang w:val="es-CR" w:eastAsia="es-CR"/>
        </w:rPr>
        <w:t xml:space="preserve"> los fines d</w:t>
      </w:r>
      <w:r w:rsidR="00ED1FAE" w:rsidRPr="00F740CD">
        <w:rPr>
          <w:rFonts w:eastAsia="Cambria" w:cs="Arial"/>
          <w:lang w:val="es-CR" w:eastAsia="es-CR"/>
        </w:rPr>
        <w:t>el presente caso</w:t>
      </w:r>
      <w:r w:rsidR="00D56807" w:rsidRPr="00F740CD">
        <w:rPr>
          <w:rFonts w:eastAsia="Cambria" w:cs="Arial"/>
          <w:lang w:val="es-CR" w:eastAsia="es-CR"/>
        </w:rPr>
        <w:t>, teniendo en cuenta los hechos específicos que dio por probados, es</w:t>
      </w:r>
      <w:r w:rsidR="00512B8A">
        <w:rPr>
          <w:rFonts w:eastAsia="Cambria" w:cs="Arial"/>
          <w:lang w:val="es-CR" w:eastAsia="es-CR"/>
        </w:rPr>
        <w:t>t</w:t>
      </w:r>
      <w:r w:rsidR="00D56807" w:rsidRPr="00F740CD">
        <w:rPr>
          <w:rFonts w:eastAsia="Cambria" w:cs="Arial"/>
          <w:lang w:val="es-CR" w:eastAsia="es-CR"/>
        </w:rPr>
        <w:t xml:space="preserve">o es, que </w:t>
      </w:r>
      <w:r w:rsidR="00D56807" w:rsidRPr="00F740CD">
        <w:rPr>
          <w:rFonts w:eastAsia="MS Mincho"/>
          <w:lang w:val="es-CR"/>
        </w:rPr>
        <w:t xml:space="preserve">un médico privó a la señora I.V. de su función reproductiva sin su consentimiento </w:t>
      </w:r>
      <w:r w:rsidR="00D56807" w:rsidRPr="00F740CD">
        <w:rPr>
          <w:rFonts w:eastAsia="Cambria" w:cs="Arial"/>
          <w:lang w:val="es-CR" w:eastAsia="es-CR"/>
        </w:rPr>
        <w:t>previo, libre, pleno e informado</w:t>
      </w:r>
      <w:r w:rsidR="00D56807" w:rsidRPr="00F740CD">
        <w:rPr>
          <w:rFonts w:eastAsia="MS Mincho"/>
          <w:lang w:val="es-CR"/>
        </w:rPr>
        <w:t xml:space="preserve"> en un hospital público durante un procedimiento de cesárea</w:t>
      </w:r>
      <w:r w:rsidR="00ED1FAE" w:rsidRPr="00F740CD">
        <w:rPr>
          <w:rFonts w:eastAsia="Cambria" w:cs="Arial"/>
          <w:lang w:val="es-CR" w:eastAsia="es-CR"/>
        </w:rPr>
        <w:t xml:space="preserve">. </w:t>
      </w:r>
      <w:r w:rsidR="006F36C6" w:rsidRPr="00F740CD">
        <w:rPr>
          <w:rFonts w:eastAsia="Cambria" w:cs="Arial"/>
          <w:lang w:val="es-CR" w:eastAsia="es-CR"/>
        </w:rPr>
        <w:t>Aunado a lo anterior</w:t>
      </w:r>
      <w:r w:rsidR="00BF499D" w:rsidRPr="00F740CD">
        <w:rPr>
          <w:rFonts w:eastAsia="Cambria" w:cs="Arial"/>
          <w:lang w:val="es-CR" w:eastAsia="es-CR"/>
        </w:rPr>
        <w:t xml:space="preserve">, la Corte recuerda que no es un tribunal penal al que le corresponda catalogar los hechos </w:t>
      </w:r>
      <w:r w:rsidR="00601A97" w:rsidRPr="00F740CD">
        <w:rPr>
          <w:rFonts w:eastAsia="Cambria" w:cs="Arial"/>
          <w:lang w:val="es-CR" w:eastAsia="es-CR"/>
        </w:rPr>
        <w:t xml:space="preserve">de un caso traído a su conocimiento bajo categorías de derecho penal </w:t>
      </w:r>
      <w:r w:rsidR="00BF499D" w:rsidRPr="00F740CD">
        <w:rPr>
          <w:rFonts w:eastAsia="Cambria" w:cs="Arial"/>
          <w:lang w:val="es-CR" w:eastAsia="es-CR"/>
        </w:rPr>
        <w:t>interno.</w:t>
      </w:r>
    </w:p>
    <w:p w:rsidR="00BF499D" w:rsidRPr="00F740CD" w:rsidRDefault="00BF499D" w:rsidP="00BF499D">
      <w:pPr>
        <w:jc w:val="both"/>
        <w:rPr>
          <w:rFonts w:eastAsia="Calibri" w:cs="Verdana"/>
          <w:lang w:val="es-CR"/>
        </w:rPr>
      </w:pPr>
    </w:p>
    <w:p w:rsidR="008022ED" w:rsidRPr="00F740CD" w:rsidRDefault="00BF499D" w:rsidP="008022ED">
      <w:pPr>
        <w:numPr>
          <w:ilvl w:val="0"/>
          <w:numId w:val="1"/>
        </w:numPr>
        <w:tabs>
          <w:tab w:val="clear" w:pos="1247"/>
        </w:tabs>
        <w:jc w:val="both"/>
        <w:rPr>
          <w:lang w:val="es-CR"/>
        </w:rPr>
      </w:pPr>
      <w:r w:rsidRPr="00F740CD">
        <w:rPr>
          <w:rFonts w:eastAsia="Calibri" w:cs="Verdana"/>
          <w:lang w:val="es-CR"/>
        </w:rPr>
        <w:t xml:space="preserve">En suma, </w:t>
      </w:r>
      <w:r w:rsidRPr="00F740CD">
        <w:rPr>
          <w:rFonts w:eastAsia="MS Mincho"/>
          <w:bCs/>
          <w:lang w:val="es-CR"/>
        </w:rPr>
        <w:t>l</w:t>
      </w:r>
      <w:r w:rsidR="008022ED" w:rsidRPr="00F740CD">
        <w:rPr>
          <w:rFonts w:eastAsia="MS Mincho"/>
          <w:bCs/>
          <w:lang w:val="es-CR"/>
        </w:rPr>
        <w:t xml:space="preserve">a Corte </w:t>
      </w:r>
      <w:r w:rsidRPr="00F740CD">
        <w:rPr>
          <w:rFonts w:eastAsia="MS Mincho"/>
          <w:bCs/>
          <w:lang w:val="es-CR"/>
        </w:rPr>
        <w:t>advierte</w:t>
      </w:r>
      <w:r w:rsidR="008022ED" w:rsidRPr="00F740CD">
        <w:rPr>
          <w:rFonts w:eastAsia="MS Mincho"/>
          <w:bCs/>
          <w:lang w:val="es-CR"/>
        </w:rPr>
        <w:t xml:space="preserve"> que</w:t>
      </w:r>
      <w:r w:rsidRPr="00F740CD">
        <w:rPr>
          <w:rFonts w:eastAsia="MS Mincho"/>
          <w:bCs/>
          <w:lang w:val="es-CR"/>
        </w:rPr>
        <w:t>,</w:t>
      </w:r>
      <w:r w:rsidR="008022ED" w:rsidRPr="00F740CD">
        <w:rPr>
          <w:rFonts w:eastAsia="Calibri" w:cs="Verdana"/>
          <w:lang w:val="es-CR"/>
        </w:rPr>
        <w:t xml:space="preserve"> bajo la apariencia de una solicitud de interpretación, </w:t>
      </w:r>
      <w:r w:rsidRPr="00F740CD">
        <w:rPr>
          <w:rFonts w:eastAsia="Calibri" w:cs="Verdana"/>
          <w:lang w:val="es-CR"/>
        </w:rPr>
        <w:t>la</w:t>
      </w:r>
      <w:r w:rsidR="00683C27" w:rsidRPr="00F740CD">
        <w:rPr>
          <w:rFonts w:eastAsia="Calibri" w:cs="Verdana"/>
          <w:lang w:val="es-CR"/>
        </w:rPr>
        <w:t xml:space="preserve"> posición de la</w:t>
      </w:r>
      <w:r w:rsidRPr="00F740CD">
        <w:rPr>
          <w:rFonts w:eastAsia="Calibri" w:cs="Verdana"/>
          <w:lang w:val="es-CR"/>
        </w:rPr>
        <w:t xml:space="preserve"> representante</w:t>
      </w:r>
      <w:r w:rsidR="008022ED" w:rsidRPr="00F740CD">
        <w:rPr>
          <w:rFonts w:eastAsia="Calibri" w:cs="Verdana"/>
          <w:lang w:val="es-CR"/>
        </w:rPr>
        <w:t xml:space="preserve"> </w:t>
      </w:r>
      <w:r w:rsidR="00683C27" w:rsidRPr="00F740CD">
        <w:rPr>
          <w:rFonts w:eastAsia="Calibri" w:cs="Verdana"/>
          <w:lang w:val="es-CR"/>
        </w:rPr>
        <w:t xml:space="preserve">evidencia </w:t>
      </w:r>
      <w:r w:rsidR="008022ED" w:rsidRPr="00F740CD">
        <w:rPr>
          <w:rFonts w:eastAsia="Calibri" w:cs="Verdana"/>
          <w:lang w:val="es-CR"/>
        </w:rPr>
        <w:t>una discrepancia con lo resuelto por la Corte, ya</w:t>
      </w:r>
      <w:r w:rsidR="00683C27" w:rsidRPr="00F740CD">
        <w:rPr>
          <w:rFonts w:eastAsia="Calibri" w:cs="Verdana"/>
          <w:lang w:val="es-CR"/>
        </w:rPr>
        <w:t xml:space="preserve"> que pretende recrear una controversia que</w:t>
      </w:r>
      <w:r w:rsidR="008022ED" w:rsidRPr="00F740CD">
        <w:rPr>
          <w:rFonts w:eastAsia="Calibri" w:cs="Verdana"/>
          <w:lang w:val="es-CR"/>
        </w:rPr>
        <w:t xml:space="preserve"> fue planteada en su oportunidad procesal y sobre la cual este Tribunal ya adoptó una decisión. </w:t>
      </w:r>
      <w:r w:rsidR="00C16421" w:rsidRPr="00F740CD">
        <w:rPr>
          <w:rFonts w:eastAsia="Calibri" w:cs="Verdana"/>
          <w:lang w:val="es-CR"/>
        </w:rPr>
        <w:t xml:space="preserve">Por ende, </w:t>
      </w:r>
      <w:r w:rsidR="00C16421" w:rsidRPr="00F740CD">
        <w:rPr>
          <w:rFonts w:eastAsia="Times New Roman"/>
          <w:lang w:val="es-CR"/>
        </w:rPr>
        <w:t xml:space="preserve">se declara improcedente la solicitud de </w:t>
      </w:r>
      <w:r w:rsidR="00683C27" w:rsidRPr="00F740CD">
        <w:rPr>
          <w:rFonts w:eastAsia="Times New Roman"/>
          <w:lang w:val="es-CR"/>
        </w:rPr>
        <w:t xml:space="preserve">la representante </w:t>
      </w:r>
      <w:r w:rsidR="00C16421" w:rsidRPr="00F740CD">
        <w:rPr>
          <w:rFonts w:eastAsia="Times New Roman"/>
          <w:lang w:val="es-CR"/>
        </w:rPr>
        <w:t>en este extremo,</w:t>
      </w:r>
      <w:r w:rsidR="00C16421" w:rsidRPr="00F740CD">
        <w:rPr>
          <w:lang w:val="es-CR"/>
        </w:rPr>
        <w:t xml:space="preserve"> toda vez que </w:t>
      </w:r>
      <w:r w:rsidR="00C16421" w:rsidRPr="00F740CD">
        <w:rPr>
          <w:rFonts w:eastAsia="Calibri" w:cs="Arial"/>
          <w:lang w:val="es-CR"/>
        </w:rPr>
        <w:t>el propósito de la interpretación debe ser aclarar algún punto impreciso o ambiguo sobre el sentido o alcance de la Sentencia, lo cual no corresponde respecto a dicho párrafo, en los términos esgrimidos.</w:t>
      </w:r>
    </w:p>
    <w:p w:rsidR="00A6487B" w:rsidRPr="00F740CD" w:rsidRDefault="00A6487B" w:rsidP="00A6487B">
      <w:pPr>
        <w:jc w:val="both"/>
        <w:rPr>
          <w:lang w:val="es-CR"/>
        </w:rPr>
      </w:pPr>
    </w:p>
    <w:p w:rsidR="00C63EF1" w:rsidRPr="00F740CD" w:rsidRDefault="00B600F7" w:rsidP="004B4C7F">
      <w:pPr>
        <w:pStyle w:val="Heading3"/>
        <w:rPr>
          <w:lang w:val="es-CR"/>
        </w:rPr>
      </w:pPr>
      <w:r w:rsidRPr="00F740CD">
        <w:rPr>
          <w:lang w:val="es-CR"/>
        </w:rPr>
        <w:t>Solicitud de interpretación sobre los párrafos 237 y 372.6 de la Sentencia</w:t>
      </w:r>
    </w:p>
    <w:p w:rsidR="00C63EF1" w:rsidRPr="00F740CD" w:rsidRDefault="00C63EF1" w:rsidP="00C63EF1">
      <w:pPr>
        <w:jc w:val="both"/>
        <w:rPr>
          <w:b/>
          <w:lang w:val="es-CR"/>
        </w:rPr>
      </w:pPr>
    </w:p>
    <w:p w:rsidR="00184EBD" w:rsidRPr="00F740CD" w:rsidRDefault="00227B4B" w:rsidP="007A45E6">
      <w:pPr>
        <w:ind w:left="708" w:firstLine="708"/>
        <w:jc w:val="both"/>
        <w:rPr>
          <w:rFonts w:eastAsia="Calibri"/>
          <w:i/>
          <w:lang w:val="es-CR"/>
        </w:rPr>
      </w:pPr>
      <w:r w:rsidRPr="00F740CD">
        <w:rPr>
          <w:i/>
          <w:lang w:val="es-CR"/>
        </w:rPr>
        <w:t xml:space="preserve">B.1 </w:t>
      </w:r>
      <w:r w:rsidR="00184EBD" w:rsidRPr="00F740CD">
        <w:rPr>
          <w:i/>
          <w:lang w:val="es-CR"/>
        </w:rPr>
        <w:t>Argumentos de las partes y de la Comisión</w:t>
      </w:r>
      <w:r w:rsidR="00184EBD" w:rsidRPr="00F740CD" w:rsidDel="00184EBD">
        <w:rPr>
          <w:rFonts w:eastAsia="Calibri"/>
          <w:i/>
          <w:lang w:val="es-CR"/>
        </w:rPr>
        <w:t xml:space="preserve"> </w:t>
      </w:r>
    </w:p>
    <w:p w:rsidR="00DC16E1" w:rsidRPr="00F740CD" w:rsidRDefault="00DC16E1" w:rsidP="00DC16E1">
      <w:pPr>
        <w:jc w:val="both"/>
        <w:rPr>
          <w:lang w:val="es-CR"/>
        </w:rPr>
      </w:pPr>
    </w:p>
    <w:p w:rsidR="00227B4B" w:rsidRPr="00F740CD" w:rsidRDefault="00227B4B" w:rsidP="00156C0A">
      <w:pPr>
        <w:numPr>
          <w:ilvl w:val="0"/>
          <w:numId w:val="1"/>
        </w:numPr>
        <w:tabs>
          <w:tab w:val="clear" w:pos="1247"/>
          <w:tab w:val="num" w:pos="720"/>
        </w:tabs>
        <w:jc w:val="both"/>
        <w:rPr>
          <w:lang w:val="es-CR"/>
        </w:rPr>
      </w:pPr>
      <w:r w:rsidRPr="00F740CD">
        <w:rPr>
          <w:lang w:val="es-CR"/>
        </w:rPr>
        <w:t xml:space="preserve">La </w:t>
      </w:r>
      <w:r w:rsidRPr="00F740CD">
        <w:rPr>
          <w:b/>
          <w:i/>
          <w:lang w:val="es-CR"/>
        </w:rPr>
        <w:t>representante</w:t>
      </w:r>
      <w:r w:rsidRPr="00F740CD">
        <w:rPr>
          <w:lang w:val="es-CR"/>
        </w:rPr>
        <w:t xml:space="preserve"> sostuvo que no resultaba claro de los párrafos 237 y 372.6: </w:t>
      </w:r>
      <w:r w:rsidR="00156C0A" w:rsidRPr="00F740CD">
        <w:rPr>
          <w:lang w:val="es-CR"/>
        </w:rPr>
        <w:t xml:space="preserve">i) si </w:t>
      </w:r>
      <w:r w:rsidRPr="00F740CD">
        <w:rPr>
          <w:rFonts w:eastAsiaTheme="minorHAnsi" w:cs="Arial"/>
          <w:color w:val="0F0F11"/>
          <w:lang w:val="es-CR"/>
        </w:rPr>
        <w:t>hubo o no una violació</w:t>
      </w:r>
      <w:r w:rsidR="00156C0A" w:rsidRPr="00F740CD">
        <w:rPr>
          <w:rFonts w:eastAsiaTheme="minorHAnsi" w:cs="Arial"/>
          <w:color w:val="0F0F11"/>
          <w:lang w:val="es-CR"/>
        </w:rPr>
        <w:t>n del artículo 3 de la Convención</w:t>
      </w:r>
      <w:r w:rsidRPr="00F740CD">
        <w:rPr>
          <w:rFonts w:eastAsiaTheme="minorHAnsi" w:cs="Arial"/>
          <w:color w:val="0F0F11"/>
          <w:lang w:val="es-CR"/>
        </w:rPr>
        <w:t>;</w:t>
      </w:r>
      <w:r w:rsidR="00156C0A" w:rsidRPr="00F740CD">
        <w:rPr>
          <w:rFonts w:eastAsiaTheme="minorHAnsi" w:cs="Arial"/>
          <w:color w:val="0F0F11"/>
          <w:lang w:val="es-CR"/>
        </w:rPr>
        <w:t xml:space="preserve"> ii) si la hubo, no se entendía</w:t>
      </w:r>
      <w:r w:rsidRPr="00F740CD">
        <w:rPr>
          <w:rFonts w:eastAsiaTheme="minorHAnsi" w:cs="Arial"/>
          <w:color w:val="0F0F11"/>
          <w:lang w:val="es-CR"/>
        </w:rPr>
        <w:t xml:space="preserve"> con claridad si esa </w:t>
      </w:r>
      <w:r w:rsidR="00156C0A" w:rsidRPr="00F740CD">
        <w:rPr>
          <w:rFonts w:eastAsiaTheme="minorHAnsi" w:cs="Arial"/>
          <w:color w:val="0F0F11"/>
          <w:lang w:val="es-CR"/>
        </w:rPr>
        <w:t>violación quedó</w:t>
      </w:r>
      <w:r w:rsidR="00CE1CAF" w:rsidRPr="00F740CD">
        <w:rPr>
          <w:rFonts w:eastAsiaTheme="minorHAnsi" w:cs="Arial"/>
          <w:color w:val="0F0F11"/>
          <w:lang w:val="es-CR"/>
        </w:rPr>
        <w:t xml:space="preserve"> subsumida en </w:t>
      </w:r>
      <w:r w:rsidR="00156C0A" w:rsidRPr="00F740CD">
        <w:rPr>
          <w:rFonts w:eastAsiaTheme="minorHAnsi" w:cs="Arial"/>
          <w:color w:val="0F0F11"/>
          <w:lang w:val="es-CR"/>
        </w:rPr>
        <w:t>la vulneració</w:t>
      </w:r>
      <w:r w:rsidRPr="00F740CD">
        <w:rPr>
          <w:rFonts w:eastAsiaTheme="minorHAnsi" w:cs="Arial"/>
          <w:color w:val="0F0F11"/>
          <w:lang w:val="es-CR"/>
        </w:rPr>
        <w:t xml:space="preserve">n de </w:t>
      </w:r>
      <w:r w:rsidR="00156C0A" w:rsidRPr="00F740CD">
        <w:rPr>
          <w:rFonts w:eastAsiaTheme="minorHAnsi" w:cs="Arial"/>
          <w:color w:val="0F0F11"/>
          <w:lang w:val="es-CR"/>
        </w:rPr>
        <w:t>algún</w:t>
      </w:r>
      <w:r w:rsidRPr="00F740CD">
        <w:rPr>
          <w:rFonts w:eastAsiaTheme="minorHAnsi" w:cs="Arial"/>
          <w:color w:val="0F0F11"/>
          <w:lang w:val="es-CR"/>
        </w:rPr>
        <w:t xml:space="preserve"> otro </w:t>
      </w:r>
      <w:r w:rsidR="00156C0A" w:rsidRPr="00F740CD">
        <w:rPr>
          <w:rFonts w:eastAsiaTheme="minorHAnsi" w:cs="Arial"/>
          <w:color w:val="0F0F11"/>
          <w:lang w:val="es-CR"/>
        </w:rPr>
        <w:t>artículo de l</w:t>
      </w:r>
      <w:r w:rsidR="00CE1CAF" w:rsidRPr="00F740CD">
        <w:rPr>
          <w:rFonts w:eastAsiaTheme="minorHAnsi" w:cs="Arial"/>
          <w:color w:val="0F0F11"/>
          <w:lang w:val="es-CR"/>
        </w:rPr>
        <w:t xml:space="preserve">a </w:t>
      </w:r>
      <w:r w:rsidR="007A45E6" w:rsidRPr="00F740CD">
        <w:rPr>
          <w:rFonts w:eastAsiaTheme="minorHAnsi" w:cs="Arial"/>
          <w:color w:val="0F0F11"/>
          <w:lang w:val="es-CR"/>
        </w:rPr>
        <w:t xml:space="preserve">Convención </w:t>
      </w:r>
      <w:r w:rsidR="00CE1CAF" w:rsidRPr="00F740CD">
        <w:rPr>
          <w:rFonts w:eastAsiaTheme="minorHAnsi" w:cs="Arial"/>
          <w:color w:val="0F0F11"/>
          <w:lang w:val="es-CR"/>
        </w:rPr>
        <w:t>y</w:t>
      </w:r>
      <w:r w:rsidR="007A45E6" w:rsidRPr="00F740CD">
        <w:rPr>
          <w:rFonts w:eastAsiaTheme="minorHAnsi" w:cs="Arial"/>
          <w:color w:val="0F0F11"/>
          <w:lang w:val="es-CR"/>
        </w:rPr>
        <w:t>,</w:t>
      </w:r>
      <w:r w:rsidRPr="00F740CD">
        <w:rPr>
          <w:rFonts w:eastAsiaTheme="minorHAnsi" w:cs="Arial"/>
          <w:color w:val="0F0F11"/>
          <w:lang w:val="es-CR"/>
        </w:rPr>
        <w:t xml:space="preserve"> si ese fuera el caso, </w:t>
      </w:r>
      <w:r w:rsidR="00CE1CAF" w:rsidRPr="00F740CD">
        <w:rPr>
          <w:rFonts w:eastAsiaTheme="minorHAnsi" w:cs="Arial"/>
          <w:color w:val="0F0F11"/>
          <w:lang w:val="es-CR"/>
        </w:rPr>
        <w:t>en qué</w:t>
      </w:r>
      <w:r w:rsidR="00156C0A" w:rsidRPr="00F740CD">
        <w:rPr>
          <w:rFonts w:eastAsiaTheme="minorHAnsi" w:cs="Arial"/>
          <w:color w:val="0F0F11"/>
          <w:lang w:val="es-CR"/>
        </w:rPr>
        <w:t xml:space="preserve"> art</w:t>
      </w:r>
      <w:r w:rsidR="007A45E6" w:rsidRPr="00F740CD">
        <w:rPr>
          <w:rFonts w:eastAsiaTheme="minorHAnsi" w:cs="Arial"/>
          <w:color w:val="0F0F11"/>
          <w:lang w:val="es-CR"/>
        </w:rPr>
        <w:t>í</w:t>
      </w:r>
      <w:r w:rsidR="00156C0A" w:rsidRPr="00F740CD">
        <w:rPr>
          <w:rFonts w:eastAsiaTheme="minorHAnsi" w:cs="Arial"/>
          <w:color w:val="0F0F11"/>
          <w:lang w:val="es-CR"/>
        </w:rPr>
        <w:t>culo quedó</w:t>
      </w:r>
      <w:r w:rsidRPr="00F740CD">
        <w:rPr>
          <w:rFonts w:eastAsiaTheme="minorHAnsi" w:cs="Arial"/>
          <w:color w:val="0F0F11"/>
          <w:lang w:val="es-CR"/>
        </w:rPr>
        <w:t xml:space="preserve"> subsumida </w:t>
      </w:r>
      <w:r w:rsidR="00156C0A" w:rsidRPr="00F740CD">
        <w:rPr>
          <w:rFonts w:eastAsiaTheme="minorHAnsi" w:cs="Arial"/>
          <w:color w:val="0F0F11"/>
          <w:lang w:val="es-CR"/>
        </w:rPr>
        <w:t>la violación del artículo 3 de l</w:t>
      </w:r>
      <w:r w:rsidRPr="00F740CD">
        <w:rPr>
          <w:rFonts w:eastAsiaTheme="minorHAnsi" w:cs="Arial"/>
          <w:color w:val="0F0F11"/>
          <w:lang w:val="es-CR"/>
        </w:rPr>
        <w:t>a C</w:t>
      </w:r>
      <w:r w:rsidR="007A45E6" w:rsidRPr="00F740CD">
        <w:rPr>
          <w:rFonts w:eastAsiaTheme="minorHAnsi" w:cs="Arial"/>
          <w:color w:val="0F0F11"/>
          <w:lang w:val="es-CR"/>
        </w:rPr>
        <w:t xml:space="preserve">onvención </w:t>
      </w:r>
      <w:r w:rsidRPr="00F740CD">
        <w:rPr>
          <w:rFonts w:eastAsiaTheme="minorHAnsi" w:cs="Arial"/>
          <w:color w:val="0F0F11"/>
          <w:lang w:val="es-CR"/>
        </w:rPr>
        <w:t>en perjuicio de</w:t>
      </w:r>
      <w:r w:rsidR="00156C0A" w:rsidRPr="00F740CD">
        <w:rPr>
          <w:rFonts w:eastAsiaTheme="minorHAnsi" w:cs="Arial"/>
          <w:color w:val="0F0F11"/>
          <w:lang w:val="es-CR"/>
        </w:rPr>
        <w:t xml:space="preserve"> I.V., y ii</w:t>
      </w:r>
      <w:r w:rsidR="007A45E6" w:rsidRPr="00F740CD">
        <w:rPr>
          <w:rFonts w:eastAsiaTheme="minorHAnsi" w:cs="Arial"/>
          <w:color w:val="0F0F11"/>
          <w:lang w:val="es-CR"/>
        </w:rPr>
        <w:t>i</w:t>
      </w:r>
      <w:r w:rsidR="00156C0A" w:rsidRPr="00F740CD">
        <w:rPr>
          <w:rFonts w:eastAsiaTheme="minorHAnsi" w:cs="Arial"/>
          <w:color w:val="0F0F11"/>
          <w:lang w:val="es-CR"/>
        </w:rPr>
        <w:t xml:space="preserve">) por qué la Corte no encontró que “[fuera] necesario </w:t>
      </w:r>
      <w:r w:rsidRPr="00F740CD">
        <w:rPr>
          <w:rFonts w:eastAsiaTheme="minorHAnsi" w:cs="Arial"/>
          <w:iCs/>
          <w:color w:val="0F0F11"/>
          <w:lang w:val="es-CR"/>
        </w:rPr>
        <w:t xml:space="preserve">emitir un pronunciamiento </w:t>
      </w:r>
      <w:r w:rsidR="00156C0A" w:rsidRPr="00F740CD">
        <w:rPr>
          <w:rFonts w:eastAsiaTheme="minorHAnsi" w:cs="Arial"/>
          <w:iCs/>
          <w:color w:val="0F0F11"/>
          <w:lang w:val="es-CR"/>
        </w:rPr>
        <w:t>específicamente</w:t>
      </w:r>
      <w:r w:rsidRPr="00F740CD">
        <w:rPr>
          <w:rFonts w:eastAsiaTheme="minorHAnsi" w:cs="Arial"/>
          <w:iCs/>
          <w:color w:val="0F0F11"/>
          <w:lang w:val="es-CR"/>
        </w:rPr>
        <w:t xml:space="preserve"> referido </w:t>
      </w:r>
      <w:r w:rsidR="00156C0A" w:rsidRPr="00F740CD">
        <w:rPr>
          <w:rFonts w:eastAsiaTheme="minorHAnsi" w:cs="Arial"/>
          <w:color w:val="0F0F11"/>
          <w:lang w:val="es-CR"/>
        </w:rPr>
        <w:t>al</w:t>
      </w:r>
      <w:r w:rsidRPr="00F740CD">
        <w:rPr>
          <w:rFonts w:eastAsiaTheme="minorHAnsi" w:cs="Arial"/>
          <w:color w:val="0F0F11"/>
          <w:lang w:val="es-CR"/>
        </w:rPr>
        <w:t xml:space="preserve"> </w:t>
      </w:r>
      <w:r w:rsidRPr="00F740CD">
        <w:rPr>
          <w:rFonts w:eastAsiaTheme="minorHAnsi" w:cs="Arial"/>
          <w:iCs/>
          <w:color w:val="0F0F11"/>
          <w:lang w:val="es-CR"/>
        </w:rPr>
        <w:t xml:space="preserve">derecho </w:t>
      </w:r>
      <w:r w:rsidR="00CE1CAF" w:rsidRPr="00F740CD">
        <w:rPr>
          <w:rFonts w:eastAsiaTheme="minorHAnsi" w:cs="Arial"/>
          <w:color w:val="0F0F11"/>
          <w:lang w:val="es-CR"/>
        </w:rPr>
        <w:t>al</w:t>
      </w:r>
      <w:r w:rsidRPr="00F740CD">
        <w:rPr>
          <w:rFonts w:eastAsiaTheme="minorHAnsi" w:cs="Arial"/>
          <w:color w:val="0F0F11"/>
          <w:lang w:val="es-CR"/>
        </w:rPr>
        <w:t xml:space="preserve"> </w:t>
      </w:r>
      <w:r w:rsidRPr="00F740CD">
        <w:rPr>
          <w:rFonts w:eastAsiaTheme="minorHAnsi" w:cs="Arial"/>
          <w:iCs/>
          <w:color w:val="0F0F11"/>
          <w:lang w:val="es-CR"/>
        </w:rPr>
        <w:t>reconocimiento</w:t>
      </w:r>
      <w:r w:rsidRPr="00F740CD">
        <w:rPr>
          <w:rFonts w:eastAsiaTheme="minorHAnsi" w:cs="Arial"/>
          <w:b/>
          <w:bCs/>
          <w:color w:val="0F0F11"/>
          <w:lang w:val="es-CR"/>
        </w:rPr>
        <w:t xml:space="preserve"> </w:t>
      </w:r>
      <w:r w:rsidR="00156C0A" w:rsidRPr="00F740CD">
        <w:rPr>
          <w:rFonts w:eastAsiaTheme="minorHAnsi" w:cs="Arial"/>
          <w:iCs/>
          <w:color w:val="0F0F11"/>
          <w:lang w:val="es-CR"/>
        </w:rPr>
        <w:t>de l</w:t>
      </w:r>
      <w:r w:rsidRPr="00F740CD">
        <w:rPr>
          <w:rFonts w:eastAsiaTheme="minorHAnsi" w:cs="Arial"/>
          <w:iCs/>
          <w:color w:val="0F0F11"/>
          <w:lang w:val="es-CR"/>
        </w:rPr>
        <w:t xml:space="preserve">a personalidad </w:t>
      </w:r>
      <w:r w:rsidR="00156C0A" w:rsidRPr="00F740CD">
        <w:rPr>
          <w:rFonts w:eastAsiaTheme="minorHAnsi" w:cs="Arial"/>
          <w:iCs/>
          <w:color w:val="0F0F11"/>
          <w:lang w:val="es-CR"/>
        </w:rPr>
        <w:t>jurídica</w:t>
      </w:r>
      <w:r w:rsidR="007A45E6" w:rsidRPr="00F740CD">
        <w:rPr>
          <w:rFonts w:eastAsiaTheme="minorHAnsi" w:cs="Arial"/>
          <w:iCs/>
          <w:color w:val="0F0F11"/>
          <w:lang w:val="es-CR"/>
        </w:rPr>
        <w:t>”</w:t>
      </w:r>
      <w:r w:rsidRPr="00F740CD">
        <w:rPr>
          <w:rFonts w:eastAsiaTheme="minorHAnsi" w:cs="Arial"/>
          <w:iCs/>
          <w:color w:val="0F0F11"/>
          <w:lang w:val="es-CR"/>
        </w:rPr>
        <w:t>.</w:t>
      </w:r>
      <w:r w:rsidR="00156C0A" w:rsidRPr="00F740CD">
        <w:rPr>
          <w:rFonts w:eastAsiaTheme="minorHAnsi" w:cs="Arial"/>
          <w:iCs/>
          <w:color w:val="0F0F11"/>
          <w:lang w:val="es-CR"/>
        </w:rPr>
        <w:t xml:space="preserve"> Por ello, la representante solicit</w:t>
      </w:r>
      <w:r w:rsidR="00CE1CAF" w:rsidRPr="00F740CD">
        <w:rPr>
          <w:rFonts w:eastAsiaTheme="minorHAnsi" w:cs="Arial"/>
          <w:iCs/>
          <w:color w:val="0F0F11"/>
          <w:lang w:val="es-CR"/>
        </w:rPr>
        <w:t>ó que la Corte interpretara</w:t>
      </w:r>
      <w:r w:rsidR="00156C0A" w:rsidRPr="00F740CD">
        <w:rPr>
          <w:rFonts w:eastAsiaTheme="minorHAnsi" w:cs="Arial"/>
          <w:iCs/>
          <w:color w:val="0F0F11"/>
          <w:lang w:val="es-CR"/>
        </w:rPr>
        <w:t xml:space="preserve"> el párrafo 237 de su Sentencia, en conexión con el párrafo 372.6</w:t>
      </w:r>
      <w:r w:rsidR="00323EE3" w:rsidRPr="00F740CD">
        <w:rPr>
          <w:rFonts w:eastAsiaTheme="minorHAnsi" w:cs="Arial"/>
          <w:iCs/>
          <w:color w:val="0F0F11"/>
          <w:lang w:val="es-CR"/>
        </w:rPr>
        <w:t xml:space="preserve"> de la </w:t>
      </w:r>
      <w:r w:rsidR="00323EE3" w:rsidRPr="00F740CD">
        <w:rPr>
          <w:lang w:val="es-CR"/>
        </w:rPr>
        <w:t>parte resolutiva de la Sentencia</w:t>
      </w:r>
      <w:r w:rsidR="007D2DFA" w:rsidRPr="00F740CD">
        <w:rPr>
          <w:rFonts w:eastAsiaTheme="minorHAnsi" w:cs="Arial"/>
          <w:iCs/>
          <w:color w:val="0F0F11"/>
          <w:lang w:val="es-CR"/>
        </w:rPr>
        <w:t>,</w:t>
      </w:r>
      <w:r w:rsidR="00156C0A" w:rsidRPr="00F740CD">
        <w:rPr>
          <w:rFonts w:eastAsiaTheme="minorHAnsi" w:cs="Arial"/>
          <w:iCs/>
          <w:color w:val="0F0F11"/>
          <w:lang w:val="es-CR"/>
        </w:rPr>
        <w:t xml:space="preserve"> en lo que respecta únicamente al artículo 3 de la Convención.</w:t>
      </w:r>
    </w:p>
    <w:p w:rsidR="00227B4B" w:rsidRPr="00F740CD" w:rsidRDefault="00227B4B" w:rsidP="00156C0A">
      <w:pPr>
        <w:jc w:val="both"/>
        <w:rPr>
          <w:lang w:val="es-CR"/>
        </w:rPr>
      </w:pPr>
    </w:p>
    <w:p w:rsidR="00022429" w:rsidRPr="00F740CD" w:rsidRDefault="0092133D" w:rsidP="00022429">
      <w:pPr>
        <w:numPr>
          <w:ilvl w:val="0"/>
          <w:numId w:val="1"/>
        </w:numPr>
        <w:tabs>
          <w:tab w:val="clear" w:pos="1247"/>
          <w:tab w:val="num" w:pos="720"/>
        </w:tabs>
        <w:jc w:val="both"/>
        <w:rPr>
          <w:lang w:val="es-CR"/>
        </w:rPr>
      </w:pPr>
      <w:r w:rsidRPr="00F740CD">
        <w:rPr>
          <w:lang w:val="es-CR"/>
        </w:rPr>
        <w:lastRenderedPageBreak/>
        <w:t>E</w:t>
      </w:r>
      <w:r w:rsidR="00B76036" w:rsidRPr="00F740CD">
        <w:rPr>
          <w:lang w:val="es-CR"/>
        </w:rPr>
        <w:t xml:space="preserve">l </w:t>
      </w:r>
      <w:r w:rsidRPr="00F740CD">
        <w:rPr>
          <w:b/>
          <w:i/>
          <w:lang w:val="es-CR"/>
        </w:rPr>
        <w:t>Estado</w:t>
      </w:r>
      <w:r w:rsidRPr="00F740CD">
        <w:rPr>
          <w:lang w:val="es-CR"/>
        </w:rPr>
        <w:t xml:space="preserve"> </w:t>
      </w:r>
      <w:r w:rsidR="00CE1CAF" w:rsidRPr="00F740CD">
        <w:rPr>
          <w:lang w:val="es-CR"/>
        </w:rPr>
        <w:t>señaló que</w:t>
      </w:r>
      <w:r w:rsidR="007D2DFA" w:rsidRPr="00F740CD">
        <w:rPr>
          <w:lang w:val="es-CR"/>
        </w:rPr>
        <w:t>,</w:t>
      </w:r>
      <w:r w:rsidR="00CE1CAF" w:rsidRPr="00F740CD">
        <w:rPr>
          <w:lang w:val="es-CR"/>
        </w:rPr>
        <w:t xml:space="preserve"> ya desde el </w:t>
      </w:r>
      <w:r w:rsidR="00B600F7" w:rsidRPr="00F740CD">
        <w:rPr>
          <w:lang w:val="es-CR"/>
        </w:rPr>
        <w:t>i</w:t>
      </w:r>
      <w:r w:rsidR="00CE1CAF" w:rsidRPr="00F740CD">
        <w:rPr>
          <w:lang w:val="es-CR"/>
        </w:rPr>
        <w:t xml:space="preserve">nforme de </w:t>
      </w:r>
      <w:r w:rsidR="00B600F7" w:rsidRPr="00F740CD">
        <w:rPr>
          <w:lang w:val="es-CR"/>
        </w:rPr>
        <w:t>f</w:t>
      </w:r>
      <w:r w:rsidR="00CE1CAF" w:rsidRPr="00F740CD">
        <w:rPr>
          <w:lang w:val="es-CR"/>
        </w:rPr>
        <w:t>ondo</w:t>
      </w:r>
      <w:r w:rsidR="007D2DFA" w:rsidRPr="00F740CD">
        <w:rPr>
          <w:lang w:val="es-CR"/>
        </w:rPr>
        <w:t>,</w:t>
      </w:r>
      <w:r w:rsidR="00CE1CAF" w:rsidRPr="00F740CD">
        <w:rPr>
          <w:lang w:val="es-CR"/>
        </w:rPr>
        <w:t xml:space="preserve"> la Comisión había decidido no “emitir criterio en relación con el [a]rtículo 3 de la </w:t>
      </w:r>
      <w:r w:rsidR="00B600F7" w:rsidRPr="00F740CD">
        <w:rPr>
          <w:lang w:val="es-CR"/>
        </w:rPr>
        <w:t>[Convención]</w:t>
      </w:r>
      <w:r w:rsidR="00CE1CAF" w:rsidRPr="00F740CD">
        <w:rPr>
          <w:lang w:val="es-CR"/>
        </w:rPr>
        <w:t>, pues no se estableció su posible vulneración”. El Estado indicó que</w:t>
      </w:r>
      <w:r w:rsidR="007A45E6" w:rsidRPr="00F740CD">
        <w:rPr>
          <w:lang w:val="es-CR"/>
        </w:rPr>
        <w:t>,</w:t>
      </w:r>
      <w:r w:rsidR="00CE1CAF" w:rsidRPr="00F740CD">
        <w:rPr>
          <w:lang w:val="es-CR"/>
        </w:rPr>
        <w:t xml:space="preserve"> en el párrafo 237 de la Sentencia</w:t>
      </w:r>
      <w:r w:rsidR="007A45E6" w:rsidRPr="00F740CD">
        <w:rPr>
          <w:lang w:val="es-CR"/>
        </w:rPr>
        <w:t>,</w:t>
      </w:r>
      <w:r w:rsidR="00CE1CAF" w:rsidRPr="00F740CD">
        <w:rPr>
          <w:lang w:val="es-CR"/>
        </w:rPr>
        <w:t xml:space="preserve"> la Corte concluyó que no correspondía emitir un </w:t>
      </w:r>
      <w:r w:rsidR="005E448C" w:rsidRPr="00F740CD">
        <w:rPr>
          <w:lang w:val="es-CR"/>
        </w:rPr>
        <w:t>pronunciamiento</w:t>
      </w:r>
      <w:r w:rsidR="00CE1CAF" w:rsidRPr="00F740CD">
        <w:rPr>
          <w:lang w:val="es-CR"/>
        </w:rPr>
        <w:t xml:space="preserve"> específico en relación con dicho artículo, </w:t>
      </w:r>
      <w:r w:rsidR="009C2B2B" w:rsidRPr="00F740CD">
        <w:rPr>
          <w:lang w:val="es-CR"/>
        </w:rPr>
        <w:t xml:space="preserve">dado </w:t>
      </w:r>
      <w:r w:rsidR="00CE1CAF" w:rsidRPr="00F740CD">
        <w:rPr>
          <w:lang w:val="es-CR"/>
        </w:rPr>
        <w:t>que los aspectos legales alegados como violación de e</w:t>
      </w:r>
      <w:r w:rsidR="005E448C" w:rsidRPr="00F740CD">
        <w:rPr>
          <w:lang w:val="es-CR"/>
        </w:rPr>
        <w:t>s</w:t>
      </w:r>
      <w:r w:rsidR="00CE1CAF" w:rsidRPr="00F740CD">
        <w:rPr>
          <w:lang w:val="es-CR"/>
        </w:rPr>
        <w:t>te derecho ya habían sido analizados</w:t>
      </w:r>
      <w:r w:rsidR="005E448C" w:rsidRPr="00F740CD">
        <w:rPr>
          <w:lang w:val="es-CR"/>
        </w:rPr>
        <w:t xml:space="preserve">. El Estado </w:t>
      </w:r>
      <w:r w:rsidRPr="00F740CD">
        <w:rPr>
          <w:lang w:val="es-CR"/>
        </w:rPr>
        <w:t>solicitó</w:t>
      </w:r>
      <w:r w:rsidR="00786164" w:rsidRPr="00F740CD">
        <w:rPr>
          <w:lang w:val="es-CR"/>
        </w:rPr>
        <w:t xml:space="preserve"> a la Corte que</w:t>
      </w:r>
      <w:r w:rsidRPr="00F740CD">
        <w:rPr>
          <w:lang w:val="es-CR"/>
        </w:rPr>
        <w:t xml:space="preserve"> </w:t>
      </w:r>
      <w:r w:rsidR="005E448C" w:rsidRPr="00F740CD">
        <w:rPr>
          <w:lang w:val="es-CR"/>
        </w:rPr>
        <w:t xml:space="preserve">declarara improcedente la solicitud de interpretación de dichos párrafos pues el texto de la Sentencia no </w:t>
      </w:r>
      <w:r w:rsidR="00950404" w:rsidRPr="00F740CD">
        <w:rPr>
          <w:lang w:val="es-CR"/>
        </w:rPr>
        <w:t>carecía</w:t>
      </w:r>
      <w:r w:rsidR="005E448C" w:rsidRPr="00F740CD">
        <w:rPr>
          <w:lang w:val="es-CR"/>
        </w:rPr>
        <w:t xml:space="preserve"> de claridad y brindaba elementos suficientes para comprender la razón jurídica para tomar la decisión.</w:t>
      </w:r>
    </w:p>
    <w:p w:rsidR="00E84D67" w:rsidRPr="00F740CD" w:rsidRDefault="00E84D67" w:rsidP="00E84D67">
      <w:pPr>
        <w:jc w:val="both"/>
        <w:rPr>
          <w:lang w:val="es-CR"/>
        </w:rPr>
      </w:pPr>
    </w:p>
    <w:p w:rsidR="00E84D67" w:rsidRPr="00F740CD" w:rsidRDefault="00AF61C2" w:rsidP="00DC16E1">
      <w:pPr>
        <w:numPr>
          <w:ilvl w:val="0"/>
          <w:numId w:val="1"/>
        </w:numPr>
        <w:tabs>
          <w:tab w:val="clear" w:pos="1247"/>
          <w:tab w:val="num" w:pos="720"/>
        </w:tabs>
        <w:jc w:val="both"/>
        <w:rPr>
          <w:lang w:val="es-CR"/>
        </w:rPr>
      </w:pPr>
      <w:r w:rsidRPr="00F740CD">
        <w:rPr>
          <w:lang w:val="es-CR"/>
        </w:rPr>
        <w:t xml:space="preserve">La </w:t>
      </w:r>
      <w:r w:rsidRPr="00F740CD">
        <w:rPr>
          <w:b/>
          <w:i/>
          <w:lang w:val="es-CR"/>
        </w:rPr>
        <w:t>Comisión</w:t>
      </w:r>
      <w:r w:rsidRPr="00F740CD">
        <w:rPr>
          <w:lang w:val="es-CR"/>
        </w:rPr>
        <w:t xml:space="preserve"> no pres</w:t>
      </w:r>
      <w:r w:rsidR="008466FD" w:rsidRPr="00F740CD">
        <w:rPr>
          <w:lang w:val="es-CR"/>
        </w:rPr>
        <w:t>entó observaciones con relación a</w:t>
      </w:r>
      <w:r w:rsidRPr="00F740CD">
        <w:rPr>
          <w:lang w:val="es-CR"/>
        </w:rPr>
        <w:t xml:space="preserve"> este punto.</w:t>
      </w:r>
      <w:r w:rsidR="00204000" w:rsidRPr="00F740CD">
        <w:rPr>
          <w:lang w:val="es-CR"/>
        </w:rPr>
        <w:t xml:space="preserve"> </w:t>
      </w:r>
    </w:p>
    <w:p w:rsidR="00DC16E1" w:rsidRPr="00F740CD" w:rsidRDefault="00DC16E1" w:rsidP="00C63EF1">
      <w:pPr>
        <w:ind w:left="426"/>
        <w:jc w:val="both"/>
        <w:rPr>
          <w:lang w:val="es-CR"/>
        </w:rPr>
      </w:pPr>
    </w:p>
    <w:p w:rsidR="00A45394" w:rsidRPr="00F740CD" w:rsidRDefault="00950404" w:rsidP="007A45E6">
      <w:pPr>
        <w:ind w:left="708" w:firstLine="708"/>
        <w:jc w:val="both"/>
        <w:rPr>
          <w:rFonts w:cs="Arial"/>
          <w:i/>
          <w:lang w:val="es-CR"/>
        </w:rPr>
      </w:pPr>
      <w:r w:rsidRPr="00F740CD">
        <w:rPr>
          <w:rFonts w:cs="Arial"/>
          <w:i/>
          <w:lang w:val="es-CR"/>
        </w:rPr>
        <w:t xml:space="preserve">B.2 </w:t>
      </w:r>
      <w:r w:rsidR="00A45394" w:rsidRPr="00F740CD">
        <w:rPr>
          <w:rFonts w:cs="Arial"/>
          <w:i/>
          <w:lang w:val="es-CR"/>
        </w:rPr>
        <w:t>Consideraciones de la Corte</w:t>
      </w:r>
    </w:p>
    <w:p w:rsidR="00A45394" w:rsidRPr="00F740CD" w:rsidRDefault="00A45394" w:rsidP="00A45394">
      <w:pPr>
        <w:jc w:val="both"/>
        <w:rPr>
          <w:rFonts w:cs="Arial"/>
          <w:i/>
          <w:lang w:val="es-CR"/>
        </w:rPr>
      </w:pPr>
    </w:p>
    <w:p w:rsidR="00F2114F" w:rsidRPr="00F740CD" w:rsidRDefault="00F2114F" w:rsidP="00F2114F">
      <w:pPr>
        <w:numPr>
          <w:ilvl w:val="0"/>
          <w:numId w:val="1"/>
        </w:numPr>
        <w:tabs>
          <w:tab w:val="clear" w:pos="1247"/>
        </w:tabs>
        <w:jc w:val="both"/>
        <w:rPr>
          <w:bCs/>
          <w:lang w:val="es-CR"/>
        </w:rPr>
      </w:pPr>
      <w:r w:rsidRPr="00F740CD">
        <w:rPr>
          <w:bCs/>
          <w:lang w:val="es-CR"/>
        </w:rPr>
        <w:t xml:space="preserve">En el apartado “B.3. Determinación de los alcances de la responsabilidad </w:t>
      </w:r>
      <w:r w:rsidR="000B6338">
        <w:rPr>
          <w:bCs/>
          <w:lang w:val="es-CR"/>
        </w:rPr>
        <w:t xml:space="preserve">internacional </w:t>
      </w:r>
      <w:r w:rsidRPr="00F740CD">
        <w:rPr>
          <w:bCs/>
          <w:lang w:val="es-CR"/>
        </w:rPr>
        <w:t>del Estado” de la Sentencia, la Corte determinó lo siguiente:</w:t>
      </w:r>
    </w:p>
    <w:p w:rsidR="00F2114F" w:rsidRPr="00F740CD" w:rsidRDefault="00F2114F" w:rsidP="00F2114F">
      <w:pPr>
        <w:tabs>
          <w:tab w:val="left" w:pos="709"/>
          <w:tab w:val="left" w:pos="1134"/>
          <w:tab w:val="num" w:pos="6042"/>
        </w:tabs>
        <w:jc w:val="both"/>
        <w:rPr>
          <w:sz w:val="18"/>
          <w:szCs w:val="18"/>
          <w:lang w:val="es-CR"/>
        </w:rPr>
      </w:pPr>
    </w:p>
    <w:p w:rsidR="00F2114F" w:rsidRPr="00F740CD" w:rsidRDefault="00F2114F" w:rsidP="009C2B2B">
      <w:pPr>
        <w:tabs>
          <w:tab w:val="left" w:pos="709"/>
        </w:tabs>
        <w:ind w:left="720" w:right="582"/>
        <w:contextualSpacing/>
        <w:jc w:val="both"/>
        <w:rPr>
          <w:i/>
          <w:sz w:val="16"/>
          <w:szCs w:val="16"/>
          <w:u w:val="single"/>
          <w:lang w:val="es-CR"/>
        </w:rPr>
      </w:pPr>
      <w:r w:rsidRPr="00F740CD">
        <w:rPr>
          <w:rFonts w:eastAsia="MS Mincho"/>
          <w:sz w:val="16"/>
          <w:szCs w:val="16"/>
          <w:lang w:val="es-CR" w:bidi="en-US"/>
        </w:rPr>
        <w:t xml:space="preserve">237. </w:t>
      </w:r>
      <w:r w:rsidR="009C2B2B" w:rsidRPr="00F740CD">
        <w:rPr>
          <w:rFonts w:eastAsia="MS Mincho"/>
          <w:sz w:val="16"/>
          <w:szCs w:val="16"/>
          <w:lang w:val="es-CR" w:bidi="en-US"/>
        </w:rPr>
        <w:tab/>
      </w:r>
      <w:r w:rsidRPr="00F740CD">
        <w:rPr>
          <w:rFonts w:eastAsia="Batang"/>
          <w:sz w:val="16"/>
          <w:szCs w:val="16"/>
          <w:lang w:val="es-CR"/>
        </w:rPr>
        <w:t>Para finalizar, la Corte considera que los hechos que sustentan la alegada violación del artículo 3 de la Convención ya fueron debidamente considerados en la fundamentación del presente capítulo, sin que sea necesario emitir un pronunciamiento específicamente referido al derecho al reconocimiento de la personalidad jurídica. En cuanto a los alegatos de violación del artículo 13 de la Convención relacionados con el derecho a conocer la verdad, la Corte estima que el supuesto fáctico objeto de la presente decisión no se ajusta a las condiciones que lo tornan aplicable. En particular, la Corte nota que el único caso en que analizó este derecho bajo la referida norma se relacionaba con una acción específica interpuesta por los familiares de graves violaciones a los derechos humanos para acceder a determinada información, vinculada con el acceso a la justicia. Por lo tanto, la Corte concluye que no corresponde emitir un pronunciamiento al respecto.</w:t>
      </w:r>
    </w:p>
    <w:p w:rsidR="00F2114F" w:rsidRPr="00F740CD" w:rsidRDefault="00F2114F" w:rsidP="00560B9F">
      <w:pPr>
        <w:autoSpaceDE w:val="0"/>
        <w:autoSpaceDN w:val="0"/>
        <w:adjustRightInd w:val="0"/>
        <w:jc w:val="both"/>
        <w:rPr>
          <w:rFonts w:eastAsia="Calibri" w:cs="Verdana"/>
          <w:lang w:val="es-CR"/>
        </w:rPr>
      </w:pPr>
    </w:p>
    <w:p w:rsidR="00F2114F" w:rsidRPr="00F740CD" w:rsidRDefault="00560B9F" w:rsidP="00171B52">
      <w:pPr>
        <w:numPr>
          <w:ilvl w:val="0"/>
          <w:numId w:val="1"/>
        </w:numPr>
        <w:tabs>
          <w:tab w:val="clear" w:pos="1247"/>
        </w:tabs>
        <w:autoSpaceDE w:val="0"/>
        <w:autoSpaceDN w:val="0"/>
        <w:adjustRightInd w:val="0"/>
        <w:jc w:val="both"/>
        <w:rPr>
          <w:rFonts w:eastAsia="Calibri" w:cs="Verdana"/>
          <w:lang w:val="es-CR"/>
        </w:rPr>
      </w:pPr>
      <w:r w:rsidRPr="00F740CD">
        <w:rPr>
          <w:rFonts w:eastAsia="Times New Roman"/>
          <w:lang w:val="es-CR"/>
        </w:rPr>
        <w:t xml:space="preserve">En forma concordante, en </w:t>
      </w:r>
      <w:r w:rsidRPr="00F740CD">
        <w:rPr>
          <w:rFonts w:eastAsia="Calibri" w:cs="Verdana"/>
          <w:lang w:val="es-CR"/>
        </w:rPr>
        <w:t xml:space="preserve">el punto resolutivo </w:t>
      </w:r>
      <w:r w:rsidR="00F2114F" w:rsidRPr="00F740CD">
        <w:rPr>
          <w:rFonts w:eastAsia="Calibri" w:cs="Verdana"/>
          <w:lang w:val="es-CR"/>
        </w:rPr>
        <w:t>sexto</w:t>
      </w:r>
      <w:r w:rsidR="00C53924" w:rsidRPr="00F740CD">
        <w:rPr>
          <w:rFonts w:eastAsia="Calibri" w:cs="Verdana"/>
          <w:lang w:val="es-CR"/>
        </w:rPr>
        <w:t xml:space="preserve"> </w:t>
      </w:r>
      <w:r w:rsidRPr="00F740CD">
        <w:rPr>
          <w:rFonts w:eastAsia="Calibri" w:cs="Verdana"/>
          <w:lang w:val="es-CR"/>
        </w:rPr>
        <w:t xml:space="preserve">de la Sentencia, la Corte </w:t>
      </w:r>
      <w:r w:rsidR="005C0AD3" w:rsidRPr="00F740CD">
        <w:rPr>
          <w:rFonts w:eastAsia="Calibri" w:cs="Verdana"/>
          <w:lang w:val="es-CR"/>
        </w:rPr>
        <w:t>dec</w:t>
      </w:r>
      <w:r w:rsidR="00C06D71" w:rsidRPr="00F740CD">
        <w:rPr>
          <w:rFonts w:eastAsia="Calibri" w:cs="Verdana"/>
          <w:lang w:val="es-CR"/>
        </w:rPr>
        <w:t>lar</w:t>
      </w:r>
      <w:r w:rsidR="005C0AD3" w:rsidRPr="00F740CD">
        <w:rPr>
          <w:rFonts w:eastAsia="Calibri" w:cs="Verdana"/>
          <w:lang w:val="es-CR"/>
        </w:rPr>
        <w:t xml:space="preserve">ó </w:t>
      </w:r>
      <w:r w:rsidRPr="00F740CD">
        <w:rPr>
          <w:rFonts w:eastAsia="Calibri" w:cs="Verdana"/>
          <w:lang w:val="es-CR"/>
        </w:rPr>
        <w:t>que: “</w:t>
      </w:r>
      <w:r w:rsidR="00F2114F" w:rsidRPr="00F740CD">
        <w:rPr>
          <w:rFonts w:eastAsia="Calibri" w:cs="Verdana"/>
          <w:lang w:val="es-CR"/>
        </w:rPr>
        <w:t>[n</w:t>
      </w:r>
      <w:r w:rsidR="003C4F88" w:rsidRPr="00F740CD">
        <w:rPr>
          <w:rFonts w:eastAsia="Calibri" w:cs="Verdana"/>
          <w:lang w:val="es-CR"/>
        </w:rPr>
        <w:t>]</w:t>
      </w:r>
      <w:r w:rsidR="00F2114F" w:rsidRPr="00F740CD">
        <w:rPr>
          <w:rFonts w:eastAsia="Times New Roman"/>
          <w:lang w:val="es-CR"/>
        </w:rPr>
        <w:t xml:space="preserve">o </w:t>
      </w:r>
      <w:r w:rsidR="00F2114F" w:rsidRPr="00F740CD">
        <w:rPr>
          <w:lang w:val="es-CR"/>
        </w:rPr>
        <w:t xml:space="preserve">corresponde emitir un pronunciamiento sobre las alegadas violaciones de los artículos 3 y 25.2.a) de la Convención Americana sobre Derechos Humanos, así como del derecho a conocer la verdad, en los términos de los párrafos 237 y 323 de la </w:t>
      </w:r>
      <w:r w:rsidR="006E634A" w:rsidRPr="00F740CD">
        <w:rPr>
          <w:lang w:val="es-CR"/>
        </w:rPr>
        <w:t xml:space="preserve">[…] </w:t>
      </w:r>
      <w:r w:rsidR="00F2114F" w:rsidRPr="00F740CD">
        <w:rPr>
          <w:lang w:val="es-CR"/>
        </w:rPr>
        <w:t>Sentencia”.</w:t>
      </w:r>
    </w:p>
    <w:p w:rsidR="00B63810" w:rsidRPr="00F740CD" w:rsidRDefault="00B63810" w:rsidP="00B63810">
      <w:pPr>
        <w:autoSpaceDE w:val="0"/>
        <w:autoSpaceDN w:val="0"/>
        <w:adjustRightInd w:val="0"/>
        <w:jc w:val="both"/>
        <w:rPr>
          <w:rFonts w:eastAsia="Calibri" w:cs="Verdana"/>
          <w:lang w:val="es-CR"/>
        </w:rPr>
      </w:pPr>
    </w:p>
    <w:p w:rsidR="00F2114F" w:rsidRPr="00F740CD" w:rsidRDefault="007A45E6" w:rsidP="000F7337">
      <w:pPr>
        <w:numPr>
          <w:ilvl w:val="0"/>
          <w:numId w:val="1"/>
        </w:numPr>
        <w:tabs>
          <w:tab w:val="clear" w:pos="1247"/>
        </w:tabs>
        <w:autoSpaceDE w:val="0"/>
        <w:autoSpaceDN w:val="0"/>
        <w:adjustRightInd w:val="0"/>
        <w:jc w:val="both"/>
        <w:rPr>
          <w:rFonts w:eastAsia="Calibri" w:cs="Verdana"/>
          <w:lang w:val="es-CR"/>
        </w:rPr>
      </w:pPr>
      <w:r w:rsidRPr="00F740CD">
        <w:rPr>
          <w:lang w:val="es-CR"/>
        </w:rPr>
        <w:t>En el presente caso, la Corte nota que la solicitud de interpretación formulada por l</w:t>
      </w:r>
      <w:r w:rsidR="003C3AC5">
        <w:rPr>
          <w:lang w:val="es-CR"/>
        </w:rPr>
        <w:t>a</w:t>
      </w:r>
      <w:r w:rsidRPr="00F740CD">
        <w:rPr>
          <w:lang w:val="es-CR"/>
        </w:rPr>
        <w:t xml:space="preserve"> representante no se encuentra dentro del marco establecido en el artículo 67 de la Convención Americana; toda vez que el propósito de la interpretación debe ser aclarar algún punto impreciso o ambiguo sobre el sentido o alcance de la Sentencia. Respecto de la alegada violación del artículo 3 de la Convención Americana, tras el análisis de los hechos y la valoración de las pruebas presentadas, la Corte ha </w:t>
      </w:r>
      <w:r w:rsidR="00601A97" w:rsidRPr="00F740CD">
        <w:rPr>
          <w:lang w:val="es-CR"/>
        </w:rPr>
        <w:t xml:space="preserve">decidido </w:t>
      </w:r>
      <w:r w:rsidRPr="00F740CD">
        <w:rPr>
          <w:lang w:val="es-CR"/>
        </w:rPr>
        <w:t>que no era necesario emitir un pronunciamiento sobre dicha disposición</w:t>
      </w:r>
      <w:r w:rsidR="00F2114F" w:rsidRPr="00F740CD">
        <w:rPr>
          <w:lang w:val="es-CR"/>
        </w:rPr>
        <w:t>,</w:t>
      </w:r>
      <w:r w:rsidRPr="00F740CD">
        <w:rPr>
          <w:lang w:val="es-CR"/>
        </w:rPr>
        <w:t xml:space="preserve"> ya que</w:t>
      </w:r>
      <w:r w:rsidR="00F2114F" w:rsidRPr="00F740CD">
        <w:rPr>
          <w:lang w:val="es-CR"/>
        </w:rPr>
        <w:t xml:space="preserve"> los hechos alegados que sustentarían la violación de</w:t>
      </w:r>
      <w:r w:rsidR="00B63810" w:rsidRPr="00F740CD">
        <w:rPr>
          <w:lang w:val="es-CR"/>
        </w:rPr>
        <w:t xml:space="preserve">l mismo, </w:t>
      </w:r>
      <w:r w:rsidR="00F2114F" w:rsidRPr="00F740CD">
        <w:rPr>
          <w:lang w:val="es-CR"/>
        </w:rPr>
        <w:t xml:space="preserve">fueron tomados en cuenta por el Tribunal para concluir la violación de los derechos </w:t>
      </w:r>
      <w:r w:rsidR="00B63810" w:rsidRPr="00F740CD">
        <w:rPr>
          <w:lang w:val="es-CR"/>
        </w:rPr>
        <w:t>a la integridad personal, a la libertad personal, a la dignidad, a la vida privada y familiar, de acceso a la información y a fundar una familia, en perjuicio de la señora I.V</w:t>
      </w:r>
      <w:r w:rsidR="002101B2">
        <w:rPr>
          <w:lang w:val="es-CR"/>
        </w:rPr>
        <w:t>.</w:t>
      </w:r>
      <w:r w:rsidR="00B63810" w:rsidRPr="00F740CD">
        <w:rPr>
          <w:lang w:val="es-CR"/>
        </w:rPr>
        <w:t>, por la falta de manifestación de su consentimiento previo, libre, pleno e informado con el fin de someterse a la intervención quirúrgica de ligadura de las trompas de Falopio.</w:t>
      </w:r>
      <w:r w:rsidR="00B63810" w:rsidRPr="00F740CD">
        <w:rPr>
          <w:rFonts w:eastAsia="Calibri" w:cs="Verdana"/>
          <w:lang w:val="es-CR"/>
        </w:rPr>
        <w:t xml:space="preserve"> </w:t>
      </w:r>
      <w:r w:rsidR="00B63810" w:rsidRPr="00F740CD">
        <w:rPr>
          <w:rFonts w:eastAsia="Calibri" w:cs="Arial"/>
          <w:lang w:val="es-CR"/>
        </w:rPr>
        <w:t>En vista de lo anterior, no es procedente que dicho párrafo de la Sentencia ni el correspondiente punto resolutivo, sean objeto de interpretación.</w:t>
      </w:r>
    </w:p>
    <w:p w:rsidR="00C63EF1" w:rsidRPr="00F740CD" w:rsidRDefault="00C63EF1" w:rsidP="00C63EF1">
      <w:pPr>
        <w:jc w:val="both"/>
        <w:rPr>
          <w:b/>
          <w:lang w:val="es-CR"/>
        </w:rPr>
      </w:pPr>
    </w:p>
    <w:p w:rsidR="008D69FE" w:rsidRPr="00F740CD" w:rsidRDefault="000F7337" w:rsidP="008D69FE">
      <w:pPr>
        <w:pStyle w:val="Heading3"/>
        <w:rPr>
          <w:lang w:val="es-CR"/>
        </w:rPr>
      </w:pPr>
      <w:r w:rsidRPr="00F740CD">
        <w:rPr>
          <w:lang w:val="es-CR"/>
        </w:rPr>
        <w:t>Solicitud de interpretación sobre los párrafos 332 y 372.8 de la Sentencia</w:t>
      </w:r>
    </w:p>
    <w:p w:rsidR="008D69FE" w:rsidRPr="00F740CD" w:rsidRDefault="008D69FE" w:rsidP="008D69FE">
      <w:pPr>
        <w:rPr>
          <w:lang w:val="es-CR"/>
        </w:rPr>
      </w:pPr>
    </w:p>
    <w:p w:rsidR="00184EBD" w:rsidRPr="00F740CD" w:rsidRDefault="008D69FE" w:rsidP="000F7337">
      <w:pPr>
        <w:ind w:left="708" w:firstLine="708"/>
        <w:jc w:val="both"/>
        <w:rPr>
          <w:rFonts w:cs="Arial"/>
          <w:i/>
          <w:lang w:val="es-CR"/>
        </w:rPr>
      </w:pPr>
      <w:r w:rsidRPr="00F740CD">
        <w:rPr>
          <w:rFonts w:cs="Arial"/>
          <w:i/>
          <w:lang w:val="es-CR"/>
        </w:rPr>
        <w:t xml:space="preserve">C.1 </w:t>
      </w:r>
      <w:r w:rsidR="00184EBD" w:rsidRPr="00F740CD">
        <w:rPr>
          <w:rFonts w:cs="Arial"/>
          <w:i/>
          <w:lang w:val="es-CR"/>
        </w:rPr>
        <w:t>Argumentos de las partes y de la Comisión</w:t>
      </w:r>
    </w:p>
    <w:p w:rsidR="00DC16E1" w:rsidRPr="00F740CD" w:rsidRDefault="00DC16E1" w:rsidP="00DC16E1">
      <w:pPr>
        <w:jc w:val="both"/>
        <w:rPr>
          <w:lang w:val="es-CR"/>
        </w:rPr>
      </w:pPr>
    </w:p>
    <w:p w:rsidR="00034878" w:rsidRPr="00F740CD" w:rsidRDefault="008D69FE" w:rsidP="00034878">
      <w:pPr>
        <w:numPr>
          <w:ilvl w:val="0"/>
          <w:numId w:val="1"/>
        </w:numPr>
        <w:tabs>
          <w:tab w:val="clear" w:pos="1247"/>
        </w:tabs>
        <w:jc w:val="both"/>
        <w:rPr>
          <w:lang w:val="es-CR"/>
        </w:rPr>
      </w:pPr>
      <w:r w:rsidRPr="00F740CD">
        <w:rPr>
          <w:lang w:val="es-CR"/>
        </w:rPr>
        <w:t xml:space="preserve">La </w:t>
      </w:r>
      <w:r w:rsidRPr="00F740CD">
        <w:rPr>
          <w:b/>
          <w:i/>
          <w:lang w:val="es-CR"/>
        </w:rPr>
        <w:t>representante</w:t>
      </w:r>
      <w:r w:rsidRPr="00F740CD">
        <w:rPr>
          <w:lang w:val="es-CR"/>
        </w:rPr>
        <w:t xml:space="preserve"> </w:t>
      </w:r>
      <w:r w:rsidR="00253B8F" w:rsidRPr="00F740CD">
        <w:rPr>
          <w:lang w:val="es-CR"/>
        </w:rPr>
        <w:t>solicitó a la Corte que interpretara los párrafos 332 y 372.8 de la Sentencia con el fin de que la señora I.V. “mantenga e</w:t>
      </w:r>
      <w:r w:rsidR="002101B2">
        <w:rPr>
          <w:lang w:val="es-CR"/>
        </w:rPr>
        <w:t>l</w:t>
      </w:r>
      <w:r w:rsidR="00253B8F" w:rsidRPr="00F740CD">
        <w:rPr>
          <w:lang w:val="es-CR"/>
        </w:rPr>
        <w:t xml:space="preserve"> tratamiento y el servicio profesional </w:t>
      </w:r>
      <w:r w:rsidR="00034878" w:rsidRPr="00F740CD">
        <w:rPr>
          <w:rFonts w:eastAsiaTheme="minorHAnsi" w:cs="Arial"/>
          <w:color w:val="0E0E10"/>
          <w:lang w:val="es-CR"/>
        </w:rPr>
        <w:t xml:space="preserve">psicológico y psiquiátrico que actualmente recibe bajo un esquema por el cual los referidos servicios sean pagado por el Estado según el arancel profesional vigente a nivel nacional. En cuanto a la medicación que fuera necesaria, que sea dotada por el Estado de acuerdo a la </w:t>
      </w:r>
      <w:r w:rsidR="00034878" w:rsidRPr="00F740CD">
        <w:rPr>
          <w:rFonts w:eastAsiaTheme="minorHAnsi" w:cs="Arial"/>
          <w:color w:val="0E0E10"/>
          <w:lang w:val="es-CR"/>
        </w:rPr>
        <w:lastRenderedPageBreak/>
        <w:t xml:space="preserve">prescripción médica del servicio de salud privado que atiende a </w:t>
      </w:r>
      <w:r w:rsidR="00034878" w:rsidRPr="00F740CD">
        <w:rPr>
          <w:rFonts w:eastAsiaTheme="minorHAnsi" w:cs="Arial"/>
          <w:iCs/>
          <w:color w:val="0E0E10"/>
          <w:lang w:val="es-CR"/>
        </w:rPr>
        <w:t>I.V.”. La representante señaló que no era fácil que</w:t>
      </w:r>
      <w:r w:rsidR="005067C2" w:rsidRPr="00F740CD">
        <w:rPr>
          <w:rFonts w:eastAsiaTheme="minorHAnsi" w:cs="Arial"/>
          <w:iCs/>
          <w:color w:val="0E0E10"/>
          <w:lang w:val="es-CR"/>
        </w:rPr>
        <w:t>,</w:t>
      </w:r>
      <w:r w:rsidR="00034878" w:rsidRPr="00F740CD">
        <w:rPr>
          <w:rFonts w:eastAsiaTheme="minorHAnsi" w:cs="Arial"/>
          <w:iCs/>
          <w:color w:val="0E0E10"/>
          <w:lang w:val="es-CR"/>
        </w:rPr>
        <w:t xml:space="preserve"> después de todas la</w:t>
      </w:r>
      <w:r w:rsidR="00B43BDE" w:rsidRPr="00F740CD">
        <w:rPr>
          <w:rFonts w:eastAsiaTheme="minorHAnsi" w:cs="Arial"/>
          <w:iCs/>
          <w:color w:val="0E0E10"/>
          <w:lang w:val="es-CR"/>
        </w:rPr>
        <w:t>s</w:t>
      </w:r>
      <w:r w:rsidR="00034878" w:rsidRPr="00F740CD">
        <w:rPr>
          <w:rFonts w:eastAsiaTheme="minorHAnsi" w:cs="Arial"/>
          <w:iCs/>
          <w:color w:val="0E0E10"/>
          <w:lang w:val="es-CR"/>
        </w:rPr>
        <w:t xml:space="preserve"> violaciones que </w:t>
      </w:r>
      <w:r w:rsidR="005067C2" w:rsidRPr="00F740CD">
        <w:rPr>
          <w:rFonts w:eastAsiaTheme="minorHAnsi" w:cs="Arial"/>
          <w:iCs/>
          <w:color w:val="0E0E10"/>
          <w:lang w:val="es-CR"/>
        </w:rPr>
        <w:t>sufrió</w:t>
      </w:r>
      <w:r w:rsidR="00034878" w:rsidRPr="00F740CD">
        <w:rPr>
          <w:rFonts w:eastAsiaTheme="minorHAnsi" w:cs="Arial"/>
          <w:iCs/>
          <w:color w:val="0E0E10"/>
          <w:lang w:val="es-CR"/>
        </w:rPr>
        <w:t xml:space="preserve"> I.V. por parte del Estado, tuviera ahora que recibir de ese mismo Estado, de sus agentes, médicos y psicólogos, la atención y terapia que requería para mejorar su salud mental. La representante indicó que por ello</w:t>
      </w:r>
      <w:r w:rsidR="005067C2" w:rsidRPr="00F740CD">
        <w:rPr>
          <w:rFonts w:eastAsiaTheme="minorHAnsi" w:cs="Arial"/>
          <w:iCs/>
          <w:color w:val="0E0E10"/>
          <w:lang w:val="es-CR"/>
        </w:rPr>
        <w:t xml:space="preserve"> la señora</w:t>
      </w:r>
      <w:r w:rsidR="00034878" w:rsidRPr="00F740CD">
        <w:rPr>
          <w:rFonts w:eastAsiaTheme="minorHAnsi" w:cs="Arial"/>
          <w:iCs/>
          <w:color w:val="0E0E10"/>
          <w:lang w:val="es-CR"/>
        </w:rPr>
        <w:t xml:space="preserve"> I.V. venía recibiendo </w:t>
      </w:r>
      <w:r w:rsidR="00034878" w:rsidRPr="00F740CD">
        <w:rPr>
          <w:rFonts w:eastAsiaTheme="minorHAnsi" w:cs="Arial"/>
          <w:color w:val="0E0E10"/>
          <w:lang w:val="es-CR"/>
        </w:rPr>
        <w:t>la terapia que requería para superar las secuelas psicológicas causadas por los agentes del Estado, de profesionales que no eran parte del sistema de salud pública, qu</w:t>
      </w:r>
      <w:r w:rsidR="00B43BDE" w:rsidRPr="00F740CD">
        <w:rPr>
          <w:rFonts w:eastAsiaTheme="minorHAnsi" w:cs="Arial"/>
          <w:color w:val="0E0E10"/>
          <w:lang w:val="es-CR"/>
        </w:rPr>
        <w:t>i</w:t>
      </w:r>
      <w:r w:rsidR="00034878" w:rsidRPr="00F740CD">
        <w:rPr>
          <w:rFonts w:eastAsiaTheme="minorHAnsi" w:cs="Arial"/>
          <w:color w:val="0E0E10"/>
          <w:lang w:val="es-CR"/>
        </w:rPr>
        <w:t>e</w:t>
      </w:r>
      <w:r w:rsidR="00B43BDE" w:rsidRPr="00F740CD">
        <w:rPr>
          <w:rFonts w:eastAsiaTheme="minorHAnsi" w:cs="Arial"/>
          <w:color w:val="0E0E10"/>
          <w:lang w:val="es-CR"/>
        </w:rPr>
        <w:t>nes</w:t>
      </w:r>
      <w:r w:rsidR="00034878" w:rsidRPr="00F740CD">
        <w:rPr>
          <w:rFonts w:eastAsiaTheme="minorHAnsi" w:cs="Arial"/>
          <w:color w:val="0E0E10"/>
          <w:lang w:val="es-CR"/>
        </w:rPr>
        <w:t xml:space="preserve"> conoc</w:t>
      </w:r>
      <w:r w:rsidR="00B43BDE" w:rsidRPr="00F740CD">
        <w:rPr>
          <w:rFonts w:eastAsiaTheme="minorHAnsi" w:cs="Arial"/>
          <w:color w:val="0E0E10"/>
          <w:lang w:val="es-CR"/>
        </w:rPr>
        <w:t>e</w:t>
      </w:r>
      <w:r w:rsidR="00034878" w:rsidRPr="00F740CD">
        <w:rPr>
          <w:rFonts w:eastAsiaTheme="minorHAnsi" w:cs="Arial"/>
          <w:color w:val="0E0E10"/>
          <w:lang w:val="es-CR"/>
        </w:rPr>
        <w:t xml:space="preserve">n su caso y su situación, pero, sobre todo, que han ganado la confianza de la paciente. </w:t>
      </w:r>
      <w:r w:rsidR="00B43BDE" w:rsidRPr="00F740CD">
        <w:rPr>
          <w:rFonts w:eastAsiaTheme="minorHAnsi" w:cs="Arial"/>
          <w:color w:val="0E0E10"/>
          <w:lang w:val="es-CR"/>
        </w:rPr>
        <w:t>Señaló que,  “[e]</w:t>
      </w:r>
      <w:r w:rsidR="00034878" w:rsidRPr="00F740CD">
        <w:rPr>
          <w:rFonts w:eastAsiaTheme="minorHAnsi" w:cs="Arial"/>
          <w:color w:val="0E0E10"/>
          <w:lang w:val="es-CR"/>
        </w:rPr>
        <w:t xml:space="preserve">n este momento, sería contraproducente para I.V., para los avances que ha logrado en miras a su total recuperación, cambiar de terapeuta </w:t>
      </w:r>
      <w:r w:rsidR="00034878" w:rsidRPr="00F740CD">
        <w:rPr>
          <w:rFonts w:eastAsiaTheme="minorHAnsi"/>
          <w:color w:val="0E0E10"/>
          <w:lang w:val="es-CR"/>
        </w:rPr>
        <w:t xml:space="preserve">y </w:t>
      </w:r>
      <w:r w:rsidR="00034878" w:rsidRPr="00F740CD">
        <w:rPr>
          <w:rFonts w:eastAsiaTheme="minorHAnsi" w:cs="Arial"/>
          <w:color w:val="0E0E10"/>
          <w:lang w:val="es-CR"/>
        </w:rPr>
        <w:t xml:space="preserve">de terapia </w:t>
      </w:r>
      <w:r w:rsidR="00034878" w:rsidRPr="00F740CD">
        <w:rPr>
          <w:rFonts w:eastAsiaTheme="minorHAnsi"/>
          <w:color w:val="0E0E10"/>
          <w:lang w:val="es-CR"/>
        </w:rPr>
        <w:t xml:space="preserve">y </w:t>
      </w:r>
      <w:r w:rsidR="00034878" w:rsidRPr="00F740CD">
        <w:rPr>
          <w:rFonts w:eastAsiaTheme="minorHAnsi" w:cs="Arial"/>
          <w:color w:val="0E0E10"/>
          <w:lang w:val="es-CR"/>
        </w:rPr>
        <w:t>experimentar nuevamente una situación de revictimizació</w:t>
      </w:r>
      <w:r w:rsidR="00983554" w:rsidRPr="00F740CD">
        <w:rPr>
          <w:rFonts w:eastAsiaTheme="minorHAnsi" w:cs="Arial"/>
          <w:color w:val="0E0E10"/>
          <w:lang w:val="es-CR"/>
        </w:rPr>
        <w:t>n […]</w:t>
      </w:r>
      <w:r w:rsidR="00274B26" w:rsidRPr="00F740CD">
        <w:rPr>
          <w:rFonts w:eastAsiaTheme="minorHAnsi" w:cs="Arial"/>
          <w:color w:val="0E0E10"/>
          <w:lang w:val="es-CR"/>
        </w:rPr>
        <w:t>”</w:t>
      </w:r>
      <w:r w:rsidR="00034878" w:rsidRPr="00F740CD">
        <w:rPr>
          <w:rFonts w:eastAsiaTheme="minorHAnsi" w:cs="Arial"/>
          <w:color w:val="0E0E10"/>
          <w:lang w:val="es-CR"/>
        </w:rPr>
        <w:t>.</w:t>
      </w:r>
    </w:p>
    <w:p w:rsidR="00034878" w:rsidRPr="00F740CD" w:rsidRDefault="00034878" w:rsidP="00034878">
      <w:pPr>
        <w:autoSpaceDE w:val="0"/>
        <w:autoSpaceDN w:val="0"/>
        <w:adjustRightInd w:val="0"/>
        <w:jc w:val="both"/>
        <w:rPr>
          <w:lang w:val="es-CR"/>
        </w:rPr>
      </w:pPr>
    </w:p>
    <w:p w:rsidR="002615F9" w:rsidRPr="00F740CD" w:rsidRDefault="002615F9" w:rsidP="002615F9">
      <w:pPr>
        <w:numPr>
          <w:ilvl w:val="0"/>
          <w:numId w:val="1"/>
        </w:numPr>
        <w:tabs>
          <w:tab w:val="clear" w:pos="1247"/>
        </w:tabs>
        <w:autoSpaceDE w:val="0"/>
        <w:autoSpaceDN w:val="0"/>
        <w:adjustRightInd w:val="0"/>
        <w:jc w:val="both"/>
        <w:rPr>
          <w:lang w:val="es-CR"/>
        </w:rPr>
      </w:pPr>
      <w:r w:rsidRPr="00F740CD">
        <w:rPr>
          <w:lang w:val="es-CR"/>
        </w:rPr>
        <w:t xml:space="preserve">El </w:t>
      </w:r>
      <w:r w:rsidRPr="00F740CD">
        <w:rPr>
          <w:b/>
          <w:i/>
          <w:lang w:val="es-CR"/>
        </w:rPr>
        <w:t>Estado</w:t>
      </w:r>
      <w:r w:rsidR="00A26CCC" w:rsidRPr="00F740CD">
        <w:rPr>
          <w:lang w:val="es-CR"/>
        </w:rPr>
        <w:t xml:space="preserve"> argumentó que no encontraba elementos que sustentaran una solicitud de interpretación de los mencionados párrafos toda vez que existía suficiente claridad y reiteración de que la prestación del tratamiento médico, psicológico y/o psiquiátrico a la señora I.V. debía ser brindado por el Estado a través de sus instituciones, es decir, del sistema público de salud. </w:t>
      </w:r>
      <w:r w:rsidR="00137B00" w:rsidRPr="00F740CD">
        <w:rPr>
          <w:lang w:val="es-CR"/>
        </w:rPr>
        <w:t xml:space="preserve">Asimismo, consideró que la alegada desconfianza de la señora I.V. hacia los servidores públicos, constituiría una apreciación subjetiva que no contaba con elementos que la respalden. </w:t>
      </w:r>
      <w:r w:rsidR="00A26CCC" w:rsidRPr="00F740CD">
        <w:rPr>
          <w:lang w:val="es-CR"/>
        </w:rPr>
        <w:t>El Estado señaló que la solicitud de que la señora I.V. fuera atendida por un servicio privado constituía</w:t>
      </w:r>
      <w:r w:rsidR="00B43BDE" w:rsidRPr="00F740CD">
        <w:rPr>
          <w:lang w:val="es-CR"/>
        </w:rPr>
        <w:t>,</w:t>
      </w:r>
      <w:r w:rsidR="00A26CCC" w:rsidRPr="00F740CD">
        <w:rPr>
          <w:lang w:val="es-CR"/>
        </w:rPr>
        <w:t xml:space="preserve"> en realidad, una estrategia diseñada por l</w:t>
      </w:r>
      <w:r w:rsidR="00B43BDE" w:rsidRPr="00F740CD">
        <w:rPr>
          <w:lang w:val="es-CR"/>
        </w:rPr>
        <w:t>a</w:t>
      </w:r>
      <w:r w:rsidR="00A26CCC" w:rsidRPr="00F740CD">
        <w:rPr>
          <w:lang w:val="es-CR"/>
        </w:rPr>
        <w:t xml:space="preserve"> representante para modificar el fondo de la Sentencia y una solicitud de interpretación no podía utilizarse para ello, por lo que solicitó se declare improcedente.</w:t>
      </w:r>
    </w:p>
    <w:p w:rsidR="00204000" w:rsidRPr="00F740CD" w:rsidRDefault="00204000" w:rsidP="00204000">
      <w:pPr>
        <w:jc w:val="both"/>
        <w:rPr>
          <w:lang w:val="es-CR"/>
        </w:rPr>
      </w:pPr>
    </w:p>
    <w:p w:rsidR="00A26CCC" w:rsidRPr="00F740CD" w:rsidRDefault="00204000" w:rsidP="00A26CCC">
      <w:pPr>
        <w:numPr>
          <w:ilvl w:val="0"/>
          <w:numId w:val="1"/>
        </w:numPr>
        <w:tabs>
          <w:tab w:val="clear" w:pos="1247"/>
          <w:tab w:val="num" w:pos="720"/>
        </w:tabs>
        <w:jc w:val="both"/>
        <w:rPr>
          <w:lang w:val="es-CR"/>
        </w:rPr>
      </w:pPr>
      <w:r w:rsidRPr="00F740CD">
        <w:rPr>
          <w:lang w:val="es-CR"/>
        </w:rPr>
        <w:t xml:space="preserve">La </w:t>
      </w:r>
      <w:r w:rsidRPr="00F740CD">
        <w:rPr>
          <w:b/>
          <w:i/>
          <w:lang w:val="es-CR"/>
        </w:rPr>
        <w:t>Comisión</w:t>
      </w:r>
      <w:r w:rsidR="00A26CCC" w:rsidRPr="00F740CD">
        <w:rPr>
          <w:lang w:val="es-CR"/>
        </w:rPr>
        <w:t xml:space="preserve"> señaló que compartía l</w:t>
      </w:r>
      <w:r w:rsidR="00A26CCC" w:rsidRPr="00F740CD">
        <w:rPr>
          <w:rFonts w:eastAsiaTheme="minorHAnsi"/>
          <w:lang w:val="es-CR"/>
        </w:rPr>
        <w:t xml:space="preserve">a transcendencia que podía tener la forma de implementación de esta medida de reparación, a los efectos de lograr un verdadero impacto positivo </w:t>
      </w:r>
      <w:r w:rsidR="00A26CCC" w:rsidRPr="00F740CD">
        <w:rPr>
          <w:rFonts w:eastAsiaTheme="minorHAnsi" w:cs="Arial"/>
          <w:lang w:val="es-CR"/>
        </w:rPr>
        <w:t>y</w:t>
      </w:r>
      <w:r w:rsidR="00A26CCC" w:rsidRPr="00F740CD">
        <w:rPr>
          <w:rFonts w:eastAsiaTheme="minorHAnsi"/>
          <w:lang w:val="es-CR"/>
        </w:rPr>
        <w:t xml:space="preserve"> reparador en la salud de la señora I.V.  Consideró que</w:t>
      </w:r>
      <w:r w:rsidR="005067C2" w:rsidRPr="00F740CD">
        <w:rPr>
          <w:rFonts w:eastAsiaTheme="minorHAnsi"/>
          <w:lang w:val="es-CR"/>
        </w:rPr>
        <w:t>,</w:t>
      </w:r>
      <w:r w:rsidR="00A26CCC" w:rsidRPr="00F740CD">
        <w:rPr>
          <w:rFonts w:eastAsiaTheme="minorHAnsi"/>
          <w:lang w:val="es-CR"/>
        </w:rPr>
        <w:t xml:space="preserve"> si bien se trataba de un aspecto que podría ser materia del proceso de seguimiento de la Sentencia, a los fines de asegurar que existiera claridad sobre el alcance de la obligación del Estado con una medida de reparación que por su naturaleza requería ser implementada sin dilación, la Corte podría interpretar este aspecto de la Sentencia, teniendo en cuenta la situación referida que se derivaba de la naturaleza de las violaciones sufridas por la señora I.V. y que</w:t>
      </w:r>
      <w:r w:rsidR="0043161C" w:rsidRPr="00F740CD">
        <w:rPr>
          <w:rFonts w:eastAsiaTheme="minorHAnsi"/>
          <w:lang w:val="es-CR"/>
        </w:rPr>
        <w:t>,</w:t>
      </w:r>
      <w:r w:rsidR="00A26CCC" w:rsidRPr="00F740CD">
        <w:rPr>
          <w:rFonts w:eastAsiaTheme="minorHAnsi"/>
          <w:lang w:val="es-CR"/>
        </w:rPr>
        <w:t xml:space="preserve"> en efecto, ya fueron constatadas por la Corte en el marco del caso.</w:t>
      </w:r>
    </w:p>
    <w:p w:rsidR="00A26CCC" w:rsidRPr="00F740CD" w:rsidRDefault="00A26CCC" w:rsidP="00834605">
      <w:pPr>
        <w:jc w:val="both"/>
        <w:rPr>
          <w:lang w:val="es-CR"/>
        </w:rPr>
      </w:pPr>
    </w:p>
    <w:p w:rsidR="00A45394" w:rsidRPr="00F740CD" w:rsidRDefault="00E53825" w:rsidP="005067C2">
      <w:pPr>
        <w:ind w:left="708" w:firstLine="708"/>
        <w:jc w:val="both"/>
        <w:rPr>
          <w:rFonts w:cs="Arial"/>
          <w:i/>
          <w:lang w:val="es-CR"/>
        </w:rPr>
      </w:pPr>
      <w:r w:rsidRPr="00F740CD">
        <w:rPr>
          <w:rFonts w:cs="Arial"/>
          <w:i/>
          <w:lang w:val="es-CR"/>
        </w:rPr>
        <w:t xml:space="preserve">C.2 </w:t>
      </w:r>
      <w:r w:rsidR="00A45394" w:rsidRPr="00F740CD">
        <w:rPr>
          <w:rFonts w:cs="Arial"/>
          <w:i/>
          <w:lang w:val="es-CR"/>
        </w:rPr>
        <w:t>Consideraciones de la Corte</w:t>
      </w:r>
    </w:p>
    <w:p w:rsidR="00A45394" w:rsidRPr="00F740CD" w:rsidRDefault="00A45394" w:rsidP="00A45394">
      <w:pPr>
        <w:jc w:val="both"/>
        <w:rPr>
          <w:rFonts w:cs="Arial"/>
          <w:i/>
          <w:lang w:val="es-CR"/>
        </w:rPr>
      </w:pPr>
    </w:p>
    <w:p w:rsidR="00560B9F" w:rsidRPr="00F740CD" w:rsidRDefault="00560B9F" w:rsidP="00A14969">
      <w:pPr>
        <w:numPr>
          <w:ilvl w:val="0"/>
          <w:numId w:val="1"/>
        </w:numPr>
        <w:tabs>
          <w:tab w:val="clear" w:pos="1247"/>
        </w:tabs>
        <w:autoSpaceDE w:val="0"/>
        <w:autoSpaceDN w:val="0"/>
        <w:adjustRightInd w:val="0"/>
        <w:jc w:val="both"/>
        <w:rPr>
          <w:rFonts w:eastAsia="Calibri" w:cs="Verdana"/>
          <w:lang w:val="es-CR"/>
        </w:rPr>
      </w:pPr>
      <w:r w:rsidRPr="00F740CD">
        <w:rPr>
          <w:rFonts w:eastAsia="Calibri" w:cs="Verdana"/>
          <w:lang w:val="es-CR"/>
        </w:rPr>
        <w:t xml:space="preserve">En el capítulo </w:t>
      </w:r>
      <w:r w:rsidR="002101B2">
        <w:rPr>
          <w:rFonts w:eastAsia="Calibri" w:cs="Verdana"/>
          <w:lang w:val="es-CR"/>
        </w:rPr>
        <w:t>relativo a la medida de</w:t>
      </w:r>
      <w:r w:rsidRPr="00F740CD">
        <w:rPr>
          <w:rFonts w:eastAsia="Calibri" w:cs="Verdana"/>
          <w:lang w:val="es-CR"/>
        </w:rPr>
        <w:t xml:space="preserve"> </w:t>
      </w:r>
      <w:r w:rsidR="00962F03" w:rsidRPr="00F740CD">
        <w:rPr>
          <w:rFonts w:eastAsia="Calibri" w:cs="Verdana"/>
          <w:lang w:val="es-CR"/>
        </w:rPr>
        <w:t>rehabilitación</w:t>
      </w:r>
      <w:r w:rsidRPr="00F740CD">
        <w:rPr>
          <w:rFonts w:eastAsia="Calibri" w:cs="Verdana"/>
          <w:lang w:val="es-CR"/>
        </w:rPr>
        <w:t>, la Corte sostuvo lo siguiente:</w:t>
      </w:r>
    </w:p>
    <w:p w:rsidR="00560B9F" w:rsidRPr="00F740CD" w:rsidRDefault="00560B9F" w:rsidP="00560B9F">
      <w:pPr>
        <w:autoSpaceDE w:val="0"/>
        <w:autoSpaceDN w:val="0"/>
        <w:adjustRightInd w:val="0"/>
        <w:ind w:left="720" w:right="756"/>
        <w:jc w:val="both"/>
        <w:rPr>
          <w:rFonts w:eastAsia="Calibri" w:cs="Verdana"/>
          <w:sz w:val="16"/>
          <w:szCs w:val="16"/>
          <w:lang w:val="es-CR"/>
        </w:rPr>
      </w:pPr>
    </w:p>
    <w:p w:rsidR="00E53825" w:rsidRPr="00F740CD" w:rsidRDefault="00E53825" w:rsidP="00E53825">
      <w:pPr>
        <w:pStyle w:val="ListParagraph"/>
        <w:numPr>
          <w:ilvl w:val="0"/>
          <w:numId w:val="20"/>
        </w:numPr>
        <w:tabs>
          <w:tab w:val="left" w:pos="709"/>
        </w:tabs>
        <w:ind w:left="709" w:right="582" w:firstLine="0"/>
        <w:contextualSpacing/>
        <w:rPr>
          <w:rFonts w:eastAsia="Times New Roman"/>
          <w:b/>
          <w:sz w:val="16"/>
          <w:szCs w:val="16"/>
          <w:lang w:val="es-CR"/>
        </w:rPr>
      </w:pPr>
      <w:r w:rsidRPr="00F740CD">
        <w:rPr>
          <w:sz w:val="16"/>
          <w:szCs w:val="16"/>
          <w:lang w:val="es-CR"/>
        </w:rPr>
        <w:t>Habiendo constatado las afectaciones graves a la integridad personal sufridas por la señora I.V. a raíz de los hechos del presente caso (</w:t>
      </w:r>
      <w:r w:rsidRPr="00F740CD">
        <w:rPr>
          <w:i/>
          <w:sz w:val="16"/>
          <w:szCs w:val="16"/>
          <w:lang w:val="es-CR"/>
        </w:rPr>
        <w:t>supra</w:t>
      </w:r>
      <w:r w:rsidRPr="00F740CD">
        <w:rPr>
          <w:sz w:val="16"/>
          <w:szCs w:val="16"/>
          <w:lang w:val="es-CR"/>
        </w:rPr>
        <w:t xml:space="preserve"> Capítulo VIII-2), la Corte estima, como lo ha hecho en otros casos, que es preciso disponer una medida de reparación que brinde una atención adecuada a los padecimientos psicológicos y físicos de la víctima, atendiendo a sus especificidades de género y antecedentes. Con el fin de contribuir a la reparación de estos daños, el Tribunal dispone la obligación a cargo del Estado de brindar gratuitamente, a través de sus instituciones de salud especializadas, y de forma inmediata, adecuada y efectiva, el tratamiento médico y, específicamente, en salud sexual y reproductiva, así como tratamiento psicológico y/o psiquiátrico, a la señora I.V., incluyendo el suministro gratuito de los medicamentos que eventualmente se requiera, tomando en consideración sus padecimientos. Lo anterior implica que I.V. deberá recibir un tratamiento diferenciado en relación con el trámite y procedimiento que debieran realizar para ser atendidos en los hospitales públicos. Asimismo, los tratamientos respectivos deberán prestarse, en la medida de lo posible, en los centros más cercanos a su lugar de residencia en Bolivia por el tiempo que sea necesario. En particular, el tratamiento psicológico debe brindarse por personal e instituciones estatales especializadas en la atención a víctimas de hechos como los ocurridos en el presente caso relacionados con la salud sexual y reproductiva de la víctima. Al proveer el tratamiento psicológico y/o psiquiátrico se debe considerar, además, las circunstancias y necesidades particulares de la víctima, de manera que se le brinde tratamiento familiar e individual, según lo que se acuerde con ella y después de una evaluación individual. En este sentido y habida cuenta de las condiciones de la señora I.V., debe evaluarse incluir dentro de la terapia a los miembros de su familia. La señora I.V. dispone de un plazo de seis meses, contado a partir de la notificación de la </w:t>
      </w:r>
      <w:r w:rsidR="00B71B4E" w:rsidRPr="00F740CD">
        <w:rPr>
          <w:sz w:val="16"/>
          <w:szCs w:val="16"/>
          <w:lang w:val="es-CR"/>
        </w:rPr>
        <w:t xml:space="preserve">[…] </w:t>
      </w:r>
      <w:r w:rsidRPr="00F740CD">
        <w:rPr>
          <w:sz w:val="16"/>
          <w:szCs w:val="16"/>
          <w:lang w:val="es-CR"/>
        </w:rPr>
        <w:t xml:space="preserve">Sentencia, para dar a conocer al Estado su intención de recibir atención psicológica y/o psiquiátrica. A su vez, el Estado dispondrá del plazo de dos </w:t>
      </w:r>
      <w:r w:rsidRPr="00F740CD">
        <w:rPr>
          <w:sz w:val="16"/>
          <w:szCs w:val="16"/>
          <w:lang w:val="es-CR"/>
        </w:rPr>
        <w:lastRenderedPageBreak/>
        <w:t>meses, contado a partir de la recepción de dicha solicitud, para brindar de manera efectiva la atención psicológica y/o psiquiátrica solicitada.</w:t>
      </w:r>
    </w:p>
    <w:p w:rsidR="00E53825" w:rsidRPr="00F740CD" w:rsidRDefault="00E53825" w:rsidP="00DD2730">
      <w:pPr>
        <w:ind w:left="720" w:right="582"/>
        <w:rPr>
          <w:rFonts w:eastAsia="Times New Roman"/>
          <w:b/>
          <w:lang w:val="es-CR"/>
        </w:rPr>
      </w:pPr>
    </w:p>
    <w:p w:rsidR="000E3C33" w:rsidRPr="00F740CD" w:rsidRDefault="000E3C33" w:rsidP="000E3C33">
      <w:pPr>
        <w:numPr>
          <w:ilvl w:val="0"/>
          <w:numId w:val="1"/>
        </w:numPr>
        <w:tabs>
          <w:tab w:val="clear" w:pos="1247"/>
        </w:tabs>
        <w:autoSpaceDE w:val="0"/>
        <w:autoSpaceDN w:val="0"/>
        <w:adjustRightInd w:val="0"/>
        <w:jc w:val="both"/>
        <w:rPr>
          <w:rFonts w:eastAsia="Calibri" w:cs="Verdana"/>
          <w:lang w:val="es-CR"/>
        </w:rPr>
      </w:pPr>
      <w:r w:rsidRPr="00F740CD">
        <w:rPr>
          <w:rFonts w:eastAsia="Times New Roman"/>
          <w:lang w:val="es-CR"/>
        </w:rPr>
        <w:t xml:space="preserve">En forma concordante, en </w:t>
      </w:r>
      <w:r w:rsidRPr="00F740CD">
        <w:rPr>
          <w:rFonts w:eastAsia="Calibri" w:cs="Verdana"/>
          <w:lang w:val="es-CR"/>
        </w:rPr>
        <w:t>el punto resolutivo octavo de la Sentencia, la Corte ordenó que: “[e]</w:t>
      </w:r>
      <w:r w:rsidRPr="00F740CD">
        <w:rPr>
          <w:rFonts w:eastAsia="Times New Roman"/>
          <w:lang w:val="es-CR"/>
        </w:rPr>
        <w:t xml:space="preserve">l </w:t>
      </w:r>
      <w:r w:rsidRPr="00F740CD">
        <w:rPr>
          <w:bCs/>
          <w:lang w:val="es-CR"/>
        </w:rPr>
        <w:t xml:space="preserve">Estado debe brindar gratuitamente, a través de sus instituciones de salud especializadas, y de forma inmediata, adecuada y efectiva, el tratamiento médico y, específicamente en salud sexual y reproductiva, así como tratamiento psicológico y/o psiquiátrico, a la señora I.V., de conformidad con lo establecido en el párrafo 332 de </w:t>
      </w:r>
      <w:r w:rsidR="006E634A" w:rsidRPr="00F740CD">
        <w:rPr>
          <w:bCs/>
          <w:lang w:val="es-CR"/>
        </w:rPr>
        <w:t xml:space="preserve">[la] </w:t>
      </w:r>
      <w:r w:rsidRPr="00F740CD">
        <w:rPr>
          <w:bCs/>
          <w:lang w:val="es-CR"/>
        </w:rPr>
        <w:t>Sentencia”.</w:t>
      </w:r>
    </w:p>
    <w:p w:rsidR="00CB55E6" w:rsidRPr="00F740CD" w:rsidRDefault="00CB55E6" w:rsidP="00CB55E6">
      <w:pPr>
        <w:autoSpaceDE w:val="0"/>
        <w:autoSpaceDN w:val="0"/>
        <w:adjustRightInd w:val="0"/>
        <w:jc w:val="both"/>
        <w:rPr>
          <w:rFonts w:eastAsia="Calibri" w:cs="Verdana"/>
          <w:lang w:val="es-CR"/>
        </w:rPr>
      </w:pPr>
    </w:p>
    <w:p w:rsidR="00E074EA" w:rsidRPr="00F740CD" w:rsidRDefault="00E074EA" w:rsidP="005067C2">
      <w:pPr>
        <w:numPr>
          <w:ilvl w:val="0"/>
          <w:numId w:val="1"/>
        </w:numPr>
        <w:tabs>
          <w:tab w:val="clear" w:pos="1247"/>
        </w:tabs>
        <w:autoSpaceDE w:val="0"/>
        <w:autoSpaceDN w:val="0"/>
        <w:adjustRightInd w:val="0"/>
        <w:jc w:val="both"/>
        <w:rPr>
          <w:rFonts w:eastAsia="Calibri" w:cs="Verdana"/>
          <w:i/>
          <w:lang w:val="es-CR"/>
        </w:rPr>
      </w:pPr>
      <w:r w:rsidRPr="00F740CD">
        <w:rPr>
          <w:lang w:val="es-CR"/>
        </w:rPr>
        <w:t>E</w:t>
      </w:r>
      <w:r w:rsidRPr="00F740CD">
        <w:rPr>
          <w:rFonts w:eastAsia="Calibri" w:cs="Verdana"/>
          <w:lang w:val="es-CR"/>
        </w:rPr>
        <w:t>n primer lugar</w:t>
      </w:r>
      <w:r w:rsidR="00433BF1" w:rsidRPr="00F740CD">
        <w:rPr>
          <w:lang w:val="es-CR"/>
        </w:rPr>
        <w:t>, la Corte nota que</w:t>
      </w:r>
      <w:r w:rsidRPr="00F740CD">
        <w:rPr>
          <w:lang w:val="es-CR"/>
        </w:rPr>
        <w:t>,</w:t>
      </w:r>
      <w:r w:rsidR="00433BF1" w:rsidRPr="00F740CD">
        <w:rPr>
          <w:lang w:val="es-CR"/>
        </w:rPr>
        <w:t xml:space="preserve"> durante el desarrollo del proceso contencioso del presente caso, la representante de la víctima solicitó expresamente que la medida de reparación fuera brindada </w:t>
      </w:r>
      <w:r w:rsidR="00C13F21" w:rsidRPr="00F740CD">
        <w:rPr>
          <w:lang w:val="es-CR"/>
        </w:rPr>
        <w:t xml:space="preserve">por el Estado </w:t>
      </w:r>
      <w:r w:rsidR="00433BF1" w:rsidRPr="00F740CD">
        <w:rPr>
          <w:lang w:val="es-CR"/>
        </w:rPr>
        <w:t xml:space="preserve">“a través de </w:t>
      </w:r>
      <w:r w:rsidR="00C13F21" w:rsidRPr="00F740CD">
        <w:rPr>
          <w:lang w:val="es-CR"/>
        </w:rPr>
        <w:t xml:space="preserve">sus instituciones de salud especializadas”, sin alegar </w:t>
      </w:r>
      <w:r w:rsidR="008F7344">
        <w:rPr>
          <w:lang w:val="es-CR"/>
        </w:rPr>
        <w:t>ni</w:t>
      </w:r>
      <w:r w:rsidR="00C13F21" w:rsidRPr="00F740CD">
        <w:rPr>
          <w:lang w:val="es-CR"/>
        </w:rPr>
        <w:t xml:space="preserve"> fundamentar la conveniencia y necesidad de que la señora I.V. fuera atendida por un sistema privado de salud, lo cual fue requerido por primera vez en la solicitud de interpretación de la Sentencia. </w:t>
      </w:r>
      <w:r w:rsidRPr="00F740CD">
        <w:rPr>
          <w:lang w:val="es-CR"/>
        </w:rPr>
        <w:t xml:space="preserve">En esta línea, </w:t>
      </w:r>
      <w:r w:rsidRPr="00F740CD">
        <w:rPr>
          <w:rFonts w:eastAsia="Calibri" w:cs="Verdana"/>
          <w:lang w:val="es-CR"/>
        </w:rPr>
        <w:t xml:space="preserve">la Corte </w:t>
      </w:r>
      <w:r w:rsidR="00DB027C" w:rsidRPr="00F740CD">
        <w:rPr>
          <w:rFonts w:eastAsia="Calibri" w:cs="Verdana"/>
          <w:lang w:val="es-CR"/>
        </w:rPr>
        <w:t>advierte</w:t>
      </w:r>
      <w:r w:rsidRPr="00F740CD">
        <w:rPr>
          <w:rFonts w:eastAsia="Calibri" w:cs="Verdana"/>
          <w:lang w:val="es-CR"/>
        </w:rPr>
        <w:t xml:space="preserve"> que el párrafo 332 y el punto resolutivo octavo de la Sentencia establecen que </w:t>
      </w:r>
      <w:r w:rsidRPr="00F740CD">
        <w:rPr>
          <w:lang w:val="es-CR"/>
        </w:rPr>
        <w:t>la obligación a cargo del Estado de brindar el tratamiento médico, específicamente, en salud sexual y reproductiva, así como tratamiento psicológico y/o psiquiátrico, a la señora I.V deberá hacerse a través de sus instituciones de salud especializadas, y de forma inmediata, adecuada y efectiva.</w:t>
      </w:r>
      <w:r w:rsidR="00DB027C" w:rsidRPr="00F740CD">
        <w:rPr>
          <w:lang w:val="es-CR"/>
        </w:rPr>
        <w:t xml:space="preserve"> En este sentido, la Corte considera que </w:t>
      </w:r>
      <w:r w:rsidR="00DB027C" w:rsidRPr="00F740CD">
        <w:rPr>
          <w:rFonts w:eastAsia="Calibri" w:cs="Verdana"/>
          <w:lang w:val="es-CR"/>
        </w:rPr>
        <w:t>los parámetros expresados en la Sentencia en torno a esta medida de reparación, así como la forma de cumplimiento resultan claros y suficientes, por lo que no corresponde la interpretación del sentido del fallo.</w:t>
      </w:r>
    </w:p>
    <w:p w:rsidR="00E10A55" w:rsidRPr="00F740CD" w:rsidRDefault="00E10A55" w:rsidP="00E10A55">
      <w:pPr>
        <w:autoSpaceDE w:val="0"/>
        <w:autoSpaceDN w:val="0"/>
        <w:adjustRightInd w:val="0"/>
        <w:jc w:val="both"/>
        <w:rPr>
          <w:rFonts w:eastAsia="Calibri" w:cs="Verdana"/>
          <w:lang w:val="es-CR"/>
        </w:rPr>
      </w:pPr>
    </w:p>
    <w:p w:rsidR="00E10A55" w:rsidRPr="00F740CD" w:rsidRDefault="00E10A55" w:rsidP="00E10A55">
      <w:pPr>
        <w:numPr>
          <w:ilvl w:val="0"/>
          <w:numId w:val="1"/>
        </w:numPr>
        <w:tabs>
          <w:tab w:val="clear" w:pos="1247"/>
        </w:tabs>
        <w:autoSpaceDE w:val="0"/>
        <w:autoSpaceDN w:val="0"/>
        <w:adjustRightInd w:val="0"/>
        <w:jc w:val="both"/>
        <w:rPr>
          <w:lang w:val="es-CR"/>
        </w:rPr>
      </w:pPr>
      <w:r w:rsidRPr="00F740CD">
        <w:rPr>
          <w:lang w:val="es-CR"/>
        </w:rPr>
        <w:t xml:space="preserve">Sin perjuicio de lo anterior y considerando que el hecho motivo de la Sentencia tuvo lugar en un establecimiento asistencial público a lo que se agrega la patología de la víctima, al parecer con inclinación delirante, cabe entender que la solicitud de la representante es razonable, toda vez que la atención en salud psicológica y/o psiquiátrica en un establecimiento público podría agravar su padecimiento. No obstante, dado que no ha sido solicitado durante el desarrollo del proceso contencioso del presente caso, toda decisión que modifique la Sentencia excede en este momento la competencia de esta Corte, en los términos del artículo 67 de la Convención Americana. Por consiguiente, la Corte sólo puede invitar al Estado de Bolivia a que contemple la posibilidad de contribuir de buena fe a solucionar esta situación particular, ya que el cumplimiento de la presente medida de rehabilitación en forma efectiva constituye un aspecto central de la reparación ordenada a causa de los daños derivados de las violaciones de derechos humanos declaradas en la Sentencia. Por esta razón, la Corte dispuso que “[a]l proveer el tratamiento psicológico y/o psiquiátrico se debe considerar, además, las circunstancias y necesidades particulares de la víctima, de manera que se le brinde tratamiento familiar e individual, según lo que se acuerde con ella y después de una evaluación individual”. En definitiva, este Tribunal estima </w:t>
      </w:r>
      <w:r w:rsidR="009C3D99" w:rsidRPr="00F740CD">
        <w:rPr>
          <w:lang w:val="es-CR"/>
        </w:rPr>
        <w:t>trascendental</w:t>
      </w:r>
      <w:r w:rsidRPr="00F740CD">
        <w:rPr>
          <w:lang w:val="es-CR"/>
        </w:rPr>
        <w:t xml:space="preserve"> que el Estado considere de buena fe las circunstancias particulares del caso y </w:t>
      </w:r>
      <w:r w:rsidR="00C95CB4" w:rsidRPr="00F740CD">
        <w:rPr>
          <w:lang w:val="es-CR"/>
        </w:rPr>
        <w:t xml:space="preserve">las necesidades </w:t>
      </w:r>
      <w:r w:rsidR="00416816" w:rsidRPr="00F740CD">
        <w:rPr>
          <w:lang w:val="es-CR"/>
        </w:rPr>
        <w:t>específicas</w:t>
      </w:r>
      <w:r w:rsidR="00C95CB4" w:rsidRPr="00F740CD">
        <w:rPr>
          <w:lang w:val="es-CR"/>
        </w:rPr>
        <w:t xml:space="preserve"> de</w:t>
      </w:r>
      <w:r w:rsidRPr="00F740CD">
        <w:rPr>
          <w:lang w:val="es-CR"/>
        </w:rPr>
        <w:t xml:space="preserve"> la señora I.V a efectos de que puedan articularse los medios y canales alternativos más adecuados para lograr el propósito de esta medida o, en su caso, se tome en cuenta la posibilidad de llegar a un acuerdo con la misma en el marco de la supervisión del cumplimiento de la Sentencia</w:t>
      </w:r>
      <w:r w:rsidR="00C95CB4" w:rsidRPr="00F740CD">
        <w:rPr>
          <w:lang w:val="es-CR"/>
        </w:rPr>
        <w:t>, tal como ha sucedido en otros casos</w:t>
      </w:r>
      <w:r w:rsidRPr="00F740CD">
        <w:rPr>
          <w:rStyle w:val="FootnoteReference"/>
          <w:lang w:val="es-CR"/>
        </w:rPr>
        <w:footnoteReference w:id="6"/>
      </w:r>
      <w:r w:rsidRPr="00F740CD">
        <w:rPr>
          <w:lang w:val="es-CR"/>
        </w:rPr>
        <w:t>. La satisfacción de la medida de reparación ordenada oportunamente será analizada en la etapa de supervisión del cumplimiento de la Sentencia.</w:t>
      </w:r>
    </w:p>
    <w:p w:rsidR="00E10A55" w:rsidRPr="00F740CD" w:rsidRDefault="00E10A55" w:rsidP="00E10A55">
      <w:pPr>
        <w:autoSpaceDE w:val="0"/>
        <w:autoSpaceDN w:val="0"/>
        <w:adjustRightInd w:val="0"/>
        <w:jc w:val="both"/>
        <w:rPr>
          <w:rFonts w:eastAsia="Calibri" w:cs="Verdana"/>
          <w:lang w:val="es-CR"/>
        </w:rPr>
      </w:pPr>
    </w:p>
    <w:p w:rsidR="008F5901" w:rsidRPr="00F740CD" w:rsidRDefault="008F5901" w:rsidP="00BC2A32">
      <w:pPr>
        <w:pStyle w:val="Heading1"/>
      </w:pPr>
      <w:r w:rsidRPr="00F740CD">
        <w:lastRenderedPageBreak/>
        <w:t>V</w:t>
      </w:r>
      <w:r w:rsidR="00B57D5F" w:rsidRPr="00F740CD">
        <w:rPr>
          <w:b w:val="0"/>
          <w:bCs w:val="0"/>
          <w:caps w:val="0"/>
          <w:kern w:val="32"/>
        </w:rPr>
        <w:br/>
      </w:r>
      <w:r w:rsidRPr="00F740CD">
        <w:t>PUNTOS RESOLUTIVOS</w:t>
      </w:r>
    </w:p>
    <w:p w:rsidR="008F5901" w:rsidRPr="00F740CD" w:rsidRDefault="008F5901" w:rsidP="00837C4A">
      <w:pPr>
        <w:tabs>
          <w:tab w:val="left" w:pos="0"/>
        </w:tabs>
        <w:jc w:val="both"/>
        <w:rPr>
          <w:rFonts w:cs="Arial"/>
          <w:lang w:val="es-CR"/>
        </w:rPr>
      </w:pPr>
    </w:p>
    <w:p w:rsidR="008F5901" w:rsidRPr="00F740CD" w:rsidRDefault="008F5901" w:rsidP="000E3C33">
      <w:pPr>
        <w:numPr>
          <w:ilvl w:val="0"/>
          <w:numId w:val="1"/>
        </w:numPr>
        <w:tabs>
          <w:tab w:val="clear" w:pos="1247"/>
        </w:tabs>
        <w:autoSpaceDE w:val="0"/>
        <w:autoSpaceDN w:val="0"/>
        <w:adjustRightInd w:val="0"/>
        <w:jc w:val="both"/>
        <w:rPr>
          <w:rFonts w:cs="Arial"/>
          <w:b/>
          <w:i/>
          <w:lang w:val="es-CR"/>
        </w:rPr>
      </w:pPr>
      <w:r w:rsidRPr="00F740CD">
        <w:rPr>
          <w:lang w:val="es-CR"/>
        </w:rPr>
        <w:t>Por tanto,</w:t>
      </w:r>
    </w:p>
    <w:p w:rsidR="008F5901" w:rsidRPr="00F740CD" w:rsidRDefault="008F5901" w:rsidP="00837C4A">
      <w:pPr>
        <w:rPr>
          <w:b/>
          <w:lang w:val="es-CR"/>
        </w:rPr>
      </w:pPr>
    </w:p>
    <w:p w:rsidR="008F5901" w:rsidRPr="00F740CD" w:rsidRDefault="001C5A52" w:rsidP="00837C4A">
      <w:pPr>
        <w:rPr>
          <w:b/>
          <w:lang w:val="es-CR"/>
        </w:rPr>
      </w:pPr>
      <w:r w:rsidRPr="00F740CD">
        <w:rPr>
          <w:b/>
          <w:lang w:val="es-CR"/>
        </w:rPr>
        <w:t>LA CORTE</w:t>
      </w:r>
    </w:p>
    <w:p w:rsidR="008F5901" w:rsidRPr="00F740CD" w:rsidRDefault="008F5901" w:rsidP="00837C4A">
      <w:pPr>
        <w:rPr>
          <w:lang w:val="es-CR"/>
        </w:rPr>
      </w:pPr>
    </w:p>
    <w:p w:rsidR="008F5901" w:rsidRPr="00F740CD" w:rsidRDefault="008F5901" w:rsidP="00EA5671">
      <w:pPr>
        <w:jc w:val="both"/>
        <w:rPr>
          <w:lang w:val="es-CR"/>
        </w:rPr>
      </w:pPr>
      <w:r w:rsidRPr="00F740CD">
        <w:rPr>
          <w:lang w:val="es-CR"/>
        </w:rPr>
        <w:t>de conformidad con el artículo 67 de la Convención Americana sobre Derechos Humanos y los artículos 31.3 y 68 del Reglamento</w:t>
      </w:r>
      <w:r w:rsidR="000329A5" w:rsidRPr="00F740CD">
        <w:rPr>
          <w:lang w:val="es-CR"/>
        </w:rPr>
        <w:t xml:space="preserve"> del Tribunal</w:t>
      </w:r>
      <w:r w:rsidRPr="00F740CD">
        <w:rPr>
          <w:lang w:val="es-CR"/>
        </w:rPr>
        <w:t>,</w:t>
      </w:r>
    </w:p>
    <w:p w:rsidR="003972AA" w:rsidRPr="00F740CD" w:rsidRDefault="003972AA" w:rsidP="00837C4A">
      <w:pPr>
        <w:rPr>
          <w:lang w:val="es-CR"/>
        </w:rPr>
      </w:pPr>
    </w:p>
    <w:p w:rsidR="008F5901" w:rsidRPr="00F740CD" w:rsidRDefault="008F5901" w:rsidP="00837C4A">
      <w:pPr>
        <w:rPr>
          <w:b/>
          <w:lang w:val="es-CR"/>
        </w:rPr>
      </w:pPr>
      <w:r w:rsidRPr="00F740CD">
        <w:rPr>
          <w:b/>
          <w:lang w:val="es-CR"/>
        </w:rPr>
        <w:t>DECIDE:</w:t>
      </w:r>
    </w:p>
    <w:p w:rsidR="00757977" w:rsidRPr="00F740CD" w:rsidRDefault="00757977" w:rsidP="00837C4A">
      <w:pPr>
        <w:rPr>
          <w:lang w:val="es-CR"/>
        </w:rPr>
      </w:pPr>
    </w:p>
    <w:p w:rsidR="00511A33" w:rsidRPr="00F740CD" w:rsidRDefault="00933AE9" w:rsidP="00A45394">
      <w:pPr>
        <w:tabs>
          <w:tab w:val="center" w:pos="4252"/>
          <w:tab w:val="right" w:pos="8504"/>
        </w:tabs>
        <w:rPr>
          <w:lang w:val="es-CR"/>
        </w:rPr>
      </w:pPr>
      <w:r w:rsidRPr="00F740CD">
        <w:rPr>
          <w:lang w:val="es-CR"/>
        </w:rPr>
        <w:t xml:space="preserve">Por </w:t>
      </w:r>
      <w:r w:rsidR="00346D6C" w:rsidRPr="00F740CD">
        <w:rPr>
          <w:lang w:val="es-CR"/>
        </w:rPr>
        <w:t>unanimidad,</w:t>
      </w:r>
    </w:p>
    <w:p w:rsidR="00A45394" w:rsidRPr="00F740CD" w:rsidRDefault="00A45394" w:rsidP="00A45394">
      <w:pPr>
        <w:tabs>
          <w:tab w:val="left" w:pos="0"/>
        </w:tabs>
        <w:jc w:val="both"/>
        <w:rPr>
          <w:rFonts w:cs="Arial"/>
          <w:b/>
          <w:i/>
          <w:lang w:val="es-CR"/>
        </w:rPr>
      </w:pPr>
    </w:p>
    <w:p w:rsidR="00834605" w:rsidRPr="00F740CD" w:rsidRDefault="00BC725A" w:rsidP="00834605">
      <w:pPr>
        <w:pStyle w:val="ListParagraph"/>
        <w:numPr>
          <w:ilvl w:val="0"/>
          <w:numId w:val="16"/>
        </w:numPr>
        <w:tabs>
          <w:tab w:val="left" w:pos="567"/>
        </w:tabs>
        <w:spacing w:after="60"/>
        <w:contextualSpacing/>
        <w:rPr>
          <w:rFonts w:eastAsia="Times New Roman"/>
          <w:szCs w:val="20"/>
          <w:lang w:val="es-CR" w:eastAsia="es-ES"/>
        </w:rPr>
      </w:pPr>
      <w:r w:rsidRPr="00F740CD">
        <w:rPr>
          <w:rFonts w:eastAsia="Times New Roman"/>
          <w:szCs w:val="20"/>
          <w:lang w:val="es-CR" w:eastAsia="es-ES"/>
        </w:rPr>
        <w:t>Declarar admisible la solicitud de interpretación de la Sentencia de excepci</w:t>
      </w:r>
      <w:r w:rsidR="0082073D" w:rsidRPr="00F740CD">
        <w:rPr>
          <w:rFonts w:eastAsia="Times New Roman"/>
          <w:szCs w:val="20"/>
          <w:lang w:val="es-CR" w:eastAsia="es-ES"/>
        </w:rPr>
        <w:t>o</w:t>
      </w:r>
      <w:r w:rsidRPr="00F740CD">
        <w:rPr>
          <w:rFonts w:eastAsia="Times New Roman"/>
          <w:szCs w:val="20"/>
          <w:lang w:val="es-CR" w:eastAsia="es-ES"/>
        </w:rPr>
        <w:t>n</w:t>
      </w:r>
      <w:r w:rsidR="0082073D" w:rsidRPr="00F740CD">
        <w:rPr>
          <w:rFonts w:eastAsia="Times New Roman"/>
          <w:szCs w:val="20"/>
          <w:lang w:val="es-CR" w:eastAsia="es-ES"/>
        </w:rPr>
        <w:t>es</w:t>
      </w:r>
      <w:r w:rsidRPr="00F740CD">
        <w:rPr>
          <w:rFonts w:eastAsia="Times New Roman"/>
          <w:szCs w:val="20"/>
          <w:lang w:val="es-CR" w:eastAsia="es-ES"/>
        </w:rPr>
        <w:t xml:space="preserve"> preliminar</w:t>
      </w:r>
      <w:r w:rsidR="0082073D" w:rsidRPr="00F740CD">
        <w:rPr>
          <w:rFonts w:eastAsia="Times New Roman"/>
          <w:szCs w:val="20"/>
          <w:lang w:val="es-CR" w:eastAsia="es-ES"/>
        </w:rPr>
        <w:t>es</w:t>
      </w:r>
      <w:r w:rsidRPr="00F740CD">
        <w:rPr>
          <w:rFonts w:eastAsia="Times New Roman"/>
          <w:szCs w:val="20"/>
          <w:lang w:val="es-CR" w:eastAsia="es-ES"/>
        </w:rPr>
        <w:t xml:space="preserve">, fondo, reparaciones y costas </w:t>
      </w:r>
      <w:r w:rsidR="002913E0" w:rsidRPr="00F740CD">
        <w:rPr>
          <w:rFonts w:eastAsia="Times New Roman"/>
          <w:szCs w:val="20"/>
          <w:lang w:val="es-CR" w:eastAsia="es-ES"/>
        </w:rPr>
        <w:t xml:space="preserve">emitida </w:t>
      </w:r>
      <w:r w:rsidRPr="00F740CD">
        <w:rPr>
          <w:rFonts w:eastAsia="Times New Roman"/>
          <w:szCs w:val="20"/>
          <w:lang w:val="es-CR" w:eastAsia="es-ES"/>
        </w:rPr>
        <w:t xml:space="preserve">en el caso </w:t>
      </w:r>
      <w:r w:rsidR="00CB55E6" w:rsidRPr="00F740CD">
        <w:rPr>
          <w:rFonts w:eastAsia="Times New Roman"/>
          <w:i/>
          <w:szCs w:val="20"/>
          <w:lang w:val="es-CR" w:eastAsia="es-ES"/>
        </w:rPr>
        <w:t>I.V. Vs. Bolivia</w:t>
      </w:r>
      <w:r w:rsidR="00D6613A" w:rsidRPr="00F740CD">
        <w:rPr>
          <w:rFonts w:eastAsia="Times New Roman"/>
          <w:szCs w:val="20"/>
          <w:lang w:val="es-CR" w:eastAsia="es-ES"/>
        </w:rPr>
        <w:t>,</w:t>
      </w:r>
      <w:r w:rsidRPr="00F740CD">
        <w:rPr>
          <w:rFonts w:eastAsia="Times New Roman"/>
          <w:szCs w:val="20"/>
          <w:lang w:val="es-CR" w:eastAsia="es-ES"/>
        </w:rPr>
        <w:t xml:space="preserve"> interpuesta por </w:t>
      </w:r>
      <w:r w:rsidR="00D6613A" w:rsidRPr="00F740CD">
        <w:rPr>
          <w:rFonts w:eastAsia="Times New Roman"/>
          <w:szCs w:val="20"/>
          <w:lang w:val="es-CR" w:eastAsia="es-ES"/>
        </w:rPr>
        <w:t>la representante de la víctima</w:t>
      </w:r>
      <w:r w:rsidR="00486FAA" w:rsidRPr="00F740CD">
        <w:rPr>
          <w:lang w:val="es-CR"/>
        </w:rPr>
        <w:t>, en los t</w:t>
      </w:r>
      <w:r w:rsidR="00486FAA" w:rsidRPr="00F740CD">
        <w:rPr>
          <w:rFonts w:eastAsia="Times New Roman" w:cs="Arial"/>
          <w:lang w:val="es-CR" w:eastAsia="ko-KR"/>
        </w:rPr>
        <w:t xml:space="preserve">érminos del párrafo </w:t>
      </w:r>
      <w:r w:rsidR="00B204AC" w:rsidRPr="00F740CD">
        <w:rPr>
          <w:rFonts w:eastAsia="Times New Roman" w:cs="Arial"/>
          <w:lang w:val="es-CR" w:eastAsia="ko-KR"/>
        </w:rPr>
        <w:t xml:space="preserve">9 </w:t>
      </w:r>
      <w:r w:rsidR="00486FAA" w:rsidRPr="00F740CD">
        <w:rPr>
          <w:rFonts w:eastAsia="Times New Roman" w:cs="Arial"/>
          <w:lang w:val="es-CR" w:eastAsia="ko-KR"/>
        </w:rPr>
        <w:t xml:space="preserve">de la presente </w:t>
      </w:r>
      <w:r w:rsidR="00A77E35" w:rsidRPr="00F740CD">
        <w:rPr>
          <w:rFonts w:eastAsia="Times New Roman" w:cs="Arial"/>
          <w:lang w:val="es-CR" w:eastAsia="ko-KR"/>
        </w:rPr>
        <w:t>S</w:t>
      </w:r>
      <w:r w:rsidR="00486FAA" w:rsidRPr="00F740CD">
        <w:rPr>
          <w:rFonts w:eastAsia="Times New Roman" w:cs="Arial"/>
          <w:lang w:val="es-CR" w:eastAsia="ko-KR"/>
        </w:rPr>
        <w:t>entencia de interpretación.</w:t>
      </w:r>
    </w:p>
    <w:p w:rsidR="004D54EA" w:rsidRPr="00F740CD" w:rsidRDefault="004D54EA" w:rsidP="004D54EA">
      <w:pPr>
        <w:pStyle w:val="ListParagraph"/>
        <w:tabs>
          <w:tab w:val="left" w:pos="567"/>
        </w:tabs>
        <w:spacing w:after="60"/>
        <w:ind w:left="0"/>
        <w:contextualSpacing/>
        <w:rPr>
          <w:rFonts w:eastAsia="Times New Roman"/>
          <w:szCs w:val="20"/>
          <w:lang w:val="es-CR" w:eastAsia="es-ES"/>
        </w:rPr>
      </w:pPr>
    </w:p>
    <w:p w:rsidR="00A45394" w:rsidRPr="00F740CD" w:rsidRDefault="00486FAA" w:rsidP="005067C2">
      <w:pPr>
        <w:pStyle w:val="ListParagraph"/>
        <w:numPr>
          <w:ilvl w:val="0"/>
          <w:numId w:val="16"/>
        </w:numPr>
        <w:tabs>
          <w:tab w:val="left" w:pos="567"/>
        </w:tabs>
        <w:spacing w:after="60"/>
        <w:contextualSpacing/>
        <w:rPr>
          <w:rFonts w:eastAsia="Calibri" w:cs="Verdana"/>
          <w:lang w:val="es-CR"/>
        </w:rPr>
      </w:pPr>
      <w:r w:rsidRPr="00F740CD">
        <w:rPr>
          <w:lang w:val="es-CR"/>
        </w:rPr>
        <w:t>Desestimar por</w:t>
      </w:r>
      <w:r w:rsidR="00A45394" w:rsidRPr="00F740CD">
        <w:rPr>
          <w:lang w:val="es-CR"/>
        </w:rPr>
        <w:t xml:space="preserve"> </w:t>
      </w:r>
      <w:r w:rsidR="00AD0795" w:rsidRPr="00F740CD">
        <w:rPr>
          <w:lang w:val="es-CR"/>
        </w:rPr>
        <w:t>improcedentes</w:t>
      </w:r>
      <w:r w:rsidR="008A25D2" w:rsidRPr="00F740CD">
        <w:rPr>
          <w:lang w:val="es-CR"/>
        </w:rPr>
        <w:t xml:space="preserve"> </w:t>
      </w:r>
      <w:r w:rsidR="00AD0795" w:rsidRPr="00F740CD">
        <w:rPr>
          <w:lang w:val="es-CR"/>
        </w:rPr>
        <w:t>los tres</w:t>
      </w:r>
      <w:r w:rsidR="00480B0A" w:rsidRPr="00F740CD">
        <w:rPr>
          <w:lang w:val="es-CR"/>
        </w:rPr>
        <w:t xml:space="preserve"> puntos de la solicitud</w:t>
      </w:r>
      <w:r w:rsidR="00AD0795" w:rsidRPr="00F740CD">
        <w:rPr>
          <w:lang w:val="es-CR"/>
        </w:rPr>
        <w:t xml:space="preserve"> de interpretación </w:t>
      </w:r>
      <w:r w:rsidR="00A27490" w:rsidRPr="00F740CD">
        <w:rPr>
          <w:rFonts w:cs="Arial"/>
          <w:lang w:val="es-CR"/>
        </w:rPr>
        <w:t xml:space="preserve">de la Sentencia de excepciones preliminares, fondo, reparaciones y costas emitida </w:t>
      </w:r>
      <w:r w:rsidR="00D6613A" w:rsidRPr="00F740CD">
        <w:rPr>
          <w:rFonts w:cs="Arial"/>
          <w:lang w:val="es-CR"/>
        </w:rPr>
        <w:t xml:space="preserve">en el </w:t>
      </w:r>
      <w:r w:rsidR="00D6613A" w:rsidRPr="00F740CD">
        <w:rPr>
          <w:rFonts w:eastAsia="Times New Roman"/>
          <w:szCs w:val="20"/>
          <w:lang w:val="es-CR" w:eastAsia="es-ES"/>
        </w:rPr>
        <w:t xml:space="preserve">caso </w:t>
      </w:r>
      <w:r w:rsidR="00D6613A" w:rsidRPr="00F740CD">
        <w:rPr>
          <w:rFonts w:eastAsia="Times New Roman"/>
          <w:i/>
          <w:szCs w:val="20"/>
          <w:lang w:val="es-CR" w:eastAsia="es-ES"/>
        </w:rPr>
        <w:t>I.V. Vs. Bolivia</w:t>
      </w:r>
      <w:r w:rsidR="00D6613A" w:rsidRPr="00F740CD">
        <w:rPr>
          <w:rFonts w:eastAsia="Times New Roman"/>
          <w:szCs w:val="20"/>
          <w:lang w:val="es-CR" w:eastAsia="es-ES"/>
        </w:rPr>
        <w:t xml:space="preserve">, </w:t>
      </w:r>
      <w:r w:rsidR="004D54EA" w:rsidRPr="00F740CD">
        <w:rPr>
          <w:rFonts w:eastAsia="Calibri" w:cs="Verdana"/>
          <w:lang w:val="es-CR"/>
        </w:rPr>
        <w:t>interpuesta por la representante de la víctima</w:t>
      </w:r>
      <w:r w:rsidR="00480B0A" w:rsidRPr="00F740CD">
        <w:rPr>
          <w:lang w:val="es-CR"/>
        </w:rPr>
        <w:t xml:space="preserve">, </w:t>
      </w:r>
      <w:r w:rsidR="00AD0795" w:rsidRPr="00F740CD">
        <w:rPr>
          <w:lang w:val="es-CR"/>
        </w:rPr>
        <w:t xml:space="preserve">por las razones señaladas en </w:t>
      </w:r>
      <w:r w:rsidR="00623E71" w:rsidRPr="00F740CD">
        <w:rPr>
          <w:rFonts w:eastAsia="Times New Roman" w:cs="Arial"/>
          <w:lang w:val="es-CR" w:eastAsia="ko-KR"/>
        </w:rPr>
        <w:t xml:space="preserve">los párrafos </w:t>
      </w:r>
      <w:r w:rsidR="00D6613A" w:rsidRPr="00F740CD">
        <w:rPr>
          <w:rFonts w:eastAsia="Times New Roman" w:cs="Arial"/>
          <w:lang w:val="es-CR" w:eastAsia="ko-KR"/>
        </w:rPr>
        <w:t xml:space="preserve">16 </w:t>
      </w:r>
      <w:r w:rsidR="00623E71" w:rsidRPr="00F740CD">
        <w:rPr>
          <w:rFonts w:eastAsia="Times New Roman" w:cs="Arial"/>
          <w:lang w:val="es-CR" w:eastAsia="ko-KR"/>
        </w:rPr>
        <w:t xml:space="preserve">a </w:t>
      </w:r>
      <w:r w:rsidR="00D6613A" w:rsidRPr="00F740CD">
        <w:rPr>
          <w:rFonts w:eastAsia="Times New Roman" w:cs="Arial"/>
          <w:lang w:val="es-CR" w:eastAsia="ko-KR"/>
        </w:rPr>
        <w:t>18</w:t>
      </w:r>
      <w:r w:rsidR="009C567F" w:rsidRPr="00F740CD">
        <w:rPr>
          <w:rFonts w:eastAsia="Times New Roman" w:cs="Arial"/>
          <w:lang w:val="es-CR" w:eastAsia="ko-KR"/>
        </w:rPr>
        <w:t xml:space="preserve">, </w:t>
      </w:r>
      <w:r w:rsidR="00D6613A" w:rsidRPr="00F740CD">
        <w:rPr>
          <w:rFonts w:eastAsia="Times New Roman" w:cs="Arial"/>
          <w:lang w:val="es-CR" w:eastAsia="ko-KR"/>
        </w:rPr>
        <w:t>22</w:t>
      </w:r>
      <w:r w:rsidR="009C567F" w:rsidRPr="00F740CD">
        <w:rPr>
          <w:rFonts w:eastAsia="Times New Roman" w:cs="Arial"/>
          <w:lang w:val="es-CR" w:eastAsia="ko-KR"/>
        </w:rPr>
        <w:t xml:space="preserve"> a </w:t>
      </w:r>
      <w:r w:rsidR="00D6613A" w:rsidRPr="00F740CD">
        <w:rPr>
          <w:rFonts w:eastAsia="Times New Roman" w:cs="Arial"/>
          <w:lang w:val="es-CR" w:eastAsia="ko-KR"/>
        </w:rPr>
        <w:t>24</w:t>
      </w:r>
      <w:r w:rsidR="009C567F" w:rsidRPr="00F740CD">
        <w:rPr>
          <w:rFonts w:eastAsia="Times New Roman" w:cs="Arial"/>
          <w:lang w:val="es-CR" w:eastAsia="ko-KR"/>
        </w:rPr>
        <w:t xml:space="preserve"> y </w:t>
      </w:r>
      <w:r w:rsidR="00D6613A" w:rsidRPr="00F740CD">
        <w:rPr>
          <w:rFonts w:eastAsia="Times New Roman" w:cs="Arial"/>
          <w:lang w:val="es-CR" w:eastAsia="ko-KR"/>
        </w:rPr>
        <w:t>28</w:t>
      </w:r>
      <w:r w:rsidR="009C567F" w:rsidRPr="00F740CD">
        <w:rPr>
          <w:rFonts w:eastAsia="Times New Roman" w:cs="Arial"/>
          <w:lang w:val="es-CR" w:eastAsia="ko-KR"/>
        </w:rPr>
        <w:t xml:space="preserve"> a </w:t>
      </w:r>
      <w:r w:rsidR="00D6613A" w:rsidRPr="00F740CD">
        <w:rPr>
          <w:rFonts w:eastAsia="Times New Roman" w:cs="Arial"/>
          <w:lang w:val="es-CR" w:eastAsia="ko-KR"/>
        </w:rPr>
        <w:t>31</w:t>
      </w:r>
      <w:r w:rsidR="00623E71" w:rsidRPr="00F740CD">
        <w:rPr>
          <w:rFonts w:eastAsia="Times New Roman" w:cs="Arial"/>
          <w:lang w:val="es-CR" w:eastAsia="ko-KR"/>
        </w:rPr>
        <w:t xml:space="preserve"> de la presente </w:t>
      </w:r>
      <w:r w:rsidR="009C567F" w:rsidRPr="00F740CD">
        <w:rPr>
          <w:rFonts w:eastAsia="Times New Roman" w:cs="Arial"/>
          <w:lang w:val="es-CR" w:eastAsia="ko-KR"/>
        </w:rPr>
        <w:t>S</w:t>
      </w:r>
      <w:r w:rsidR="00623E71" w:rsidRPr="00F740CD">
        <w:rPr>
          <w:rFonts w:eastAsia="Times New Roman" w:cs="Arial"/>
          <w:lang w:val="es-CR" w:eastAsia="ko-KR"/>
        </w:rPr>
        <w:t xml:space="preserve">entencia de </w:t>
      </w:r>
      <w:r w:rsidRPr="00F740CD">
        <w:rPr>
          <w:rFonts w:eastAsia="Times New Roman" w:cs="Arial"/>
          <w:lang w:val="es-CR" w:eastAsia="ko-KR"/>
        </w:rPr>
        <w:t>i</w:t>
      </w:r>
      <w:r w:rsidR="00623E71" w:rsidRPr="00F740CD">
        <w:rPr>
          <w:rFonts w:eastAsia="Times New Roman" w:cs="Arial"/>
          <w:lang w:val="es-CR" w:eastAsia="ko-KR"/>
        </w:rPr>
        <w:t>nterpretación</w:t>
      </w:r>
      <w:r w:rsidR="001B4778" w:rsidRPr="00F740CD">
        <w:rPr>
          <w:rFonts w:eastAsia="Times New Roman" w:cs="Arial"/>
          <w:lang w:val="es-CR" w:eastAsia="ko-KR"/>
        </w:rPr>
        <w:t>.</w:t>
      </w:r>
    </w:p>
    <w:p w:rsidR="00A45394" w:rsidRPr="00F740CD" w:rsidRDefault="00A45394" w:rsidP="005067C2">
      <w:pPr>
        <w:pStyle w:val="ListParagraph"/>
        <w:tabs>
          <w:tab w:val="left" w:pos="567"/>
        </w:tabs>
        <w:spacing w:after="60"/>
        <w:ind w:left="0"/>
        <w:contextualSpacing/>
        <w:rPr>
          <w:lang w:val="es-CR"/>
        </w:rPr>
      </w:pPr>
    </w:p>
    <w:p w:rsidR="00A45394" w:rsidRPr="00F740CD" w:rsidRDefault="00A45394" w:rsidP="00946CAD">
      <w:pPr>
        <w:numPr>
          <w:ilvl w:val="0"/>
          <w:numId w:val="16"/>
        </w:numPr>
        <w:tabs>
          <w:tab w:val="clear" w:pos="1247"/>
          <w:tab w:val="num" w:pos="709"/>
        </w:tabs>
        <w:jc w:val="both"/>
        <w:rPr>
          <w:lang w:val="es-CR"/>
        </w:rPr>
      </w:pPr>
      <w:r w:rsidRPr="00F740CD">
        <w:rPr>
          <w:rFonts w:eastAsia="Batang"/>
          <w:lang w:val="es-CR"/>
        </w:rPr>
        <w:t xml:space="preserve">Disponer que la Secretaría de la Corte notifique la presente </w:t>
      </w:r>
      <w:r w:rsidR="003F0BB7">
        <w:rPr>
          <w:rFonts w:eastAsia="Batang"/>
          <w:lang w:val="es-CR"/>
        </w:rPr>
        <w:t>S</w:t>
      </w:r>
      <w:r w:rsidRPr="00F740CD">
        <w:rPr>
          <w:rFonts w:eastAsia="Batang"/>
          <w:lang w:val="es-CR"/>
        </w:rPr>
        <w:t xml:space="preserve">entencia </w:t>
      </w:r>
      <w:r w:rsidR="002110AC" w:rsidRPr="00F740CD">
        <w:rPr>
          <w:rFonts w:eastAsia="Times New Roman" w:cs="Arial"/>
          <w:lang w:val="es-CR" w:eastAsia="ko-KR"/>
        </w:rPr>
        <w:t>de interpretación</w:t>
      </w:r>
      <w:r w:rsidR="002110AC" w:rsidRPr="00F740CD">
        <w:rPr>
          <w:rFonts w:eastAsia="Batang"/>
          <w:lang w:val="es-CR"/>
        </w:rPr>
        <w:t xml:space="preserve"> </w:t>
      </w:r>
      <w:r w:rsidR="004D54EA" w:rsidRPr="00F740CD">
        <w:rPr>
          <w:rFonts w:eastAsia="Batang"/>
          <w:lang w:val="es-CR"/>
        </w:rPr>
        <w:t>al Estado Plurinacional de Bolivia, a la representante de la víctima</w:t>
      </w:r>
      <w:r w:rsidRPr="00F740CD">
        <w:rPr>
          <w:rFonts w:eastAsia="Batang"/>
          <w:lang w:val="es-CR"/>
        </w:rPr>
        <w:t xml:space="preserve"> y a la Comisión Interamericana de Derechos Humanos.</w:t>
      </w:r>
    </w:p>
    <w:p w:rsidR="00A45394" w:rsidRPr="00F740CD" w:rsidRDefault="00A45394" w:rsidP="00A45394">
      <w:pPr>
        <w:jc w:val="both"/>
        <w:rPr>
          <w:rFonts w:eastAsia="Batang"/>
          <w:lang w:val="es-CR"/>
        </w:rPr>
      </w:pPr>
    </w:p>
    <w:p w:rsidR="00E56507" w:rsidRPr="00F740CD" w:rsidRDefault="00E56507" w:rsidP="00A45394">
      <w:pPr>
        <w:jc w:val="both"/>
        <w:rPr>
          <w:rFonts w:eastAsia="Batang"/>
          <w:lang w:val="es-CR"/>
        </w:rPr>
      </w:pPr>
    </w:p>
    <w:p w:rsidR="00E56507" w:rsidRPr="00F740CD" w:rsidRDefault="00E56507" w:rsidP="00E56507">
      <w:pPr>
        <w:spacing w:afterLines="20" w:after="48"/>
        <w:jc w:val="both"/>
        <w:rPr>
          <w:lang w:val="es-CR"/>
        </w:rPr>
      </w:pPr>
      <w:r w:rsidRPr="00F740CD">
        <w:rPr>
          <w:lang w:val="es-CR"/>
        </w:rPr>
        <w:t xml:space="preserve">Redactada en español, en San José, Costa Rica, el </w:t>
      </w:r>
      <w:r w:rsidR="001F1225" w:rsidRPr="00F740CD">
        <w:rPr>
          <w:lang w:val="es-CR"/>
        </w:rPr>
        <w:t>25</w:t>
      </w:r>
      <w:r w:rsidR="00F31447" w:rsidRPr="00F740CD">
        <w:rPr>
          <w:lang w:val="es-CR"/>
        </w:rPr>
        <w:t xml:space="preserve"> de </w:t>
      </w:r>
      <w:r w:rsidR="004D54EA" w:rsidRPr="00F740CD">
        <w:rPr>
          <w:lang w:val="es-CR"/>
        </w:rPr>
        <w:t>mayo de 2017</w:t>
      </w:r>
      <w:r w:rsidRPr="00F740CD">
        <w:rPr>
          <w:lang w:val="es-CR"/>
        </w:rPr>
        <w:t>.</w:t>
      </w:r>
    </w:p>
    <w:p w:rsidR="00E56507" w:rsidRDefault="00E56507" w:rsidP="00A45394">
      <w:pPr>
        <w:jc w:val="both"/>
        <w:rPr>
          <w:rFonts w:eastAsia="Batang"/>
          <w:lang w:val="es-CR"/>
        </w:rPr>
      </w:pPr>
    </w:p>
    <w:p w:rsidR="00F16677" w:rsidRDefault="00F16677" w:rsidP="00A45394">
      <w:pPr>
        <w:jc w:val="both"/>
        <w:rPr>
          <w:rFonts w:eastAsia="Batang"/>
          <w:lang w:val="es-CR"/>
        </w:rPr>
      </w:pPr>
    </w:p>
    <w:p w:rsidR="00F16677" w:rsidRDefault="00F16677" w:rsidP="00A45394">
      <w:pPr>
        <w:jc w:val="both"/>
        <w:rPr>
          <w:rFonts w:eastAsia="Batang"/>
          <w:lang w:val="es-CR"/>
        </w:rPr>
      </w:pPr>
    </w:p>
    <w:p w:rsidR="00F16677" w:rsidRDefault="00F16677" w:rsidP="00A45394">
      <w:pPr>
        <w:jc w:val="both"/>
        <w:rPr>
          <w:rFonts w:eastAsia="Batang"/>
          <w:lang w:val="es-CR"/>
        </w:rPr>
      </w:pPr>
    </w:p>
    <w:p w:rsidR="00F16677" w:rsidRDefault="00F16677" w:rsidP="00A45394">
      <w:pPr>
        <w:jc w:val="both"/>
        <w:rPr>
          <w:rFonts w:eastAsia="Batang"/>
          <w:lang w:val="es-CR"/>
        </w:rPr>
      </w:pPr>
    </w:p>
    <w:p w:rsidR="00F16677" w:rsidRDefault="00F16677" w:rsidP="00A45394">
      <w:pPr>
        <w:jc w:val="both"/>
        <w:rPr>
          <w:rFonts w:eastAsia="Batang"/>
          <w:lang w:val="es-CR"/>
        </w:rPr>
      </w:pPr>
    </w:p>
    <w:p w:rsidR="00F16677" w:rsidRDefault="00F16677" w:rsidP="00A45394">
      <w:pPr>
        <w:jc w:val="both"/>
        <w:rPr>
          <w:rFonts w:eastAsia="Batang"/>
          <w:lang w:val="es-CR"/>
        </w:rPr>
      </w:pPr>
    </w:p>
    <w:p w:rsidR="00F16677" w:rsidRDefault="00F16677" w:rsidP="00A45394">
      <w:pPr>
        <w:jc w:val="both"/>
        <w:rPr>
          <w:rFonts w:eastAsia="Batang"/>
          <w:lang w:val="es-CR"/>
        </w:rPr>
      </w:pPr>
    </w:p>
    <w:p w:rsidR="00F16677" w:rsidRDefault="00F16677" w:rsidP="00A45394">
      <w:pPr>
        <w:jc w:val="both"/>
        <w:rPr>
          <w:rFonts w:eastAsia="Batang"/>
          <w:lang w:val="es-CR"/>
        </w:rPr>
      </w:pPr>
    </w:p>
    <w:p w:rsidR="00F16677" w:rsidRDefault="00F16677" w:rsidP="00A45394">
      <w:pPr>
        <w:jc w:val="both"/>
        <w:rPr>
          <w:rFonts w:eastAsia="Batang"/>
          <w:lang w:val="es-CR"/>
        </w:rPr>
      </w:pPr>
    </w:p>
    <w:p w:rsidR="00F16677" w:rsidRDefault="00F16677" w:rsidP="00A45394">
      <w:pPr>
        <w:jc w:val="both"/>
        <w:rPr>
          <w:rFonts w:eastAsia="Batang"/>
          <w:lang w:val="es-CR"/>
        </w:rPr>
      </w:pPr>
    </w:p>
    <w:p w:rsidR="00F16677" w:rsidRDefault="00F16677" w:rsidP="00A45394">
      <w:pPr>
        <w:jc w:val="both"/>
        <w:rPr>
          <w:rFonts w:eastAsia="Batang"/>
          <w:lang w:val="es-CR"/>
        </w:rPr>
      </w:pPr>
    </w:p>
    <w:p w:rsidR="00F16677" w:rsidRDefault="00F16677" w:rsidP="00A45394">
      <w:pPr>
        <w:jc w:val="both"/>
        <w:rPr>
          <w:rFonts w:eastAsia="Batang"/>
          <w:lang w:val="es-CR"/>
        </w:rPr>
      </w:pPr>
    </w:p>
    <w:p w:rsidR="00F16677" w:rsidRDefault="00F16677" w:rsidP="00A45394">
      <w:pPr>
        <w:jc w:val="both"/>
        <w:rPr>
          <w:rFonts w:eastAsia="Batang"/>
          <w:lang w:val="es-CR"/>
        </w:rPr>
      </w:pPr>
    </w:p>
    <w:p w:rsidR="00F16677" w:rsidRDefault="00F16677" w:rsidP="00A45394">
      <w:pPr>
        <w:jc w:val="both"/>
        <w:rPr>
          <w:rFonts w:eastAsia="Batang"/>
          <w:lang w:val="es-CR"/>
        </w:rPr>
      </w:pPr>
    </w:p>
    <w:p w:rsidR="00F16677" w:rsidRDefault="00F16677" w:rsidP="00A45394">
      <w:pPr>
        <w:jc w:val="both"/>
        <w:rPr>
          <w:rFonts w:eastAsia="Batang"/>
          <w:lang w:val="es-CR"/>
        </w:rPr>
      </w:pPr>
    </w:p>
    <w:p w:rsidR="00F16677" w:rsidRDefault="00F16677" w:rsidP="00A45394">
      <w:pPr>
        <w:jc w:val="both"/>
        <w:rPr>
          <w:rFonts w:eastAsia="Batang"/>
          <w:lang w:val="es-CR"/>
        </w:rPr>
      </w:pPr>
    </w:p>
    <w:p w:rsidR="00F16677" w:rsidRDefault="00F16677" w:rsidP="00A45394">
      <w:pPr>
        <w:jc w:val="both"/>
        <w:rPr>
          <w:rFonts w:eastAsia="Batang"/>
          <w:lang w:val="es-CR"/>
        </w:rPr>
      </w:pPr>
    </w:p>
    <w:p w:rsidR="00F16677" w:rsidRDefault="00F16677" w:rsidP="00A45394">
      <w:pPr>
        <w:jc w:val="both"/>
        <w:rPr>
          <w:rFonts w:eastAsia="Batang"/>
          <w:lang w:val="es-CR"/>
        </w:rPr>
      </w:pPr>
    </w:p>
    <w:p w:rsidR="00F16677" w:rsidRDefault="00F16677" w:rsidP="00A45394">
      <w:pPr>
        <w:jc w:val="both"/>
        <w:rPr>
          <w:rFonts w:eastAsia="Batang"/>
          <w:lang w:val="es-CR"/>
        </w:rPr>
      </w:pPr>
    </w:p>
    <w:p w:rsidR="00F16677" w:rsidRDefault="00F16677" w:rsidP="00A45394">
      <w:pPr>
        <w:jc w:val="both"/>
        <w:rPr>
          <w:rFonts w:eastAsia="Batang"/>
          <w:lang w:val="es-CR"/>
        </w:rPr>
      </w:pPr>
    </w:p>
    <w:p w:rsidR="00F16677" w:rsidRDefault="00F16677" w:rsidP="00A45394">
      <w:pPr>
        <w:jc w:val="both"/>
        <w:rPr>
          <w:rFonts w:eastAsia="Batang"/>
          <w:lang w:val="es-CR"/>
        </w:rPr>
      </w:pPr>
    </w:p>
    <w:p w:rsidR="00F16677" w:rsidRDefault="00F16677" w:rsidP="00A45394">
      <w:pPr>
        <w:jc w:val="both"/>
        <w:rPr>
          <w:rFonts w:eastAsia="Batang"/>
          <w:lang w:val="es-CR"/>
        </w:rPr>
      </w:pPr>
    </w:p>
    <w:p w:rsidR="00F16677" w:rsidRDefault="00F16677" w:rsidP="00A45394">
      <w:pPr>
        <w:jc w:val="both"/>
        <w:rPr>
          <w:rFonts w:eastAsia="Batang"/>
          <w:lang w:val="es-CR"/>
        </w:rPr>
      </w:pPr>
    </w:p>
    <w:p w:rsidR="00F16677" w:rsidRDefault="00F16677" w:rsidP="00F16677">
      <w:pPr>
        <w:jc w:val="both"/>
        <w:rPr>
          <w:lang w:val="es-ES"/>
        </w:rPr>
      </w:pPr>
      <w:r>
        <w:rPr>
          <w:lang w:val="es-ES"/>
        </w:rPr>
        <w:t xml:space="preserve">Corte IDH. </w:t>
      </w:r>
      <w:r w:rsidRPr="00881D57">
        <w:rPr>
          <w:i/>
          <w:lang w:val="es-ES"/>
        </w:rPr>
        <w:t>Caso I.V. Vs. Bolivia</w:t>
      </w:r>
      <w:r>
        <w:rPr>
          <w:lang w:val="es-ES"/>
        </w:rPr>
        <w:t xml:space="preserve">. Interpretación de la Sentencia de Excepciones Preliminares, Fondo, Reparaciones y Costas. Sentencia de 25 de mayo de 2017. </w:t>
      </w:r>
    </w:p>
    <w:p w:rsidR="00F16677" w:rsidRPr="00881D57" w:rsidRDefault="00F16677" w:rsidP="00F16677">
      <w:pPr>
        <w:rPr>
          <w:lang w:val="es-ES"/>
        </w:rPr>
      </w:pPr>
    </w:p>
    <w:p w:rsidR="00F16677" w:rsidRDefault="00F16677" w:rsidP="00F16677">
      <w:pPr>
        <w:rPr>
          <w:lang w:val="es-CR"/>
        </w:rPr>
      </w:pPr>
    </w:p>
    <w:p w:rsidR="00F16677" w:rsidRDefault="00F16677" w:rsidP="00F16677">
      <w:pPr>
        <w:rPr>
          <w:lang w:val="es-CR"/>
        </w:rPr>
      </w:pPr>
    </w:p>
    <w:p w:rsidR="00F16677" w:rsidRDefault="00F16677" w:rsidP="00F16677">
      <w:pPr>
        <w:jc w:val="center"/>
        <w:rPr>
          <w:lang w:val="es-ES"/>
        </w:rPr>
      </w:pPr>
    </w:p>
    <w:p w:rsidR="00F16677" w:rsidRDefault="00F16677" w:rsidP="00F16677">
      <w:pPr>
        <w:jc w:val="center"/>
        <w:rPr>
          <w:lang w:val="es-ES"/>
        </w:rPr>
      </w:pPr>
    </w:p>
    <w:p w:rsidR="00F16677" w:rsidRPr="004B7A1D" w:rsidRDefault="00F16677" w:rsidP="00F16677">
      <w:pPr>
        <w:jc w:val="center"/>
        <w:rPr>
          <w:lang w:val="es-ES"/>
        </w:rPr>
      </w:pPr>
      <w:r>
        <w:rPr>
          <w:lang w:val="es-ES"/>
        </w:rPr>
        <w:t>Roberto F. Caldas</w:t>
      </w:r>
    </w:p>
    <w:p w:rsidR="00F16677" w:rsidRPr="004B7A1D" w:rsidRDefault="00F16677" w:rsidP="00F16677">
      <w:pPr>
        <w:jc w:val="center"/>
        <w:rPr>
          <w:lang w:val="es-ES"/>
        </w:rPr>
      </w:pPr>
      <w:r w:rsidRPr="004B7A1D">
        <w:rPr>
          <w:lang w:val="es-ES"/>
        </w:rPr>
        <w:t xml:space="preserve">Presidente </w:t>
      </w:r>
    </w:p>
    <w:p w:rsidR="00F16677" w:rsidRPr="004B7A1D" w:rsidRDefault="00F16677" w:rsidP="00F16677">
      <w:pPr>
        <w:jc w:val="both"/>
        <w:rPr>
          <w:lang w:val="es-ES"/>
        </w:rPr>
      </w:pPr>
    </w:p>
    <w:p w:rsidR="00F16677" w:rsidRPr="004B7A1D" w:rsidRDefault="00F16677" w:rsidP="00F16677">
      <w:pPr>
        <w:tabs>
          <w:tab w:val="left" w:pos="1485"/>
        </w:tabs>
        <w:jc w:val="both"/>
        <w:rPr>
          <w:lang w:val="es-ES"/>
        </w:rPr>
      </w:pPr>
      <w:r>
        <w:rPr>
          <w:lang w:val="es-ES"/>
        </w:rPr>
        <w:tab/>
      </w:r>
    </w:p>
    <w:p w:rsidR="00F16677" w:rsidRPr="004B7A1D" w:rsidRDefault="00F16677" w:rsidP="00F16677">
      <w:pPr>
        <w:jc w:val="both"/>
        <w:rPr>
          <w:lang w:val="es-ES"/>
        </w:rPr>
      </w:pPr>
    </w:p>
    <w:p w:rsidR="00F16677" w:rsidRPr="004B7A1D" w:rsidRDefault="00F16677" w:rsidP="00F16677">
      <w:pPr>
        <w:jc w:val="both"/>
        <w:rPr>
          <w:lang w:val="es-ES"/>
        </w:rPr>
      </w:pPr>
    </w:p>
    <w:p w:rsidR="00F16677" w:rsidRPr="004B7A1D" w:rsidRDefault="00F16677" w:rsidP="00F16677">
      <w:pPr>
        <w:jc w:val="both"/>
        <w:rPr>
          <w:lang w:val="es-ES"/>
        </w:rPr>
      </w:pPr>
    </w:p>
    <w:p w:rsidR="00F16677" w:rsidRPr="004B7A1D" w:rsidRDefault="00F16677" w:rsidP="00F16677">
      <w:pPr>
        <w:jc w:val="both"/>
        <w:rPr>
          <w:lang w:val="es-ES"/>
        </w:rPr>
      </w:pPr>
      <w:r>
        <w:rPr>
          <w:lang w:val="es-ES"/>
        </w:rPr>
        <w:t>Eduardo Ferrer Mac-Gregor Poisot</w:t>
      </w:r>
      <w:r w:rsidRPr="004B7A1D">
        <w:rPr>
          <w:lang w:val="es-ES"/>
        </w:rPr>
        <w:tab/>
      </w:r>
      <w:r w:rsidRPr="004B7A1D">
        <w:rPr>
          <w:lang w:val="es-ES"/>
        </w:rPr>
        <w:tab/>
      </w:r>
      <w:r w:rsidRPr="004B7A1D">
        <w:rPr>
          <w:lang w:val="es-ES"/>
        </w:rPr>
        <w:tab/>
      </w:r>
      <w:r w:rsidRPr="004B7A1D">
        <w:rPr>
          <w:lang w:val="es-ES"/>
        </w:rPr>
        <w:tab/>
      </w:r>
      <w:r w:rsidRPr="004B7A1D">
        <w:rPr>
          <w:lang w:val="es-ES"/>
        </w:rPr>
        <w:tab/>
      </w:r>
      <w:r>
        <w:rPr>
          <w:lang w:val="es-ES"/>
        </w:rPr>
        <w:t xml:space="preserve">       Eduardo Vio Grossi</w:t>
      </w:r>
    </w:p>
    <w:p w:rsidR="00F16677" w:rsidRPr="004B7A1D" w:rsidRDefault="00F16677" w:rsidP="00F16677">
      <w:pPr>
        <w:jc w:val="both"/>
        <w:rPr>
          <w:lang w:val="es-ES"/>
        </w:rPr>
      </w:pPr>
    </w:p>
    <w:p w:rsidR="00F16677" w:rsidRPr="004B7A1D" w:rsidRDefault="00F16677" w:rsidP="00F16677">
      <w:pPr>
        <w:jc w:val="both"/>
        <w:rPr>
          <w:lang w:val="es-ES"/>
        </w:rPr>
      </w:pPr>
    </w:p>
    <w:p w:rsidR="00F16677" w:rsidRPr="004B7A1D" w:rsidRDefault="00F16677" w:rsidP="00F16677">
      <w:pPr>
        <w:jc w:val="both"/>
        <w:rPr>
          <w:lang w:val="es-ES"/>
        </w:rPr>
      </w:pPr>
    </w:p>
    <w:p w:rsidR="00F16677" w:rsidRPr="004B7A1D" w:rsidRDefault="00F16677" w:rsidP="00F16677">
      <w:pPr>
        <w:jc w:val="both"/>
        <w:rPr>
          <w:lang w:val="es-ES"/>
        </w:rPr>
      </w:pPr>
    </w:p>
    <w:p w:rsidR="00F16677" w:rsidRPr="004B7A1D" w:rsidRDefault="00F16677" w:rsidP="00F16677">
      <w:pPr>
        <w:jc w:val="both"/>
        <w:rPr>
          <w:lang w:val="es-ES"/>
        </w:rPr>
      </w:pPr>
    </w:p>
    <w:p w:rsidR="00F16677" w:rsidRPr="004B7A1D" w:rsidRDefault="00F16677" w:rsidP="00F16677">
      <w:pPr>
        <w:jc w:val="both"/>
        <w:rPr>
          <w:lang w:val="es-ES"/>
        </w:rPr>
      </w:pPr>
      <w:r>
        <w:rPr>
          <w:lang w:val="es-ES"/>
        </w:rPr>
        <w:t>Humberto Antonio Sierra Porto</w:t>
      </w:r>
      <w:r>
        <w:rPr>
          <w:lang w:val="es-ES"/>
        </w:rPr>
        <w:tab/>
      </w:r>
      <w:r>
        <w:rPr>
          <w:lang w:val="es-ES"/>
        </w:rPr>
        <w:tab/>
      </w:r>
      <w:r>
        <w:rPr>
          <w:lang w:val="es-ES"/>
        </w:rPr>
        <w:tab/>
      </w:r>
      <w:r>
        <w:rPr>
          <w:lang w:val="es-ES"/>
        </w:rPr>
        <w:tab/>
      </w:r>
      <w:r>
        <w:rPr>
          <w:lang w:val="es-ES"/>
        </w:rPr>
        <w:tab/>
        <w:t xml:space="preserve">    Elizabeth Odio Benito</w:t>
      </w:r>
      <w:r w:rsidRPr="004B7A1D">
        <w:rPr>
          <w:lang w:val="es-ES"/>
        </w:rPr>
        <w:t xml:space="preserve"> </w:t>
      </w:r>
    </w:p>
    <w:p w:rsidR="00F16677" w:rsidRPr="004B7A1D" w:rsidRDefault="00F16677" w:rsidP="00F16677">
      <w:pPr>
        <w:jc w:val="both"/>
        <w:rPr>
          <w:lang w:val="es-ES"/>
        </w:rPr>
      </w:pPr>
    </w:p>
    <w:p w:rsidR="00F16677" w:rsidRPr="004B7A1D" w:rsidRDefault="00F16677" w:rsidP="00F16677">
      <w:pPr>
        <w:jc w:val="both"/>
        <w:rPr>
          <w:lang w:val="es-ES"/>
        </w:rPr>
      </w:pPr>
    </w:p>
    <w:p w:rsidR="00F16677" w:rsidRPr="004B7A1D" w:rsidRDefault="00F16677" w:rsidP="00F16677">
      <w:pPr>
        <w:jc w:val="both"/>
        <w:rPr>
          <w:lang w:val="es-ES"/>
        </w:rPr>
      </w:pPr>
    </w:p>
    <w:p w:rsidR="00F16677" w:rsidRPr="004B7A1D" w:rsidRDefault="00F16677" w:rsidP="00F16677">
      <w:pPr>
        <w:jc w:val="both"/>
        <w:rPr>
          <w:lang w:val="es-ES"/>
        </w:rPr>
      </w:pPr>
    </w:p>
    <w:p w:rsidR="00F16677" w:rsidRPr="004B7A1D" w:rsidRDefault="00F16677" w:rsidP="00F16677">
      <w:pPr>
        <w:jc w:val="both"/>
        <w:rPr>
          <w:lang w:val="es-ES"/>
        </w:rPr>
      </w:pPr>
    </w:p>
    <w:p w:rsidR="00F16677" w:rsidRPr="004B7A1D" w:rsidRDefault="00F16677" w:rsidP="00F16677">
      <w:pPr>
        <w:rPr>
          <w:lang w:val="es-ES"/>
        </w:rPr>
      </w:pPr>
      <w:r>
        <w:rPr>
          <w:lang w:val="es-ES"/>
        </w:rPr>
        <w:t>Eugenio Raúl Zaffaroni</w:t>
      </w:r>
      <w:r w:rsidRPr="004B7A1D">
        <w:rPr>
          <w:lang w:val="es-ES"/>
        </w:rPr>
        <w:t xml:space="preserve"> </w:t>
      </w:r>
      <w:r>
        <w:rPr>
          <w:lang w:val="es-ES"/>
        </w:rPr>
        <w:tab/>
      </w:r>
      <w:r>
        <w:rPr>
          <w:lang w:val="es-ES"/>
        </w:rPr>
        <w:tab/>
      </w:r>
      <w:r>
        <w:rPr>
          <w:lang w:val="es-ES"/>
        </w:rPr>
        <w:tab/>
      </w:r>
      <w:r>
        <w:rPr>
          <w:lang w:val="es-ES"/>
        </w:rPr>
        <w:tab/>
      </w:r>
      <w:r>
        <w:rPr>
          <w:lang w:val="es-ES"/>
        </w:rPr>
        <w:tab/>
        <w:t xml:space="preserve">        L. Patricio Pazmiño Freire</w:t>
      </w:r>
    </w:p>
    <w:p w:rsidR="00F16677" w:rsidRPr="004B7A1D" w:rsidRDefault="00F16677" w:rsidP="00F16677">
      <w:pPr>
        <w:jc w:val="both"/>
        <w:rPr>
          <w:lang w:val="es-ES"/>
        </w:rPr>
      </w:pPr>
    </w:p>
    <w:p w:rsidR="00F16677" w:rsidRPr="004B7A1D" w:rsidRDefault="00F16677" w:rsidP="00F16677">
      <w:pPr>
        <w:jc w:val="both"/>
        <w:rPr>
          <w:lang w:val="es-ES"/>
        </w:rPr>
      </w:pPr>
    </w:p>
    <w:p w:rsidR="00F16677" w:rsidRPr="004B7A1D" w:rsidRDefault="00F16677" w:rsidP="00F16677">
      <w:pPr>
        <w:jc w:val="both"/>
        <w:rPr>
          <w:lang w:val="es-ES"/>
        </w:rPr>
      </w:pPr>
    </w:p>
    <w:p w:rsidR="00F16677" w:rsidRPr="004B7A1D" w:rsidRDefault="00F16677" w:rsidP="00F16677">
      <w:pPr>
        <w:jc w:val="both"/>
        <w:rPr>
          <w:lang w:val="es-CR"/>
        </w:rPr>
      </w:pPr>
    </w:p>
    <w:p w:rsidR="00F16677" w:rsidRPr="004B7A1D" w:rsidRDefault="00F16677" w:rsidP="00F16677">
      <w:pPr>
        <w:jc w:val="both"/>
        <w:rPr>
          <w:lang w:val="es-ES"/>
        </w:rPr>
      </w:pPr>
    </w:p>
    <w:p w:rsidR="00F16677" w:rsidRPr="004B7A1D" w:rsidRDefault="00F16677" w:rsidP="00F16677">
      <w:pPr>
        <w:jc w:val="center"/>
        <w:rPr>
          <w:lang w:val="es-ES"/>
        </w:rPr>
      </w:pPr>
      <w:r w:rsidRPr="004B7A1D">
        <w:rPr>
          <w:lang w:val="es-ES"/>
        </w:rPr>
        <w:t>Pablo Saavedra Alessandri</w:t>
      </w:r>
    </w:p>
    <w:p w:rsidR="00F16677" w:rsidRPr="004B7A1D" w:rsidRDefault="00F16677" w:rsidP="00F16677">
      <w:pPr>
        <w:jc w:val="center"/>
        <w:rPr>
          <w:lang w:val="es-ES"/>
        </w:rPr>
      </w:pPr>
      <w:r w:rsidRPr="004B7A1D">
        <w:rPr>
          <w:lang w:val="es-ES"/>
        </w:rPr>
        <w:t>Secretario</w:t>
      </w:r>
    </w:p>
    <w:p w:rsidR="00F16677" w:rsidRPr="004B7A1D" w:rsidRDefault="00F16677" w:rsidP="00F16677">
      <w:pPr>
        <w:rPr>
          <w:lang w:val="es-ES"/>
        </w:rPr>
      </w:pPr>
    </w:p>
    <w:p w:rsidR="00F16677" w:rsidRPr="004B7A1D" w:rsidRDefault="00F16677" w:rsidP="00F16677">
      <w:pPr>
        <w:pStyle w:val="FootnoteText"/>
        <w:rPr>
          <w:lang w:val="es-ES"/>
        </w:rPr>
      </w:pPr>
    </w:p>
    <w:p w:rsidR="00F16677" w:rsidRPr="004B7A1D" w:rsidRDefault="00F16677" w:rsidP="00F16677">
      <w:pPr>
        <w:pStyle w:val="FootnoteText"/>
        <w:rPr>
          <w:lang w:val="es-ES"/>
        </w:rPr>
      </w:pPr>
    </w:p>
    <w:p w:rsidR="00F16677" w:rsidRPr="004B7A1D" w:rsidRDefault="00F16677" w:rsidP="00F16677">
      <w:pPr>
        <w:pStyle w:val="FootnoteText"/>
        <w:rPr>
          <w:lang w:val="es-ES"/>
        </w:rPr>
      </w:pPr>
    </w:p>
    <w:p w:rsidR="00F16677" w:rsidRPr="004B7A1D" w:rsidRDefault="00F16677" w:rsidP="00F16677">
      <w:pPr>
        <w:pStyle w:val="FootnoteText"/>
        <w:rPr>
          <w:lang w:val="es-ES"/>
        </w:rPr>
      </w:pPr>
    </w:p>
    <w:p w:rsidR="00F16677" w:rsidRPr="004B7A1D" w:rsidRDefault="00F16677" w:rsidP="00F16677">
      <w:pPr>
        <w:jc w:val="both"/>
        <w:rPr>
          <w:lang w:val="es-ES"/>
        </w:rPr>
      </w:pPr>
      <w:r w:rsidRPr="004B7A1D">
        <w:rPr>
          <w:lang w:val="es-ES"/>
        </w:rPr>
        <w:t>Comuníquese y ejecútese,</w:t>
      </w:r>
    </w:p>
    <w:p w:rsidR="00F16677" w:rsidRPr="004B7A1D" w:rsidRDefault="00F16677" w:rsidP="00F16677">
      <w:pPr>
        <w:jc w:val="both"/>
        <w:rPr>
          <w:lang w:val="es-ES"/>
        </w:rPr>
      </w:pPr>
    </w:p>
    <w:p w:rsidR="00F16677" w:rsidRPr="004B7A1D" w:rsidRDefault="00F16677" w:rsidP="00F16677">
      <w:pPr>
        <w:jc w:val="both"/>
        <w:rPr>
          <w:lang w:val="es-ES"/>
        </w:rPr>
      </w:pPr>
    </w:p>
    <w:p w:rsidR="00F16677" w:rsidRPr="004B7A1D" w:rsidRDefault="00F16677" w:rsidP="00F16677">
      <w:pPr>
        <w:jc w:val="both"/>
        <w:rPr>
          <w:lang w:val="es-ES"/>
        </w:rPr>
      </w:pPr>
    </w:p>
    <w:p w:rsidR="00F16677" w:rsidRPr="004B7A1D" w:rsidRDefault="00F16677" w:rsidP="00F16677">
      <w:pPr>
        <w:jc w:val="both"/>
        <w:rPr>
          <w:lang w:val="es-ES"/>
        </w:rPr>
      </w:pPr>
    </w:p>
    <w:p w:rsidR="00F16677" w:rsidRPr="004B7A1D" w:rsidRDefault="00F16677" w:rsidP="00F16677">
      <w:pPr>
        <w:ind w:left="4956" w:firstLine="708"/>
        <w:jc w:val="center"/>
        <w:rPr>
          <w:lang w:val="es-ES"/>
        </w:rPr>
      </w:pPr>
      <w:r>
        <w:rPr>
          <w:lang w:val="es-ES"/>
        </w:rPr>
        <w:t>Roberto F. Caldas</w:t>
      </w:r>
    </w:p>
    <w:p w:rsidR="00F16677" w:rsidRPr="004B7A1D" w:rsidRDefault="00F16677" w:rsidP="00F16677">
      <w:pPr>
        <w:ind w:left="4956" w:firstLine="708"/>
        <w:jc w:val="center"/>
        <w:rPr>
          <w:lang w:val="es-ES"/>
        </w:rPr>
      </w:pPr>
      <w:r w:rsidRPr="004B7A1D">
        <w:rPr>
          <w:lang w:val="es-ES"/>
        </w:rPr>
        <w:t xml:space="preserve">Presidente </w:t>
      </w:r>
    </w:p>
    <w:p w:rsidR="00F16677" w:rsidRPr="004B7A1D" w:rsidRDefault="00F16677" w:rsidP="00F16677">
      <w:pPr>
        <w:jc w:val="both"/>
        <w:rPr>
          <w:lang w:val="es-ES"/>
        </w:rPr>
      </w:pPr>
    </w:p>
    <w:p w:rsidR="00F16677" w:rsidRPr="004B7A1D" w:rsidRDefault="00F16677" w:rsidP="00F16677">
      <w:pPr>
        <w:jc w:val="both"/>
        <w:rPr>
          <w:lang w:val="es-ES"/>
        </w:rPr>
      </w:pPr>
    </w:p>
    <w:p w:rsidR="00F16677" w:rsidRPr="004B7A1D" w:rsidRDefault="00F16677" w:rsidP="00F16677">
      <w:pPr>
        <w:jc w:val="both"/>
        <w:rPr>
          <w:lang w:val="es-ES"/>
        </w:rPr>
      </w:pPr>
      <w:r w:rsidRPr="004B7A1D">
        <w:rPr>
          <w:lang w:val="es-ES"/>
        </w:rPr>
        <w:t>Pablo Saavedra Alessandri</w:t>
      </w:r>
    </w:p>
    <w:p w:rsidR="00F16677" w:rsidRPr="004B7A1D" w:rsidRDefault="00F16677" w:rsidP="00F16677">
      <w:pPr>
        <w:rPr>
          <w:lang w:val="es-CR"/>
        </w:rPr>
      </w:pPr>
      <w:r w:rsidRPr="004B7A1D">
        <w:rPr>
          <w:lang w:val="es-ES"/>
        </w:rPr>
        <w:tab/>
      </w:r>
      <w:r w:rsidRPr="004B7A1D">
        <w:rPr>
          <w:lang w:val="es-CR"/>
        </w:rPr>
        <w:t>Secretario</w:t>
      </w:r>
    </w:p>
    <w:p w:rsidR="00F16677" w:rsidRDefault="00F16677" w:rsidP="00F16677"/>
    <w:p w:rsidR="00F16677" w:rsidRPr="00F740CD" w:rsidRDefault="00F16677" w:rsidP="00A45394">
      <w:pPr>
        <w:jc w:val="both"/>
        <w:rPr>
          <w:rFonts w:eastAsia="Batang"/>
          <w:lang w:val="es-CR"/>
        </w:rPr>
      </w:pPr>
    </w:p>
    <w:sectPr w:rsidR="00F16677" w:rsidRPr="00F740CD" w:rsidSect="00A77E35">
      <w:headerReference w:type="even" r:id="rId9"/>
      <w:headerReference w:type="default" r:id="rId10"/>
      <w:pgSz w:w="12240" w:h="15840" w:code="1"/>
      <w:pgMar w:top="1440" w:right="1080" w:bottom="1440" w:left="1080"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B0D" w:rsidRDefault="00950B0D" w:rsidP="0089721F">
      <w:r>
        <w:separator/>
      </w:r>
    </w:p>
  </w:endnote>
  <w:endnote w:type="continuationSeparator" w:id="0">
    <w:p w:rsidR="00950B0D" w:rsidRDefault="00950B0D" w:rsidP="0089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B0D" w:rsidRDefault="00950B0D" w:rsidP="0089721F">
      <w:r>
        <w:separator/>
      </w:r>
    </w:p>
  </w:footnote>
  <w:footnote w:type="continuationSeparator" w:id="0">
    <w:p w:rsidR="00950B0D" w:rsidRDefault="00950B0D" w:rsidP="0089721F">
      <w:r>
        <w:continuationSeparator/>
      </w:r>
    </w:p>
  </w:footnote>
  <w:footnote w:id="1">
    <w:p w:rsidR="000A3DBB" w:rsidRPr="000A3DBB" w:rsidRDefault="000A3DBB" w:rsidP="00F33F01">
      <w:pPr>
        <w:pStyle w:val="FootnoteText"/>
        <w:spacing w:after="120"/>
        <w:rPr>
          <w:lang w:val="es-CR"/>
        </w:rPr>
      </w:pPr>
      <w:r>
        <w:rPr>
          <w:rStyle w:val="FootnoteReference"/>
        </w:rPr>
        <w:footnoteRef/>
      </w:r>
      <w:r>
        <w:t xml:space="preserve"> </w:t>
      </w:r>
      <w:r>
        <w:rPr>
          <w:lang w:val="es-CR"/>
        </w:rPr>
        <w:tab/>
      </w:r>
      <w:r w:rsidRPr="000A3DBB">
        <w:rPr>
          <w:i/>
          <w:lang w:val="es-CR"/>
        </w:rPr>
        <w:t xml:space="preserve">Cfr. Caso Loayza Tamayo Vs. Perú. Interpretación de la Sentencia de Fondo. </w:t>
      </w:r>
      <w:r w:rsidRPr="000A3DBB">
        <w:rPr>
          <w:lang w:val="es-CR"/>
        </w:rPr>
        <w:t>Resolución de la Corte Interamericana</w:t>
      </w:r>
      <w:r>
        <w:rPr>
          <w:lang w:val="es-CR"/>
        </w:rPr>
        <w:t xml:space="preserve"> </w:t>
      </w:r>
      <w:r w:rsidRPr="000A3DBB">
        <w:rPr>
          <w:lang w:val="es-CR"/>
        </w:rPr>
        <w:t xml:space="preserve">de Derechos Humanos de 8 de marzo de 1998. Serie C No. 47, párr. 16, y </w:t>
      </w:r>
      <w:r w:rsidR="00D05504" w:rsidRPr="00D05504">
        <w:rPr>
          <w:i/>
          <w:lang w:val="es-CR"/>
        </w:rPr>
        <w:t xml:space="preserve">Caso Comunidad Campesina de Santa Bárbara Vs. Perú. Interpretación de la Sentencia de Excepciones Preliminares, Fondo, Reparaciones y Costas. </w:t>
      </w:r>
      <w:r w:rsidR="00D05504" w:rsidRPr="00D05504">
        <w:rPr>
          <w:lang w:val="es-CR"/>
        </w:rPr>
        <w:t>Sentencia de 21 de noviembre de 2016. Serie C No. 324</w:t>
      </w:r>
      <w:r w:rsidRPr="000A3DBB">
        <w:rPr>
          <w:lang w:val="es-CR"/>
        </w:rPr>
        <w:t xml:space="preserve">, párr. </w:t>
      </w:r>
      <w:r w:rsidR="00D05504">
        <w:rPr>
          <w:lang w:val="es-CR"/>
        </w:rPr>
        <w:t>1</w:t>
      </w:r>
      <w:r w:rsidRPr="000A3DBB">
        <w:rPr>
          <w:lang w:val="es-CR"/>
        </w:rPr>
        <w:t>0.</w:t>
      </w:r>
    </w:p>
  </w:footnote>
  <w:footnote w:id="2">
    <w:p w:rsidR="000A3DBB" w:rsidRPr="000A3DBB" w:rsidRDefault="000A3DBB" w:rsidP="00F33F01">
      <w:pPr>
        <w:pStyle w:val="FootnoteText"/>
        <w:spacing w:after="120"/>
        <w:rPr>
          <w:lang w:val="es-CR"/>
        </w:rPr>
      </w:pPr>
      <w:r>
        <w:rPr>
          <w:rStyle w:val="FootnoteReference"/>
        </w:rPr>
        <w:footnoteRef/>
      </w:r>
      <w:r>
        <w:t xml:space="preserve"> </w:t>
      </w:r>
      <w:r>
        <w:rPr>
          <w:lang w:val="es-CR"/>
        </w:rPr>
        <w:tab/>
      </w:r>
      <w:r w:rsidRPr="000A3DBB">
        <w:rPr>
          <w:i/>
          <w:lang w:val="es-CR"/>
        </w:rPr>
        <w:t>Cfr. Caso Loayza Tamayo Vs. Perú. Interpretación de la Sentencia de Fondo</w:t>
      </w:r>
      <w:r w:rsidR="00D05504">
        <w:rPr>
          <w:i/>
          <w:lang w:val="es-CR"/>
        </w:rPr>
        <w:t>, supra</w:t>
      </w:r>
      <w:r w:rsidRPr="000A3DBB">
        <w:rPr>
          <w:lang w:val="es-CR"/>
        </w:rPr>
        <w:t xml:space="preserve">, párr. 16, y </w:t>
      </w:r>
      <w:r w:rsidR="00D05504" w:rsidRPr="00D05504">
        <w:rPr>
          <w:i/>
          <w:lang w:val="es-CR"/>
        </w:rPr>
        <w:t>Caso Comunidad Campesina de Santa Bárbara Vs. Perú. Interpretación de la Sentencia de Excepciones Preliminares, Fondo, Reparaciones y Costas</w:t>
      </w:r>
      <w:r w:rsidR="00D05504">
        <w:rPr>
          <w:i/>
          <w:lang w:val="es-CR"/>
        </w:rPr>
        <w:t>, supra</w:t>
      </w:r>
      <w:r w:rsidRPr="000A3DBB">
        <w:rPr>
          <w:lang w:val="es-CR"/>
        </w:rPr>
        <w:t xml:space="preserve">, párr. </w:t>
      </w:r>
      <w:r w:rsidR="00D05504">
        <w:rPr>
          <w:lang w:val="es-CR"/>
        </w:rPr>
        <w:t>1</w:t>
      </w:r>
      <w:r w:rsidRPr="000A3DBB">
        <w:rPr>
          <w:lang w:val="es-CR"/>
        </w:rPr>
        <w:t>0.</w:t>
      </w:r>
    </w:p>
  </w:footnote>
  <w:footnote w:id="3">
    <w:p w:rsidR="00373364" w:rsidRPr="00373364" w:rsidRDefault="00373364" w:rsidP="00F33F01">
      <w:pPr>
        <w:pStyle w:val="FootnoteText"/>
        <w:spacing w:after="120"/>
        <w:rPr>
          <w:lang w:val="es-CR"/>
        </w:rPr>
      </w:pPr>
      <w:r>
        <w:rPr>
          <w:rStyle w:val="FootnoteReference"/>
        </w:rPr>
        <w:footnoteRef/>
      </w:r>
      <w:r>
        <w:t xml:space="preserve"> </w:t>
      </w:r>
      <w:r>
        <w:rPr>
          <w:lang w:val="es-CR"/>
        </w:rPr>
        <w:tab/>
      </w:r>
      <w:r w:rsidRPr="00373364">
        <w:rPr>
          <w:i/>
        </w:rPr>
        <w:t>Cfr. Caso Loayza Tamayo Vs. Perú. Interpretación de la Sentencia de Reparaciones y Costas.</w:t>
      </w:r>
      <w:r>
        <w:t xml:space="preserve"> Sentencia de 3 de junio de 1999. Serie C No. 53, párr. 15, y </w:t>
      </w:r>
      <w:r w:rsidR="000156C5" w:rsidRPr="000156C5">
        <w:rPr>
          <w:i/>
        </w:rPr>
        <w:t xml:space="preserve">Caso Canales Huapaya y otros Vs. Perú. Interpretación de la Sentencia de Excepciones Preliminares, Fondo, Reparaciones y Costas. </w:t>
      </w:r>
      <w:r w:rsidR="000156C5" w:rsidRPr="000156C5">
        <w:t>Sentencia de 21 de noviembre de 2016. Serie C No. 321</w:t>
      </w:r>
      <w:r>
        <w:t>, párr. 1</w:t>
      </w:r>
      <w:r w:rsidR="000156C5">
        <w:t>6</w:t>
      </w:r>
      <w:r>
        <w:t>.</w:t>
      </w:r>
    </w:p>
  </w:footnote>
  <w:footnote w:id="4">
    <w:p w:rsidR="00373364" w:rsidRPr="00373364" w:rsidRDefault="00373364" w:rsidP="00F33F01">
      <w:pPr>
        <w:pStyle w:val="FootnoteText"/>
        <w:spacing w:after="120"/>
        <w:rPr>
          <w:lang w:val="es-CR"/>
        </w:rPr>
      </w:pPr>
      <w:r>
        <w:rPr>
          <w:rStyle w:val="FootnoteReference"/>
        </w:rPr>
        <w:footnoteRef/>
      </w:r>
      <w:r>
        <w:t xml:space="preserve"> </w:t>
      </w:r>
      <w:r>
        <w:rPr>
          <w:lang w:val="es-CR"/>
        </w:rPr>
        <w:tab/>
      </w:r>
      <w:r w:rsidRPr="00373364">
        <w:rPr>
          <w:i/>
        </w:rPr>
        <w:t>Cfr. Caso Salvador Chiriboga Vs. Ecuador. Interpretación de la Sentencia de Reparaciones y Costas.</w:t>
      </w:r>
      <w:r>
        <w:t xml:space="preserve"> Sentencia de 29 de agosto de 2011. Serie C No. 230, párr. 30, y </w:t>
      </w:r>
      <w:r w:rsidR="00D73597" w:rsidRPr="00D73597">
        <w:rPr>
          <w:i/>
        </w:rPr>
        <w:t xml:space="preserve">Caso Galindo Cárdenas y otros Vs. Perú. Interpretación de la Sentencia de Excepciones Preliminares, Fondo, Reparaciones y Costas. </w:t>
      </w:r>
      <w:r w:rsidR="00D73597" w:rsidRPr="00D73597">
        <w:t>Sentencia de 21 de noviembre de 2016. Serie C No. 323</w:t>
      </w:r>
      <w:r>
        <w:t>, párr. 2</w:t>
      </w:r>
      <w:r w:rsidR="00D73597">
        <w:t>4</w:t>
      </w:r>
      <w:r>
        <w:t>.</w:t>
      </w:r>
    </w:p>
  </w:footnote>
  <w:footnote w:id="5">
    <w:p w:rsidR="00373364" w:rsidRPr="00373364" w:rsidRDefault="00373364" w:rsidP="00F33F01">
      <w:pPr>
        <w:pStyle w:val="FootnoteText"/>
        <w:spacing w:after="120"/>
        <w:rPr>
          <w:lang w:val="es-CR"/>
        </w:rPr>
      </w:pPr>
      <w:r>
        <w:rPr>
          <w:rStyle w:val="FootnoteReference"/>
        </w:rPr>
        <w:footnoteRef/>
      </w:r>
      <w:r>
        <w:t xml:space="preserve"> </w:t>
      </w:r>
      <w:r>
        <w:rPr>
          <w:lang w:val="es-CR"/>
        </w:rPr>
        <w:tab/>
      </w:r>
      <w:r w:rsidRPr="00373364">
        <w:rPr>
          <w:i/>
        </w:rPr>
        <w:t>Cfr. Caso Escher y otros Vs. Brasil. Interpretación de la Sentencia de Excepciones Preliminares, Fondo, Reparaciones y Costas.</w:t>
      </w:r>
      <w:r>
        <w:t xml:space="preserve"> Sentencia de 20 de noviembre de 2009. Serie C No. 208, párr. 11, y </w:t>
      </w:r>
      <w:r w:rsidR="00D73597" w:rsidRPr="00D73597">
        <w:rPr>
          <w:i/>
        </w:rPr>
        <w:t>Caso Galindo Cárdenas y otros Vs. Perú. Interpretación de la Sentencia de Excepciones Preliminares, Fondo, Reparaciones y Costas</w:t>
      </w:r>
      <w:r w:rsidR="00D73597">
        <w:rPr>
          <w:i/>
        </w:rPr>
        <w:t>, supra</w:t>
      </w:r>
      <w:r>
        <w:t>, párr. 2</w:t>
      </w:r>
      <w:r w:rsidR="00D73597">
        <w:t>4</w:t>
      </w:r>
      <w:r>
        <w:t>.</w:t>
      </w:r>
    </w:p>
  </w:footnote>
  <w:footnote w:id="6">
    <w:p w:rsidR="00E10A55" w:rsidRPr="00D052A0" w:rsidRDefault="00E10A55" w:rsidP="00F33F01">
      <w:pPr>
        <w:pStyle w:val="FootnoteText"/>
        <w:spacing w:after="120"/>
        <w:rPr>
          <w:lang w:val="es-CR"/>
        </w:rPr>
      </w:pPr>
      <w:r>
        <w:rPr>
          <w:rStyle w:val="FootnoteReference"/>
        </w:rPr>
        <w:footnoteRef/>
      </w:r>
      <w:r>
        <w:t xml:space="preserve"> </w:t>
      </w:r>
      <w:r>
        <w:rPr>
          <w:lang w:val="es-CR"/>
        </w:rPr>
        <w:tab/>
      </w:r>
      <w:r w:rsidRPr="00D052A0">
        <w:rPr>
          <w:lang w:val="es-CR"/>
        </w:rPr>
        <w:t xml:space="preserve">Por ejemplo, en </w:t>
      </w:r>
      <w:r w:rsidR="00C95CB4">
        <w:rPr>
          <w:lang w:val="es-CR"/>
        </w:rPr>
        <w:t>los casos</w:t>
      </w:r>
      <w:r w:rsidRPr="00D052A0">
        <w:rPr>
          <w:lang w:val="es-CR"/>
        </w:rPr>
        <w:t xml:space="preserve"> </w:t>
      </w:r>
      <w:r w:rsidRPr="00A77E35">
        <w:rPr>
          <w:i/>
          <w:lang w:val="es-CR"/>
        </w:rPr>
        <w:t>Rosendo Cantú Vs. México</w:t>
      </w:r>
      <w:r w:rsidRPr="00D052A0">
        <w:rPr>
          <w:lang w:val="es-CR"/>
        </w:rPr>
        <w:t xml:space="preserve"> </w:t>
      </w:r>
      <w:r w:rsidR="00C95CB4">
        <w:rPr>
          <w:lang w:val="es-CR"/>
        </w:rPr>
        <w:t xml:space="preserve">y </w:t>
      </w:r>
      <w:r w:rsidR="00C95CB4" w:rsidRPr="00A77E35">
        <w:rPr>
          <w:i/>
          <w:lang w:val="es-CR"/>
        </w:rPr>
        <w:t>Atala Riffo y niñas Vs. Chile</w:t>
      </w:r>
      <w:r w:rsidR="00C95CB4">
        <w:rPr>
          <w:lang w:val="es-CR"/>
        </w:rPr>
        <w:t xml:space="preserve"> las víctimas y el Estado suscribieron acuerdos</w:t>
      </w:r>
      <w:r w:rsidR="008F42CB">
        <w:rPr>
          <w:lang w:val="es-CR"/>
        </w:rPr>
        <w:t>;</w:t>
      </w:r>
      <w:r w:rsidR="00C95CB4">
        <w:rPr>
          <w:lang w:val="es-CR"/>
        </w:rPr>
        <w:t xml:space="preserve"> en un caso</w:t>
      </w:r>
      <w:r w:rsidR="008F42CB">
        <w:rPr>
          <w:lang w:val="es-CR"/>
        </w:rPr>
        <w:t>,</w:t>
      </w:r>
      <w:r w:rsidR="00C95CB4">
        <w:rPr>
          <w:lang w:val="es-CR"/>
        </w:rPr>
        <w:t xml:space="preserve"> para proporcionar un monto de dinero en concepto de tratamiento psicológico y</w:t>
      </w:r>
      <w:r w:rsidR="008F42CB">
        <w:rPr>
          <w:lang w:val="es-CR"/>
        </w:rPr>
        <w:t>,</w:t>
      </w:r>
      <w:r w:rsidR="00C95CB4">
        <w:rPr>
          <w:lang w:val="es-CR"/>
        </w:rPr>
        <w:t xml:space="preserve"> en el otro</w:t>
      </w:r>
      <w:r w:rsidR="008F42CB">
        <w:rPr>
          <w:lang w:val="es-CR"/>
        </w:rPr>
        <w:t>,</w:t>
      </w:r>
      <w:r w:rsidR="00C95CB4">
        <w:rPr>
          <w:lang w:val="es-CR"/>
        </w:rPr>
        <w:t xml:space="preserve"> para que la </w:t>
      </w:r>
      <w:r w:rsidR="00C95CB4">
        <w:t>víctima pudiera continuar el tratamiento psiquiátrico con el médico que la venía atendiendo</w:t>
      </w:r>
      <w:r w:rsidR="00373364">
        <w:rPr>
          <w:lang w:val="es-CR"/>
        </w:rPr>
        <w:t xml:space="preserve">. </w:t>
      </w:r>
      <w:r w:rsidR="00373364" w:rsidRPr="00373364">
        <w:rPr>
          <w:i/>
          <w:lang w:val="es-CR"/>
        </w:rPr>
        <w:t>Cfr.</w:t>
      </w:r>
      <w:r w:rsidR="00373364">
        <w:rPr>
          <w:lang w:val="es-CR"/>
        </w:rPr>
        <w:t xml:space="preserve"> </w:t>
      </w:r>
      <w:r w:rsidRPr="00373364">
        <w:rPr>
          <w:i/>
          <w:lang w:val="es-CR"/>
        </w:rPr>
        <w:t>Casos Fernández Ortega y otros y Rosendo Cantú y otra Vs. México. Supervisión de Cumplimiento de Sentencia.</w:t>
      </w:r>
      <w:r w:rsidRPr="00D052A0">
        <w:rPr>
          <w:lang w:val="es-CR"/>
        </w:rPr>
        <w:t xml:space="preserve"> Resolución de la Corte Interamericana de Derechos Humanos de 21 de noviembre de 2014, considerando 19</w:t>
      </w:r>
      <w:r w:rsidR="00C95CB4">
        <w:rPr>
          <w:lang w:val="es-CR"/>
        </w:rPr>
        <w:t xml:space="preserve">, y </w:t>
      </w:r>
      <w:r w:rsidR="00C95CB4" w:rsidRPr="00C95CB4">
        <w:rPr>
          <w:i/>
          <w:lang w:val="es-CR"/>
        </w:rPr>
        <w:t>Caso Atala Riffo y niñas Vs. Chile. Supervisión de Cumplimiento de Sentencia.</w:t>
      </w:r>
      <w:r w:rsidR="00C95CB4" w:rsidRPr="00C95CB4">
        <w:rPr>
          <w:lang w:val="es-CR"/>
        </w:rPr>
        <w:t xml:space="preserve"> Resolución de la Corte Interamericana de Derechos Humanos de 10 de febrero de 2017</w:t>
      </w:r>
      <w:r w:rsidR="00C95CB4">
        <w:rPr>
          <w:lang w:val="es-CR"/>
        </w:rPr>
        <w:t xml:space="preserve">, </w:t>
      </w:r>
      <w:r w:rsidR="00A77E35">
        <w:rPr>
          <w:lang w:val="es-CR"/>
        </w:rPr>
        <w:t xml:space="preserve">considerandos </w:t>
      </w:r>
      <w:r w:rsidR="00C95CB4">
        <w:rPr>
          <w:lang w:val="es-CR"/>
        </w:rPr>
        <w:t>7 a 18</w:t>
      </w:r>
      <w:r w:rsidR="00A77E35">
        <w:rPr>
          <w:lang w:val="es-C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7F" w:rsidRDefault="009C567F" w:rsidP="00A702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567F" w:rsidRDefault="009C56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7F" w:rsidRDefault="009C567F">
    <w:pPr>
      <w:pStyle w:val="Header"/>
      <w:jc w:val="center"/>
      <w:rPr>
        <w:noProof/>
      </w:rPr>
    </w:pPr>
    <w:r>
      <w:fldChar w:fldCharType="begin"/>
    </w:r>
    <w:r>
      <w:instrText xml:space="preserve"> PAGE   \* MERGEFORMAT </w:instrText>
    </w:r>
    <w:r>
      <w:fldChar w:fldCharType="separate"/>
    </w:r>
    <w:r w:rsidR="00A64301">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70817"/>
    <w:multiLevelType w:val="hybridMultilevel"/>
    <w:tmpl w:val="1930B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6603E9"/>
    <w:multiLevelType w:val="hybridMultilevel"/>
    <w:tmpl w:val="775C8F88"/>
    <w:lvl w:ilvl="0" w:tplc="1270C540">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50022"/>
    <w:multiLevelType w:val="hybridMultilevel"/>
    <w:tmpl w:val="5B32ED94"/>
    <w:lvl w:ilvl="0" w:tplc="1270C540">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547EED0C">
      <w:start w:val="1"/>
      <w:numFmt w:val="upperLetter"/>
      <w:lvlText w:val="%4."/>
      <w:lvlJc w:val="left"/>
      <w:pPr>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1D52BFE"/>
    <w:multiLevelType w:val="hybridMultilevel"/>
    <w:tmpl w:val="39A4B230"/>
    <w:lvl w:ilvl="0" w:tplc="4EAC9F56">
      <w:start w:val="332"/>
      <w:numFmt w:val="decimal"/>
      <w:lvlText w:val="%1."/>
      <w:lvlJc w:val="left"/>
      <w:pPr>
        <w:ind w:left="795" w:hanging="435"/>
      </w:pPr>
      <w:rPr>
        <w:rFonts w:eastAsia="Times" w:hint="default"/>
        <w:b w:val="0"/>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237336F6"/>
    <w:multiLevelType w:val="hybridMultilevel"/>
    <w:tmpl w:val="6F14C334"/>
    <w:lvl w:ilvl="0" w:tplc="8D0A52DC">
      <w:start w:val="204"/>
      <w:numFmt w:val="decimal"/>
      <w:lvlText w:val="%1."/>
      <w:lvlJc w:val="left"/>
      <w:pPr>
        <w:tabs>
          <w:tab w:val="num" w:pos="5057"/>
        </w:tabs>
        <w:ind w:left="0" w:firstLine="0"/>
      </w:pPr>
      <w:rPr>
        <w:rFonts w:ascii="Verdana" w:eastAsia="Times New Roman" w:hAnsi="Verdana" w:cs="Times New Roman" w:hint="default"/>
        <w:b w:val="0"/>
        <w:i w:val="0"/>
        <w:strike w:val="0"/>
        <w:color w:val="auto"/>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4492D38"/>
    <w:multiLevelType w:val="hybridMultilevel"/>
    <w:tmpl w:val="A6E6760C"/>
    <w:lvl w:ilvl="0" w:tplc="10366836">
      <w:start w:val="269"/>
      <w:numFmt w:val="decimal"/>
      <w:lvlText w:val="%1."/>
      <w:lvlJc w:val="left"/>
      <w:pPr>
        <w:tabs>
          <w:tab w:val="num" w:pos="6137"/>
        </w:tabs>
        <w:ind w:left="1080" w:firstLine="0"/>
      </w:pPr>
      <w:rPr>
        <w:rFonts w:ascii="Verdana" w:eastAsia="Times New Roman" w:hAnsi="Verdana" w:cs="Times New Roman" w:hint="default"/>
        <w:b w:val="0"/>
        <w:i w:val="0"/>
        <w:strike w:val="0"/>
        <w:color w:val="auto"/>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4D83B86"/>
    <w:multiLevelType w:val="hybridMultilevel"/>
    <w:tmpl w:val="74485A8E"/>
    <w:name w:val="WW8Num22"/>
    <w:lvl w:ilvl="0" w:tplc="5E2E613A">
      <w:start w:val="1"/>
      <w:numFmt w:val="decimal"/>
      <w:lvlText w:val="%1."/>
      <w:lvlJc w:val="left"/>
      <w:pPr>
        <w:tabs>
          <w:tab w:val="num" w:pos="0"/>
        </w:tabs>
        <w:ind w:left="0" w:firstLine="0"/>
      </w:pPr>
      <w:rPr>
        <w:rFonts w:ascii="Verdana" w:hAnsi="Verdana" w:hint="default"/>
        <w:b w:val="0"/>
        <w:i w:val="0"/>
        <w:strike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537700F"/>
    <w:multiLevelType w:val="hybridMultilevel"/>
    <w:tmpl w:val="C1DE0334"/>
    <w:lvl w:ilvl="0" w:tplc="D83CF144">
      <w:start w:val="1"/>
      <w:numFmt w:val="bullet"/>
      <w:lvlText w:val=""/>
      <w:lvlJc w:val="left"/>
      <w:pPr>
        <w:tabs>
          <w:tab w:val="num" w:pos="720"/>
        </w:tabs>
        <w:ind w:left="720" w:hanging="360"/>
      </w:pPr>
      <w:rPr>
        <w:rFonts w:ascii="Symbol" w:hAnsi="Symbol" w:hint="default"/>
        <w:lang w:val="es-ES"/>
      </w:rPr>
    </w:lvl>
    <w:lvl w:ilvl="1" w:tplc="0C0A0001">
      <w:start w:val="1"/>
      <w:numFmt w:val="bullet"/>
      <w:lvlText w:val=""/>
      <w:lvlJc w:val="left"/>
      <w:pPr>
        <w:tabs>
          <w:tab w:val="num" w:pos="1440"/>
        </w:tabs>
        <w:ind w:left="1440" w:hanging="360"/>
      </w:pPr>
      <w:rPr>
        <w:rFonts w:ascii="Symbol" w:hAnsi="Symbol" w:hint="default"/>
      </w:rPr>
    </w:lvl>
    <w:lvl w:ilvl="2" w:tplc="B3DEC98C">
      <w:start w:val="1"/>
      <w:numFmt w:val="decimal"/>
      <w:lvlText w:val="%3."/>
      <w:lvlJc w:val="left"/>
      <w:pPr>
        <w:ind w:left="2700" w:hanging="720"/>
      </w:pPr>
      <w:rPr>
        <w:lang w:val="es-ES_tradnl"/>
      </w:rPr>
    </w:lvl>
    <w:lvl w:ilvl="3" w:tplc="951E301E">
      <w:start w:val="2"/>
      <w:numFmt w:val="decimal"/>
      <w:lvlText w:val="%4"/>
      <w:lvlJc w:val="left"/>
      <w:pPr>
        <w:ind w:left="2880" w:hanging="360"/>
      </w:pPr>
    </w:lvl>
    <w:lvl w:ilvl="4" w:tplc="3F728AB4">
      <w:start w:val="1"/>
      <w:numFmt w:val="upperLetter"/>
      <w:lvlText w:val="%5."/>
      <w:lvlJc w:val="left"/>
      <w:pPr>
        <w:ind w:left="3600" w:hanging="360"/>
      </w:pPr>
    </w:lvl>
    <w:lvl w:ilvl="5" w:tplc="B686B74C">
      <w:start w:val="1"/>
      <w:numFmt w:val="lowerRoman"/>
      <w:lvlText w:val="%6)"/>
      <w:lvlJc w:val="left"/>
      <w:pPr>
        <w:ind w:left="4860" w:hanging="720"/>
      </w:pPr>
      <w:rPr>
        <w:rFonts w:ascii="Verdana" w:eastAsia="MS Mincho" w:hAnsi="Verdana" w:cs="Times New Roman"/>
      </w:rPr>
    </w:lvl>
    <w:lvl w:ilvl="6" w:tplc="0C0A000F">
      <w:start w:val="1"/>
      <w:numFmt w:val="decimal"/>
      <w:lvlText w:val="%7."/>
      <w:lvlJc w:val="left"/>
      <w:pPr>
        <w:tabs>
          <w:tab w:val="num" w:pos="5040"/>
        </w:tabs>
        <w:ind w:left="5040" w:hanging="360"/>
      </w:pPr>
    </w:lvl>
    <w:lvl w:ilvl="7" w:tplc="2C24D614">
      <w:start w:val="1"/>
      <w:numFmt w:val="lowerLetter"/>
      <w:lvlText w:val="%8)"/>
      <w:lvlJc w:val="left"/>
      <w:pPr>
        <w:ind w:left="5760" w:hanging="360"/>
      </w:pPr>
    </w:lvl>
    <w:lvl w:ilvl="8" w:tplc="0C0A001B">
      <w:start w:val="1"/>
      <w:numFmt w:val="lowerRoman"/>
      <w:lvlText w:val="%9."/>
      <w:lvlJc w:val="right"/>
      <w:pPr>
        <w:tabs>
          <w:tab w:val="num" w:pos="6480"/>
        </w:tabs>
        <w:ind w:left="6480" w:hanging="180"/>
      </w:pPr>
    </w:lvl>
  </w:abstractNum>
  <w:abstractNum w:abstractNumId="8">
    <w:nsid w:val="29EA1DF4"/>
    <w:multiLevelType w:val="hybridMultilevel"/>
    <w:tmpl w:val="5D7E1738"/>
    <w:lvl w:ilvl="0" w:tplc="397A67E4">
      <w:start w:val="204"/>
      <w:numFmt w:val="decimal"/>
      <w:lvlText w:val="%1."/>
      <w:lvlJc w:val="left"/>
      <w:pPr>
        <w:tabs>
          <w:tab w:val="num" w:pos="7667"/>
        </w:tabs>
        <w:ind w:left="2610" w:firstLine="0"/>
      </w:pPr>
      <w:rPr>
        <w:rFonts w:ascii="Verdana" w:eastAsia="Times New Roman" w:hAnsi="Verdana" w:cs="Times New Roman" w:hint="default"/>
        <w:b w:val="0"/>
        <w:i w:val="0"/>
        <w:strike w:val="0"/>
        <w:color w:val="auto"/>
        <w:sz w:val="16"/>
        <w:szCs w:val="16"/>
      </w:rPr>
    </w:lvl>
    <w:lvl w:ilvl="1" w:tplc="140A0019" w:tentative="1">
      <w:start w:val="1"/>
      <w:numFmt w:val="lowerLetter"/>
      <w:lvlText w:val="%2."/>
      <w:lvlJc w:val="left"/>
      <w:pPr>
        <w:ind w:left="2970" w:hanging="360"/>
      </w:pPr>
    </w:lvl>
    <w:lvl w:ilvl="2" w:tplc="140A001B" w:tentative="1">
      <w:start w:val="1"/>
      <w:numFmt w:val="lowerRoman"/>
      <w:lvlText w:val="%3."/>
      <w:lvlJc w:val="right"/>
      <w:pPr>
        <w:ind w:left="3690" w:hanging="180"/>
      </w:pPr>
    </w:lvl>
    <w:lvl w:ilvl="3" w:tplc="140A000F" w:tentative="1">
      <w:start w:val="1"/>
      <w:numFmt w:val="decimal"/>
      <w:lvlText w:val="%4."/>
      <w:lvlJc w:val="left"/>
      <w:pPr>
        <w:ind w:left="4410" w:hanging="360"/>
      </w:pPr>
    </w:lvl>
    <w:lvl w:ilvl="4" w:tplc="140A0019" w:tentative="1">
      <w:start w:val="1"/>
      <w:numFmt w:val="lowerLetter"/>
      <w:lvlText w:val="%5."/>
      <w:lvlJc w:val="left"/>
      <w:pPr>
        <w:ind w:left="5130" w:hanging="360"/>
      </w:pPr>
    </w:lvl>
    <w:lvl w:ilvl="5" w:tplc="140A001B" w:tentative="1">
      <w:start w:val="1"/>
      <w:numFmt w:val="lowerRoman"/>
      <w:lvlText w:val="%6."/>
      <w:lvlJc w:val="right"/>
      <w:pPr>
        <w:ind w:left="5850" w:hanging="180"/>
      </w:pPr>
    </w:lvl>
    <w:lvl w:ilvl="6" w:tplc="140A000F" w:tentative="1">
      <w:start w:val="1"/>
      <w:numFmt w:val="decimal"/>
      <w:lvlText w:val="%7."/>
      <w:lvlJc w:val="left"/>
      <w:pPr>
        <w:ind w:left="6570" w:hanging="360"/>
      </w:pPr>
    </w:lvl>
    <w:lvl w:ilvl="7" w:tplc="140A0019" w:tentative="1">
      <w:start w:val="1"/>
      <w:numFmt w:val="lowerLetter"/>
      <w:lvlText w:val="%8."/>
      <w:lvlJc w:val="left"/>
      <w:pPr>
        <w:ind w:left="7290" w:hanging="360"/>
      </w:pPr>
    </w:lvl>
    <w:lvl w:ilvl="8" w:tplc="140A001B" w:tentative="1">
      <w:start w:val="1"/>
      <w:numFmt w:val="lowerRoman"/>
      <w:lvlText w:val="%9."/>
      <w:lvlJc w:val="right"/>
      <w:pPr>
        <w:ind w:left="8010" w:hanging="180"/>
      </w:pPr>
    </w:lvl>
  </w:abstractNum>
  <w:abstractNum w:abstractNumId="9">
    <w:nsid w:val="2BB750D4"/>
    <w:multiLevelType w:val="hybridMultilevel"/>
    <w:tmpl w:val="9B1AAE56"/>
    <w:lvl w:ilvl="0" w:tplc="FFFFFFFF">
      <w:start w:val="1"/>
      <w:numFmt w:val="upperLetter"/>
      <w:pStyle w:val="Heading9"/>
      <w:lvlText w:val="%1)"/>
      <w:lvlJc w:val="left"/>
      <w:pPr>
        <w:tabs>
          <w:tab w:val="num" w:pos="1080"/>
        </w:tabs>
        <w:ind w:left="1080" w:hanging="360"/>
      </w:pPr>
      <w:rPr>
        <w:rFonts w:ascii="Garamond" w:hAnsi="Garamond" w:hint="default"/>
        <w:b w:val="0"/>
        <w:i/>
        <w:sz w:val="24"/>
      </w:rPr>
    </w:lvl>
    <w:lvl w:ilvl="1" w:tplc="FFFFFFFF">
      <w:numFmt w:val="none"/>
      <w:lvlText w:val=""/>
      <w:lvlJc w:val="left"/>
      <w:pPr>
        <w:tabs>
          <w:tab w:val="num" w:pos="360"/>
        </w:tabs>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35344922"/>
    <w:multiLevelType w:val="hybridMultilevel"/>
    <w:tmpl w:val="5CFCB46A"/>
    <w:lvl w:ilvl="0" w:tplc="E6B44CAC">
      <w:start w:val="277"/>
      <w:numFmt w:val="decimal"/>
      <w:lvlText w:val="%1."/>
      <w:lvlJc w:val="left"/>
      <w:pPr>
        <w:tabs>
          <w:tab w:val="num" w:pos="5057"/>
        </w:tabs>
        <w:ind w:left="0" w:firstLine="0"/>
      </w:pPr>
      <w:rPr>
        <w:rFonts w:ascii="Verdana" w:eastAsia="Times New Roman" w:hAnsi="Verdana" w:cs="Times New Roman" w:hint="default"/>
        <w:b w:val="0"/>
        <w:i w:val="0"/>
        <w:strike w:val="0"/>
        <w:color w:val="auto"/>
        <w:sz w:val="16"/>
        <w:szCs w:val="16"/>
      </w:rPr>
    </w:lvl>
    <w:lvl w:ilvl="1" w:tplc="140A0019" w:tentative="1">
      <w:start w:val="1"/>
      <w:numFmt w:val="lowerLetter"/>
      <w:lvlText w:val="%2."/>
      <w:lvlJc w:val="left"/>
      <w:pPr>
        <w:ind w:left="735" w:hanging="360"/>
      </w:pPr>
    </w:lvl>
    <w:lvl w:ilvl="2" w:tplc="140A001B" w:tentative="1">
      <w:start w:val="1"/>
      <w:numFmt w:val="lowerRoman"/>
      <w:lvlText w:val="%3."/>
      <w:lvlJc w:val="right"/>
      <w:pPr>
        <w:ind w:left="1455" w:hanging="180"/>
      </w:pPr>
    </w:lvl>
    <w:lvl w:ilvl="3" w:tplc="140A000F" w:tentative="1">
      <w:start w:val="1"/>
      <w:numFmt w:val="decimal"/>
      <w:lvlText w:val="%4."/>
      <w:lvlJc w:val="left"/>
      <w:pPr>
        <w:ind w:left="2175" w:hanging="360"/>
      </w:pPr>
    </w:lvl>
    <w:lvl w:ilvl="4" w:tplc="140A0019" w:tentative="1">
      <w:start w:val="1"/>
      <w:numFmt w:val="lowerLetter"/>
      <w:lvlText w:val="%5."/>
      <w:lvlJc w:val="left"/>
      <w:pPr>
        <w:ind w:left="2895" w:hanging="360"/>
      </w:pPr>
    </w:lvl>
    <w:lvl w:ilvl="5" w:tplc="140A001B" w:tentative="1">
      <w:start w:val="1"/>
      <w:numFmt w:val="lowerRoman"/>
      <w:lvlText w:val="%6."/>
      <w:lvlJc w:val="right"/>
      <w:pPr>
        <w:ind w:left="3615" w:hanging="180"/>
      </w:pPr>
    </w:lvl>
    <w:lvl w:ilvl="6" w:tplc="140A000F" w:tentative="1">
      <w:start w:val="1"/>
      <w:numFmt w:val="decimal"/>
      <w:lvlText w:val="%7."/>
      <w:lvlJc w:val="left"/>
      <w:pPr>
        <w:ind w:left="4335" w:hanging="360"/>
      </w:pPr>
    </w:lvl>
    <w:lvl w:ilvl="7" w:tplc="140A0019" w:tentative="1">
      <w:start w:val="1"/>
      <w:numFmt w:val="lowerLetter"/>
      <w:lvlText w:val="%8."/>
      <w:lvlJc w:val="left"/>
      <w:pPr>
        <w:ind w:left="5055" w:hanging="360"/>
      </w:pPr>
    </w:lvl>
    <w:lvl w:ilvl="8" w:tplc="140A001B" w:tentative="1">
      <w:start w:val="1"/>
      <w:numFmt w:val="lowerRoman"/>
      <w:lvlText w:val="%9."/>
      <w:lvlJc w:val="right"/>
      <w:pPr>
        <w:ind w:left="5775" w:hanging="180"/>
      </w:pPr>
    </w:lvl>
  </w:abstractNum>
  <w:abstractNum w:abstractNumId="11">
    <w:nsid w:val="371571DD"/>
    <w:multiLevelType w:val="hybridMultilevel"/>
    <w:tmpl w:val="088C3932"/>
    <w:lvl w:ilvl="0" w:tplc="1270C540">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7948A5"/>
    <w:multiLevelType w:val="hybridMultilevel"/>
    <w:tmpl w:val="D25E0D70"/>
    <w:name w:val="WW8Num2"/>
    <w:lvl w:ilvl="0" w:tplc="5E2E613A">
      <w:start w:val="1"/>
      <w:numFmt w:val="decimal"/>
      <w:lvlText w:val="%1."/>
      <w:lvlJc w:val="left"/>
      <w:pPr>
        <w:tabs>
          <w:tab w:val="num" w:pos="0"/>
        </w:tabs>
        <w:ind w:left="0" w:firstLine="0"/>
      </w:pPr>
      <w:rPr>
        <w:rFonts w:ascii="Verdana" w:hAnsi="Verdana" w:hint="default"/>
        <w:b w:val="0"/>
        <w:i w:val="0"/>
        <w:strike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6FC6219"/>
    <w:multiLevelType w:val="hybridMultilevel"/>
    <w:tmpl w:val="24D42AA4"/>
    <w:lvl w:ilvl="0" w:tplc="2EB2F07E">
      <w:start w:val="1"/>
      <w:numFmt w:val="upperLetter"/>
      <w:pStyle w:val="Heading3"/>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15">
      <w:start w:val="1"/>
      <w:numFmt w:val="upperLetter"/>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53E06E32"/>
    <w:multiLevelType w:val="hybridMultilevel"/>
    <w:tmpl w:val="178EEAA6"/>
    <w:lvl w:ilvl="0" w:tplc="47AABC80">
      <w:start w:val="1"/>
      <w:numFmt w:val="decimal"/>
      <w:lvlText w:val="%1."/>
      <w:lvlJc w:val="left"/>
      <w:pPr>
        <w:tabs>
          <w:tab w:val="num" w:pos="5057"/>
        </w:tabs>
      </w:pPr>
      <w:rPr>
        <w:rFonts w:ascii="Verdana" w:eastAsia="Times New Roman" w:hAnsi="Verdana" w:cs="Times New Roman" w:hint="default"/>
        <w:b w:val="0"/>
        <w:i w:val="0"/>
        <w:strike w:val="0"/>
        <w:color w:val="auto"/>
        <w:sz w:val="20"/>
        <w:lang w:val="es-CR"/>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5">
    <w:nsid w:val="568C0CDB"/>
    <w:multiLevelType w:val="hybridMultilevel"/>
    <w:tmpl w:val="A2B4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C9712D"/>
    <w:multiLevelType w:val="hybridMultilevel"/>
    <w:tmpl w:val="E6B2D1E6"/>
    <w:lvl w:ilvl="0" w:tplc="E10AD118">
      <w:start w:val="1"/>
      <w:numFmt w:val="decimal"/>
      <w:lvlText w:val="%1."/>
      <w:lvlJc w:val="left"/>
      <w:pPr>
        <w:ind w:left="1065" w:hanging="705"/>
      </w:pPr>
      <w:rPr>
        <w:rFonts w:hint="default"/>
        <w:b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5C980CB2"/>
    <w:multiLevelType w:val="hybridMultilevel"/>
    <w:tmpl w:val="1DA22FA6"/>
    <w:lvl w:ilvl="0" w:tplc="B2E4642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6883A5E"/>
    <w:multiLevelType w:val="hybridMultilevel"/>
    <w:tmpl w:val="D9669EBC"/>
    <w:lvl w:ilvl="0" w:tplc="32D0B180">
      <w:start w:val="213"/>
      <w:numFmt w:val="decimal"/>
      <w:lvlText w:val="%1."/>
      <w:lvlJc w:val="left"/>
      <w:pPr>
        <w:tabs>
          <w:tab w:val="num" w:pos="5762"/>
        </w:tabs>
        <w:ind w:left="705" w:firstLine="0"/>
      </w:pPr>
      <w:rPr>
        <w:rFonts w:ascii="Verdana" w:eastAsia="Times New Roman" w:hAnsi="Verdana" w:cs="Times New Roman" w:hint="default"/>
        <w:b w:val="0"/>
        <w:i w:val="0"/>
        <w:strike w:val="0"/>
        <w:color w:val="auto"/>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6BE864ED"/>
    <w:multiLevelType w:val="hybridMultilevel"/>
    <w:tmpl w:val="2A349968"/>
    <w:lvl w:ilvl="0" w:tplc="1270C540">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354707"/>
    <w:multiLevelType w:val="hybridMultilevel"/>
    <w:tmpl w:val="2D522CAE"/>
    <w:lvl w:ilvl="0" w:tplc="8E2CDAEA">
      <w:start w:val="1"/>
      <w:numFmt w:val="decimal"/>
      <w:lvlText w:val="%1."/>
      <w:lvlJc w:val="left"/>
      <w:pPr>
        <w:ind w:left="825" w:hanging="825"/>
      </w:pPr>
      <w:rPr>
        <w:rFonts w:eastAsia="Verdana" w:cs="Verdana"/>
        <w:b w:val="0"/>
        <w:i w:val="0"/>
        <w:color w:val="auto"/>
        <w:sz w:val="20"/>
        <w:szCs w:val="20"/>
        <w:lang w:val="es-ES_tradnl"/>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1">
    <w:nsid w:val="7A2D7446"/>
    <w:multiLevelType w:val="hybridMultilevel"/>
    <w:tmpl w:val="4CF26930"/>
    <w:lvl w:ilvl="0" w:tplc="1270C540">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547EED0C">
      <w:start w:val="1"/>
      <w:numFmt w:val="upperLetter"/>
      <w:lvlText w:val="%4."/>
      <w:lvlJc w:val="left"/>
      <w:pPr>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7CE64D32"/>
    <w:multiLevelType w:val="hybridMultilevel"/>
    <w:tmpl w:val="4CF26930"/>
    <w:lvl w:ilvl="0" w:tplc="1270C540">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547EED0C">
      <w:start w:val="1"/>
      <w:numFmt w:val="upperLetter"/>
      <w:lvlText w:val="%4."/>
      <w:lvlJc w:val="left"/>
      <w:pPr>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2"/>
  </w:num>
  <w:num w:numId="2">
    <w:abstractNumId w:val="9"/>
  </w:num>
  <w:num w:numId="3">
    <w:abstractNumId w:val="6"/>
  </w:num>
  <w:num w:numId="4">
    <w:abstractNumId w:val="13"/>
  </w:num>
  <w:num w:numId="5">
    <w:abstractNumId w:val="2"/>
  </w:num>
  <w:num w:numId="6">
    <w:abstractNumId w:val="8"/>
  </w:num>
  <w:num w:numId="7">
    <w:abstractNumId w:val="5"/>
  </w:num>
  <w:num w:numId="8">
    <w:abstractNumId w:val="0"/>
  </w:num>
  <w:num w:numId="9">
    <w:abstractNumId w:val="18"/>
  </w:num>
  <w:num w:numId="10">
    <w:abstractNumId w:val="10"/>
  </w:num>
  <w:num w:numId="11">
    <w:abstractNumId w:val="19"/>
  </w:num>
  <w:num w:numId="12">
    <w:abstractNumId w:val="11"/>
  </w:num>
  <w:num w:numId="13">
    <w:abstractNumId w:val="1"/>
  </w:num>
  <w:num w:numId="14">
    <w:abstractNumId w:val="17"/>
  </w:num>
  <w:num w:numId="15">
    <w:abstractNumId w:val="15"/>
  </w:num>
  <w:num w:numId="16">
    <w:abstractNumId w:val="21"/>
  </w:num>
  <w:num w:numId="17">
    <w:abstractNumId w:val="16"/>
  </w:num>
  <w:num w:numId="18">
    <w:abstractNumId w:val="4"/>
  </w:num>
  <w:num w:numId="19">
    <w:abstractNumId w:val="20"/>
  </w:num>
  <w:num w:numId="20">
    <w:abstractNumId w:val="3"/>
  </w:num>
  <w:num w:numId="21">
    <w:abstractNumId w:val="14"/>
  </w:num>
  <w:num w:numId="22">
    <w:abstractNumId w:val="7"/>
    <w:lvlOverride w:ilvl="0"/>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s-ES_tradnl" w:vendorID="64" w:dllVersion="131078" w:nlCheck="1" w:checkStyle="1"/>
  <w:activeWritingStyle w:appName="MSWord" w:lang="es-CR"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GT" w:vendorID="64" w:dllVersion="131078" w:nlCheck="1" w:checkStyle="1"/>
  <w:activeWritingStyle w:appName="MSWord" w:lang="es-AR" w:vendorID="64" w:dllVersion="131078" w:nlCheck="1" w:checkStyle="1"/>
  <w:activeWritingStyle w:appName="MSWord" w:lang="es-PE" w:vendorID="64" w:dllVersion="131078" w:nlCheck="1" w:checkStyle="1"/>
  <w:activeWritingStyle w:appName="MSWord" w:lang="es-CL" w:vendorID="64" w:dllVersion="131078" w:nlCheck="1" w:checkStyle="1"/>
  <w:doNotTrackFormatting/>
  <w:defaultTabStop w:val="708"/>
  <w:hyphenationZone w:val="425"/>
  <w:drawingGridHorizontalSpacing w:val="10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01"/>
    <w:rsid w:val="000006DF"/>
    <w:rsid w:val="000009B1"/>
    <w:rsid w:val="000013A8"/>
    <w:rsid w:val="00001DA1"/>
    <w:rsid w:val="00002DDC"/>
    <w:rsid w:val="0000369E"/>
    <w:rsid w:val="00005446"/>
    <w:rsid w:val="00006068"/>
    <w:rsid w:val="0001096C"/>
    <w:rsid w:val="0001246C"/>
    <w:rsid w:val="00012D18"/>
    <w:rsid w:val="00013175"/>
    <w:rsid w:val="0001363D"/>
    <w:rsid w:val="00013AE5"/>
    <w:rsid w:val="000156C5"/>
    <w:rsid w:val="000156D7"/>
    <w:rsid w:val="00017737"/>
    <w:rsid w:val="00017DBC"/>
    <w:rsid w:val="0002166C"/>
    <w:rsid w:val="000218BF"/>
    <w:rsid w:val="00022429"/>
    <w:rsid w:val="00022CAB"/>
    <w:rsid w:val="00023F29"/>
    <w:rsid w:val="00024581"/>
    <w:rsid w:val="00024767"/>
    <w:rsid w:val="00026026"/>
    <w:rsid w:val="0002618C"/>
    <w:rsid w:val="000274A8"/>
    <w:rsid w:val="0003041A"/>
    <w:rsid w:val="00030E45"/>
    <w:rsid w:val="0003160D"/>
    <w:rsid w:val="000329A5"/>
    <w:rsid w:val="00032C3A"/>
    <w:rsid w:val="00032D25"/>
    <w:rsid w:val="00034878"/>
    <w:rsid w:val="00036489"/>
    <w:rsid w:val="0004094C"/>
    <w:rsid w:val="00042904"/>
    <w:rsid w:val="00042983"/>
    <w:rsid w:val="00042BD7"/>
    <w:rsid w:val="0004469E"/>
    <w:rsid w:val="00046DE5"/>
    <w:rsid w:val="00053084"/>
    <w:rsid w:val="0005396B"/>
    <w:rsid w:val="00056344"/>
    <w:rsid w:val="00057EF9"/>
    <w:rsid w:val="0006180E"/>
    <w:rsid w:val="000620DE"/>
    <w:rsid w:val="000631B6"/>
    <w:rsid w:val="000652FF"/>
    <w:rsid w:val="00065F39"/>
    <w:rsid w:val="00067635"/>
    <w:rsid w:val="00072186"/>
    <w:rsid w:val="0007491F"/>
    <w:rsid w:val="00075113"/>
    <w:rsid w:val="000764BF"/>
    <w:rsid w:val="000770EC"/>
    <w:rsid w:val="000779AA"/>
    <w:rsid w:val="00080E3E"/>
    <w:rsid w:val="000815A9"/>
    <w:rsid w:val="00081B54"/>
    <w:rsid w:val="00083869"/>
    <w:rsid w:val="00083BC3"/>
    <w:rsid w:val="000844BD"/>
    <w:rsid w:val="00086DD2"/>
    <w:rsid w:val="000908BD"/>
    <w:rsid w:val="0009112C"/>
    <w:rsid w:val="00091F9B"/>
    <w:rsid w:val="000921B7"/>
    <w:rsid w:val="00093BAC"/>
    <w:rsid w:val="0009439A"/>
    <w:rsid w:val="00094787"/>
    <w:rsid w:val="00095067"/>
    <w:rsid w:val="00096267"/>
    <w:rsid w:val="00096490"/>
    <w:rsid w:val="00096AF5"/>
    <w:rsid w:val="00097198"/>
    <w:rsid w:val="000A048B"/>
    <w:rsid w:val="000A05C2"/>
    <w:rsid w:val="000A3320"/>
    <w:rsid w:val="000A3DBB"/>
    <w:rsid w:val="000A412A"/>
    <w:rsid w:val="000A4E7B"/>
    <w:rsid w:val="000A61DC"/>
    <w:rsid w:val="000A6793"/>
    <w:rsid w:val="000B022A"/>
    <w:rsid w:val="000B0EA9"/>
    <w:rsid w:val="000B3724"/>
    <w:rsid w:val="000B4103"/>
    <w:rsid w:val="000B427C"/>
    <w:rsid w:val="000B4952"/>
    <w:rsid w:val="000B6338"/>
    <w:rsid w:val="000B7227"/>
    <w:rsid w:val="000B752A"/>
    <w:rsid w:val="000C27C7"/>
    <w:rsid w:val="000C2E28"/>
    <w:rsid w:val="000C4A0E"/>
    <w:rsid w:val="000C66F4"/>
    <w:rsid w:val="000C7609"/>
    <w:rsid w:val="000D21BA"/>
    <w:rsid w:val="000D246E"/>
    <w:rsid w:val="000D29E6"/>
    <w:rsid w:val="000D6143"/>
    <w:rsid w:val="000E05A0"/>
    <w:rsid w:val="000E084C"/>
    <w:rsid w:val="000E08CB"/>
    <w:rsid w:val="000E0E1F"/>
    <w:rsid w:val="000E2BC4"/>
    <w:rsid w:val="000E3932"/>
    <w:rsid w:val="000E3C33"/>
    <w:rsid w:val="000E5546"/>
    <w:rsid w:val="000E7C73"/>
    <w:rsid w:val="000F180C"/>
    <w:rsid w:val="000F261F"/>
    <w:rsid w:val="000F2D57"/>
    <w:rsid w:val="000F399B"/>
    <w:rsid w:val="000F528C"/>
    <w:rsid w:val="000F6F35"/>
    <w:rsid w:val="000F7337"/>
    <w:rsid w:val="00100AE4"/>
    <w:rsid w:val="00101045"/>
    <w:rsid w:val="00101874"/>
    <w:rsid w:val="001106C2"/>
    <w:rsid w:val="00111BAF"/>
    <w:rsid w:val="001125FA"/>
    <w:rsid w:val="00113B7B"/>
    <w:rsid w:val="001157B5"/>
    <w:rsid w:val="001157CD"/>
    <w:rsid w:val="00115EAB"/>
    <w:rsid w:val="0012062D"/>
    <w:rsid w:val="001217D0"/>
    <w:rsid w:val="00121E2D"/>
    <w:rsid w:val="0012288C"/>
    <w:rsid w:val="001228A7"/>
    <w:rsid w:val="00124B9A"/>
    <w:rsid w:val="00125212"/>
    <w:rsid w:val="001259C8"/>
    <w:rsid w:val="0013248B"/>
    <w:rsid w:val="0013347F"/>
    <w:rsid w:val="001338B1"/>
    <w:rsid w:val="00133B29"/>
    <w:rsid w:val="00134ACB"/>
    <w:rsid w:val="0013519A"/>
    <w:rsid w:val="00135AD4"/>
    <w:rsid w:val="00136515"/>
    <w:rsid w:val="001368C5"/>
    <w:rsid w:val="00136B36"/>
    <w:rsid w:val="00136FD7"/>
    <w:rsid w:val="00137B00"/>
    <w:rsid w:val="00140F3E"/>
    <w:rsid w:val="001416AD"/>
    <w:rsid w:val="00141D6E"/>
    <w:rsid w:val="00142138"/>
    <w:rsid w:val="0014611C"/>
    <w:rsid w:val="00146D56"/>
    <w:rsid w:val="00151F46"/>
    <w:rsid w:val="001560F9"/>
    <w:rsid w:val="0015659B"/>
    <w:rsid w:val="00156C0A"/>
    <w:rsid w:val="00156F4A"/>
    <w:rsid w:val="001574EC"/>
    <w:rsid w:val="00160331"/>
    <w:rsid w:val="001614EC"/>
    <w:rsid w:val="00163721"/>
    <w:rsid w:val="00163DED"/>
    <w:rsid w:val="0016519D"/>
    <w:rsid w:val="00165AB3"/>
    <w:rsid w:val="00166104"/>
    <w:rsid w:val="00166945"/>
    <w:rsid w:val="00166AC9"/>
    <w:rsid w:val="00166D33"/>
    <w:rsid w:val="00167232"/>
    <w:rsid w:val="00171B52"/>
    <w:rsid w:val="001742BC"/>
    <w:rsid w:val="001752AC"/>
    <w:rsid w:val="00175B14"/>
    <w:rsid w:val="00176585"/>
    <w:rsid w:val="00180630"/>
    <w:rsid w:val="00180AC6"/>
    <w:rsid w:val="00181B6C"/>
    <w:rsid w:val="00184EBD"/>
    <w:rsid w:val="0018571F"/>
    <w:rsid w:val="00186E1E"/>
    <w:rsid w:val="00190A06"/>
    <w:rsid w:val="00190B7A"/>
    <w:rsid w:val="00191F3B"/>
    <w:rsid w:val="001929B5"/>
    <w:rsid w:val="00193F0C"/>
    <w:rsid w:val="00194658"/>
    <w:rsid w:val="00194CA6"/>
    <w:rsid w:val="00194D86"/>
    <w:rsid w:val="00194EF8"/>
    <w:rsid w:val="001967CA"/>
    <w:rsid w:val="00196FEB"/>
    <w:rsid w:val="001A2B9A"/>
    <w:rsid w:val="001A4630"/>
    <w:rsid w:val="001A5898"/>
    <w:rsid w:val="001A64BD"/>
    <w:rsid w:val="001B0BF8"/>
    <w:rsid w:val="001B12C7"/>
    <w:rsid w:val="001B1C72"/>
    <w:rsid w:val="001B22F8"/>
    <w:rsid w:val="001B31C8"/>
    <w:rsid w:val="001B3AF6"/>
    <w:rsid w:val="001B403A"/>
    <w:rsid w:val="001B4184"/>
    <w:rsid w:val="001B4778"/>
    <w:rsid w:val="001B5871"/>
    <w:rsid w:val="001B5B31"/>
    <w:rsid w:val="001B7F05"/>
    <w:rsid w:val="001C048C"/>
    <w:rsid w:val="001C1966"/>
    <w:rsid w:val="001C2C12"/>
    <w:rsid w:val="001C3EDF"/>
    <w:rsid w:val="001C4B97"/>
    <w:rsid w:val="001C5A52"/>
    <w:rsid w:val="001D01CA"/>
    <w:rsid w:val="001D2498"/>
    <w:rsid w:val="001D47D7"/>
    <w:rsid w:val="001D54F8"/>
    <w:rsid w:val="001D5722"/>
    <w:rsid w:val="001D637C"/>
    <w:rsid w:val="001D6B63"/>
    <w:rsid w:val="001D6E8A"/>
    <w:rsid w:val="001D6EE6"/>
    <w:rsid w:val="001D715D"/>
    <w:rsid w:val="001E00BE"/>
    <w:rsid w:val="001E0A0D"/>
    <w:rsid w:val="001E38C0"/>
    <w:rsid w:val="001E4918"/>
    <w:rsid w:val="001E64EB"/>
    <w:rsid w:val="001E6A44"/>
    <w:rsid w:val="001F071F"/>
    <w:rsid w:val="001F0C36"/>
    <w:rsid w:val="001F1225"/>
    <w:rsid w:val="001F2174"/>
    <w:rsid w:val="001F3F43"/>
    <w:rsid w:val="001F4487"/>
    <w:rsid w:val="001F4BE4"/>
    <w:rsid w:val="001F4F94"/>
    <w:rsid w:val="001F63EA"/>
    <w:rsid w:val="001F7958"/>
    <w:rsid w:val="002013B9"/>
    <w:rsid w:val="002013D7"/>
    <w:rsid w:val="00201ECD"/>
    <w:rsid w:val="00202D63"/>
    <w:rsid w:val="00203F8E"/>
    <w:rsid w:val="00204000"/>
    <w:rsid w:val="00205B24"/>
    <w:rsid w:val="00206341"/>
    <w:rsid w:val="00206DEA"/>
    <w:rsid w:val="002070B6"/>
    <w:rsid w:val="002101B2"/>
    <w:rsid w:val="002110AC"/>
    <w:rsid w:val="00211336"/>
    <w:rsid w:val="0021176F"/>
    <w:rsid w:val="00212B23"/>
    <w:rsid w:val="00213458"/>
    <w:rsid w:val="00216B74"/>
    <w:rsid w:val="00220A72"/>
    <w:rsid w:val="00224654"/>
    <w:rsid w:val="00227875"/>
    <w:rsid w:val="00227B4B"/>
    <w:rsid w:val="00230A61"/>
    <w:rsid w:val="00231BA3"/>
    <w:rsid w:val="00231D58"/>
    <w:rsid w:val="0023398F"/>
    <w:rsid w:val="002371E1"/>
    <w:rsid w:val="00237C4B"/>
    <w:rsid w:val="00240246"/>
    <w:rsid w:val="002416C5"/>
    <w:rsid w:val="00241F15"/>
    <w:rsid w:val="00242642"/>
    <w:rsid w:val="00244AD2"/>
    <w:rsid w:val="00244B40"/>
    <w:rsid w:val="00244CD1"/>
    <w:rsid w:val="00250E5F"/>
    <w:rsid w:val="00253B8F"/>
    <w:rsid w:val="00255279"/>
    <w:rsid w:val="00255604"/>
    <w:rsid w:val="0025602A"/>
    <w:rsid w:val="002615F9"/>
    <w:rsid w:val="002616C8"/>
    <w:rsid w:val="00261A84"/>
    <w:rsid w:val="00262263"/>
    <w:rsid w:val="00264016"/>
    <w:rsid w:val="0026441E"/>
    <w:rsid w:val="00265494"/>
    <w:rsid w:val="0026572B"/>
    <w:rsid w:val="00265D16"/>
    <w:rsid w:val="00265F12"/>
    <w:rsid w:val="00266D39"/>
    <w:rsid w:val="00267053"/>
    <w:rsid w:val="00272D03"/>
    <w:rsid w:val="002733FC"/>
    <w:rsid w:val="00273810"/>
    <w:rsid w:val="00274B26"/>
    <w:rsid w:val="00276003"/>
    <w:rsid w:val="00277010"/>
    <w:rsid w:val="00277C5A"/>
    <w:rsid w:val="00281596"/>
    <w:rsid w:val="00281C64"/>
    <w:rsid w:val="00281CFD"/>
    <w:rsid w:val="00283CB0"/>
    <w:rsid w:val="00283F86"/>
    <w:rsid w:val="00284C48"/>
    <w:rsid w:val="00285071"/>
    <w:rsid w:val="00286BFB"/>
    <w:rsid w:val="00287CA8"/>
    <w:rsid w:val="0029017B"/>
    <w:rsid w:val="00290F3B"/>
    <w:rsid w:val="002913E0"/>
    <w:rsid w:val="00291B52"/>
    <w:rsid w:val="002921B0"/>
    <w:rsid w:val="00293600"/>
    <w:rsid w:val="00294DEE"/>
    <w:rsid w:val="00295D06"/>
    <w:rsid w:val="00297B3F"/>
    <w:rsid w:val="002A0396"/>
    <w:rsid w:val="002A0CB6"/>
    <w:rsid w:val="002A1186"/>
    <w:rsid w:val="002A17E5"/>
    <w:rsid w:val="002A2C18"/>
    <w:rsid w:val="002A3B0B"/>
    <w:rsid w:val="002A42A2"/>
    <w:rsid w:val="002A7E8D"/>
    <w:rsid w:val="002B0601"/>
    <w:rsid w:val="002B1A80"/>
    <w:rsid w:val="002B2189"/>
    <w:rsid w:val="002B2ADA"/>
    <w:rsid w:val="002B52A6"/>
    <w:rsid w:val="002B53BA"/>
    <w:rsid w:val="002B5483"/>
    <w:rsid w:val="002B75C1"/>
    <w:rsid w:val="002C16BD"/>
    <w:rsid w:val="002C36C5"/>
    <w:rsid w:val="002C5440"/>
    <w:rsid w:val="002C7846"/>
    <w:rsid w:val="002C7999"/>
    <w:rsid w:val="002C7E04"/>
    <w:rsid w:val="002C7EAC"/>
    <w:rsid w:val="002D0432"/>
    <w:rsid w:val="002D1BB1"/>
    <w:rsid w:val="002D1C3D"/>
    <w:rsid w:val="002D1C52"/>
    <w:rsid w:val="002D25DC"/>
    <w:rsid w:val="002D4A9D"/>
    <w:rsid w:val="002D7C6C"/>
    <w:rsid w:val="002E3373"/>
    <w:rsid w:val="002E35BC"/>
    <w:rsid w:val="002E3A7A"/>
    <w:rsid w:val="002E431E"/>
    <w:rsid w:val="002E48E8"/>
    <w:rsid w:val="002E681F"/>
    <w:rsid w:val="002E6B9F"/>
    <w:rsid w:val="002F0145"/>
    <w:rsid w:val="002F02EA"/>
    <w:rsid w:val="002F0905"/>
    <w:rsid w:val="002F0CB1"/>
    <w:rsid w:val="002F2D06"/>
    <w:rsid w:val="002F3195"/>
    <w:rsid w:val="002F3FE9"/>
    <w:rsid w:val="002F52EF"/>
    <w:rsid w:val="002F7146"/>
    <w:rsid w:val="003015D2"/>
    <w:rsid w:val="00301F0E"/>
    <w:rsid w:val="0030247E"/>
    <w:rsid w:val="00305631"/>
    <w:rsid w:val="00305765"/>
    <w:rsid w:val="00305C35"/>
    <w:rsid w:val="00307152"/>
    <w:rsid w:val="00310767"/>
    <w:rsid w:val="0031222B"/>
    <w:rsid w:val="00316FEC"/>
    <w:rsid w:val="00323142"/>
    <w:rsid w:val="00323698"/>
    <w:rsid w:val="00323E7A"/>
    <w:rsid w:val="00323EE3"/>
    <w:rsid w:val="00324249"/>
    <w:rsid w:val="00325405"/>
    <w:rsid w:val="00327807"/>
    <w:rsid w:val="00327D95"/>
    <w:rsid w:val="00327E54"/>
    <w:rsid w:val="00331F4E"/>
    <w:rsid w:val="00332199"/>
    <w:rsid w:val="00334A26"/>
    <w:rsid w:val="00334AB5"/>
    <w:rsid w:val="00335C37"/>
    <w:rsid w:val="00336D11"/>
    <w:rsid w:val="003374AC"/>
    <w:rsid w:val="00340418"/>
    <w:rsid w:val="003408ED"/>
    <w:rsid w:val="0034148B"/>
    <w:rsid w:val="0034180D"/>
    <w:rsid w:val="0034286C"/>
    <w:rsid w:val="00345008"/>
    <w:rsid w:val="00346C64"/>
    <w:rsid w:val="00346D6C"/>
    <w:rsid w:val="00347DF1"/>
    <w:rsid w:val="003501F3"/>
    <w:rsid w:val="00351E36"/>
    <w:rsid w:val="0035354D"/>
    <w:rsid w:val="00353B98"/>
    <w:rsid w:val="003549EE"/>
    <w:rsid w:val="003571E1"/>
    <w:rsid w:val="003635FD"/>
    <w:rsid w:val="00363727"/>
    <w:rsid w:val="0036401A"/>
    <w:rsid w:val="0036503E"/>
    <w:rsid w:val="00366B7C"/>
    <w:rsid w:val="00371A4A"/>
    <w:rsid w:val="00372A8D"/>
    <w:rsid w:val="00372EC3"/>
    <w:rsid w:val="00373364"/>
    <w:rsid w:val="00374CBC"/>
    <w:rsid w:val="00374DEA"/>
    <w:rsid w:val="0038042D"/>
    <w:rsid w:val="00380460"/>
    <w:rsid w:val="003810EE"/>
    <w:rsid w:val="0038113D"/>
    <w:rsid w:val="0038163F"/>
    <w:rsid w:val="003817C6"/>
    <w:rsid w:val="0038391E"/>
    <w:rsid w:val="00384049"/>
    <w:rsid w:val="003840B9"/>
    <w:rsid w:val="003875C8"/>
    <w:rsid w:val="003879A0"/>
    <w:rsid w:val="00393763"/>
    <w:rsid w:val="00393951"/>
    <w:rsid w:val="003941BD"/>
    <w:rsid w:val="003942F4"/>
    <w:rsid w:val="00394988"/>
    <w:rsid w:val="00395236"/>
    <w:rsid w:val="00396454"/>
    <w:rsid w:val="003965C6"/>
    <w:rsid w:val="003972AA"/>
    <w:rsid w:val="0039794A"/>
    <w:rsid w:val="00397EC3"/>
    <w:rsid w:val="003A06BC"/>
    <w:rsid w:val="003A1CBC"/>
    <w:rsid w:val="003A2566"/>
    <w:rsid w:val="003A2C60"/>
    <w:rsid w:val="003A5CAC"/>
    <w:rsid w:val="003A6164"/>
    <w:rsid w:val="003A6993"/>
    <w:rsid w:val="003B146C"/>
    <w:rsid w:val="003B2CA5"/>
    <w:rsid w:val="003B5A20"/>
    <w:rsid w:val="003C14FB"/>
    <w:rsid w:val="003C1585"/>
    <w:rsid w:val="003C15E8"/>
    <w:rsid w:val="003C1A5B"/>
    <w:rsid w:val="003C1D8C"/>
    <w:rsid w:val="003C2E4E"/>
    <w:rsid w:val="003C341D"/>
    <w:rsid w:val="003C3AC5"/>
    <w:rsid w:val="003C3E0E"/>
    <w:rsid w:val="003C422E"/>
    <w:rsid w:val="003C4266"/>
    <w:rsid w:val="003C4F88"/>
    <w:rsid w:val="003C5F07"/>
    <w:rsid w:val="003C7F54"/>
    <w:rsid w:val="003D0CCC"/>
    <w:rsid w:val="003D28CB"/>
    <w:rsid w:val="003D2B02"/>
    <w:rsid w:val="003E27A2"/>
    <w:rsid w:val="003E33D1"/>
    <w:rsid w:val="003E34BB"/>
    <w:rsid w:val="003E6B28"/>
    <w:rsid w:val="003E7FF9"/>
    <w:rsid w:val="003F0991"/>
    <w:rsid w:val="003F0BB7"/>
    <w:rsid w:val="003F1589"/>
    <w:rsid w:val="003F162C"/>
    <w:rsid w:val="003F174E"/>
    <w:rsid w:val="003F55A1"/>
    <w:rsid w:val="003F579F"/>
    <w:rsid w:val="003F5DB0"/>
    <w:rsid w:val="003F76A3"/>
    <w:rsid w:val="003F792C"/>
    <w:rsid w:val="003F7A5D"/>
    <w:rsid w:val="00400006"/>
    <w:rsid w:val="00400604"/>
    <w:rsid w:val="00400D29"/>
    <w:rsid w:val="00402445"/>
    <w:rsid w:val="004052ED"/>
    <w:rsid w:val="004073B8"/>
    <w:rsid w:val="004105CB"/>
    <w:rsid w:val="004124D5"/>
    <w:rsid w:val="00412CCA"/>
    <w:rsid w:val="0041325D"/>
    <w:rsid w:val="00416816"/>
    <w:rsid w:val="00417FB2"/>
    <w:rsid w:val="004206CE"/>
    <w:rsid w:val="00420C1C"/>
    <w:rsid w:val="00420EAE"/>
    <w:rsid w:val="00421B9F"/>
    <w:rsid w:val="00422508"/>
    <w:rsid w:val="00423CA8"/>
    <w:rsid w:val="00425758"/>
    <w:rsid w:val="0042595B"/>
    <w:rsid w:val="0042734D"/>
    <w:rsid w:val="004278C6"/>
    <w:rsid w:val="00427EBE"/>
    <w:rsid w:val="004307D0"/>
    <w:rsid w:val="00430A52"/>
    <w:rsid w:val="00430D82"/>
    <w:rsid w:val="004312E7"/>
    <w:rsid w:val="0043134D"/>
    <w:rsid w:val="0043161C"/>
    <w:rsid w:val="00431869"/>
    <w:rsid w:val="00432494"/>
    <w:rsid w:val="00432D5D"/>
    <w:rsid w:val="0043361C"/>
    <w:rsid w:val="00433BF1"/>
    <w:rsid w:val="00435B53"/>
    <w:rsid w:val="00436345"/>
    <w:rsid w:val="004379CA"/>
    <w:rsid w:val="00444541"/>
    <w:rsid w:val="00445E1C"/>
    <w:rsid w:val="004461F6"/>
    <w:rsid w:val="004474CF"/>
    <w:rsid w:val="004501A9"/>
    <w:rsid w:val="00451A65"/>
    <w:rsid w:val="00451FAC"/>
    <w:rsid w:val="0045215C"/>
    <w:rsid w:val="004529EB"/>
    <w:rsid w:val="00453C7E"/>
    <w:rsid w:val="00454E3B"/>
    <w:rsid w:val="00454E96"/>
    <w:rsid w:val="00455938"/>
    <w:rsid w:val="004563AC"/>
    <w:rsid w:val="00456CCC"/>
    <w:rsid w:val="004606B6"/>
    <w:rsid w:val="00460E8B"/>
    <w:rsid w:val="00461056"/>
    <w:rsid w:val="0046203B"/>
    <w:rsid w:val="00462DA1"/>
    <w:rsid w:val="004644C9"/>
    <w:rsid w:val="004655B1"/>
    <w:rsid w:val="00465A94"/>
    <w:rsid w:val="004662C1"/>
    <w:rsid w:val="0046733B"/>
    <w:rsid w:val="0047038A"/>
    <w:rsid w:val="0047059D"/>
    <w:rsid w:val="00473D9F"/>
    <w:rsid w:val="004743A1"/>
    <w:rsid w:val="0047463B"/>
    <w:rsid w:val="00474C70"/>
    <w:rsid w:val="004750FF"/>
    <w:rsid w:val="0047550C"/>
    <w:rsid w:val="00476352"/>
    <w:rsid w:val="004771B8"/>
    <w:rsid w:val="00477D7C"/>
    <w:rsid w:val="00480250"/>
    <w:rsid w:val="00480B0A"/>
    <w:rsid w:val="004811C7"/>
    <w:rsid w:val="00481959"/>
    <w:rsid w:val="00481A76"/>
    <w:rsid w:val="00486FAA"/>
    <w:rsid w:val="00487173"/>
    <w:rsid w:val="004875F6"/>
    <w:rsid w:val="0049149B"/>
    <w:rsid w:val="00491757"/>
    <w:rsid w:val="00492D74"/>
    <w:rsid w:val="004942D8"/>
    <w:rsid w:val="0049512A"/>
    <w:rsid w:val="0049624C"/>
    <w:rsid w:val="004A0C63"/>
    <w:rsid w:val="004A3F4F"/>
    <w:rsid w:val="004A5ADC"/>
    <w:rsid w:val="004A5E45"/>
    <w:rsid w:val="004A683C"/>
    <w:rsid w:val="004A6EEA"/>
    <w:rsid w:val="004B009E"/>
    <w:rsid w:val="004B07BE"/>
    <w:rsid w:val="004B0A0E"/>
    <w:rsid w:val="004B177E"/>
    <w:rsid w:val="004B4C7F"/>
    <w:rsid w:val="004B7C93"/>
    <w:rsid w:val="004C1565"/>
    <w:rsid w:val="004C1D30"/>
    <w:rsid w:val="004C3C7C"/>
    <w:rsid w:val="004D0BDC"/>
    <w:rsid w:val="004D113B"/>
    <w:rsid w:val="004D1162"/>
    <w:rsid w:val="004D1953"/>
    <w:rsid w:val="004D21BE"/>
    <w:rsid w:val="004D314A"/>
    <w:rsid w:val="004D54EA"/>
    <w:rsid w:val="004D5A3F"/>
    <w:rsid w:val="004D60C6"/>
    <w:rsid w:val="004E1F51"/>
    <w:rsid w:val="004E2196"/>
    <w:rsid w:val="004E24D0"/>
    <w:rsid w:val="004E3946"/>
    <w:rsid w:val="004E48D9"/>
    <w:rsid w:val="004E6AB6"/>
    <w:rsid w:val="004E6CCE"/>
    <w:rsid w:val="004F02CB"/>
    <w:rsid w:val="004F2098"/>
    <w:rsid w:val="004F29EA"/>
    <w:rsid w:val="004F5615"/>
    <w:rsid w:val="004F635E"/>
    <w:rsid w:val="004F75DB"/>
    <w:rsid w:val="004F77D7"/>
    <w:rsid w:val="005005B9"/>
    <w:rsid w:val="00500795"/>
    <w:rsid w:val="00502F21"/>
    <w:rsid w:val="00505A56"/>
    <w:rsid w:val="005067C2"/>
    <w:rsid w:val="00510CF5"/>
    <w:rsid w:val="00511370"/>
    <w:rsid w:val="00511A33"/>
    <w:rsid w:val="00512B8A"/>
    <w:rsid w:val="00512C82"/>
    <w:rsid w:val="00513DFE"/>
    <w:rsid w:val="00514977"/>
    <w:rsid w:val="00515A86"/>
    <w:rsid w:val="005205AF"/>
    <w:rsid w:val="0052180D"/>
    <w:rsid w:val="00523FDA"/>
    <w:rsid w:val="00526308"/>
    <w:rsid w:val="00527B69"/>
    <w:rsid w:val="00530B52"/>
    <w:rsid w:val="00531FE8"/>
    <w:rsid w:val="00533FCE"/>
    <w:rsid w:val="005340DA"/>
    <w:rsid w:val="005348AB"/>
    <w:rsid w:val="0053566C"/>
    <w:rsid w:val="00535DE1"/>
    <w:rsid w:val="00536865"/>
    <w:rsid w:val="00536CED"/>
    <w:rsid w:val="00540543"/>
    <w:rsid w:val="005410A7"/>
    <w:rsid w:val="00541510"/>
    <w:rsid w:val="0054182B"/>
    <w:rsid w:val="005501A5"/>
    <w:rsid w:val="005509B0"/>
    <w:rsid w:val="005527E2"/>
    <w:rsid w:val="00552E0B"/>
    <w:rsid w:val="0055591B"/>
    <w:rsid w:val="005563A1"/>
    <w:rsid w:val="00556BD3"/>
    <w:rsid w:val="005600DC"/>
    <w:rsid w:val="005605A2"/>
    <w:rsid w:val="00560B9F"/>
    <w:rsid w:val="00560DF9"/>
    <w:rsid w:val="0056241A"/>
    <w:rsid w:val="0056308D"/>
    <w:rsid w:val="0056546F"/>
    <w:rsid w:val="00565CCC"/>
    <w:rsid w:val="00565E29"/>
    <w:rsid w:val="00567929"/>
    <w:rsid w:val="00567B5F"/>
    <w:rsid w:val="00570276"/>
    <w:rsid w:val="00570456"/>
    <w:rsid w:val="00570A33"/>
    <w:rsid w:val="0057335A"/>
    <w:rsid w:val="00574410"/>
    <w:rsid w:val="00576816"/>
    <w:rsid w:val="005805DC"/>
    <w:rsid w:val="00582A58"/>
    <w:rsid w:val="00582A5D"/>
    <w:rsid w:val="005847DE"/>
    <w:rsid w:val="00584D6F"/>
    <w:rsid w:val="00586236"/>
    <w:rsid w:val="005872A3"/>
    <w:rsid w:val="00593858"/>
    <w:rsid w:val="00593BD2"/>
    <w:rsid w:val="0059520F"/>
    <w:rsid w:val="005963EC"/>
    <w:rsid w:val="00596B34"/>
    <w:rsid w:val="00596F8F"/>
    <w:rsid w:val="00597D4B"/>
    <w:rsid w:val="00597EC1"/>
    <w:rsid w:val="005A25F6"/>
    <w:rsid w:val="005A4220"/>
    <w:rsid w:val="005A65D7"/>
    <w:rsid w:val="005A7D68"/>
    <w:rsid w:val="005B0BCB"/>
    <w:rsid w:val="005B12C3"/>
    <w:rsid w:val="005B2163"/>
    <w:rsid w:val="005B2B1E"/>
    <w:rsid w:val="005B5765"/>
    <w:rsid w:val="005B7119"/>
    <w:rsid w:val="005B718E"/>
    <w:rsid w:val="005C0AD3"/>
    <w:rsid w:val="005C2848"/>
    <w:rsid w:val="005C2F39"/>
    <w:rsid w:val="005C3E3D"/>
    <w:rsid w:val="005C4758"/>
    <w:rsid w:val="005C4840"/>
    <w:rsid w:val="005C561D"/>
    <w:rsid w:val="005C58CB"/>
    <w:rsid w:val="005D5F22"/>
    <w:rsid w:val="005D6CD5"/>
    <w:rsid w:val="005D75F6"/>
    <w:rsid w:val="005E11F8"/>
    <w:rsid w:val="005E25D3"/>
    <w:rsid w:val="005E2877"/>
    <w:rsid w:val="005E38F6"/>
    <w:rsid w:val="005E433E"/>
    <w:rsid w:val="005E448C"/>
    <w:rsid w:val="005E5815"/>
    <w:rsid w:val="005E665F"/>
    <w:rsid w:val="005E7BAE"/>
    <w:rsid w:val="005F1C9C"/>
    <w:rsid w:val="005F2260"/>
    <w:rsid w:val="005F2969"/>
    <w:rsid w:val="005F2F37"/>
    <w:rsid w:val="005F33D0"/>
    <w:rsid w:val="005F4AA8"/>
    <w:rsid w:val="005F4FC3"/>
    <w:rsid w:val="005F6C91"/>
    <w:rsid w:val="0060197F"/>
    <w:rsid w:val="00601A97"/>
    <w:rsid w:val="00603AE3"/>
    <w:rsid w:val="00605BF8"/>
    <w:rsid w:val="00605DC5"/>
    <w:rsid w:val="00606FF3"/>
    <w:rsid w:val="00607E35"/>
    <w:rsid w:val="006108A8"/>
    <w:rsid w:val="00610D98"/>
    <w:rsid w:val="006110CF"/>
    <w:rsid w:val="00613244"/>
    <w:rsid w:val="00613720"/>
    <w:rsid w:val="006143C4"/>
    <w:rsid w:val="00615338"/>
    <w:rsid w:val="00617D9A"/>
    <w:rsid w:val="00620CEE"/>
    <w:rsid w:val="0062219F"/>
    <w:rsid w:val="00622DEF"/>
    <w:rsid w:val="00623E71"/>
    <w:rsid w:val="00626076"/>
    <w:rsid w:val="00630389"/>
    <w:rsid w:val="006311BC"/>
    <w:rsid w:val="00631548"/>
    <w:rsid w:val="006402F8"/>
    <w:rsid w:val="00640A6C"/>
    <w:rsid w:val="00641B51"/>
    <w:rsid w:val="006434A3"/>
    <w:rsid w:val="006453BA"/>
    <w:rsid w:val="006454DF"/>
    <w:rsid w:val="006462FA"/>
    <w:rsid w:val="006471CA"/>
    <w:rsid w:val="00651551"/>
    <w:rsid w:val="00651FFE"/>
    <w:rsid w:val="00655EA1"/>
    <w:rsid w:val="00656B0F"/>
    <w:rsid w:val="00657602"/>
    <w:rsid w:val="00657CCD"/>
    <w:rsid w:val="00660120"/>
    <w:rsid w:val="00663E46"/>
    <w:rsid w:val="006663E2"/>
    <w:rsid w:val="0066783C"/>
    <w:rsid w:val="00667A2C"/>
    <w:rsid w:val="006716D1"/>
    <w:rsid w:val="0067185E"/>
    <w:rsid w:val="00671BB4"/>
    <w:rsid w:val="00672489"/>
    <w:rsid w:val="006733BF"/>
    <w:rsid w:val="00677321"/>
    <w:rsid w:val="0067745A"/>
    <w:rsid w:val="006777A8"/>
    <w:rsid w:val="00681841"/>
    <w:rsid w:val="006833FC"/>
    <w:rsid w:val="00683C27"/>
    <w:rsid w:val="00683DF6"/>
    <w:rsid w:val="00684C88"/>
    <w:rsid w:val="00685F70"/>
    <w:rsid w:val="006905C9"/>
    <w:rsid w:val="00690901"/>
    <w:rsid w:val="00690F91"/>
    <w:rsid w:val="00691C2D"/>
    <w:rsid w:val="006A0F79"/>
    <w:rsid w:val="006A18C7"/>
    <w:rsid w:val="006A2BC0"/>
    <w:rsid w:val="006A37D4"/>
    <w:rsid w:val="006A49A2"/>
    <w:rsid w:val="006A4B7E"/>
    <w:rsid w:val="006A5230"/>
    <w:rsid w:val="006A71A5"/>
    <w:rsid w:val="006A75AE"/>
    <w:rsid w:val="006B2634"/>
    <w:rsid w:val="006B2954"/>
    <w:rsid w:val="006B3B49"/>
    <w:rsid w:val="006B3DBC"/>
    <w:rsid w:val="006B3F13"/>
    <w:rsid w:val="006B4A49"/>
    <w:rsid w:val="006B527B"/>
    <w:rsid w:val="006B6807"/>
    <w:rsid w:val="006C0B39"/>
    <w:rsid w:val="006C0B71"/>
    <w:rsid w:val="006C18AB"/>
    <w:rsid w:val="006C3C3E"/>
    <w:rsid w:val="006C673C"/>
    <w:rsid w:val="006C71E5"/>
    <w:rsid w:val="006D05E7"/>
    <w:rsid w:val="006D12A0"/>
    <w:rsid w:val="006D132F"/>
    <w:rsid w:val="006D27AD"/>
    <w:rsid w:val="006D2E07"/>
    <w:rsid w:val="006D4A9A"/>
    <w:rsid w:val="006D5F9E"/>
    <w:rsid w:val="006D71E3"/>
    <w:rsid w:val="006D7C2C"/>
    <w:rsid w:val="006E0232"/>
    <w:rsid w:val="006E06A2"/>
    <w:rsid w:val="006E2406"/>
    <w:rsid w:val="006E2417"/>
    <w:rsid w:val="006E2634"/>
    <w:rsid w:val="006E27D9"/>
    <w:rsid w:val="006E4055"/>
    <w:rsid w:val="006E5377"/>
    <w:rsid w:val="006E555E"/>
    <w:rsid w:val="006E634A"/>
    <w:rsid w:val="006E64E4"/>
    <w:rsid w:val="006E7BF6"/>
    <w:rsid w:val="006E7C58"/>
    <w:rsid w:val="006F119C"/>
    <w:rsid w:val="006F36C6"/>
    <w:rsid w:val="006F3A8C"/>
    <w:rsid w:val="006F4839"/>
    <w:rsid w:val="006F4A8D"/>
    <w:rsid w:val="006F67FC"/>
    <w:rsid w:val="006F766D"/>
    <w:rsid w:val="007001CD"/>
    <w:rsid w:val="0070054F"/>
    <w:rsid w:val="00700A13"/>
    <w:rsid w:val="00702B64"/>
    <w:rsid w:val="0070418F"/>
    <w:rsid w:val="007063D1"/>
    <w:rsid w:val="0070655B"/>
    <w:rsid w:val="00706919"/>
    <w:rsid w:val="00707DB6"/>
    <w:rsid w:val="007100CA"/>
    <w:rsid w:val="00710BDB"/>
    <w:rsid w:val="00710FCE"/>
    <w:rsid w:val="00711B79"/>
    <w:rsid w:val="00711EE9"/>
    <w:rsid w:val="00712B8E"/>
    <w:rsid w:val="00713853"/>
    <w:rsid w:val="007177A5"/>
    <w:rsid w:val="00721CD2"/>
    <w:rsid w:val="00722677"/>
    <w:rsid w:val="007240B4"/>
    <w:rsid w:val="007279B5"/>
    <w:rsid w:val="007310F8"/>
    <w:rsid w:val="007329DC"/>
    <w:rsid w:val="0073397E"/>
    <w:rsid w:val="00733A6D"/>
    <w:rsid w:val="007343DC"/>
    <w:rsid w:val="00734C1E"/>
    <w:rsid w:val="00735556"/>
    <w:rsid w:val="007360C6"/>
    <w:rsid w:val="00740AF1"/>
    <w:rsid w:val="007412B6"/>
    <w:rsid w:val="00741BBA"/>
    <w:rsid w:val="00741D40"/>
    <w:rsid w:val="007425EF"/>
    <w:rsid w:val="00745E69"/>
    <w:rsid w:val="007463C3"/>
    <w:rsid w:val="0075040E"/>
    <w:rsid w:val="00750955"/>
    <w:rsid w:val="00752E4B"/>
    <w:rsid w:val="00752F7A"/>
    <w:rsid w:val="0075416C"/>
    <w:rsid w:val="00755D16"/>
    <w:rsid w:val="0075660A"/>
    <w:rsid w:val="007572BD"/>
    <w:rsid w:val="00757977"/>
    <w:rsid w:val="007613F8"/>
    <w:rsid w:val="0076222B"/>
    <w:rsid w:val="007623C7"/>
    <w:rsid w:val="00763229"/>
    <w:rsid w:val="00763A90"/>
    <w:rsid w:val="00764833"/>
    <w:rsid w:val="007653CA"/>
    <w:rsid w:val="0076561B"/>
    <w:rsid w:val="007657CA"/>
    <w:rsid w:val="00766600"/>
    <w:rsid w:val="0077000A"/>
    <w:rsid w:val="00771D13"/>
    <w:rsid w:val="00771FEC"/>
    <w:rsid w:val="00780892"/>
    <w:rsid w:val="00781839"/>
    <w:rsid w:val="00781F87"/>
    <w:rsid w:val="0078238B"/>
    <w:rsid w:val="0078293E"/>
    <w:rsid w:val="00783822"/>
    <w:rsid w:val="007839E3"/>
    <w:rsid w:val="007842F9"/>
    <w:rsid w:val="0078566E"/>
    <w:rsid w:val="0078599D"/>
    <w:rsid w:val="00785BA2"/>
    <w:rsid w:val="00785CF3"/>
    <w:rsid w:val="00786164"/>
    <w:rsid w:val="00786298"/>
    <w:rsid w:val="007869E7"/>
    <w:rsid w:val="00786BCE"/>
    <w:rsid w:val="00787BC7"/>
    <w:rsid w:val="00790DD0"/>
    <w:rsid w:val="00790F0D"/>
    <w:rsid w:val="007911DC"/>
    <w:rsid w:val="0079339C"/>
    <w:rsid w:val="00795510"/>
    <w:rsid w:val="00797572"/>
    <w:rsid w:val="007A12B1"/>
    <w:rsid w:val="007A23D7"/>
    <w:rsid w:val="007A27F3"/>
    <w:rsid w:val="007A30B7"/>
    <w:rsid w:val="007A394F"/>
    <w:rsid w:val="007A3CCF"/>
    <w:rsid w:val="007A41CF"/>
    <w:rsid w:val="007A42B5"/>
    <w:rsid w:val="007A45E6"/>
    <w:rsid w:val="007A4F6C"/>
    <w:rsid w:val="007B0596"/>
    <w:rsid w:val="007B0FEF"/>
    <w:rsid w:val="007B1DCD"/>
    <w:rsid w:val="007B1E64"/>
    <w:rsid w:val="007B20D4"/>
    <w:rsid w:val="007B25BA"/>
    <w:rsid w:val="007B2941"/>
    <w:rsid w:val="007B4019"/>
    <w:rsid w:val="007B4BF3"/>
    <w:rsid w:val="007B4E27"/>
    <w:rsid w:val="007B4E9C"/>
    <w:rsid w:val="007B5020"/>
    <w:rsid w:val="007B5B25"/>
    <w:rsid w:val="007B67F7"/>
    <w:rsid w:val="007B6971"/>
    <w:rsid w:val="007B7427"/>
    <w:rsid w:val="007C0005"/>
    <w:rsid w:val="007C049B"/>
    <w:rsid w:val="007C087B"/>
    <w:rsid w:val="007C08D7"/>
    <w:rsid w:val="007C1651"/>
    <w:rsid w:val="007C3250"/>
    <w:rsid w:val="007C7E86"/>
    <w:rsid w:val="007D0718"/>
    <w:rsid w:val="007D0D07"/>
    <w:rsid w:val="007D1CAF"/>
    <w:rsid w:val="007D2A44"/>
    <w:rsid w:val="007D2DFA"/>
    <w:rsid w:val="007D4EDD"/>
    <w:rsid w:val="007D52F3"/>
    <w:rsid w:val="007D5997"/>
    <w:rsid w:val="007D5F67"/>
    <w:rsid w:val="007D6ADC"/>
    <w:rsid w:val="007E227B"/>
    <w:rsid w:val="007E2C08"/>
    <w:rsid w:val="007E4425"/>
    <w:rsid w:val="007E57F0"/>
    <w:rsid w:val="007E6390"/>
    <w:rsid w:val="007E6745"/>
    <w:rsid w:val="007E776A"/>
    <w:rsid w:val="007F0F5B"/>
    <w:rsid w:val="007F1C5B"/>
    <w:rsid w:val="007F22CB"/>
    <w:rsid w:val="007F3D89"/>
    <w:rsid w:val="007F4C24"/>
    <w:rsid w:val="007F5114"/>
    <w:rsid w:val="007F60F5"/>
    <w:rsid w:val="007F79B9"/>
    <w:rsid w:val="008001CF"/>
    <w:rsid w:val="00801728"/>
    <w:rsid w:val="008022ED"/>
    <w:rsid w:val="00802800"/>
    <w:rsid w:val="0080400A"/>
    <w:rsid w:val="00807A48"/>
    <w:rsid w:val="00810503"/>
    <w:rsid w:val="00811F6F"/>
    <w:rsid w:val="0081253C"/>
    <w:rsid w:val="008133FD"/>
    <w:rsid w:val="0081454B"/>
    <w:rsid w:val="00816D93"/>
    <w:rsid w:val="0082073D"/>
    <w:rsid w:val="008244A1"/>
    <w:rsid w:val="008249F7"/>
    <w:rsid w:val="00825273"/>
    <w:rsid w:val="00827A9F"/>
    <w:rsid w:val="00827C7D"/>
    <w:rsid w:val="0083350E"/>
    <w:rsid w:val="00834605"/>
    <w:rsid w:val="00835662"/>
    <w:rsid w:val="0083618A"/>
    <w:rsid w:val="008378BB"/>
    <w:rsid w:val="00837C4A"/>
    <w:rsid w:val="00840310"/>
    <w:rsid w:val="0084065E"/>
    <w:rsid w:val="00842DCF"/>
    <w:rsid w:val="00843C64"/>
    <w:rsid w:val="00843E06"/>
    <w:rsid w:val="008449E6"/>
    <w:rsid w:val="008465F2"/>
    <w:rsid w:val="008466FD"/>
    <w:rsid w:val="008475C6"/>
    <w:rsid w:val="00847848"/>
    <w:rsid w:val="00850205"/>
    <w:rsid w:val="008536FA"/>
    <w:rsid w:val="0085406F"/>
    <w:rsid w:val="0085446C"/>
    <w:rsid w:val="00860195"/>
    <w:rsid w:val="00860F79"/>
    <w:rsid w:val="0086167C"/>
    <w:rsid w:val="00861B73"/>
    <w:rsid w:val="00861F89"/>
    <w:rsid w:val="00863283"/>
    <w:rsid w:val="008639A4"/>
    <w:rsid w:val="00864EEA"/>
    <w:rsid w:val="00864FAE"/>
    <w:rsid w:val="0086501B"/>
    <w:rsid w:val="00865D29"/>
    <w:rsid w:val="0086682B"/>
    <w:rsid w:val="00866956"/>
    <w:rsid w:val="00866CDB"/>
    <w:rsid w:val="0086764B"/>
    <w:rsid w:val="00867E65"/>
    <w:rsid w:val="00870E12"/>
    <w:rsid w:val="008719ED"/>
    <w:rsid w:val="00871A93"/>
    <w:rsid w:val="00871FAA"/>
    <w:rsid w:val="0087221D"/>
    <w:rsid w:val="008728FF"/>
    <w:rsid w:val="00872CCB"/>
    <w:rsid w:val="0087319D"/>
    <w:rsid w:val="008756B3"/>
    <w:rsid w:val="00875887"/>
    <w:rsid w:val="0087735B"/>
    <w:rsid w:val="0088023E"/>
    <w:rsid w:val="0088139C"/>
    <w:rsid w:val="00882B66"/>
    <w:rsid w:val="00883365"/>
    <w:rsid w:val="00885048"/>
    <w:rsid w:val="008878B1"/>
    <w:rsid w:val="008918E3"/>
    <w:rsid w:val="00891BE9"/>
    <w:rsid w:val="00891E03"/>
    <w:rsid w:val="00892B98"/>
    <w:rsid w:val="00893318"/>
    <w:rsid w:val="00893C2C"/>
    <w:rsid w:val="00893CB3"/>
    <w:rsid w:val="0089721F"/>
    <w:rsid w:val="00897E52"/>
    <w:rsid w:val="008A1761"/>
    <w:rsid w:val="008A25D2"/>
    <w:rsid w:val="008A72F0"/>
    <w:rsid w:val="008B0743"/>
    <w:rsid w:val="008B0796"/>
    <w:rsid w:val="008B1651"/>
    <w:rsid w:val="008B1802"/>
    <w:rsid w:val="008B1A94"/>
    <w:rsid w:val="008B2567"/>
    <w:rsid w:val="008B2D9F"/>
    <w:rsid w:val="008B3796"/>
    <w:rsid w:val="008B40BB"/>
    <w:rsid w:val="008B557B"/>
    <w:rsid w:val="008B6C47"/>
    <w:rsid w:val="008C107E"/>
    <w:rsid w:val="008C133E"/>
    <w:rsid w:val="008C3270"/>
    <w:rsid w:val="008C491F"/>
    <w:rsid w:val="008C788D"/>
    <w:rsid w:val="008D0016"/>
    <w:rsid w:val="008D0D63"/>
    <w:rsid w:val="008D1649"/>
    <w:rsid w:val="008D2292"/>
    <w:rsid w:val="008D25FF"/>
    <w:rsid w:val="008D4291"/>
    <w:rsid w:val="008D69FE"/>
    <w:rsid w:val="008E2AC3"/>
    <w:rsid w:val="008E4147"/>
    <w:rsid w:val="008E488F"/>
    <w:rsid w:val="008E7515"/>
    <w:rsid w:val="008E7C50"/>
    <w:rsid w:val="008F42CB"/>
    <w:rsid w:val="008F47E9"/>
    <w:rsid w:val="008F4E90"/>
    <w:rsid w:val="008F5901"/>
    <w:rsid w:val="008F7344"/>
    <w:rsid w:val="008F79CB"/>
    <w:rsid w:val="00900954"/>
    <w:rsid w:val="009029EE"/>
    <w:rsid w:val="00902E36"/>
    <w:rsid w:val="00903797"/>
    <w:rsid w:val="0090391C"/>
    <w:rsid w:val="00903B11"/>
    <w:rsid w:val="0090400D"/>
    <w:rsid w:val="00904222"/>
    <w:rsid w:val="00906740"/>
    <w:rsid w:val="00906DF8"/>
    <w:rsid w:val="0090738A"/>
    <w:rsid w:val="00912305"/>
    <w:rsid w:val="00912371"/>
    <w:rsid w:val="009141B9"/>
    <w:rsid w:val="00914780"/>
    <w:rsid w:val="00914BAF"/>
    <w:rsid w:val="0091709C"/>
    <w:rsid w:val="00917D0F"/>
    <w:rsid w:val="0092097D"/>
    <w:rsid w:val="0092133D"/>
    <w:rsid w:val="00921A40"/>
    <w:rsid w:val="00921EA8"/>
    <w:rsid w:val="00922F6B"/>
    <w:rsid w:val="009242A8"/>
    <w:rsid w:val="00924D07"/>
    <w:rsid w:val="00925507"/>
    <w:rsid w:val="00931757"/>
    <w:rsid w:val="009334DF"/>
    <w:rsid w:val="009335B9"/>
    <w:rsid w:val="00933AE9"/>
    <w:rsid w:val="009361AE"/>
    <w:rsid w:val="00936999"/>
    <w:rsid w:val="00937344"/>
    <w:rsid w:val="0093735D"/>
    <w:rsid w:val="009407F9"/>
    <w:rsid w:val="00940A97"/>
    <w:rsid w:val="009429A1"/>
    <w:rsid w:val="00942D9D"/>
    <w:rsid w:val="00943AA5"/>
    <w:rsid w:val="00944DD0"/>
    <w:rsid w:val="00944EE1"/>
    <w:rsid w:val="0094664A"/>
    <w:rsid w:val="00946CAD"/>
    <w:rsid w:val="00950404"/>
    <w:rsid w:val="00950B0D"/>
    <w:rsid w:val="00951551"/>
    <w:rsid w:val="009537CD"/>
    <w:rsid w:val="009543FF"/>
    <w:rsid w:val="00954482"/>
    <w:rsid w:val="009569AB"/>
    <w:rsid w:val="00956DC6"/>
    <w:rsid w:val="00957FB1"/>
    <w:rsid w:val="00960BDE"/>
    <w:rsid w:val="00960D62"/>
    <w:rsid w:val="00960D89"/>
    <w:rsid w:val="00960E5B"/>
    <w:rsid w:val="00961E9E"/>
    <w:rsid w:val="00961FCE"/>
    <w:rsid w:val="00962240"/>
    <w:rsid w:val="00962814"/>
    <w:rsid w:val="00962F03"/>
    <w:rsid w:val="00963DD0"/>
    <w:rsid w:val="00964710"/>
    <w:rsid w:val="00965D64"/>
    <w:rsid w:val="009678A2"/>
    <w:rsid w:val="009719F8"/>
    <w:rsid w:val="00971F62"/>
    <w:rsid w:val="00972E43"/>
    <w:rsid w:val="009748C0"/>
    <w:rsid w:val="009760C9"/>
    <w:rsid w:val="00976E0A"/>
    <w:rsid w:val="009778A9"/>
    <w:rsid w:val="00977EB1"/>
    <w:rsid w:val="009828D6"/>
    <w:rsid w:val="00982BF6"/>
    <w:rsid w:val="009831AC"/>
    <w:rsid w:val="00983554"/>
    <w:rsid w:val="009837A5"/>
    <w:rsid w:val="00984F68"/>
    <w:rsid w:val="0098543F"/>
    <w:rsid w:val="0098573C"/>
    <w:rsid w:val="00986752"/>
    <w:rsid w:val="009900F0"/>
    <w:rsid w:val="00990D7C"/>
    <w:rsid w:val="009910A9"/>
    <w:rsid w:val="0099134A"/>
    <w:rsid w:val="00991811"/>
    <w:rsid w:val="00995430"/>
    <w:rsid w:val="00995E05"/>
    <w:rsid w:val="00995F00"/>
    <w:rsid w:val="009967FF"/>
    <w:rsid w:val="009A0137"/>
    <w:rsid w:val="009A02C2"/>
    <w:rsid w:val="009A05AE"/>
    <w:rsid w:val="009A154E"/>
    <w:rsid w:val="009A1D82"/>
    <w:rsid w:val="009A1F0B"/>
    <w:rsid w:val="009A2235"/>
    <w:rsid w:val="009A285B"/>
    <w:rsid w:val="009A2F41"/>
    <w:rsid w:val="009A5247"/>
    <w:rsid w:val="009A5482"/>
    <w:rsid w:val="009A623D"/>
    <w:rsid w:val="009A6525"/>
    <w:rsid w:val="009A7E06"/>
    <w:rsid w:val="009B22DB"/>
    <w:rsid w:val="009B38A3"/>
    <w:rsid w:val="009B3F66"/>
    <w:rsid w:val="009B417A"/>
    <w:rsid w:val="009B44DB"/>
    <w:rsid w:val="009B557B"/>
    <w:rsid w:val="009B5A77"/>
    <w:rsid w:val="009B6200"/>
    <w:rsid w:val="009B6D53"/>
    <w:rsid w:val="009B704C"/>
    <w:rsid w:val="009C02E4"/>
    <w:rsid w:val="009C0958"/>
    <w:rsid w:val="009C168E"/>
    <w:rsid w:val="009C181C"/>
    <w:rsid w:val="009C2B2B"/>
    <w:rsid w:val="009C39F6"/>
    <w:rsid w:val="009C3D99"/>
    <w:rsid w:val="009C4A0A"/>
    <w:rsid w:val="009C4B00"/>
    <w:rsid w:val="009C567F"/>
    <w:rsid w:val="009C57BD"/>
    <w:rsid w:val="009C6F05"/>
    <w:rsid w:val="009D1C69"/>
    <w:rsid w:val="009D3F43"/>
    <w:rsid w:val="009D4560"/>
    <w:rsid w:val="009D6999"/>
    <w:rsid w:val="009D6E39"/>
    <w:rsid w:val="009E028F"/>
    <w:rsid w:val="009E089F"/>
    <w:rsid w:val="009E08AF"/>
    <w:rsid w:val="009E2F83"/>
    <w:rsid w:val="009E454B"/>
    <w:rsid w:val="009E55C9"/>
    <w:rsid w:val="009E59C8"/>
    <w:rsid w:val="009F080E"/>
    <w:rsid w:val="009F1ACB"/>
    <w:rsid w:val="009F5BAC"/>
    <w:rsid w:val="009F6932"/>
    <w:rsid w:val="00A010C9"/>
    <w:rsid w:val="00A0113E"/>
    <w:rsid w:val="00A02F15"/>
    <w:rsid w:val="00A04E7F"/>
    <w:rsid w:val="00A06944"/>
    <w:rsid w:val="00A06EE3"/>
    <w:rsid w:val="00A07A6F"/>
    <w:rsid w:val="00A07E53"/>
    <w:rsid w:val="00A13468"/>
    <w:rsid w:val="00A13A19"/>
    <w:rsid w:val="00A13BA5"/>
    <w:rsid w:val="00A13CF8"/>
    <w:rsid w:val="00A14969"/>
    <w:rsid w:val="00A156C7"/>
    <w:rsid w:val="00A15BDF"/>
    <w:rsid w:val="00A15F77"/>
    <w:rsid w:val="00A205C3"/>
    <w:rsid w:val="00A21271"/>
    <w:rsid w:val="00A21ED8"/>
    <w:rsid w:val="00A255C3"/>
    <w:rsid w:val="00A25C2E"/>
    <w:rsid w:val="00A26CCC"/>
    <w:rsid w:val="00A27490"/>
    <w:rsid w:val="00A3007B"/>
    <w:rsid w:val="00A320F3"/>
    <w:rsid w:val="00A323A4"/>
    <w:rsid w:val="00A34E11"/>
    <w:rsid w:val="00A35C79"/>
    <w:rsid w:val="00A36EE8"/>
    <w:rsid w:val="00A36F7C"/>
    <w:rsid w:val="00A3770C"/>
    <w:rsid w:val="00A4015D"/>
    <w:rsid w:val="00A41262"/>
    <w:rsid w:val="00A422C5"/>
    <w:rsid w:val="00A430C4"/>
    <w:rsid w:val="00A449DA"/>
    <w:rsid w:val="00A44FDC"/>
    <w:rsid w:val="00A45394"/>
    <w:rsid w:val="00A455B8"/>
    <w:rsid w:val="00A47011"/>
    <w:rsid w:val="00A50DC0"/>
    <w:rsid w:val="00A53C00"/>
    <w:rsid w:val="00A56676"/>
    <w:rsid w:val="00A57892"/>
    <w:rsid w:val="00A60A0E"/>
    <w:rsid w:val="00A60CD8"/>
    <w:rsid w:val="00A62262"/>
    <w:rsid w:val="00A64301"/>
    <w:rsid w:val="00A647D1"/>
    <w:rsid w:val="00A6487B"/>
    <w:rsid w:val="00A64F9A"/>
    <w:rsid w:val="00A65C82"/>
    <w:rsid w:val="00A700ED"/>
    <w:rsid w:val="00A7027D"/>
    <w:rsid w:val="00A712B6"/>
    <w:rsid w:val="00A72900"/>
    <w:rsid w:val="00A76B37"/>
    <w:rsid w:val="00A76F97"/>
    <w:rsid w:val="00A77058"/>
    <w:rsid w:val="00A7774C"/>
    <w:rsid w:val="00A777A6"/>
    <w:rsid w:val="00A77E35"/>
    <w:rsid w:val="00A8058A"/>
    <w:rsid w:val="00A86D7A"/>
    <w:rsid w:val="00A87EE6"/>
    <w:rsid w:val="00A90635"/>
    <w:rsid w:val="00A90C0C"/>
    <w:rsid w:val="00A92025"/>
    <w:rsid w:val="00A92E05"/>
    <w:rsid w:val="00A93CE3"/>
    <w:rsid w:val="00A9590B"/>
    <w:rsid w:val="00A961FC"/>
    <w:rsid w:val="00A96435"/>
    <w:rsid w:val="00AA0F25"/>
    <w:rsid w:val="00AA1815"/>
    <w:rsid w:val="00AA2D62"/>
    <w:rsid w:val="00AA5950"/>
    <w:rsid w:val="00AB0A01"/>
    <w:rsid w:val="00AB196F"/>
    <w:rsid w:val="00AB1A1E"/>
    <w:rsid w:val="00AB24BE"/>
    <w:rsid w:val="00AB3424"/>
    <w:rsid w:val="00AB4EE5"/>
    <w:rsid w:val="00AB5225"/>
    <w:rsid w:val="00AB654A"/>
    <w:rsid w:val="00AB67D9"/>
    <w:rsid w:val="00AB737C"/>
    <w:rsid w:val="00AC07BB"/>
    <w:rsid w:val="00AC0A2B"/>
    <w:rsid w:val="00AC134B"/>
    <w:rsid w:val="00AC1A0F"/>
    <w:rsid w:val="00AC1A68"/>
    <w:rsid w:val="00AC213C"/>
    <w:rsid w:val="00AC30B7"/>
    <w:rsid w:val="00AC3373"/>
    <w:rsid w:val="00AC3D9C"/>
    <w:rsid w:val="00AC5874"/>
    <w:rsid w:val="00AC5DF1"/>
    <w:rsid w:val="00AC73C9"/>
    <w:rsid w:val="00AD0795"/>
    <w:rsid w:val="00AD22F4"/>
    <w:rsid w:val="00AD2556"/>
    <w:rsid w:val="00AD39DA"/>
    <w:rsid w:val="00AD443E"/>
    <w:rsid w:val="00AD536C"/>
    <w:rsid w:val="00AD54B2"/>
    <w:rsid w:val="00AD6A71"/>
    <w:rsid w:val="00AD6E00"/>
    <w:rsid w:val="00AD7098"/>
    <w:rsid w:val="00AD7B17"/>
    <w:rsid w:val="00AD7CC0"/>
    <w:rsid w:val="00AE0708"/>
    <w:rsid w:val="00AE3710"/>
    <w:rsid w:val="00AE37E5"/>
    <w:rsid w:val="00AE5BAF"/>
    <w:rsid w:val="00AE5D6B"/>
    <w:rsid w:val="00AE6A3B"/>
    <w:rsid w:val="00AE760D"/>
    <w:rsid w:val="00AF1DFB"/>
    <w:rsid w:val="00AF3CFC"/>
    <w:rsid w:val="00AF4B8F"/>
    <w:rsid w:val="00AF5420"/>
    <w:rsid w:val="00AF5565"/>
    <w:rsid w:val="00AF61C2"/>
    <w:rsid w:val="00AF68D9"/>
    <w:rsid w:val="00AF71F7"/>
    <w:rsid w:val="00B0035A"/>
    <w:rsid w:val="00B00AD0"/>
    <w:rsid w:val="00B0210C"/>
    <w:rsid w:val="00B0261A"/>
    <w:rsid w:val="00B03687"/>
    <w:rsid w:val="00B066E5"/>
    <w:rsid w:val="00B113A7"/>
    <w:rsid w:val="00B12230"/>
    <w:rsid w:val="00B16005"/>
    <w:rsid w:val="00B204AC"/>
    <w:rsid w:val="00B21514"/>
    <w:rsid w:val="00B21668"/>
    <w:rsid w:val="00B217C6"/>
    <w:rsid w:val="00B231E7"/>
    <w:rsid w:val="00B23F1B"/>
    <w:rsid w:val="00B24757"/>
    <w:rsid w:val="00B2691F"/>
    <w:rsid w:val="00B26A09"/>
    <w:rsid w:val="00B272BA"/>
    <w:rsid w:val="00B3049D"/>
    <w:rsid w:val="00B30948"/>
    <w:rsid w:val="00B3112D"/>
    <w:rsid w:val="00B31712"/>
    <w:rsid w:val="00B31AEA"/>
    <w:rsid w:val="00B320EA"/>
    <w:rsid w:val="00B32CAF"/>
    <w:rsid w:val="00B3346E"/>
    <w:rsid w:val="00B33F00"/>
    <w:rsid w:val="00B35577"/>
    <w:rsid w:val="00B35606"/>
    <w:rsid w:val="00B35E42"/>
    <w:rsid w:val="00B366A9"/>
    <w:rsid w:val="00B36943"/>
    <w:rsid w:val="00B40C28"/>
    <w:rsid w:val="00B40F35"/>
    <w:rsid w:val="00B412C2"/>
    <w:rsid w:val="00B41A4C"/>
    <w:rsid w:val="00B4317F"/>
    <w:rsid w:val="00B43985"/>
    <w:rsid w:val="00B43BDE"/>
    <w:rsid w:val="00B46315"/>
    <w:rsid w:val="00B47A41"/>
    <w:rsid w:val="00B50099"/>
    <w:rsid w:val="00B50DAB"/>
    <w:rsid w:val="00B516EA"/>
    <w:rsid w:val="00B526F7"/>
    <w:rsid w:val="00B54381"/>
    <w:rsid w:val="00B55F8A"/>
    <w:rsid w:val="00B57D5F"/>
    <w:rsid w:val="00B600F7"/>
    <w:rsid w:val="00B6016F"/>
    <w:rsid w:val="00B607B1"/>
    <w:rsid w:val="00B632A1"/>
    <w:rsid w:val="00B63810"/>
    <w:rsid w:val="00B64B71"/>
    <w:rsid w:val="00B65909"/>
    <w:rsid w:val="00B65C86"/>
    <w:rsid w:val="00B663E5"/>
    <w:rsid w:val="00B671DB"/>
    <w:rsid w:val="00B6757E"/>
    <w:rsid w:val="00B7017E"/>
    <w:rsid w:val="00B7174B"/>
    <w:rsid w:val="00B71B4E"/>
    <w:rsid w:val="00B71D6C"/>
    <w:rsid w:val="00B723C1"/>
    <w:rsid w:val="00B7278C"/>
    <w:rsid w:val="00B74505"/>
    <w:rsid w:val="00B747C1"/>
    <w:rsid w:val="00B755A5"/>
    <w:rsid w:val="00B75A82"/>
    <w:rsid w:val="00B75FE6"/>
    <w:rsid w:val="00B76036"/>
    <w:rsid w:val="00B7711A"/>
    <w:rsid w:val="00B77147"/>
    <w:rsid w:val="00B77E56"/>
    <w:rsid w:val="00B80F11"/>
    <w:rsid w:val="00B813E0"/>
    <w:rsid w:val="00B81A56"/>
    <w:rsid w:val="00B81B3C"/>
    <w:rsid w:val="00B81D44"/>
    <w:rsid w:val="00B81D74"/>
    <w:rsid w:val="00B85F38"/>
    <w:rsid w:val="00B86DD2"/>
    <w:rsid w:val="00B87C4E"/>
    <w:rsid w:val="00B91D25"/>
    <w:rsid w:val="00B91DF3"/>
    <w:rsid w:val="00B91FB3"/>
    <w:rsid w:val="00B9622D"/>
    <w:rsid w:val="00B965EC"/>
    <w:rsid w:val="00BA0E7C"/>
    <w:rsid w:val="00BA4015"/>
    <w:rsid w:val="00BA595B"/>
    <w:rsid w:val="00BA72CF"/>
    <w:rsid w:val="00BB00ED"/>
    <w:rsid w:val="00BB13A1"/>
    <w:rsid w:val="00BB3D2A"/>
    <w:rsid w:val="00BB40A3"/>
    <w:rsid w:val="00BB5696"/>
    <w:rsid w:val="00BB5FF8"/>
    <w:rsid w:val="00BC2A32"/>
    <w:rsid w:val="00BC3883"/>
    <w:rsid w:val="00BC4535"/>
    <w:rsid w:val="00BC47FC"/>
    <w:rsid w:val="00BC5928"/>
    <w:rsid w:val="00BC5D39"/>
    <w:rsid w:val="00BC71E1"/>
    <w:rsid w:val="00BC725A"/>
    <w:rsid w:val="00BC783C"/>
    <w:rsid w:val="00BC7945"/>
    <w:rsid w:val="00BC7A06"/>
    <w:rsid w:val="00BD292C"/>
    <w:rsid w:val="00BD29D0"/>
    <w:rsid w:val="00BD2E12"/>
    <w:rsid w:val="00BD3E16"/>
    <w:rsid w:val="00BD4A64"/>
    <w:rsid w:val="00BD50AC"/>
    <w:rsid w:val="00BD5C0A"/>
    <w:rsid w:val="00BD64BD"/>
    <w:rsid w:val="00BD65F7"/>
    <w:rsid w:val="00BE0C1B"/>
    <w:rsid w:val="00BE268E"/>
    <w:rsid w:val="00BE5009"/>
    <w:rsid w:val="00BE50E3"/>
    <w:rsid w:val="00BF3B6C"/>
    <w:rsid w:val="00BF499D"/>
    <w:rsid w:val="00BF7982"/>
    <w:rsid w:val="00BF7E82"/>
    <w:rsid w:val="00C01967"/>
    <w:rsid w:val="00C01AE2"/>
    <w:rsid w:val="00C01BDA"/>
    <w:rsid w:val="00C02DFE"/>
    <w:rsid w:val="00C04C01"/>
    <w:rsid w:val="00C06D71"/>
    <w:rsid w:val="00C10138"/>
    <w:rsid w:val="00C1067B"/>
    <w:rsid w:val="00C13F21"/>
    <w:rsid w:val="00C14476"/>
    <w:rsid w:val="00C14E55"/>
    <w:rsid w:val="00C14EF2"/>
    <w:rsid w:val="00C1619C"/>
    <w:rsid w:val="00C16421"/>
    <w:rsid w:val="00C16ABA"/>
    <w:rsid w:val="00C17F43"/>
    <w:rsid w:val="00C21C25"/>
    <w:rsid w:val="00C21FE6"/>
    <w:rsid w:val="00C2212F"/>
    <w:rsid w:val="00C22325"/>
    <w:rsid w:val="00C243EA"/>
    <w:rsid w:val="00C267AC"/>
    <w:rsid w:val="00C31E4C"/>
    <w:rsid w:val="00C32BA8"/>
    <w:rsid w:val="00C35495"/>
    <w:rsid w:val="00C35B49"/>
    <w:rsid w:val="00C36176"/>
    <w:rsid w:val="00C36EEB"/>
    <w:rsid w:val="00C401DF"/>
    <w:rsid w:val="00C40687"/>
    <w:rsid w:val="00C40A35"/>
    <w:rsid w:val="00C418B1"/>
    <w:rsid w:val="00C43287"/>
    <w:rsid w:val="00C43BBF"/>
    <w:rsid w:val="00C45878"/>
    <w:rsid w:val="00C464AD"/>
    <w:rsid w:val="00C46707"/>
    <w:rsid w:val="00C46E7C"/>
    <w:rsid w:val="00C50D46"/>
    <w:rsid w:val="00C5226B"/>
    <w:rsid w:val="00C53924"/>
    <w:rsid w:val="00C541ED"/>
    <w:rsid w:val="00C56CAA"/>
    <w:rsid w:val="00C574BC"/>
    <w:rsid w:val="00C57CAF"/>
    <w:rsid w:val="00C61212"/>
    <w:rsid w:val="00C6285F"/>
    <w:rsid w:val="00C63E47"/>
    <w:rsid w:val="00C63EF1"/>
    <w:rsid w:val="00C65A88"/>
    <w:rsid w:val="00C66707"/>
    <w:rsid w:val="00C66FFF"/>
    <w:rsid w:val="00C70C33"/>
    <w:rsid w:val="00C70E38"/>
    <w:rsid w:val="00C72DED"/>
    <w:rsid w:val="00C743D0"/>
    <w:rsid w:val="00C76BCD"/>
    <w:rsid w:val="00C76CEA"/>
    <w:rsid w:val="00C77BE5"/>
    <w:rsid w:val="00C83021"/>
    <w:rsid w:val="00C841C7"/>
    <w:rsid w:val="00C9017D"/>
    <w:rsid w:val="00C92603"/>
    <w:rsid w:val="00C926C5"/>
    <w:rsid w:val="00C92CB2"/>
    <w:rsid w:val="00C936B1"/>
    <w:rsid w:val="00C93F0F"/>
    <w:rsid w:val="00C95CB4"/>
    <w:rsid w:val="00C96A94"/>
    <w:rsid w:val="00C97D5F"/>
    <w:rsid w:val="00CA045A"/>
    <w:rsid w:val="00CA05BE"/>
    <w:rsid w:val="00CA2F7D"/>
    <w:rsid w:val="00CA40CB"/>
    <w:rsid w:val="00CA6BDA"/>
    <w:rsid w:val="00CB007D"/>
    <w:rsid w:val="00CB09BE"/>
    <w:rsid w:val="00CB26C5"/>
    <w:rsid w:val="00CB27B9"/>
    <w:rsid w:val="00CB3C63"/>
    <w:rsid w:val="00CB4221"/>
    <w:rsid w:val="00CB4F3B"/>
    <w:rsid w:val="00CB53C3"/>
    <w:rsid w:val="00CB55E6"/>
    <w:rsid w:val="00CB57EF"/>
    <w:rsid w:val="00CB5C9B"/>
    <w:rsid w:val="00CB7A4F"/>
    <w:rsid w:val="00CB7E1F"/>
    <w:rsid w:val="00CC0358"/>
    <w:rsid w:val="00CC0CE8"/>
    <w:rsid w:val="00CC1E29"/>
    <w:rsid w:val="00CC4DDE"/>
    <w:rsid w:val="00CC5714"/>
    <w:rsid w:val="00CC59BB"/>
    <w:rsid w:val="00CC5C3A"/>
    <w:rsid w:val="00CC61BA"/>
    <w:rsid w:val="00CC62A4"/>
    <w:rsid w:val="00CC6B4C"/>
    <w:rsid w:val="00CD1D29"/>
    <w:rsid w:val="00CD2DB4"/>
    <w:rsid w:val="00CD30FA"/>
    <w:rsid w:val="00CD73C1"/>
    <w:rsid w:val="00CE1150"/>
    <w:rsid w:val="00CE123C"/>
    <w:rsid w:val="00CE1CAF"/>
    <w:rsid w:val="00CE2028"/>
    <w:rsid w:val="00CE6A6B"/>
    <w:rsid w:val="00CE7467"/>
    <w:rsid w:val="00CE7A0D"/>
    <w:rsid w:val="00CF0C2D"/>
    <w:rsid w:val="00CF2896"/>
    <w:rsid w:val="00CF28EA"/>
    <w:rsid w:val="00CF30BC"/>
    <w:rsid w:val="00CF3DFA"/>
    <w:rsid w:val="00CF4DF4"/>
    <w:rsid w:val="00CF53B7"/>
    <w:rsid w:val="00CF5FF1"/>
    <w:rsid w:val="00CF6E7F"/>
    <w:rsid w:val="00CF78A5"/>
    <w:rsid w:val="00CF7AD2"/>
    <w:rsid w:val="00CF7AED"/>
    <w:rsid w:val="00D02E95"/>
    <w:rsid w:val="00D042B2"/>
    <w:rsid w:val="00D044BA"/>
    <w:rsid w:val="00D04C22"/>
    <w:rsid w:val="00D05504"/>
    <w:rsid w:val="00D05BA6"/>
    <w:rsid w:val="00D07D32"/>
    <w:rsid w:val="00D12381"/>
    <w:rsid w:val="00D12817"/>
    <w:rsid w:val="00D140B3"/>
    <w:rsid w:val="00D158D7"/>
    <w:rsid w:val="00D1626E"/>
    <w:rsid w:val="00D16474"/>
    <w:rsid w:val="00D1761A"/>
    <w:rsid w:val="00D17911"/>
    <w:rsid w:val="00D17B47"/>
    <w:rsid w:val="00D21972"/>
    <w:rsid w:val="00D21E3C"/>
    <w:rsid w:val="00D23C29"/>
    <w:rsid w:val="00D2794A"/>
    <w:rsid w:val="00D323A8"/>
    <w:rsid w:val="00D32B01"/>
    <w:rsid w:val="00D34921"/>
    <w:rsid w:val="00D35DCA"/>
    <w:rsid w:val="00D35EFF"/>
    <w:rsid w:val="00D36BAD"/>
    <w:rsid w:val="00D36C2E"/>
    <w:rsid w:val="00D37C22"/>
    <w:rsid w:val="00D37E21"/>
    <w:rsid w:val="00D40066"/>
    <w:rsid w:val="00D4081C"/>
    <w:rsid w:val="00D4321C"/>
    <w:rsid w:val="00D4607D"/>
    <w:rsid w:val="00D46343"/>
    <w:rsid w:val="00D50B7E"/>
    <w:rsid w:val="00D50F02"/>
    <w:rsid w:val="00D51067"/>
    <w:rsid w:val="00D51E9C"/>
    <w:rsid w:val="00D523C4"/>
    <w:rsid w:val="00D54AD7"/>
    <w:rsid w:val="00D54E23"/>
    <w:rsid w:val="00D54F4C"/>
    <w:rsid w:val="00D563CF"/>
    <w:rsid w:val="00D56807"/>
    <w:rsid w:val="00D606A4"/>
    <w:rsid w:val="00D6265B"/>
    <w:rsid w:val="00D62E83"/>
    <w:rsid w:val="00D635A9"/>
    <w:rsid w:val="00D63FFF"/>
    <w:rsid w:val="00D6613A"/>
    <w:rsid w:val="00D66372"/>
    <w:rsid w:val="00D67F3C"/>
    <w:rsid w:val="00D7220D"/>
    <w:rsid w:val="00D72E82"/>
    <w:rsid w:val="00D73597"/>
    <w:rsid w:val="00D73F5E"/>
    <w:rsid w:val="00D748A7"/>
    <w:rsid w:val="00D75243"/>
    <w:rsid w:val="00D75D3B"/>
    <w:rsid w:val="00D76998"/>
    <w:rsid w:val="00D76EC8"/>
    <w:rsid w:val="00D77A5B"/>
    <w:rsid w:val="00D8151F"/>
    <w:rsid w:val="00D828AE"/>
    <w:rsid w:val="00D835DC"/>
    <w:rsid w:val="00D83FDC"/>
    <w:rsid w:val="00D842B4"/>
    <w:rsid w:val="00D84820"/>
    <w:rsid w:val="00D87964"/>
    <w:rsid w:val="00D917A5"/>
    <w:rsid w:val="00D9283F"/>
    <w:rsid w:val="00D92A29"/>
    <w:rsid w:val="00D93C83"/>
    <w:rsid w:val="00D945FB"/>
    <w:rsid w:val="00D96AD4"/>
    <w:rsid w:val="00DA1E24"/>
    <w:rsid w:val="00DA28D1"/>
    <w:rsid w:val="00DA2B11"/>
    <w:rsid w:val="00DA42E0"/>
    <w:rsid w:val="00DA4A52"/>
    <w:rsid w:val="00DA515E"/>
    <w:rsid w:val="00DA5DE7"/>
    <w:rsid w:val="00DA5FBC"/>
    <w:rsid w:val="00DA62F7"/>
    <w:rsid w:val="00DB027C"/>
    <w:rsid w:val="00DB05E5"/>
    <w:rsid w:val="00DB0DE0"/>
    <w:rsid w:val="00DB2958"/>
    <w:rsid w:val="00DB2B3E"/>
    <w:rsid w:val="00DB2F42"/>
    <w:rsid w:val="00DB30B4"/>
    <w:rsid w:val="00DB4642"/>
    <w:rsid w:val="00DB4C7E"/>
    <w:rsid w:val="00DB5012"/>
    <w:rsid w:val="00DB7976"/>
    <w:rsid w:val="00DC1277"/>
    <w:rsid w:val="00DC14FE"/>
    <w:rsid w:val="00DC16E1"/>
    <w:rsid w:val="00DC226B"/>
    <w:rsid w:val="00DC2768"/>
    <w:rsid w:val="00DC4AD7"/>
    <w:rsid w:val="00DC4B4D"/>
    <w:rsid w:val="00DC502A"/>
    <w:rsid w:val="00DC5A20"/>
    <w:rsid w:val="00DC7939"/>
    <w:rsid w:val="00DD0746"/>
    <w:rsid w:val="00DD1515"/>
    <w:rsid w:val="00DD2730"/>
    <w:rsid w:val="00DD776F"/>
    <w:rsid w:val="00DD79BD"/>
    <w:rsid w:val="00DE35E9"/>
    <w:rsid w:val="00DE5155"/>
    <w:rsid w:val="00DE5627"/>
    <w:rsid w:val="00DE72BC"/>
    <w:rsid w:val="00DE7B75"/>
    <w:rsid w:val="00DF066F"/>
    <w:rsid w:val="00DF6D01"/>
    <w:rsid w:val="00E001E4"/>
    <w:rsid w:val="00E01BFE"/>
    <w:rsid w:val="00E01CFC"/>
    <w:rsid w:val="00E02687"/>
    <w:rsid w:val="00E026C0"/>
    <w:rsid w:val="00E04237"/>
    <w:rsid w:val="00E042A2"/>
    <w:rsid w:val="00E0454B"/>
    <w:rsid w:val="00E05166"/>
    <w:rsid w:val="00E052EB"/>
    <w:rsid w:val="00E05596"/>
    <w:rsid w:val="00E074EA"/>
    <w:rsid w:val="00E07899"/>
    <w:rsid w:val="00E10A14"/>
    <w:rsid w:val="00E10A55"/>
    <w:rsid w:val="00E12874"/>
    <w:rsid w:val="00E134E3"/>
    <w:rsid w:val="00E15315"/>
    <w:rsid w:val="00E16026"/>
    <w:rsid w:val="00E166BF"/>
    <w:rsid w:val="00E20786"/>
    <w:rsid w:val="00E21148"/>
    <w:rsid w:val="00E214D8"/>
    <w:rsid w:val="00E22772"/>
    <w:rsid w:val="00E253A5"/>
    <w:rsid w:val="00E255BD"/>
    <w:rsid w:val="00E26AA9"/>
    <w:rsid w:val="00E26D7A"/>
    <w:rsid w:val="00E27D98"/>
    <w:rsid w:val="00E306AC"/>
    <w:rsid w:val="00E31775"/>
    <w:rsid w:val="00E33B6D"/>
    <w:rsid w:val="00E34D89"/>
    <w:rsid w:val="00E35E9F"/>
    <w:rsid w:val="00E40E49"/>
    <w:rsid w:val="00E41997"/>
    <w:rsid w:val="00E41F49"/>
    <w:rsid w:val="00E426FF"/>
    <w:rsid w:val="00E428CC"/>
    <w:rsid w:val="00E42D7C"/>
    <w:rsid w:val="00E43CFD"/>
    <w:rsid w:val="00E45BF4"/>
    <w:rsid w:val="00E465E9"/>
    <w:rsid w:val="00E47099"/>
    <w:rsid w:val="00E501C6"/>
    <w:rsid w:val="00E53825"/>
    <w:rsid w:val="00E53E4E"/>
    <w:rsid w:val="00E5582F"/>
    <w:rsid w:val="00E56507"/>
    <w:rsid w:val="00E57E5A"/>
    <w:rsid w:val="00E57EA9"/>
    <w:rsid w:val="00E60447"/>
    <w:rsid w:val="00E62C99"/>
    <w:rsid w:val="00E6428F"/>
    <w:rsid w:val="00E64796"/>
    <w:rsid w:val="00E723E9"/>
    <w:rsid w:val="00E729F1"/>
    <w:rsid w:val="00E730B0"/>
    <w:rsid w:val="00E745B0"/>
    <w:rsid w:val="00E75146"/>
    <w:rsid w:val="00E76DFA"/>
    <w:rsid w:val="00E771A0"/>
    <w:rsid w:val="00E774EA"/>
    <w:rsid w:val="00E8026B"/>
    <w:rsid w:val="00E831EA"/>
    <w:rsid w:val="00E84D67"/>
    <w:rsid w:val="00E84FEB"/>
    <w:rsid w:val="00E850F2"/>
    <w:rsid w:val="00E85424"/>
    <w:rsid w:val="00E85D36"/>
    <w:rsid w:val="00E87A6C"/>
    <w:rsid w:val="00E93CFD"/>
    <w:rsid w:val="00E95012"/>
    <w:rsid w:val="00E957C2"/>
    <w:rsid w:val="00E960C3"/>
    <w:rsid w:val="00EA1120"/>
    <w:rsid w:val="00EA5194"/>
    <w:rsid w:val="00EA5671"/>
    <w:rsid w:val="00EA73C7"/>
    <w:rsid w:val="00EA7882"/>
    <w:rsid w:val="00EB094C"/>
    <w:rsid w:val="00EB1C2D"/>
    <w:rsid w:val="00EB205E"/>
    <w:rsid w:val="00EB31F6"/>
    <w:rsid w:val="00EB3234"/>
    <w:rsid w:val="00EB373A"/>
    <w:rsid w:val="00EB5290"/>
    <w:rsid w:val="00EB55DF"/>
    <w:rsid w:val="00EC4079"/>
    <w:rsid w:val="00EC4AE1"/>
    <w:rsid w:val="00EC4CA8"/>
    <w:rsid w:val="00EC5BEF"/>
    <w:rsid w:val="00EC5CD3"/>
    <w:rsid w:val="00EC617C"/>
    <w:rsid w:val="00EC7CFB"/>
    <w:rsid w:val="00ED092D"/>
    <w:rsid w:val="00ED0A84"/>
    <w:rsid w:val="00ED1FAE"/>
    <w:rsid w:val="00ED2D8B"/>
    <w:rsid w:val="00ED3B99"/>
    <w:rsid w:val="00ED4F07"/>
    <w:rsid w:val="00ED559E"/>
    <w:rsid w:val="00ED6311"/>
    <w:rsid w:val="00ED748D"/>
    <w:rsid w:val="00ED77F3"/>
    <w:rsid w:val="00EE12E0"/>
    <w:rsid w:val="00EE25C2"/>
    <w:rsid w:val="00EE2885"/>
    <w:rsid w:val="00EE403C"/>
    <w:rsid w:val="00EE5FBB"/>
    <w:rsid w:val="00EE6371"/>
    <w:rsid w:val="00EF2991"/>
    <w:rsid w:val="00EF2A45"/>
    <w:rsid w:val="00EF6A11"/>
    <w:rsid w:val="00F00A85"/>
    <w:rsid w:val="00F02027"/>
    <w:rsid w:val="00F029BC"/>
    <w:rsid w:val="00F035B9"/>
    <w:rsid w:val="00F048B8"/>
    <w:rsid w:val="00F05297"/>
    <w:rsid w:val="00F06031"/>
    <w:rsid w:val="00F07C08"/>
    <w:rsid w:val="00F12565"/>
    <w:rsid w:val="00F13671"/>
    <w:rsid w:val="00F13938"/>
    <w:rsid w:val="00F13B19"/>
    <w:rsid w:val="00F15153"/>
    <w:rsid w:val="00F16677"/>
    <w:rsid w:val="00F17179"/>
    <w:rsid w:val="00F17618"/>
    <w:rsid w:val="00F2114F"/>
    <w:rsid w:val="00F21176"/>
    <w:rsid w:val="00F2158D"/>
    <w:rsid w:val="00F215C9"/>
    <w:rsid w:val="00F21DB1"/>
    <w:rsid w:val="00F27917"/>
    <w:rsid w:val="00F27C1C"/>
    <w:rsid w:val="00F31447"/>
    <w:rsid w:val="00F32A85"/>
    <w:rsid w:val="00F33C3B"/>
    <w:rsid w:val="00F33F01"/>
    <w:rsid w:val="00F34F88"/>
    <w:rsid w:val="00F35CCC"/>
    <w:rsid w:val="00F365C8"/>
    <w:rsid w:val="00F41DA4"/>
    <w:rsid w:val="00F503D4"/>
    <w:rsid w:val="00F53380"/>
    <w:rsid w:val="00F54D37"/>
    <w:rsid w:val="00F57F2C"/>
    <w:rsid w:val="00F64109"/>
    <w:rsid w:val="00F67309"/>
    <w:rsid w:val="00F674AC"/>
    <w:rsid w:val="00F702C2"/>
    <w:rsid w:val="00F7055F"/>
    <w:rsid w:val="00F71B50"/>
    <w:rsid w:val="00F72B70"/>
    <w:rsid w:val="00F73F9D"/>
    <w:rsid w:val="00F740CD"/>
    <w:rsid w:val="00F75323"/>
    <w:rsid w:val="00F755CD"/>
    <w:rsid w:val="00F761C7"/>
    <w:rsid w:val="00F76A13"/>
    <w:rsid w:val="00F76DA5"/>
    <w:rsid w:val="00F8255E"/>
    <w:rsid w:val="00F83301"/>
    <w:rsid w:val="00F833EA"/>
    <w:rsid w:val="00F83E56"/>
    <w:rsid w:val="00F84730"/>
    <w:rsid w:val="00F849C3"/>
    <w:rsid w:val="00F855DF"/>
    <w:rsid w:val="00F856D7"/>
    <w:rsid w:val="00F8662E"/>
    <w:rsid w:val="00F87080"/>
    <w:rsid w:val="00F87BC0"/>
    <w:rsid w:val="00F91AC4"/>
    <w:rsid w:val="00F91D3E"/>
    <w:rsid w:val="00F92989"/>
    <w:rsid w:val="00F93B03"/>
    <w:rsid w:val="00F93FC5"/>
    <w:rsid w:val="00F94ECD"/>
    <w:rsid w:val="00F9604A"/>
    <w:rsid w:val="00F96903"/>
    <w:rsid w:val="00F97E15"/>
    <w:rsid w:val="00FA15DD"/>
    <w:rsid w:val="00FA1EA1"/>
    <w:rsid w:val="00FA257C"/>
    <w:rsid w:val="00FA35BF"/>
    <w:rsid w:val="00FA4D0D"/>
    <w:rsid w:val="00FA7AA0"/>
    <w:rsid w:val="00FB1450"/>
    <w:rsid w:val="00FB2248"/>
    <w:rsid w:val="00FB2583"/>
    <w:rsid w:val="00FB34F9"/>
    <w:rsid w:val="00FB4B72"/>
    <w:rsid w:val="00FB4DB0"/>
    <w:rsid w:val="00FB674E"/>
    <w:rsid w:val="00FB718E"/>
    <w:rsid w:val="00FC1386"/>
    <w:rsid w:val="00FC2196"/>
    <w:rsid w:val="00FC29A2"/>
    <w:rsid w:val="00FC3DC7"/>
    <w:rsid w:val="00FC5FA8"/>
    <w:rsid w:val="00FD0663"/>
    <w:rsid w:val="00FD06FB"/>
    <w:rsid w:val="00FD278F"/>
    <w:rsid w:val="00FD2ABC"/>
    <w:rsid w:val="00FD2AD8"/>
    <w:rsid w:val="00FD2F08"/>
    <w:rsid w:val="00FD34BB"/>
    <w:rsid w:val="00FD4ABB"/>
    <w:rsid w:val="00FD6772"/>
    <w:rsid w:val="00FD75F9"/>
    <w:rsid w:val="00FE16D9"/>
    <w:rsid w:val="00FE4715"/>
    <w:rsid w:val="00FE7C6E"/>
    <w:rsid w:val="00FF02B2"/>
    <w:rsid w:val="00FF0A11"/>
    <w:rsid w:val="00FF100C"/>
    <w:rsid w:val="00FF2DF0"/>
    <w:rsid w:val="00FF386F"/>
    <w:rsid w:val="00FF390C"/>
    <w:rsid w:val="00FF50E0"/>
    <w:rsid w:val="00FF60EA"/>
    <w:rsid w:val="00FF7C27"/>
  </w:rsids>
  <m:mathPr>
    <m:mathFont m:val="Cambria Math"/>
    <m:brkBin m:val="before"/>
    <m:brkBinSub m:val="--"/>
    <m:smallFrac m:val="0"/>
    <m:dispDef m:val="0"/>
    <m:lMargin m:val="0"/>
    <m:rMargin m:val="0"/>
    <m:defJc m:val="centerGroup"/>
    <m:wrapRight/>
    <m:intLim m:val="subSup"/>
    <m:naryLim m:val="subSup"/>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01"/>
    <w:rPr>
      <w:rFonts w:ascii="Verdana" w:eastAsia="Times" w:hAnsi="Verdana"/>
      <w:lang w:val="es-ES_tradnl" w:eastAsia="en-US"/>
    </w:rPr>
  </w:style>
  <w:style w:type="paragraph" w:styleId="Heading1">
    <w:name w:val="heading 1"/>
    <w:basedOn w:val="Heading2"/>
    <w:next w:val="Normal"/>
    <w:link w:val="Heading1Char"/>
    <w:uiPriority w:val="9"/>
    <w:qFormat/>
    <w:rsid w:val="00BC2A32"/>
    <w:pPr>
      <w:outlineLvl w:val="0"/>
    </w:pPr>
  </w:style>
  <w:style w:type="paragraph" w:styleId="Heading2">
    <w:name w:val="heading 2"/>
    <w:basedOn w:val="Normal"/>
    <w:next w:val="Normal"/>
    <w:link w:val="Heading2Char"/>
    <w:qFormat/>
    <w:rsid w:val="00BC2A32"/>
    <w:pPr>
      <w:keepNext/>
      <w:jc w:val="center"/>
      <w:outlineLvl w:val="1"/>
    </w:pPr>
    <w:rPr>
      <w:rFonts w:eastAsia="Times New Roman" w:cs="Verdana"/>
      <w:b/>
      <w:bCs/>
      <w:iCs/>
      <w:caps/>
      <w:snapToGrid w:val="0"/>
      <w:lang w:val="es-CR" w:eastAsia="es-ES"/>
    </w:rPr>
  </w:style>
  <w:style w:type="paragraph" w:styleId="Heading3">
    <w:name w:val="heading 3"/>
    <w:basedOn w:val="Normal"/>
    <w:next w:val="Normal"/>
    <w:link w:val="Heading3Char"/>
    <w:uiPriority w:val="9"/>
    <w:unhideWhenUsed/>
    <w:qFormat/>
    <w:rsid w:val="004B4C7F"/>
    <w:pPr>
      <w:numPr>
        <w:numId w:val="4"/>
      </w:numPr>
      <w:jc w:val="both"/>
      <w:outlineLvl w:val="2"/>
    </w:pPr>
    <w:rPr>
      <w:b/>
    </w:rPr>
  </w:style>
  <w:style w:type="paragraph" w:styleId="Heading9">
    <w:name w:val="heading 9"/>
    <w:basedOn w:val="Normal"/>
    <w:next w:val="Normal"/>
    <w:link w:val="Heading9Char"/>
    <w:qFormat/>
    <w:rsid w:val="008F5901"/>
    <w:pPr>
      <w:keepNext/>
      <w:numPr>
        <w:numId w:val="2"/>
      </w:numPr>
      <w:outlineLvl w:val="8"/>
    </w:pPr>
    <w:rPr>
      <w:rFonts w:ascii="Garamond" w:hAnsi="Garamond"/>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A32"/>
    <w:rPr>
      <w:rFonts w:ascii="Verdana" w:eastAsia="Times New Roman" w:hAnsi="Verdana" w:cs="Verdana"/>
      <w:b/>
      <w:bCs/>
      <w:iCs/>
      <w:caps/>
      <w:snapToGrid w:val="0"/>
      <w:lang w:val="es-CR" w:eastAsia="es-ES"/>
    </w:rPr>
  </w:style>
  <w:style w:type="character" w:customStyle="1" w:styleId="Heading2Char">
    <w:name w:val="Heading 2 Char"/>
    <w:basedOn w:val="DefaultParagraphFont"/>
    <w:link w:val="Heading2"/>
    <w:rsid w:val="00BC2A32"/>
    <w:rPr>
      <w:rFonts w:ascii="Verdana" w:eastAsia="Times New Roman" w:hAnsi="Verdana" w:cs="Verdana"/>
      <w:b/>
      <w:bCs/>
      <w:iCs/>
      <w:caps/>
      <w:snapToGrid w:val="0"/>
      <w:lang w:val="es-CR" w:eastAsia="es-ES"/>
    </w:rPr>
  </w:style>
  <w:style w:type="character" w:customStyle="1" w:styleId="Heading9Char">
    <w:name w:val="Heading 9 Char"/>
    <w:basedOn w:val="DefaultParagraphFont"/>
    <w:link w:val="Heading9"/>
    <w:rsid w:val="008F5901"/>
    <w:rPr>
      <w:rFonts w:ascii="Garamond" w:eastAsia="Times" w:hAnsi="Garamond"/>
      <w:i/>
      <w:sz w:val="24"/>
      <w:lang w:val="es-ES_tradnl"/>
    </w:rPr>
  </w:style>
  <w:style w:type="paragraph" w:styleId="FootnoteText">
    <w:name w:val="footnote text"/>
    <w:aliases w:val="Texto nota pie Car1,Footnote Text Char Char Char Char Char Car,Footnote Text Char Char Char Char Car,Footnote reference Car,FA Fu Car,Footnote Text Char Char Char Car,Footnote Text Cha Car,FA Fußnotentext Car,FA Fuﬂnotentext Car,Ca Car,Ca"/>
    <w:basedOn w:val="Normal"/>
    <w:link w:val="FootnoteTextChar"/>
    <w:qFormat/>
    <w:rsid w:val="008F5901"/>
    <w:pPr>
      <w:jc w:val="both"/>
    </w:pPr>
    <w:rPr>
      <w:sz w:val="16"/>
    </w:rPr>
  </w:style>
  <w:style w:type="character" w:customStyle="1" w:styleId="TextonotapieCar">
    <w:name w:val="Texto nota pie Car"/>
    <w:aliases w:val="FA Fu?notente Car"/>
    <w:basedOn w:val="DefaultParagraphFont"/>
    <w:rsid w:val="008F5901"/>
    <w:rPr>
      <w:rFonts w:ascii="Verdana" w:eastAsia="Times" w:hAnsi="Verdana" w:cs="Times New Roman"/>
    </w:rPr>
  </w:style>
  <w:style w:type="character" w:customStyle="1" w:styleId="FootnoteTextChar">
    <w:name w:val="Footnote Text Char"/>
    <w:aliases w:val="Texto nota pie Car1 Char,Footnote Text Char Char Char Char Char Car Char,Footnote Text Char Char Char Char Car Char,Footnote reference Car Char,FA Fu Car Char,Footnote Text Char Char Char Car Char,Footnote Text Cha Car Char,Ca Char"/>
    <w:link w:val="FootnoteText"/>
    <w:rsid w:val="008F5901"/>
    <w:rPr>
      <w:rFonts w:ascii="Verdana" w:eastAsia="Times" w:hAnsi="Verdana" w:cs="Times New Roman"/>
      <w:sz w:val="16"/>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8F5901"/>
    <w:rPr>
      <w:vertAlign w:val="superscript"/>
    </w:rPr>
  </w:style>
  <w:style w:type="paragraph" w:styleId="Header">
    <w:name w:val="header"/>
    <w:basedOn w:val="Normal"/>
    <w:link w:val="HeaderChar"/>
    <w:uiPriority w:val="99"/>
    <w:rsid w:val="008F5901"/>
    <w:pPr>
      <w:tabs>
        <w:tab w:val="center" w:pos="4252"/>
        <w:tab w:val="right" w:pos="8504"/>
      </w:tabs>
    </w:pPr>
  </w:style>
  <w:style w:type="character" w:customStyle="1" w:styleId="HeaderChar">
    <w:name w:val="Header Char"/>
    <w:basedOn w:val="DefaultParagraphFont"/>
    <w:link w:val="Header"/>
    <w:uiPriority w:val="99"/>
    <w:rsid w:val="008F5901"/>
    <w:rPr>
      <w:rFonts w:ascii="Verdana" w:eastAsia="Times" w:hAnsi="Verdana" w:cs="Times New Roman"/>
      <w:sz w:val="20"/>
      <w:szCs w:val="20"/>
    </w:rPr>
  </w:style>
  <w:style w:type="character" w:styleId="PageNumber">
    <w:name w:val="page number"/>
    <w:basedOn w:val="DefaultParagraphFont"/>
    <w:uiPriority w:val="99"/>
    <w:rsid w:val="008F5901"/>
  </w:style>
  <w:style w:type="paragraph" w:customStyle="1" w:styleId="Prrafodelista2">
    <w:name w:val="Párrafo de lista2"/>
    <w:basedOn w:val="Normal"/>
    <w:uiPriority w:val="34"/>
    <w:qFormat/>
    <w:rsid w:val="008F5901"/>
    <w:pPr>
      <w:ind w:left="720"/>
    </w:pPr>
  </w:style>
  <w:style w:type="paragraph" w:styleId="BodyText2">
    <w:name w:val="Body Text 2"/>
    <w:basedOn w:val="Normal"/>
    <w:link w:val="BodyText2Char"/>
    <w:uiPriority w:val="99"/>
    <w:semiHidden/>
    <w:unhideWhenUsed/>
    <w:rsid w:val="008F5901"/>
    <w:pPr>
      <w:spacing w:after="120" w:line="480" w:lineRule="auto"/>
    </w:pPr>
  </w:style>
  <w:style w:type="character" w:customStyle="1" w:styleId="BodyText2Char">
    <w:name w:val="Body Text 2 Char"/>
    <w:basedOn w:val="DefaultParagraphFont"/>
    <w:link w:val="BodyText2"/>
    <w:uiPriority w:val="99"/>
    <w:semiHidden/>
    <w:rsid w:val="008F5901"/>
    <w:rPr>
      <w:rFonts w:ascii="Verdana" w:eastAsia="Times" w:hAnsi="Verdana" w:cs="Times New Roman"/>
      <w:sz w:val="20"/>
      <w:szCs w:val="20"/>
    </w:rPr>
  </w:style>
  <w:style w:type="table" w:styleId="TableGrid">
    <w:name w:val="Table Grid"/>
    <w:basedOn w:val="TableNormal"/>
    <w:uiPriority w:val="1"/>
    <w:rsid w:val="008F5901"/>
    <w:rPr>
      <w:rFonts w:ascii="Calibri" w:eastAsia="SimSun" w:hAnsi="Calibri"/>
      <w:lang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8F5901"/>
    <w:pPr>
      <w:tabs>
        <w:tab w:val="center" w:pos="4680"/>
        <w:tab w:val="right" w:pos="9360"/>
      </w:tabs>
    </w:pPr>
  </w:style>
  <w:style w:type="character" w:customStyle="1" w:styleId="FooterChar">
    <w:name w:val="Footer Char"/>
    <w:basedOn w:val="DefaultParagraphFont"/>
    <w:link w:val="Footer"/>
    <w:uiPriority w:val="99"/>
    <w:rsid w:val="008F5901"/>
    <w:rPr>
      <w:rFonts w:ascii="Verdana" w:eastAsia="Times" w:hAnsi="Verdana" w:cs="Times New Roman"/>
      <w:sz w:val="20"/>
      <w:szCs w:val="20"/>
    </w:rPr>
  </w:style>
  <w:style w:type="paragraph" w:styleId="BalloonText">
    <w:name w:val="Balloon Text"/>
    <w:basedOn w:val="Normal"/>
    <w:link w:val="BalloonTextChar"/>
    <w:uiPriority w:val="99"/>
    <w:semiHidden/>
    <w:unhideWhenUsed/>
    <w:rsid w:val="008F5901"/>
    <w:rPr>
      <w:rFonts w:ascii="Tahoma" w:hAnsi="Tahoma"/>
      <w:sz w:val="16"/>
      <w:szCs w:val="16"/>
    </w:rPr>
  </w:style>
  <w:style w:type="character" w:customStyle="1" w:styleId="BalloonTextChar">
    <w:name w:val="Balloon Text Char"/>
    <w:basedOn w:val="DefaultParagraphFont"/>
    <w:link w:val="BalloonText"/>
    <w:uiPriority w:val="99"/>
    <w:semiHidden/>
    <w:rsid w:val="008F5901"/>
    <w:rPr>
      <w:rFonts w:ascii="Tahoma" w:eastAsia="Times" w:hAnsi="Tahoma" w:cs="Times New Roman"/>
      <w:sz w:val="16"/>
      <w:szCs w:val="16"/>
    </w:rPr>
  </w:style>
  <w:style w:type="paragraph" w:styleId="EndnoteText">
    <w:name w:val="endnote text"/>
    <w:basedOn w:val="Normal"/>
    <w:link w:val="EndnoteTextChar"/>
    <w:uiPriority w:val="99"/>
    <w:rsid w:val="008F590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Times New Roman" w:hAnsi="CG Times"/>
      <w:sz w:val="22"/>
      <w:lang w:val="es-ES"/>
    </w:rPr>
  </w:style>
  <w:style w:type="character" w:customStyle="1" w:styleId="EndnoteTextChar">
    <w:name w:val="Endnote Text Char"/>
    <w:basedOn w:val="DefaultParagraphFont"/>
    <w:link w:val="EndnoteText"/>
    <w:uiPriority w:val="99"/>
    <w:rsid w:val="008F5901"/>
    <w:rPr>
      <w:rFonts w:ascii="CG Times" w:eastAsia="Times New Roman" w:hAnsi="CG Times" w:cs="Times New Roman"/>
      <w:sz w:val="22"/>
      <w:szCs w:val="20"/>
      <w:lang w:val="es-ES"/>
    </w:rPr>
  </w:style>
  <w:style w:type="paragraph" w:customStyle="1" w:styleId="PargrafodaLista">
    <w:name w:val="Parágrafo da Lista"/>
    <w:basedOn w:val="Normal"/>
    <w:qFormat/>
    <w:rsid w:val="008F5901"/>
    <w:pPr>
      <w:ind w:left="708"/>
    </w:pPr>
    <w:rPr>
      <w:rFonts w:eastAsia="Batang" w:cs="Times"/>
      <w:sz w:val="16"/>
      <w:szCs w:val="24"/>
    </w:rPr>
  </w:style>
  <w:style w:type="paragraph" w:customStyle="1" w:styleId="ListParagraph1">
    <w:name w:val="List Paragraph1"/>
    <w:basedOn w:val="Normal"/>
    <w:uiPriority w:val="34"/>
    <w:qFormat/>
    <w:rsid w:val="008F5901"/>
    <w:pPr>
      <w:spacing w:after="200" w:line="276" w:lineRule="auto"/>
      <w:ind w:left="720"/>
      <w:contextualSpacing/>
    </w:pPr>
    <w:rPr>
      <w:rFonts w:ascii="Times New Roman" w:eastAsia="Calibri" w:hAnsi="Times New Roman"/>
      <w:sz w:val="24"/>
      <w:szCs w:val="22"/>
      <w:lang w:val="en-US"/>
    </w:rPr>
  </w:style>
  <w:style w:type="character" w:styleId="Hyperlink">
    <w:name w:val="Hyperlink"/>
    <w:uiPriority w:val="99"/>
    <w:unhideWhenUsed/>
    <w:rsid w:val="008F5901"/>
    <w:rPr>
      <w:color w:val="0000FF"/>
      <w:u w:val="single"/>
    </w:rPr>
  </w:style>
  <w:style w:type="paragraph" w:customStyle="1" w:styleId="Sinespaciado1">
    <w:name w:val="Sin espaciado1"/>
    <w:link w:val="SinespaciadoCar"/>
    <w:uiPriority w:val="1"/>
    <w:qFormat/>
    <w:rsid w:val="008F5901"/>
    <w:rPr>
      <w:rFonts w:ascii="Calibri" w:eastAsia="Times New Roman" w:hAnsi="Calibri"/>
      <w:sz w:val="22"/>
      <w:szCs w:val="22"/>
      <w:lang w:val="en-US"/>
    </w:rPr>
  </w:style>
  <w:style w:type="character" w:customStyle="1" w:styleId="SinespaciadoCar">
    <w:name w:val="Sin espaciado Car"/>
    <w:link w:val="Sinespaciado1"/>
    <w:uiPriority w:val="1"/>
    <w:rsid w:val="008F5901"/>
    <w:rPr>
      <w:rFonts w:ascii="Calibri" w:eastAsia="Times New Roman" w:hAnsi="Calibri"/>
      <w:sz w:val="22"/>
      <w:szCs w:val="22"/>
      <w:lang w:val="en-US" w:bidi="ar-SA"/>
    </w:rPr>
  </w:style>
  <w:style w:type="paragraph" w:customStyle="1" w:styleId="Sangradetindependiente2">
    <w:name w:val="Sangría de t. independiente2"/>
    <w:basedOn w:val="Normal"/>
    <w:rsid w:val="008F5901"/>
    <w:pPr>
      <w:spacing w:line="360" w:lineRule="atLeast"/>
    </w:pPr>
    <w:rPr>
      <w:rFonts w:ascii="Arial" w:eastAsia="Times New Roman" w:hAnsi="Arial"/>
      <w:sz w:val="24"/>
    </w:rPr>
  </w:style>
  <w:style w:type="character" w:styleId="CommentReference">
    <w:name w:val="annotation reference"/>
    <w:uiPriority w:val="99"/>
    <w:semiHidden/>
    <w:rsid w:val="008F5901"/>
    <w:rPr>
      <w:sz w:val="16"/>
      <w:szCs w:val="16"/>
    </w:rPr>
  </w:style>
  <w:style w:type="character" w:styleId="EndnoteReference">
    <w:name w:val="endnote reference"/>
    <w:uiPriority w:val="99"/>
    <w:semiHidden/>
    <w:unhideWhenUsed/>
    <w:rsid w:val="008F5901"/>
    <w:rPr>
      <w:vertAlign w:val="superscript"/>
    </w:rPr>
  </w:style>
  <w:style w:type="character" w:styleId="Strong">
    <w:name w:val="Strong"/>
    <w:uiPriority w:val="22"/>
    <w:qFormat/>
    <w:rsid w:val="008F5901"/>
    <w:rPr>
      <w:b/>
      <w:bCs/>
    </w:rPr>
  </w:style>
  <w:style w:type="paragraph" w:customStyle="1" w:styleId="Prrafodelista1">
    <w:name w:val="Párrafo de lista1"/>
    <w:basedOn w:val="Normal"/>
    <w:uiPriority w:val="34"/>
    <w:qFormat/>
    <w:rsid w:val="008F5901"/>
    <w:pPr>
      <w:ind w:left="720"/>
    </w:pPr>
  </w:style>
  <w:style w:type="paragraph" w:styleId="NormalWeb">
    <w:name w:val="Normal (Web)"/>
    <w:basedOn w:val="Normal"/>
    <w:uiPriority w:val="99"/>
    <w:unhideWhenUsed/>
    <w:rsid w:val="008F5901"/>
    <w:pPr>
      <w:spacing w:before="100" w:beforeAutospacing="1" w:after="100" w:afterAutospacing="1"/>
      <w:ind w:firstLine="138"/>
      <w:jc w:val="both"/>
    </w:pPr>
    <w:rPr>
      <w:rFonts w:ascii="Arial" w:eastAsia="Times New Roman" w:hAnsi="Arial" w:cs="Arial"/>
      <w:sz w:val="18"/>
      <w:szCs w:val="18"/>
      <w:lang w:val="en-US"/>
    </w:rPr>
  </w:style>
  <w:style w:type="character" w:customStyle="1" w:styleId="Refdenotaalpie1">
    <w:name w:val="Ref. de nota al pie1"/>
    <w:rsid w:val="008F5901"/>
    <w:rPr>
      <w:sz w:val="20"/>
      <w:vertAlign w:val="superscript"/>
    </w:rPr>
  </w:style>
  <w:style w:type="paragraph" w:customStyle="1" w:styleId="profile-textblock">
    <w:name w:val="profile-textblock"/>
    <w:basedOn w:val="Normal"/>
    <w:rsid w:val="008F5901"/>
    <w:pPr>
      <w:spacing w:after="192" w:line="384" w:lineRule="atLeast"/>
      <w:jc w:val="both"/>
    </w:pPr>
    <w:rPr>
      <w:rFonts w:ascii="Georgia" w:eastAsia="Times New Roman" w:hAnsi="Georgia"/>
      <w:sz w:val="12"/>
      <w:szCs w:val="12"/>
      <w:lang w:val="en-US"/>
    </w:rPr>
  </w:style>
  <w:style w:type="paragraph" w:styleId="BodyText">
    <w:name w:val="Body Text"/>
    <w:basedOn w:val="Normal"/>
    <w:link w:val="BodyTextChar"/>
    <w:rsid w:val="008F5901"/>
    <w:pPr>
      <w:jc w:val="both"/>
    </w:pPr>
    <w:rPr>
      <w:rFonts w:ascii="Garamond" w:hAnsi="Garamond"/>
      <w:sz w:val="24"/>
      <w:lang w:eastAsia="es-ES"/>
    </w:rPr>
  </w:style>
  <w:style w:type="character" w:customStyle="1" w:styleId="BodyTextChar">
    <w:name w:val="Body Text Char"/>
    <w:basedOn w:val="DefaultParagraphFont"/>
    <w:link w:val="BodyText"/>
    <w:rsid w:val="008F5901"/>
    <w:rPr>
      <w:rFonts w:ascii="Garamond" w:eastAsia="Times" w:hAnsi="Garamond" w:cs="Times New Roman"/>
      <w:szCs w:val="20"/>
      <w:lang w:eastAsia="es-ES"/>
    </w:rPr>
  </w:style>
  <w:style w:type="character" w:customStyle="1" w:styleId="apple-style-span">
    <w:name w:val="apple-style-span"/>
    <w:basedOn w:val="DefaultParagraphFont"/>
    <w:rsid w:val="008F5901"/>
  </w:style>
  <w:style w:type="paragraph" w:styleId="CommentText">
    <w:name w:val="annotation text"/>
    <w:basedOn w:val="Normal"/>
    <w:link w:val="CommentTextChar"/>
    <w:uiPriority w:val="99"/>
    <w:semiHidden/>
    <w:unhideWhenUsed/>
    <w:rsid w:val="008F5901"/>
  </w:style>
  <w:style w:type="character" w:customStyle="1" w:styleId="CommentTextChar">
    <w:name w:val="Comment Text Char"/>
    <w:basedOn w:val="DefaultParagraphFont"/>
    <w:link w:val="CommentText"/>
    <w:uiPriority w:val="99"/>
    <w:semiHidden/>
    <w:rsid w:val="008F5901"/>
    <w:rPr>
      <w:rFonts w:ascii="Verdana" w:eastAsia="Times" w:hAnsi="Verdana" w:cs="Times New Roman"/>
      <w:sz w:val="20"/>
      <w:szCs w:val="20"/>
    </w:rPr>
  </w:style>
  <w:style w:type="paragraph" w:styleId="CommentSubject">
    <w:name w:val="annotation subject"/>
    <w:aliases w:val=" Car2"/>
    <w:basedOn w:val="CommentText"/>
    <w:next w:val="CommentText"/>
    <w:link w:val="CommentSubjectChar"/>
    <w:uiPriority w:val="99"/>
    <w:semiHidden/>
    <w:unhideWhenUsed/>
    <w:rsid w:val="008F5901"/>
    <w:rPr>
      <w:b/>
      <w:bCs/>
    </w:rPr>
  </w:style>
  <w:style w:type="character" w:customStyle="1" w:styleId="CommentSubjectChar">
    <w:name w:val="Comment Subject Char"/>
    <w:aliases w:val=" Car2 Char"/>
    <w:basedOn w:val="CommentTextChar"/>
    <w:link w:val="CommentSubject"/>
    <w:uiPriority w:val="99"/>
    <w:semiHidden/>
    <w:rsid w:val="008F5901"/>
    <w:rPr>
      <w:rFonts w:ascii="Verdana" w:eastAsia="Times" w:hAnsi="Verdana" w:cs="Times New Roman"/>
      <w:b/>
      <w:bCs/>
      <w:sz w:val="20"/>
      <w:szCs w:val="20"/>
    </w:rPr>
  </w:style>
  <w:style w:type="paragraph" w:customStyle="1" w:styleId="Revisin1">
    <w:name w:val="Revisión1"/>
    <w:hidden/>
    <w:uiPriority w:val="99"/>
    <w:semiHidden/>
    <w:rsid w:val="008F5901"/>
    <w:rPr>
      <w:rFonts w:ascii="Verdana" w:eastAsia="Times" w:hAnsi="Verdana"/>
      <w:lang w:val="es-ES_tradnl" w:eastAsia="en-US"/>
    </w:rPr>
  </w:style>
  <w:style w:type="character" w:styleId="FollowedHyperlink">
    <w:name w:val="FollowedHyperlink"/>
    <w:rsid w:val="008F5901"/>
    <w:rPr>
      <w:color w:val="800080"/>
      <w:u w:val="single"/>
    </w:rPr>
  </w:style>
  <w:style w:type="character" w:customStyle="1" w:styleId="CarCar">
    <w:name w:val="Car Car"/>
    <w:rsid w:val="008F5901"/>
    <w:rPr>
      <w:rFonts w:ascii="Verdana" w:eastAsia="Times" w:hAnsi="Verdana" w:cs="Times New Roman"/>
      <w:sz w:val="20"/>
      <w:szCs w:val="20"/>
      <w:lang w:val="es-ES_tradnl"/>
    </w:rPr>
  </w:style>
  <w:style w:type="paragraph" w:styleId="BlockText">
    <w:name w:val="Block Text"/>
    <w:basedOn w:val="Normal"/>
    <w:rsid w:val="008F5901"/>
    <w:pPr>
      <w:tabs>
        <w:tab w:val="left" w:pos="360"/>
        <w:tab w:val="left" w:pos="540"/>
        <w:tab w:val="num" w:pos="900"/>
        <w:tab w:val="left" w:pos="1260"/>
      </w:tabs>
      <w:ind w:left="1440" w:right="720"/>
      <w:jc w:val="both"/>
    </w:pPr>
    <w:rPr>
      <w:sz w:val="18"/>
    </w:rPr>
  </w:style>
  <w:style w:type="character" w:customStyle="1" w:styleId="apple-converted-space">
    <w:name w:val="apple-converted-space"/>
    <w:basedOn w:val="DefaultParagraphFont"/>
    <w:rsid w:val="008F5901"/>
  </w:style>
  <w:style w:type="character" w:customStyle="1" w:styleId="FootnoteRef">
    <w:name w:val="Footnote Ref"/>
    <w:rsid w:val="008F5901"/>
    <w:rPr>
      <w:vertAlign w:val="superscript"/>
    </w:rPr>
  </w:style>
  <w:style w:type="character" w:customStyle="1" w:styleId="ju-005fpara--char">
    <w:name w:val="ju-005fpara--char"/>
    <w:basedOn w:val="DefaultParagraphFont"/>
    <w:rsid w:val="008F5901"/>
  </w:style>
  <w:style w:type="character" w:customStyle="1" w:styleId="normal--char">
    <w:name w:val="normal--char"/>
    <w:basedOn w:val="DefaultParagraphFont"/>
    <w:rsid w:val="008F5901"/>
  </w:style>
  <w:style w:type="paragraph" w:customStyle="1" w:styleId="Revisin2">
    <w:name w:val="Revisión2"/>
    <w:hidden/>
    <w:uiPriority w:val="99"/>
    <w:semiHidden/>
    <w:rsid w:val="008F5901"/>
    <w:rPr>
      <w:rFonts w:ascii="Verdana" w:eastAsia="Times" w:hAnsi="Verdana"/>
      <w:lang w:val="es-ES_tradnl" w:eastAsia="en-US"/>
    </w:rPr>
  </w:style>
  <w:style w:type="paragraph" w:customStyle="1" w:styleId="Body1">
    <w:name w:val="Body 1"/>
    <w:uiPriority w:val="99"/>
    <w:rsid w:val="008F5901"/>
    <w:pPr>
      <w:outlineLvl w:val="0"/>
    </w:pPr>
    <w:rPr>
      <w:rFonts w:ascii="Times New Roman" w:eastAsia="SimSun" w:hAnsi="Times New Roman"/>
      <w:color w:val="000000"/>
      <w:sz w:val="24"/>
      <w:lang w:val="en-US" w:eastAsia="en-US"/>
    </w:rPr>
  </w:style>
  <w:style w:type="paragraph" w:styleId="ListParagraph">
    <w:name w:val="List Paragraph"/>
    <w:aliases w:val="Footnote"/>
    <w:basedOn w:val="Normal"/>
    <w:link w:val="ListParagraphChar"/>
    <w:uiPriority w:val="34"/>
    <w:qFormat/>
    <w:rsid w:val="008F5901"/>
    <w:pPr>
      <w:ind w:left="720"/>
      <w:jc w:val="both"/>
    </w:pPr>
    <w:rPr>
      <w:rFonts w:eastAsia="Batang"/>
      <w:szCs w:val="24"/>
    </w:rPr>
  </w:style>
  <w:style w:type="character" w:customStyle="1" w:styleId="FootnoteTextCharCharCar">
    <w:name w:val="Footnote Text Char Char Car"/>
    <w:rsid w:val="008F5901"/>
    <w:rPr>
      <w:rFonts w:ascii="Verdana" w:eastAsia="Times" w:hAnsi="Verdana" w:cs="Times New Roman"/>
      <w:sz w:val="16"/>
      <w:szCs w:val="20"/>
      <w:lang w:val="es-ES_tradnl"/>
    </w:rPr>
  </w:style>
  <w:style w:type="character" w:customStyle="1" w:styleId="TextonotapieCarCar">
    <w:name w:val="Texto nota pie Car Car"/>
    <w:basedOn w:val="DefaultParagraphFont"/>
    <w:rsid w:val="000D6143"/>
    <w:rPr>
      <w:rFonts w:ascii="Verdana" w:eastAsia="Times" w:hAnsi="Verdana"/>
      <w:sz w:val="16"/>
      <w:lang w:val="es-ES_tradnl"/>
    </w:rPr>
  </w:style>
  <w:style w:type="character" w:customStyle="1" w:styleId="ListParagraphChar">
    <w:name w:val="List Paragraph Char"/>
    <w:aliases w:val="Footnote Char"/>
    <w:basedOn w:val="DefaultParagraphFont"/>
    <w:link w:val="ListParagraph"/>
    <w:uiPriority w:val="34"/>
    <w:rsid w:val="004644C9"/>
    <w:rPr>
      <w:rFonts w:ascii="Verdana" w:eastAsia="Batang" w:hAnsi="Verdana" w:cs="Times New Roman"/>
      <w:sz w:val="20"/>
    </w:rPr>
  </w:style>
  <w:style w:type="character" w:customStyle="1" w:styleId="Heading3Char">
    <w:name w:val="Heading 3 Char"/>
    <w:basedOn w:val="DefaultParagraphFont"/>
    <w:link w:val="Heading3"/>
    <w:uiPriority w:val="9"/>
    <w:rsid w:val="004B4C7F"/>
    <w:rPr>
      <w:rFonts w:ascii="Verdana" w:eastAsia="Times" w:hAnsi="Verdana"/>
      <w:b/>
      <w:lang w:val="es-ES_tradnl"/>
    </w:rPr>
  </w:style>
  <w:style w:type="character" w:customStyle="1" w:styleId="ListParagraphChar1">
    <w:name w:val="List Paragraph Char1"/>
    <w:basedOn w:val="DefaultParagraphFont"/>
    <w:uiPriority w:val="99"/>
    <w:rsid w:val="00281596"/>
    <w:rPr>
      <w:rFonts w:ascii="Verdana" w:eastAsia="Times New Roman" w:hAnsi="Verdana"/>
      <w:lang w:val="es-ES_tradnl" w:eastAsia="en-US"/>
    </w:rPr>
  </w:style>
  <w:style w:type="paragraph" w:styleId="DocumentMap">
    <w:name w:val="Document Map"/>
    <w:basedOn w:val="Normal"/>
    <w:link w:val="DocumentMapChar"/>
    <w:uiPriority w:val="99"/>
    <w:semiHidden/>
    <w:unhideWhenUsed/>
    <w:rsid w:val="00FC3DC7"/>
    <w:rPr>
      <w:rFonts w:ascii="Tahoma" w:hAnsi="Tahoma" w:cs="Tahoma"/>
      <w:sz w:val="16"/>
      <w:szCs w:val="16"/>
    </w:rPr>
  </w:style>
  <w:style w:type="character" w:customStyle="1" w:styleId="DocumentMapChar">
    <w:name w:val="Document Map Char"/>
    <w:basedOn w:val="DefaultParagraphFont"/>
    <w:link w:val="DocumentMap"/>
    <w:uiPriority w:val="99"/>
    <w:semiHidden/>
    <w:rsid w:val="00FC3DC7"/>
    <w:rPr>
      <w:rFonts w:ascii="Tahoma" w:eastAsia="Times" w:hAnsi="Tahoma" w:cs="Tahoma"/>
      <w:sz w:val="16"/>
      <w:szCs w:val="16"/>
    </w:rPr>
  </w:style>
  <w:style w:type="table" w:customStyle="1" w:styleId="TableGrid1">
    <w:name w:val="Table Grid1"/>
    <w:basedOn w:val="TableNormal"/>
    <w:next w:val="TableGrid"/>
    <w:uiPriority w:val="59"/>
    <w:rsid w:val="00A0113E"/>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3CB3"/>
    <w:pPr>
      <w:autoSpaceDE w:val="0"/>
      <w:autoSpaceDN w:val="0"/>
      <w:adjustRightInd w:val="0"/>
    </w:pPr>
    <w:rPr>
      <w:rFonts w:ascii="Verdana" w:hAnsi="Verdana" w:cs="Verdana"/>
      <w:color w:val="000000"/>
      <w:sz w:val="24"/>
      <w:szCs w:val="24"/>
    </w:rPr>
  </w:style>
  <w:style w:type="paragraph" w:customStyle="1" w:styleId="citaindirecta">
    <w:name w:val="cita indirecta"/>
    <w:basedOn w:val="Normal"/>
    <w:rsid w:val="003E27A2"/>
    <w:pPr>
      <w:ind w:left="708"/>
      <w:jc w:val="both"/>
    </w:pPr>
    <w:rPr>
      <w:rFonts w:eastAsia="Times New Roman"/>
    </w:rPr>
  </w:style>
  <w:style w:type="character" w:styleId="LineNumber">
    <w:name w:val="line number"/>
    <w:basedOn w:val="DefaultParagraphFont"/>
    <w:uiPriority w:val="99"/>
    <w:semiHidden/>
    <w:unhideWhenUsed/>
    <w:rsid w:val="00C92CB2"/>
  </w:style>
  <w:style w:type="paragraph" w:styleId="Revision">
    <w:name w:val="Revision"/>
    <w:hidden/>
    <w:uiPriority w:val="99"/>
    <w:semiHidden/>
    <w:rsid w:val="00F7055F"/>
    <w:rPr>
      <w:rFonts w:ascii="Verdana" w:eastAsia="Times" w:hAnsi="Verdana"/>
      <w:lang w:val="es-ES_tradnl"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F67309"/>
    <w:pPr>
      <w:jc w:val="both"/>
    </w:pPr>
    <w:rPr>
      <w:rFonts w:ascii="Cambria" w:eastAsia="Cambria" w:hAnsi="Cambria"/>
      <w:vertAlign w:val="superscript"/>
      <w:lang w:val="es-CR" w:eastAsia="es-CR"/>
    </w:rPr>
  </w:style>
  <w:style w:type="paragraph" w:customStyle="1" w:styleId="styletitle2">
    <w:name w:val="styletitle2"/>
    <w:basedOn w:val="Normal"/>
    <w:rsid w:val="00F67309"/>
    <w:pPr>
      <w:spacing w:before="100" w:beforeAutospacing="1" w:after="100" w:afterAutospacing="1"/>
    </w:pPr>
    <w:rPr>
      <w:rFonts w:ascii="Times New Roman" w:eastAsia="Times New Roman" w:hAnsi="Times New Roman"/>
      <w:sz w:val="24"/>
      <w:szCs w:val="24"/>
      <w:lang w:val="es-CR" w:eastAsia="es-CR"/>
    </w:rPr>
  </w:style>
  <w:style w:type="character" w:customStyle="1" w:styleId="FAFuCar1">
    <w:name w:val="FA Fu Car1"/>
    <w:aliases w:val="FA Fu Car Car1,FA Fu Car Car Car,FA Fußnotentext Car1"/>
    <w:basedOn w:val="DefaultParagraphFont"/>
    <w:semiHidden/>
    <w:locked/>
    <w:rsid w:val="003C341D"/>
    <w:rPr>
      <w:rFonts w:ascii="MS Mincho" w:eastAsia="MS Mincho" w:hAnsi="MS Mincho"/>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01"/>
    <w:rPr>
      <w:rFonts w:ascii="Verdana" w:eastAsia="Times" w:hAnsi="Verdana"/>
      <w:lang w:val="es-ES_tradnl" w:eastAsia="en-US"/>
    </w:rPr>
  </w:style>
  <w:style w:type="paragraph" w:styleId="Heading1">
    <w:name w:val="heading 1"/>
    <w:basedOn w:val="Heading2"/>
    <w:next w:val="Normal"/>
    <w:link w:val="Heading1Char"/>
    <w:uiPriority w:val="9"/>
    <w:qFormat/>
    <w:rsid w:val="00BC2A32"/>
    <w:pPr>
      <w:outlineLvl w:val="0"/>
    </w:pPr>
  </w:style>
  <w:style w:type="paragraph" w:styleId="Heading2">
    <w:name w:val="heading 2"/>
    <w:basedOn w:val="Normal"/>
    <w:next w:val="Normal"/>
    <w:link w:val="Heading2Char"/>
    <w:qFormat/>
    <w:rsid w:val="00BC2A32"/>
    <w:pPr>
      <w:keepNext/>
      <w:jc w:val="center"/>
      <w:outlineLvl w:val="1"/>
    </w:pPr>
    <w:rPr>
      <w:rFonts w:eastAsia="Times New Roman" w:cs="Verdana"/>
      <w:b/>
      <w:bCs/>
      <w:iCs/>
      <w:caps/>
      <w:snapToGrid w:val="0"/>
      <w:lang w:val="es-CR" w:eastAsia="es-ES"/>
    </w:rPr>
  </w:style>
  <w:style w:type="paragraph" w:styleId="Heading3">
    <w:name w:val="heading 3"/>
    <w:basedOn w:val="Normal"/>
    <w:next w:val="Normal"/>
    <w:link w:val="Heading3Char"/>
    <w:uiPriority w:val="9"/>
    <w:unhideWhenUsed/>
    <w:qFormat/>
    <w:rsid w:val="004B4C7F"/>
    <w:pPr>
      <w:numPr>
        <w:numId w:val="4"/>
      </w:numPr>
      <w:jc w:val="both"/>
      <w:outlineLvl w:val="2"/>
    </w:pPr>
    <w:rPr>
      <w:b/>
    </w:rPr>
  </w:style>
  <w:style w:type="paragraph" w:styleId="Heading9">
    <w:name w:val="heading 9"/>
    <w:basedOn w:val="Normal"/>
    <w:next w:val="Normal"/>
    <w:link w:val="Heading9Char"/>
    <w:qFormat/>
    <w:rsid w:val="008F5901"/>
    <w:pPr>
      <w:keepNext/>
      <w:numPr>
        <w:numId w:val="2"/>
      </w:numPr>
      <w:outlineLvl w:val="8"/>
    </w:pPr>
    <w:rPr>
      <w:rFonts w:ascii="Garamond" w:hAnsi="Garamond"/>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A32"/>
    <w:rPr>
      <w:rFonts w:ascii="Verdana" w:eastAsia="Times New Roman" w:hAnsi="Verdana" w:cs="Verdana"/>
      <w:b/>
      <w:bCs/>
      <w:iCs/>
      <w:caps/>
      <w:snapToGrid w:val="0"/>
      <w:lang w:val="es-CR" w:eastAsia="es-ES"/>
    </w:rPr>
  </w:style>
  <w:style w:type="character" w:customStyle="1" w:styleId="Heading2Char">
    <w:name w:val="Heading 2 Char"/>
    <w:basedOn w:val="DefaultParagraphFont"/>
    <w:link w:val="Heading2"/>
    <w:rsid w:val="00BC2A32"/>
    <w:rPr>
      <w:rFonts w:ascii="Verdana" w:eastAsia="Times New Roman" w:hAnsi="Verdana" w:cs="Verdana"/>
      <w:b/>
      <w:bCs/>
      <w:iCs/>
      <w:caps/>
      <w:snapToGrid w:val="0"/>
      <w:lang w:val="es-CR" w:eastAsia="es-ES"/>
    </w:rPr>
  </w:style>
  <w:style w:type="character" w:customStyle="1" w:styleId="Heading9Char">
    <w:name w:val="Heading 9 Char"/>
    <w:basedOn w:val="DefaultParagraphFont"/>
    <w:link w:val="Heading9"/>
    <w:rsid w:val="008F5901"/>
    <w:rPr>
      <w:rFonts w:ascii="Garamond" w:eastAsia="Times" w:hAnsi="Garamond"/>
      <w:i/>
      <w:sz w:val="24"/>
      <w:lang w:val="es-ES_tradnl"/>
    </w:rPr>
  </w:style>
  <w:style w:type="paragraph" w:styleId="FootnoteText">
    <w:name w:val="footnote text"/>
    <w:aliases w:val="Texto nota pie Car1,Footnote Text Char Char Char Char Char Car,Footnote Text Char Char Char Char Car,Footnote reference Car,FA Fu Car,Footnote Text Char Char Char Car,Footnote Text Cha Car,FA Fußnotentext Car,FA Fuﬂnotentext Car,Ca Car,Ca"/>
    <w:basedOn w:val="Normal"/>
    <w:link w:val="FootnoteTextChar"/>
    <w:qFormat/>
    <w:rsid w:val="008F5901"/>
    <w:pPr>
      <w:jc w:val="both"/>
    </w:pPr>
    <w:rPr>
      <w:sz w:val="16"/>
    </w:rPr>
  </w:style>
  <w:style w:type="character" w:customStyle="1" w:styleId="TextonotapieCar">
    <w:name w:val="Texto nota pie Car"/>
    <w:aliases w:val="FA Fu?notente Car"/>
    <w:basedOn w:val="DefaultParagraphFont"/>
    <w:rsid w:val="008F5901"/>
    <w:rPr>
      <w:rFonts w:ascii="Verdana" w:eastAsia="Times" w:hAnsi="Verdana" w:cs="Times New Roman"/>
    </w:rPr>
  </w:style>
  <w:style w:type="character" w:customStyle="1" w:styleId="FootnoteTextChar">
    <w:name w:val="Footnote Text Char"/>
    <w:aliases w:val="Texto nota pie Car1 Char,Footnote Text Char Char Char Char Char Car Char,Footnote Text Char Char Char Char Car Char,Footnote reference Car Char,FA Fu Car Char,Footnote Text Char Char Char Car Char,Footnote Text Cha Car Char,Ca Char"/>
    <w:link w:val="FootnoteText"/>
    <w:rsid w:val="008F5901"/>
    <w:rPr>
      <w:rFonts w:ascii="Verdana" w:eastAsia="Times" w:hAnsi="Verdana" w:cs="Times New Roman"/>
      <w:sz w:val="16"/>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8F5901"/>
    <w:rPr>
      <w:vertAlign w:val="superscript"/>
    </w:rPr>
  </w:style>
  <w:style w:type="paragraph" w:styleId="Header">
    <w:name w:val="header"/>
    <w:basedOn w:val="Normal"/>
    <w:link w:val="HeaderChar"/>
    <w:uiPriority w:val="99"/>
    <w:rsid w:val="008F5901"/>
    <w:pPr>
      <w:tabs>
        <w:tab w:val="center" w:pos="4252"/>
        <w:tab w:val="right" w:pos="8504"/>
      </w:tabs>
    </w:pPr>
  </w:style>
  <w:style w:type="character" w:customStyle="1" w:styleId="HeaderChar">
    <w:name w:val="Header Char"/>
    <w:basedOn w:val="DefaultParagraphFont"/>
    <w:link w:val="Header"/>
    <w:uiPriority w:val="99"/>
    <w:rsid w:val="008F5901"/>
    <w:rPr>
      <w:rFonts w:ascii="Verdana" w:eastAsia="Times" w:hAnsi="Verdana" w:cs="Times New Roman"/>
      <w:sz w:val="20"/>
      <w:szCs w:val="20"/>
    </w:rPr>
  </w:style>
  <w:style w:type="character" w:styleId="PageNumber">
    <w:name w:val="page number"/>
    <w:basedOn w:val="DefaultParagraphFont"/>
    <w:uiPriority w:val="99"/>
    <w:rsid w:val="008F5901"/>
  </w:style>
  <w:style w:type="paragraph" w:customStyle="1" w:styleId="Prrafodelista2">
    <w:name w:val="Párrafo de lista2"/>
    <w:basedOn w:val="Normal"/>
    <w:uiPriority w:val="34"/>
    <w:qFormat/>
    <w:rsid w:val="008F5901"/>
    <w:pPr>
      <w:ind w:left="720"/>
    </w:pPr>
  </w:style>
  <w:style w:type="paragraph" w:styleId="BodyText2">
    <w:name w:val="Body Text 2"/>
    <w:basedOn w:val="Normal"/>
    <w:link w:val="BodyText2Char"/>
    <w:uiPriority w:val="99"/>
    <w:semiHidden/>
    <w:unhideWhenUsed/>
    <w:rsid w:val="008F5901"/>
    <w:pPr>
      <w:spacing w:after="120" w:line="480" w:lineRule="auto"/>
    </w:pPr>
  </w:style>
  <w:style w:type="character" w:customStyle="1" w:styleId="BodyText2Char">
    <w:name w:val="Body Text 2 Char"/>
    <w:basedOn w:val="DefaultParagraphFont"/>
    <w:link w:val="BodyText2"/>
    <w:uiPriority w:val="99"/>
    <w:semiHidden/>
    <w:rsid w:val="008F5901"/>
    <w:rPr>
      <w:rFonts w:ascii="Verdana" w:eastAsia="Times" w:hAnsi="Verdana" w:cs="Times New Roman"/>
      <w:sz w:val="20"/>
      <w:szCs w:val="20"/>
    </w:rPr>
  </w:style>
  <w:style w:type="table" w:styleId="TableGrid">
    <w:name w:val="Table Grid"/>
    <w:basedOn w:val="TableNormal"/>
    <w:uiPriority w:val="1"/>
    <w:rsid w:val="008F5901"/>
    <w:rPr>
      <w:rFonts w:ascii="Calibri" w:eastAsia="SimSun" w:hAnsi="Calibri"/>
      <w:lang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8F5901"/>
    <w:pPr>
      <w:tabs>
        <w:tab w:val="center" w:pos="4680"/>
        <w:tab w:val="right" w:pos="9360"/>
      </w:tabs>
    </w:pPr>
  </w:style>
  <w:style w:type="character" w:customStyle="1" w:styleId="FooterChar">
    <w:name w:val="Footer Char"/>
    <w:basedOn w:val="DefaultParagraphFont"/>
    <w:link w:val="Footer"/>
    <w:uiPriority w:val="99"/>
    <w:rsid w:val="008F5901"/>
    <w:rPr>
      <w:rFonts w:ascii="Verdana" w:eastAsia="Times" w:hAnsi="Verdana" w:cs="Times New Roman"/>
      <w:sz w:val="20"/>
      <w:szCs w:val="20"/>
    </w:rPr>
  </w:style>
  <w:style w:type="paragraph" w:styleId="BalloonText">
    <w:name w:val="Balloon Text"/>
    <w:basedOn w:val="Normal"/>
    <w:link w:val="BalloonTextChar"/>
    <w:uiPriority w:val="99"/>
    <w:semiHidden/>
    <w:unhideWhenUsed/>
    <w:rsid w:val="008F5901"/>
    <w:rPr>
      <w:rFonts w:ascii="Tahoma" w:hAnsi="Tahoma"/>
      <w:sz w:val="16"/>
      <w:szCs w:val="16"/>
    </w:rPr>
  </w:style>
  <w:style w:type="character" w:customStyle="1" w:styleId="BalloonTextChar">
    <w:name w:val="Balloon Text Char"/>
    <w:basedOn w:val="DefaultParagraphFont"/>
    <w:link w:val="BalloonText"/>
    <w:uiPriority w:val="99"/>
    <w:semiHidden/>
    <w:rsid w:val="008F5901"/>
    <w:rPr>
      <w:rFonts w:ascii="Tahoma" w:eastAsia="Times" w:hAnsi="Tahoma" w:cs="Times New Roman"/>
      <w:sz w:val="16"/>
      <w:szCs w:val="16"/>
    </w:rPr>
  </w:style>
  <w:style w:type="paragraph" w:styleId="EndnoteText">
    <w:name w:val="endnote text"/>
    <w:basedOn w:val="Normal"/>
    <w:link w:val="EndnoteTextChar"/>
    <w:uiPriority w:val="99"/>
    <w:rsid w:val="008F590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Times New Roman" w:hAnsi="CG Times"/>
      <w:sz w:val="22"/>
      <w:lang w:val="es-ES"/>
    </w:rPr>
  </w:style>
  <w:style w:type="character" w:customStyle="1" w:styleId="EndnoteTextChar">
    <w:name w:val="Endnote Text Char"/>
    <w:basedOn w:val="DefaultParagraphFont"/>
    <w:link w:val="EndnoteText"/>
    <w:uiPriority w:val="99"/>
    <w:rsid w:val="008F5901"/>
    <w:rPr>
      <w:rFonts w:ascii="CG Times" w:eastAsia="Times New Roman" w:hAnsi="CG Times" w:cs="Times New Roman"/>
      <w:sz w:val="22"/>
      <w:szCs w:val="20"/>
      <w:lang w:val="es-ES"/>
    </w:rPr>
  </w:style>
  <w:style w:type="paragraph" w:customStyle="1" w:styleId="PargrafodaLista">
    <w:name w:val="Parágrafo da Lista"/>
    <w:basedOn w:val="Normal"/>
    <w:qFormat/>
    <w:rsid w:val="008F5901"/>
    <w:pPr>
      <w:ind w:left="708"/>
    </w:pPr>
    <w:rPr>
      <w:rFonts w:eastAsia="Batang" w:cs="Times"/>
      <w:sz w:val="16"/>
      <w:szCs w:val="24"/>
    </w:rPr>
  </w:style>
  <w:style w:type="paragraph" w:customStyle="1" w:styleId="ListParagraph1">
    <w:name w:val="List Paragraph1"/>
    <w:basedOn w:val="Normal"/>
    <w:uiPriority w:val="34"/>
    <w:qFormat/>
    <w:rsid w:val="008F5901"/>
    <w:pPr>
      <w:spacing w:after="200" w:line="276" w:lineRule="auto"/>
      <w:ind w:left="720"/>
      <w:contextualSpacing/>
    </w:pPr>
    <w:rPr>
      <w:rFonts w:ascii="Times New Roman" w:eastAsia="Calibri" w:hAnsi="Times New Roman"/>
      <w:sz w:val="24"/>
      <w:szCs w:val="22"/>
      <w:lang w:val="en-US"/>
    </w:rPr>
  </w:style>
  <w:style w:type="character" w:styleId="Hyperlink">
    <w:name w:val="Hyperlink"/>
    <w:uiPriority w:val="99"/>
    <w:unhideWhenUsed/>
    <w:rsid w:val="008F5901"/>
    <w:rPr>
      <w:color w:val="0000FF"/>
      <w:u w:val="single"/>
    </w:rPr>
  </w:style>
  <w:style w:type="paragraph" w:customStyle="1" w:styleId="Sinespaciado1">
    <w:name w:val="Sin espaciado1"/>
    <w:link w:val="SinespaciadoCar"/>
    <w:uiPriority w:val="1"/>
    <w:qFormat/>
    <w:rsid w:val="008F5901"/>
    <w:rPr>
      <w:rFonts w:ascii="Calibri" w:eastAsia="Times New Roman" w:hAnsi="Calibri"/>
      <w:sz w:val="22"/>
      <w:szCs w:val="22"/>
      <w:lang w:val="en-US"/>
    </w:rPr>
  </w:style>
  <w:style w:type="character" w:customStyle="1" w:styleId="SinespaciadoCar">
    <w:name w:val="Sin espaciado Car"/>
    <w:link w:val="Sinespaciado1"/>
    <w:uiPriority w:val="1"/>
    <w:rsid w:val="008F5901"/>
    <w:rPr>
      <w:rFonts w:ascii="Calibri" w:eastAsia="Times New Roman" w:hAnsi="Calibri"/>
      <w:sz w:val="22"/>
      <w:szCs w:val="22"/>
      <w:lang w:val="en-US" w:bidi="ar-SA"/>
    </w:rPr>
  </w:style>
  <w:style w:type="paragraph" w:customStyle="1" w:styleId="Sangradetindependiente2">
    <w:name w:val="Sangría de t. independiente2"/>
    <w:basedOn w:val="Normal"/>
    <w:rsid w:val="008F5901"/>
    <w:pPr>
      <w:spacing w:line="360" w:lineRule="atLeast"/>
    </w:pPr>
    <w:rPr>
      <w:rFonts w:ascii="Arial" w:eastAsia="Times New Roman" w:hAnsi="Arial"/>
      <w:sz w:val="24"/>
    </w:rPr>
  </w:style>
  <w:style w:type="character" w:styleId="CommentReference">
    <w:name w:val="annotation reference"/>
    <w:uiPriority w:val="99"/>
    <w:semiHidden/>
    <w:rsid w:val="008F5901"/>
    <w:rPr>
      <w:sz w:val="16"/>
      <w:szCs w:val="16"/>
    </w:rPr>
  </w:style>
  <w:style w:type="character" w:styleId="EndnoteReference">
    <w:name w:val="endnote reference"/>
    <w:uiPriority w:val="99"/>
    <w:semiHidden/>
    <w:unhideWhenUsed/>
    <w:rsid w:val="008F5901"/>
    <w:rPr>
      <w:vertAlign w:val="superscript"/>
    </w:rPr>
  </w:style>
  <w:style w:type="character" w:styleId="Strong">
    <w:name w:val="Strong"/>
    <w:uiPriority w:val="22"/>
    <w:qFormat/>
    <w:rsid w:val="008F5901"/>
    <w:rPr>
      <w:b/>
      <w:bCs/>
    </w:rPr>
  </w:style>
  <w:style w:type="paragraph" w:customStyle="1" w:styleId="Prrafodelista1">
    <w:name w:val="Párrafo de lista1"/>
    <w:basedOn w:val="Normal"/>
    <w:uiPriority w:val="34"/>
    <w:qFormat/>
    <w:rsid w:val="008F5901"/>
    <w:pPr>
      <w:ind w:left="720"/>
    </w:pPr>
  </w:style>
  <w:style w:type="paragraph" w:styleId="NormalWeb">
    <w:name w:val="Normal (Web)"/>
    <w:basedOn w:val="Normal"/>
    <w:uiPriority w:val="99"/>
    <w:unhideWhenUsed/>
    <w:rsid w:val="008F5901"/>
    <w:pPr>
      <w:spacing w:before="100" w:beforeAutospacing="1" w:after="100" w:afterAutospacing="1"/>
      <w:ind w:firstLine="138"/>
      <w:jc w:val="both"/>
    </w:pPr>
    <w:rPr>
      <w:rFonts w:ascii="Arial" w:eastAsia="Times New Roman" w:hAnsi="Arial" w:cs="Arial"/>
      <w:sz w:val="18"/>
      <w:szCs w:val="18"/>
      <w:lang w:val="en-US"/>
    </w:rPr>
  </w:style>
  <w:style w:type="character" w:customStyle="1" w:styleId="Refdenotaalpie1">
    <w:name w:val="Ref. de nota al pie1"/>
    <w:rsid w:val="008F5901"/>
    <w:rPr>
      <w:sz w:val="20"/>
      <w:vertAlign w:val="superscript"/>
    </w:rPr>
  </w:style>
  <w:style w:type="paragraph" w:customStyle="1" w:styleId="profile-textblock">
    <w:name w:val="profile-textblock"/>
    <w:basedOn w:val="Normal"/>
    <w:rsid w:val="008F5901"/>
    <w:pPr>
      <w:spacing w:after="192" w:line="384" w:lineRule="atLeast"/>
      <w:jc w:val="both"/>
    </w:pPr>
    <w:rPr>
      <w:rFonts w:ascii="Georgia" w:eastAsia="Times New Roman" w:hAnsi="Georgia"/>
      <w:sz w:val="12"/>
      <w:szCs w:val="12"/>
      <w:lang w:val="en-US"/>
    </w:rPr>
  </w:style>
  <w:style w:type="paragraph" w:styleId="BodyText">
    <w:name w:val="Body Text"/>
    <w:basedOn w:val="Normal"/>
    <w:link w:val="BodyTextChar"/>
    <w:rsid w:val="008F5901"/>
    <w:pPr>
      <w:jc w:val="both"/>
    </w:pPr>
    <w:rPr>
      <w:rFonts w:ascii="Garamond" w:hAnsi="Garamond"/>
      <w:sz w:val="24"/>
      <w:lang w:eastAsia="es-ES"/>
    </w:rPr>
  </w:style>
  <w:style w:type="character" w:customStyle="1" w:styleId="BodyTextChar">
    <w:name w:val="Body Text Char"/>
    <w:basedOn w:val="DefaultParagraphFont"/>
    <w:link w:val="BodyText"/>
    <w:rsid w:val="008F5901"/>
    <w:rPr>
      <w:rFonts w:ascii="Garamond" w:eastAsia="Times" w:hAnsi="Garamond" w:cs="Times New Roman"/>
      <w:szCs w:val="20"/>
      <w:lang w:eastAsia="es-ES"/>
    </w:rPr>
  </w:style>
  <w:style w:type="character" w:customStyle="1" w:styleId="apple-style-span">
    <w:name w:val="apple-style-span"/>
    <w:basedOn w:val="DefaultParagraphFont"/>
    <w:rsid w:val="008F5901"/>
  </w:style>
  <w:style w:type="paragraph" w:styleId="CommentText">
    <w:name w:val="annotation text"/>
    <w:basedOn w:val="Normal"/>
    <w:link w:val="CommentTextChar"/>
    <w:uiPriority w:val="99"/>
    <w:semiHidden/>
    <w:unhideWhenUsed/>
    <w:rsid w:val="008F5901"/>
  </w:style>
  <w:style w:type="character" w:customStyle="1" w:styleId="CommentTextChar">
    <w:name w:val="Comment Text Char"/>
    <w:basedOn w:val="DefaultParagraphFont"/>
    <w:link w:val="CommentText"/>
    <w:uiPriority w:val="99"/>
    <w:semiHidden/>
    <w:rsid w:val="008F5901"/>
    <w:rPr>
      <w:rFonts w:ascii="Verdana" w:eastAsia="Times" w:hAnsi="Verdana" w:cs="Times New Roman"/>
      <w:sz w:val="20"/>
      <w:szCs w:val="20"/>
    </w:rPr>
  </w:style>
  <w:style w:type="paragraph" w:styleId="CommentSubject">
    <w:name w:val="annotation subject"/>
    <w:aliases w:val=" Car2"/>
    <w:basedOn w:val="CommentText"/>
    <w:next w:val="CommentText"/>
    <w:link w:val="CommentSubjectChar"/>
    <w:uiPriority w:val="99"/>
    <w:semiHidden/>
    <w:unhideWhenUsed/>
    <w:rsid w:val="008F5901"/>
    <w:rPr>
      <w:b/>
      <w:bCs/>
    </w:rPr>
  </w:style>
  <w:style w:type="character" w:customStyle="1" w:styleId="CommentSubjectChar">
    <w:name w:val="Comment Subject Char"/>
    <w:aliases w:val=" Car2 Char"/>
    <w:basedOn w:val="CommentTextChar"/>
    <w:link w:val="CommentSubject"/>
    <w:uiPriority w:val="99"/>
    <w:semiHidden/>
    <w:rsid w:val="008F5901"/>
    <w:rPr>
      <w:rFonts w:ascii="Verdana" w:eastAsia="Times" w:hAnsi="Verdana" w:cs="Times New Roman"/>
      <w:b/>
      <w:bCs/>
      <w:sz w:val="20"/>
      <w:szCs w:val="20"/>
    </w:rPr>
  </w:style>
  <w:style w:type="paragraph" w:customStyle="1" w:styleId="Revisin1">
    <w:name w:val="Revisión1"/>
    <w:hidden/>
    <w:uiPriority w:val="99"/>
    <w:semiHidden/>
    <w:rsid w:val="008F5901"/>
    <w:rPr>
      <w:rFonts w:ascii="Verdana" w:eastAsia="Times" w:hAnsi="Verdana"/>
      <w:lang w:val="es-ES_tradnl" w:eastAsia="en-US"/>
    </w:rPr>
  </w:style>
  <w:style w:type="character" w:styleId="FollowedHyperlink">
    <w:name w:val="FollowedHyperlink"/>
    <w:rsid w:val="008F5901"/>
    <w:rPr>
      <w:color w:val="800080"/>
      <w:u w:val="single"/>
    </w:rPr>
  </w:style>
  <w:style w:type="character" w:customStyle="1" w:styleId="CarCar">
    <w:name w:val="Car Car"/>
    <w:rsid w:val="008F5901"/>
    <w:rPr>
      <w:rFonts w:ascii="Verdana" w:eastAsia="Times" w:hAnsi="Verdana" w:cs="Times New Roman"/>
      <w:sz w:val="20"/>
      <w:szCs w:val="20"/>
      <w:lang w:val="es-ES_tradnl"/>
    </w:rPr>
  </w:style>
  <w:style w:type="paragraph" w:styleId="BlockText">
    <w:name w:val="Block Text"/>
    <w:basedOn w:val="Normal"/>
    <w:rsid w:val="008F5901"/>
    <w:pPr>
      <w:tabs>
        <w:tab w:val="left" w:pos="360"/>
        <w:tab w:val="left" w:pos="540"/>
        <w:tab w:val="num" w:pos="900"/>
        <w:tab w:val="left" w:pos="1260"/>
      </w:tabs>
      <w:ind w:left="1440" w:right="720"/>
      <w:jc w:val="both"/>
    </w:pPr>
    <w:rPr>
      <w:sz w:val="18"/>
    </w:rPr>
  </w:style>
  <w:style w:type="character" w:customStyle="1" w:styleId="apple-converted-space">
    <w:name w:val="apple-converted-space"/>
    <w:basedOn w:val="DefaultParagraphFont"/>
    <w:rsid w:val="008F5901"/>
  </w:style>
  <w:style w:type="character" w:customStyle="1" w:styleId="FootnoteRef">
    <w:name w:val="Footnote Ref"/>
    <w:rsid w:val="008F5901"/>
    <w:rPr>
      <w:vertAlign w:val="superscript"/>
    </w:rPr>
  </w:style>
  <w:style w:type="character" w:customStyle="1" w:styleId="ju-005fpara--char">
    <w:name w:val="ju-005fpara--char"/>
    <w:basedOn w:val="DefaultParagraphFont"/>
    <w:rsid w:val="008F5901"/>
  </w:style>
  <w:style w:type="character" w:customStyle="1" w:styleId="normal--char">
    <w:name w:val="normal--char"/>
    <w:basedOn w:val="DefaultParagraphFont"/>
    <w:rsid w:val="008F5901"/>
  </w:style>
  <w:style w:type="paragraph" w:customStyle="1" w:styleId="Revisin2">
    <w:name w:val="Revisión2"/>
    <w:hidden/>
    <w:uiPriority w:val="99"/>
    <w:semiHidden/>
    <w:rsid w:val="008F5901"/>
    <w:rPr>
      <w:rFonts w:ascii="Verdana" w:eastAsia="Times" w:hAnsi="Verdana"/>
      <w:lang w:val="es-ES_tradnl" w:eastAsia="en-US"/>
    </w:rPr>
  </w:style>
  <w:style w:type="paragraph" w:customStyle="1" w:styleId="Body1">
    <w:name w:val="Body 1"/>
    <w:uiPriority w:val="99"/>
    <w:rsid w:val="008F5901"/>
    <w:pPr>
      <w:outlineLvl w:val="0"/>
    </w:pPr>
    <w:rPr>
      <w:rFonts w:ascii="Times New Roman" w:eastAsia="SimSun" w:hAnsi="Times New Roman"/>
      <w:color w:val="000000"/>
      <w:sz w:val="24"/>
      <w:lang w:val="en-US" w:eastAsia="en-US"/>
    </w:rPr>
  </w:style>
  <w:style w:type="paragraph" w:styleId="ListParagraph">
    <w:name w:val="List Paragraph"/>
    <w:aliases w:val="Footnote"/>
    <w:basedOn w:val="Normal"/>
    <w:link w:val="ListParagraphChar"/>
    <w:uiPriority w:val="34"/>
    <w:qFormat/>
    <w:rsid w:val="008F5901"/>
    <w:pPr>
      <w:ind w:left="720"/>
      <w:jc w:val="both"/>
    </w:pPr>
    <w:rPr>
      <w:rFonts w:eastAsia="Batang"/>
      <w:szCs w:val="24"/>
    </w:rPr>
  </w:style>
  <w:style w:type="character" w:customStyle="1" w:styleId="FootnoteTextCharCharCar">
    <w:name w:val="Footnote Text Char Char Car"/>
    <w:rsid w:val="008F5901"/>
    <w:rPr>
      <w:rFonts w:ascii="Verdana" w:eastAsia="Times" w:hAnsi="Verdana" w:cs="Times New Roman"/>
      <w:sz w:val="16"/>
      <w:szCs w:val="20"/>
      <w:lang w:val="es-ES_tradnl"/>
    </w:rPr>
  </w:style>
  <w:style w:type="character" w:customStyle="1" w:styleId="TextonotapieCarCar">
    <w:name w:val="Texto nota pie Car Car"/>
    <w:basedOn w:val="DefaultParagraphFont"/>
    <w:rsid w:val="000D6143"/>
    <w:rPr>
      <w:rFonts w:ascii="Verdana" w:eastAsia="Times" w:hAnsi="Verdana"/>
      <w:sz w:val="16"/>
      <w:lang w:val="es-ES_tradnl"/>
    </w:rPr>
  </w:style>
  <w:style w:type="character" w:customStyle="1" w:styleId="ListParagraphChar">
    <w:name w:val="List Paragraph Char"/>
    <w:aliases w:val="Footnote Char"/>
    <w:basedOn w:val="DefaultParagraphFont"/>
    <w:link w:val="ListParagraph"/>
    <w:uiPriority w:val="34"/>
    <w:rsid w:val="004644C9"/>
    <w:rPr>
      <w:rFonts w:ascii="Verdana" w:eastAsia="Batang" w:hAnsi="Verdana" w:cs="Times New Roman"/>
      <w:sz w:val="20"/>
    </w:rPr>
  </w:style>
  <w:style w:type="character" w:customStyle="1" w:styleId="Heading3Char">
    <w:name w:val="Heading 3 Char"/>
    <w:basedOn w:val="DefaultParagraphFont"/>
    <w:link w:val="Heading3"/>
    <w:uiPriority w:val="9"/>
    <w:rsid w:val="004B4C7F"/>
    <w:rPr>
      <w:rFonts w:ascii="Verdana" w:eastAsia="Times" w:hAnsi="Verdana"/>
      <w:b/>
      <w:lang w:val="es-ES_tradnl"/>
    </w:rPr>
  </w:style>
  <w:style w:type="character" w:customStyle="1" w:styleId="ListParagraphChar1">
    <w:name w:val="List Paragraph Char1"/>
    <w:basedOn w:val="DefaultParagraphFont"/>
    <w:uiPriority w:val="99"/>
    <w:rsid w:val="00281596"/>
    <w:rPr>
      <w:rFonts w:ascii="Verdana" w:eastAsia="Times New Roman" w:hAnsi="Verdana"/>
      <w:lang w:val="es-ES_tradnl" w:eastAsia="en-US"/>
    </w:rPr>
  </w:style>
  <w:style w:type="paragraph" w:styleId="DocumentMap">
    <w:name w:val="Document Map"/>
    <w:basedOn w:val="Normal"/>
    <w:link w:val="DocumentMapChar"/>
    <w:uiPriority w:val="99"/>
    <w:semiHidden/>
    <w:unhideWhenUsed/>
    <w:rsid w:val="00FC3DC7"/>
    <w:rPr>
      <w:rFonts w:ascii="Tahoma" w:hAnsi="Tahoma" w:cs="Tahoma"/>
      <w:sz w:val="16"/>
      <w:szCs w:val="16"/>
    </w:rPr>
  </w:style>
  <w:style w:type="character" w:customStyle="1" w:styleId="DocumentMapChar">
    <w:name w:val="Document Map Char"/>
    <w:basedOn w:val="DefaultParagraphFont"/>
    <w:link w:val="DocumentMap"/>
    <w:uiPriority w:val="99"/>
    <w:semiHidden/>
    <w:rsid w:val="00FC3DC7"/>
    <w:rPr>
      <w:rFonts w:ascii="Tahoma" w:eastAsia="Times" w:hAnsi="Tahoma" w:cs="Tahoma"/>
      <w:sz w:val="16"/>
      <w:szCs w:val="16"/>
    </w:rPr>
  </w:style>
  <w:style w:type="table" w:customStyle="1" w:styleId="TableGrid1">
    <w:name w:val="Table Grid1"/>
    <w:basedOn w:val="TableNormal"/>
    <w:next w:val="TableGrid"/>
    <w:uiPriority w:val="59"/>
    <w:rsid w:val="00A0113E"/>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3CB3"/>
    <w:pPr>
      <w:autoSpaceDE w:val="0"/>
      <w:autoSpaceDN w:val="0"/>
      <w:adjustRightInd w:val="0"/>
    </w:pPr>
    <w:rPr>
      <w:rFonts w:ascii="Verdana" w:hAnsi="Verdana" w:cs="Verdana"/>
      <w:color w:val="000000"/>
      <w:sz w:val="24"/>
      <w:szCs w:val="24"/>
    </w:rPr>
  </w:style>
  <w:style w:type="paragraph" w:customStyle="1" w:styleId="citaindirecta">
    <w:name w:val="cita indirecta"/>
    <w:basedOn w:val="Normal"/>
    <w:rsid w:val="003E27A2"/>
    <w:pPr>
      <w:ind w:left="708"/>
      <w:jc w:val="both"/>
    </w:pPr>
    <w:rPr>
      <w:rFonts w:eastAsia="Times New Roman"/>
    </w:rPr>
  </w:style>
  <w:style w:type="character" w:styleId="LineNumber">
    <w:name w:val="line number"/>
    <w:basedOn w:val="DefaultParagraphFont"/>
    <w:uiPriority w:val="99"/>
    <w:semiHidden/>
    <w:unhideWhenUsed/>
    <w:rsid w:val="00C92CB2"/>
  </w:style>
  <w:style w:type="paragraph" w:styleId="Revision">
    <w:name w:val="Revision"/>
    <w:hidden/>
    <w:uiPriority w:val="99"/>
    <w:semiHidden/>
    <w:rsid w:val="00F7055F"/>
    <w:rPr>
      <w:rFonts w:ascii="Verdana" w:eastAsia="Times" w:hAnsi="Verdana"/>
      <w:lang w:val="es-ES_tradnl"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F67309"/>
    <w:pPr>
      <w:jc w:val="both"/>
    </w:pPr>
    <w:rPr>
      <w:rFonts w:ascii="Cambria" w:eastAsia="Cambria" w:hAnsi="Cambria"/>
      <w:vertAlign w:val="superscript"/>
      <w:lang w:val="es-CR" w:eastAsia="es-CR"/>
    </w:rPr>
  </w:style>
  <w:style w:type="paragraph" w:customStyle="1" w:styleId="styletitle2">
    <w:name w:val="styletitle2"/>
    <w:basedOn w:val="Normal"/>
    <w:rsid w:val="00F67309"/>
    <w:pPr>
      <w:spacing w:before="100" w:beforeAutospacing="1" w:after="100" w:afterAutospacing="1"/>
    </w:pPr>
    <w:rPr>
      <w:rFonts w:ascii="Times New Roman" w:eastAsia="Times New Roman" w:hAnsi="Times New Roman"/>
      <w:sz w:val="24"/>
      <w:szCs w:val="24"/>
      <w:lang w:val="es-CR" w:eastAsia="es-CR"/>
    </w:rPr>
  </w:style>
  <w:style w:type="character" w:customStyle="1" w:styleId="FAFuCar1">
    <w:name w:val="FA Fu Car1"/>
    <w:aliases w:val="FA Fu Car Car1,FA Fu Car Car Car,FA Fußnotentext Car1"/>
    <w:basedOn w:val="DefaultParagraphFont"/>
    <w:semiHidden/>
    <w:locked/>
    <w:rsid w:val="003C341D"/>
    <w:rPr>
      <w:rFonts w:ascii="MS Mincho" w:eastAsia="MS Mincho" w:hAnsi="MS Mincho"/>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09686">
      <w:bodyDiv w:val="1"/>
      <w:marLeft w:val="0"/>
      <w:marRight w:val="0"/>
      <w:marTop w:val="0"/>
      <w:marBottom w:val="0"/>
      <w:divBdr>
        <w:top w:val="none" w:sz="0" w:space="0" w:color="auto"/>
        <w:left w:val="none" w:sz="0" w:space="0" w:color="auto"/>
        <w:bottom w:val="none" w:sz="0" w:space="0" w:color="auto"/>
        <w:right w:val="none" w:sz="0" w:space="0" w:color="auto"/>
      </w:divBdr>
    </w:div>
    <w:div w:id="184100265">
      <w:bodyDiv w:val="1"/>
      <w:marLeft w:val="0"/>
      <w:marRight w:val="0"/>
      <w:marTop w:val="0"/>
      <w:marBottom w:val="0"/>
      <w:divBdr>
        <w:top w:val="none" w:sz="0" w:space="0" w:color="auto"/>
        <w:left w:val="none" w:sz="0" w:space="0" w:color="auto"/>
        <w:bottom w:val="none" w:sz="0" w:space="0" w:color="auto"/>
        <w:right w:val="none" w:sz="0" w:space="0" w:color="auto"/>
      </w:divBdr>
    </w:div>
    <w:div w:id="291326249">
      <w:bodyDiv w:val="1"/>
      <w:marLeft w:val="0"/>
      <w:marRight w:val="0"/>
      <w:marTop w:val="0"/>
      <w:marBottom w:val="0"/>
      <w:divBdr>
        <w:top w:val="none" w:sz="0" w:space="0" w:color="auto"/>
        <w:left w:val="none" w:sz="0" w:space="0" w:color="auto"/>
        <w:bottom w:val="none" w:sz="0" w:space="0" w:color="auto"/>
        <w:right w:val="none" w:sz="0" w:space="0" w:color="auto"/>
      </w:divBdr>
      <w:divsChild>
        <w:div w:id="1462111410">
          <w:marLeft w:val="0"/>
          <w:marRight w:val="0"/>
          <w:marTop w:val="0"/>
          <w:marBottom w:val="0"/>
          <w:divBdr>
            <w:top w:val="none" w:sz="0" w:space="0" w:color="auto"/>
            <w:left w:val="none" w:sz="0" w:space="0" w:color="auto"/>
            <w:bottom w:val="none" w:sz="0" w:space="0" w:color="auto"/>
            <w:right w:val="none" w:sz="0" w:space="0" w:color="auto"/>
          </w:divBdr>
          <w:divsChild>
            <w:div w:id="31540881">
              <w:marLeft w:val="0"/>
              <w:marRight w:val="0"/>
              <w:marTop w:val="0"/>
              <w:marBottom w:val="0"/>
              <w:divBdr>
                <w:top w:val="none" w:sz="0" w:space="0" w:color="auto"/>
                <w:left w:val="none" w:sz="0" w:space="0" w:color="auto"/>
                <w:bottom w:val="none" w:sz="0" w:space="0" w:color="auto"/>
                <w:right w:val="none" w:sz="0" w:space="0" w:color="auto"/>
              </w:divBdr>
              <w:divsChild>
                <w:div w:id="46415052">
                  <w:marLeft w:val="0"/>
                  <w:marRight w:val="0"/>
                  <w:marTop w:val="0"/>
                  <w:marBottom w:val="0"/>
                  <w:divBdr>
                    <w:top w:val="none" w:sz="0" w:space="0" w:color="auto"/>
                    <w:left w:val="none" w:sz="0" w:space="0" w:color="auto"/>
                    <w:bottom w:val="none" w:sz="0" w:space="0" w:color="auto"/>
                    <w:right w:val="none" w:sz="0" w:space="0" w:color="auto"/>
                  </w:divBdr>
                  <w:divsChild>
                    <w:div w:id="1365449273">
                      <w:marLeft w:val="0"/>
                      <w:marRight w:val="0"/>
                      <w:marTop w:val="0"/>
                      <w:marBottom w:val="0"/>
                      <w:divBdr>
                        <w:top w:val="none" w:sz="0" w:space="0" w:color="auto"/>
                        <w:left w:val="none" w:sz="0" w:space="0" w:color="auto"/>
                        <w:bottom w:val="none" w:sz="0" w:space="0" w:color="auto"/>
                        <w:right w:val="none" w:sz="0" w:space="0" w:color="auto"/>
                      </w:divBdr>
                      <w:divsChild>
                        <w:div w:id="1872035935">
                          <w:marLeft w:val="0"/>
                          <w:marRight w:val="0"/>
                          <w:marTop w:val="0"/>
                          <w:marBottom w:val="0"/>
                          <w:divBdr>
                            <w:top w:val="none" w:sz="0" w:space="0" w:color="auto"/>
                            <w:left w:val="none" w:sz="0" w:space="0" w:color="auto"/>
                            <w:bottom w:val="none" w:sz="0" w:space="0" w:color="auto"/>
                            <w:right w:val="none" w:sz="0" w:space="0" w:color="auto"/>
                          </w:divBdr>
                          <w:divsChild>
                            <w:div w:id="1307784385">
                              <w:marLeft w:val="0"/>
                              <w:marRight w:val="0"/>
                              <w:marTop w:val="0"/>
                              <w:marBottom w:val="0"/>
                              <w:divBdr>
                                <w:top w:val="none" w:sz="0" w:space="0" w:color="auto"/>
                                <w:left w:val="none" w:sz="0" w:space="0" w:color="auto"/>
                                <w:bottom w:val="none" w:sz="0" w:space="0" w:color="auto"/>
                                <w:right w:val="none" w:sz="0" w:space="0" w:color="auto"/>
                              </w:divBdr>
                              <w:divsChild>
                                <w:div w:id="1516578620">
                                  <w:marLeft w:val="0"/>
                                  <w:marRight w:val="0"/>
                                  <w:marTop w:val="0"/>
                                  <w:marBottom w:val="0"/>
                                  <w:divBdr>
                                    <w:top w:val="none" w:sz="0" w:space="0" w:color="auto"/>
                                    <w:left w:val="none" w:sz="0" w:space="0" w:color="auto"/>
                                    <w:bottom w:val="none" w:sz="0" w:space="0" w:color="auto"/>
                                    <w:right w:val="none" w:sz="0" w:space="0" w:color="auto"/>
                                  </w:divBdr>
                                  <w:divsChild>
                                    <w:div w:id="123231014">
                                      <w:marLeft w:val="0"/>
                                      <w:marRight w:val="0"/>
                                      <w:marTop w:val="0"/>
                                      <w:marBottom w:val="0"/>
                                      <w:divBdr>
                                        <w:top w:val="none" w:sz="0" w:space="0" w:color="auto"/>
                                        <w:left w:val="none" w:sz="0" w:space="0" w:color="auto"/>
                                        <w:bottom w:val="none" w:sz="0" w:space="0" w:color="auto"/>
                                        <w:right w:val="none" w:sz="0" w:space="0" w:color="auto"/>
                                      </w:divBdr>
                                      <w:divsChild>
                                        <w:div w:id="881012843">
                                          <w:marLeft w:val="0"/>
                                          <w:marRight w:val="0"/>
                                          <w:marTop w:val="0"/>
                                          <w:marBottom w:val="0"/>
                                          <w:divBdr>
                                            <w:top w:val="none" w:sz="0" w:space="0" w:color="auto"/>
                                            <w:left w:val="none" w:sz="0" w:space="0" w:color="auto"/>
                                            <w:bottom w:val="none" w:sz="0" w:space="0" w:color="auto"/>
                                            <w:right w:val="none" w:sz="0" w:space="0" w:color="auto"/>
                                          </w:divBdr>
                                          <w:divsChild>
                                            <w:div w:id="747725115">
                                              <w:marLeft w:val="0"/>
                                              <w:marRight w:val="0"/>
                                              <w:marTop w:val="0"/>
                                              <w:marBottom w:val="0"/>
                                              <w:divBdr>
                                                <w:top w:val="none" w:sz="0" w:space="0" w:color="auto"/>
                                                <w:left w:val="none" w:sz="0" w:space="0" w:color="auto"/>
                                                <w:bottom w:val="none" w:sz="0" w:space="0" w:color="auto"/>
                                                <w:right w:val="none" w:sz="0" w:space="0" w:color="auto"/>
                                              </w:divBdr>
                                              <w:divsChild>
                                                <w:div w:id="1199471272">
                                                  <w:marLeft w:val="0"/>
                                                  <w:marRight w:val="0"/>
                                                  <w:marTop w:val="0"/>
                                                  <w:marBottom w:val="0"/>
                                                  <w:divBdr>
                                                    <w:top w:val="none" w:sz="0" w:space="0" w:color="auto"/>
                                                    <w:left w:val="none" w:sz="0" w:space="0" w:color="auto"/>
                                                    <w:bottom w:val="none" w:sz="0" w:space="0" w:color="auto"/>
                                                    <w:right w:val="none" w:sz="0" w:space="0" w:color="auto"/>
                                                  </w:divBdr>
                                                  <w:divsChild>
                                                    <w:div w:id="16742327">
                                                      <w:marLeft w:val="0"/>
                                                      <w:marRight w:val="0"/>
                                                      <w:marTop w:val="0"/>
                                                      <w:marBottom w:val="0"/>
                                                      <w:divBdr>
                                                        <w:top w:val="none" w:sz="0" w:space="0" w:color="auto"/>
                                                        <w:left w:val="none" w:sz="0" w:space="0" w:color="auto"/>
                                                        <w:bottom w:val="none" w:sz="0" w:space="0" w:color="auto"/>
                                                        <w:right w:val="none" w:sz="0" w:space="0" w:color="auto"/>
                                                      </w:divBdr>
                                                      <w:divsChild>
                                                        <w:div w:id="1180579046">
                                                          <w:marLeft w:val="0"/>
                                                          <w:marRight w:val="0"/>
                                                          <w:marTop w:val="0"/>
                                                          <w:marBottom w:val="376"/>
                                                          <w:divBdr>
                                                            <w:top w:val="none" w:sz="0" w:space="0" w:color="auto"/>
                                                            <w:left w:val="none" w:sz="0" w:space="0" w:color="auto"/>
                                                            <w:bottom w:val="none" w:sz="0" w:space="0" w:color="auto"/>
                                                            <w:right w:val="none" w:sz="0" w:space="0" w:color="auto"/>
                                                          </w:divBdr>
                                                          <w:divsChild>
                                                            <w:div w:id="736591012">
                                                              <w:marLeft w:val="0"/>
                                                              <w:marRight w:val="0"/>
                                                              <w:marTop w:val="0"/>
                                                              <w:marBottom w:val="0"/>
                                                              <w:divBdr>
                                                                <w:top w:val="none" w:sz="0" w:space="0" w:color="auto"/>
                                                                <w:left w:val="none" w:sz="0" w:space="0" w:color="auto"/>
                                                                <w:bottom w:val="none" w:sz="0" w:space="0" w:color="auto"/>
                                                                <w:right w:val="none" w:sz="0" w:space="0" w:color="auto"/>
                                                              </w:divBdr>
                                                              <w:divsChild>
                                                                <w:div w:id="858349399">
                                                                  <w:marLeft w:val="0"/>
                                                                  <w:marRight w:val="0"/>
                                                                  <w:marTop w:val="0"/>
                                                                  <w:marBottom w:val="0"/>
                                                                  <w:divBdr>
                                                                    <w:top w:val="none" w:sz="0" w:space="0" w:color="auto"/>
                                                                    <w:left w:val="none" w:sz="0" w:space="0" w:color="auto"/>
                                                                    <w:bottom w:val="none" w:sz="0" w:space="0" w:color="auto"/>
                                                                    <w:right w:val="none" w:sz="0" w:space="0" w:color="auto"/>
                                                                  </w:divBdr>
                                                                  <w:divsChild>
                                                                    <w:div w:id="2091661387">
                                                                      <w:marLeft w:val="0"/>
                                                                      <w:marRight w:val="0"/>
                                                                      <w:marTop w:val="0"/>
                                                                      <w:marBottom w:val="0"/>
                                                                      <w:divBdr>
                                                                        <w:top w:val="none" w:sz="0" w:space="0" w:color="auto"/>
                                                                        <w:left w:val="none" w:sz="0" w:space="0" w:color="auto"/>
                                                                        <w:bottom w:val="none" w:sz="0" w:space="0" w:color="auto"/>
                                                                        <w:right w:val="none" w:sz="0" w:space="0" w:color="auto"/>
                                                                      </w:divBdr>
                                                                      <w:divsChild>
                                                                        <w:div w:id="16117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631441">
      <w:bodyDiv w:val="1"/>
      <w:marLeft w:val="0"/>
      <w:marRight w:val="0"/>
      <w:marTop w:val="0"/>
      <w:marBottom w:val="0"/>
      <w:divBdr>
        <w:top w:val="none" w:sz="0" w:space="0" w:color="auto"/>
        <w:left w:val="none" w:sz="0" w:space="0" w:color="auto"/>
        <w:bottom w:val="none" w:sz="0" w:space="0" w:color="auto"/>
        <w:right w:val="none" w:sz="0" w:space="0" w:color="auto"/>
      </w:divBdr>
    </w:div>
    <w:div w:id="777289558">
      <w:bodyDiv w:val="1"/>
      <w:marLeft w:val="0"/>
      <w:marRight w:val="0"/>
      <w:marTop w:val="0"/>
      <w:marBottom w:val="0"/>
      <w:divBdr>
        <w:top w:val="none" w:sz="0" w:space="0" w:color="auto"/>
        <w:left w:val="none" w:sz="0" w:space="0" w:color="auto"/>
        <w:bottom w:val="none" w:sz="0" w:space="0" w:color="auto"/>
        <w:right w:val="none" w:sz="0" w:space="0" w:color="auto"/>
      </w:divBdr>
    </w:div>
    <w:div w:id="882710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4F1DD-2988-496E-9CC8-494E2657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4665</Words>
  <Characters>25663</Characters>
  <Application>Microsoft Office Word</Application>
  <DocSecurity>4</DocSecurity>
  <Lines>213</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CorteIDH</Company>
  <LinksUpToDate>false</LinksUpToDate>
  <CharactersWithSpaces>30268</CharactersWithSpaces>
  <SharedDoc>false</SharedDoc>
  <HLinks>
    <vt:vector size="6" baseType="variant">
      <vt:variant>
        <vt:i4>3211380</vt:i4>
      </vt:variant>
      <vt:variant>
        <vt:i4>0</vt:i4>
      </vt:variant>
      <vt:variant>
        <vt:i4>0</vt:i4>
      </vt:variant>
      <vt:variant>
        <vt:i4>5</vt:i4>
      </vt:variant>
      <vt:variant>
        <vt:lpwstr>http://joomla.corteidh.or.cr:8080/joomla/es/jurisprudencia-oc/38-jurisprudencia/896-corte-idh-caso-escher-y-otros-vs-brasil-interpretacion-de-la-sentencia-de-excepciones-preliminares-fondo-reparaciones-y-costas-sentencia-de-20-de-noviembre-de-2009-serie-c-no-208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2</cp:revision>
  <cp:lastPrinted>2017-06-08T17:24:00Z</cp:lastPrinted>
  <dcterms:created xsi:type="dcterms:W3CDTF">2017-06-08T22:12:00Z</dcterms:created>
  <dcterms:modified xsi:type="dcterms:W3CDTF">2017-06-08T22:12:00Z</dcterms:modified>
</cp:coreProperties>
</file>