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AA30" w14:textId="77777777" w:rsidR="006F79F4" w:rsidRPr="00F83E8F" w:rsidRDefault="006F79F4" w:rsidP="00F83E8F">
      <w:pPr>
        <w:rPr>
          <w:rFonts w:ascii="Verdana" w:hAnsi="Verdana"/>
          <w:b/>
          <w:sz w:val="20"/>
          <w:szCs w:val="20"/>
          <w:lang w:val="en-US"/>
        </w:rPr>
      </w:pPr>
    </w:p>
    <w:p w14:paraId="54BCD8A0" w14:textId="77777777" w:rsidR="006F79F4" w:rsidRPr="00F83E8F" w:rsidRDefault="006F79F4" w:rsidP="00F83E8F">
      <w:pPr>
        <w:rPr>
          <w:rFonts w:ascii="Verdana" w:hAnsi="Verdana"/>
          <w:b/>
          <w:sz w:val="20"/>
          <w:szCs w:val="20"/>
          <w:lang w:val="en-US"/>
        </w:rPr>
      </w:pPr>
    </w:p>
    <w:p w14:paraId="6BCF4C43" w14:textId="77777777" w:rsidR="006F79F4" w:rsidRPr="00CD6059" w:rsidRDefault="006F79F4" w:rsidP="006F79F4">
      <w:pPr>
        <w:jc w:val="center"/>
        <w:rPr>
          <w:rFonts w:ascii="Verdana" w:hAnsi="Verdana"/>
          <w:b/>
          <w:sz w:val="20"/>
          <w:szCs w:val="20"/>
        </w:rPr>
      </w:pPr>
      <w:r w:rsidRPr="00CD6059">
        <w:rPr>
          <w:rFonts w:ascii="Verdana" w:hAnsi="Verdana"/>
          <w:b/>
          <w:sz w:val="20"/>
          <w:szCs w:val="20"/>
        </w:rPr>
        <w:t>CORTE INTERAMERICANA DE DERECHOS HUMANOS</w:t>
      </w:r>
    </w:p>
    <w:p w14:paraId="0AAD93E3" w14:textId="77777777" w:rsidR="006F79F4" w:rsidRPr="00CD6059" w:rsidRDefault="006F79F4" w:rsidP="006F79F4">
      <w:pPr>
        <w:rPr>
          <w:rFonts w:ascii="Verdana" w:hAnsi="Verdana"/>
          <w:b/>
          <w:sz w:val="20"/>
          <w:szCs w:val="20"/>
        </w:rPr>
      </w:pPr>
    </w:p>
    <w:p w14:paraId="400F345F" w14:textId="77777777" w:rsidR="006F79F4" w:rsidRPr="00CD6059" w:rsidRDefault="006F79F4" w:rsidP="006F79F4">
      <w:pPr>
        <w:tabs>
          <w:tab w:val="left" w:pos="851"/>
          <w:tab w:val="left" w:pos="1701"/>
          <w:tab w:val="left" w:pos="3544"/>
          <w:tab w:val="left" w:pos="3696"/>
        </w:tabs>
        <w:jc w:val="center"/>
        <w:rPr>
          <w:rFonts w:ascii="Verdana" w:hAnsi="Verdana"/>
          <w:b/>
          <w:sz w:val="20"/>
          <w:szCs w:val="20"/>
        </w:rPr>
      </w:pPr>
      <w:r w:rsidRPr="00CD6059">
        <w:rPr>
          <w:rFonts w:ascii="Verdana" w:hAnsi="Verdana"/>
          <w:b/>
          <w:sz w:val="20"/>
          <w:szCs w:val="20"/>
        </w:rPr>
        <w:t xml:space="preserve">CASO </w:t>
      </w:r>
      <w:r>
        <w:rPr>
          <w:rFonts w:ascii="Verdana" w:hAnsi="Verdana"/>
          <w:b/>
          <w:sz w:val="20"/>
          <w:szCs w:val="20"/>
        </w:rPr>
        <w:t xml:space="preserve">LAGOS DEL CAMPO </w:t>
      </w:r>
      <w:r w:rsidRPr="00CD6059">
        <w:rPr>
          <w:rFonts w:ascii="Verdana" w:hAnsi="Verdana"/>
          <w:b/>
          <w:i/>
          <w:sz w:val="20"/>
          <w:szCs w:val="20"/>
        </w:rPr>
        <w:t>VS</w:t>
      </w:r>
      <w:r w:rsidRPr="00CD6059">
        <w:rPr>
          <w:rFonts w:ascii="Verdana" w:hAnsi="Verdana"/>
          <w:b/>
          <w:sz w:val="20"/>
          <w:szCs w:val="20"/>
        </w:rPr>
        <w:t>.</w:t>
      </w:r>
      <w:r w:rsidRPr="00CD6059">
        <w:rPr>
          <w:rFonts w:ascii="Verdana" w:hAnsi="Verdana"/>
          <w:b/>
          <w:i/>
          <w:sz w:val="20"/>
          <w:szCs w:val="20"/>
        </w:rPr>
        <w:t xml:space="preserve"> </w:t>
      </w:r>
      <w:r w:rsidRPr="00CD6059">
        <w:rPr>
          <w:rFonts w:ascii="Verdana" w:hAnsi="Verdana"/>
          <w:b/>
          <w:sz w:val="20"/>
          <w:szCs w:val="20"/>
        </w:rPr>
        <w:t>PERÚ</w:t>
      </w:r>
    </w:p>
    <w:p w14:paraId="2258F03D" w14:textId="77777777" w:rsidR="006F79F4" w:rsidRPr="00CD6059" w:rsidRDefault="006F79F4" w:rsidP="006F79F4">
      <w:pPr>
        <w:tabs>
          <w:tab w:val="left" w:pos="5580"/>
          <w:tab w:val="left" w:pos="6750"/>
        </w:tabs>
        <w:jc w:val="center"/>
        <w:rPr>
          <w:rFonts w:ascii="Verdana" w:hAnsi="Verdana"/>
          <w:b/>
          <w:sz w:val="20"/>
          <w:szCs w:val="20"/>
        </w:rPr>
      </w:pPr>
    </w:p>
    <w:p w14:paraId="490511D3" w14:textId="4C7A92B6" w:rsidR="006F79F4" w:rsidRPr="00CD6059" w:rsidRDefault="006F79F4" w:rsidP="006F79F4">
      <w:pPr>
        <w:jc w:val="center"/>
        <w:rPr>
          <w:rFonts w:ascii="Verdana" w:hAnsi="Verdana"/>
          <w:b/>
          <w:sz w:val="20"/>
          <w:szCs w:val="20"/>
        </w:rPr>
      </w:pPr>
      <w:r w:rsidRPr="00B06027">
        <w:rPr>
          <w:rFonts w:ascii="Verdana" w:hAnsi="Verdana"/>
          <w:b/>
          <w:sz w:val="20"/>
          <w:szCs w:val="20"/>
        </w:rPr>
        <w:t xml:space="preserve">SENTENCIA DE </w:t>
      </w:r>
      <w:r w:rsidR="005F3BC6" w:rsidRPr="00B06027">
        <w:rPr>
          <w:rFonts w:ascii="Verdana" w:hAnsi="Verdana"/>
          <w:b/>
          <w:sz w:val="20"/>
          <w:szCs w:val="20"/>
        </w:rPr>
        <w:t>31</w:t>
      </w:r>
      <w:r w:rsidRPr="00B06027">
        <w:rPr>
          <w:rFonts w:ascii="Verdana" w:hAnsi="Verdana"/>
          <w:b/>
          <w:sz w:val="20"/>
          <w:szCs w:val="20"/>
        </w:rPr>
        <w:t xml:space="preserve"> DE </w:t>
      </w:r>
      <w:r w:rsidR="00F5146C" w:rsidRPr="00B06027">
        <w:rPr>
          <w:rFonts w:ascii="Verdana" w:hAnsi="Verdana"/>
          <w:b/>
          <w:sz w:val="20"/>
          <w:szCs w:val="20"/>
        </w:rPr>
        <w:t xml:space="preserve">AGOSTO </w:t>
      </w:r>
      <w:r w:rsidRPr="00B06027">
        <w:rPr>
          <w:rFonts w:ascii="Verdana" w:hAnsi="Verdana"/>
          <w:b/>
          <w:sz w:val="20"/>
          <w:szCs w:val="20"/>
        </w:rPr>
        <w:t>DE 2017</w:t>
      </w:r>
    </w:p>
    <w:p w14:paraId="6289B84C" w14:textId="77777777" w:rsidR="006F79F4" w:rsidRPr="00CD6059" w:rsidRDefault="006F79F4" w:rsidP="006F79F4">
      <w:pPr>
        <w:jc w:val="center"/>
        <w:rPr>
          <w:rFonts w:ascii="Verdana" w:hAnsi="Verdana"/>
          <w:b/>
          <w:sz w:val="20"/>
          <w:szCs w:val="20"/>
        </w:rPr>
      </w:pPr>
      <w:r>
        <w:rPr>
          <w:rFonts w:ascii="Verdana" w:hAnsi="Verdana"/>
          <w:b/>
          <w:sz w:val="20"/>
          <w:szCs w:val="20"/>
        </w:rPr>
        <w:t xml:space="preserve"> </w:t>
      </w:r>
    </w:p>
    <w:p w14:paraId="587023FC" w14:textId="77777777" w:rsidR="006F79F4" w:rsidRPr="00CD6059" w:rsidRDefault="006F79F4" w:rsidP="006F79F4">
      <w:pPr>
        <w:jc w:val="center"/>
        <w:rPr>
          <w:rFonts w:ascii="Verdana" w:hAnsi="Verdana"/>
          <w:b/>
          <w:i/>
          <w:sz w:val="20"/>
          <w:szCs w:val="20"/>
        </w:rPr>
      </w:pPr>
      <w:r w:rsidRPr="00CD6059">
        <w:rPr>
          <w:rFonts w:ascii="Verdana" w:hAnsi="Verdana"/>
          <w:b/>
          <w:i/>
          <w:sz w:val="20"/>
          <w:szCs w:val="20"/>
        </w:rPr>
        <w:t>(Excepciones Preliminares, Fondo, Reparaciones y Costas)</w:t>
      </w:r>
    </w:p>
    <w:p w14:paraId="6121555C" w14:textId="77777777" w:rsidR="006F79F4" w:rsidRPr="00CD6059" w:rsidRDefault="006F79F4" w:rsidP="006F79F4">
      <w:pPr>
        <w:jc w:val="both"/>
        <w:rPr>
          <w:rFonts w:ascii="Verdana" w:hAnsi="Verdana"/>
          <w:sz w:val="20"/>
          <w:szCs w:val="20"/>
        </w:rPr>
      </w:pPr>
    </w:p>
    <w:p w14:paraId="56D489F4" w14:textId="77777777" w:rsidR="006F79F4" w:rsidRPr="00CD6059" w:rsidRDefault="006F79F4" w:rsidP="006F79F4">
      <w:pPr>
        <w:jc w:val="both"/>
        <w:rPr>
          <w:rFonts w:ascii="Verdana" w:hAnsi="Verdana"/>
          <w:sz w:val="20"/>
          <w:szCs w:val="20"/>
        </w:rPr>
      </w:pPr>
    </w:p>
    <w:p w14:paraId="32BD462F" w14:textId="77777777" w:rsidR="006F79F4" w:rsidRPr="00CD6059" w:rsidRDefault="006F79F4" w:rsidP="006F79F4">
      <w:pPr>
        <w:jc w:val="both"/>
        <w:rPr>
          <w:rFonts w:ascii="Verdana" w:hAnsi="Verdana"/>
          <w:sz w:val="20"/>
          <w:szCs w:val="20"/>
        </w:rPr>
      </w:pPr>
    </w:p>
    <w:p w14:paraId="223A4C2C" w14:textId="77777777" w:rsidR="006F79F4" w:rsidRPr="00CD6059" w:rsidRDefault="006F79F4" w:rsidP="006F79F4">
      <w:pPr>
        <w:ind w:left="1440" w:hanging="1440"/>
        <w:jc w:val="both"/>
        <w:rPr>
          <w:rFonts w:ascii="Verdana" w:hAnsi="Verdana"/>
          <w:sz w:val="20"/>
          <w:szCs w:val="20"/>
        </w:rPr>
      </w:pPr>
      <w:r w:rsidRPr="00CD6059">
        <w:rPr>
          <w:rFonts w:ascii="Verdana" w:hAnsi="Verdana"/>
          <w:sz w:val="20"/>
          <w:szCs w:val="20"/>
        </w:rPr>
        <w:t xml:space="preserve">En el caso </w:t>
      </w:r>
      <w:r w:rsidRPr="00162701">
        <w:rPr>
          <w:rFonts w:ascii="Verdana" w:hAnsi="Verdana"/>
          <w:i/>
          <w:sz w:val="20"/>
          <w:szCs w:val="20"/>
        </w:rPr>
        <w:t>Lagos del Campo</w:t>
      </w:r>
      <w:r w:rsidRPr="00CD6059">
        <w:rPr>
          <w:rFonts w:ascii="Verdana" w:hAnsi="Verdana"/>
          <w:sz w:val="20"/>
          <w:szCs w:val="20"/>
        </w:rPr>
        <w:t>,</w:t>
      </w:r>
    </w:p>
    <w:p w14:paraId="3188F852" w14:textId="77777777" w:rsidR="006F79F4" w:rsidRPr="00CD6059" w:rsidRDefault="006F79F4" w:rsidP="006F79F4">
      <w:pPr>
        <w:jc w:val="both"/>
        <w:rPr>
          <w:rFonts w:ascii="Verdana" w:hAnsi="Verdana"/>
          <w:sz w:val="20"/>
          <w:szCs w:val="20"/>
        </w:rPr>
      </w:pPr>
    </w:p>
    <w:p w14:paraId="6EAB2E70" w14:textId="45E63101" w:rsidR="006F79F4" w:rsidRPr="00CD6059" w:rsidRDefault="006F79F4" w:rsidP="006F79F4">
      <w:pPr>
        <w:jc w:val="both"/>
        <w:rPr>
          <w:rFonts w:ascii="Verdana" w:hAnsi="Verdana"/>
          <w:sz w:val="20"/>
          <w:szCs w:val="20"/>
        </w:rPr>
      </w:pPr>
      <w:proofErr w:type="gramStart"/>
      <w:r w:rsidRPr="00CD6059">
        <w:rPr>
          <w:rFonts w:ascii="Verdana" w:hAnsi="Verdana"/>
          <w:sz w:val="20"/>
          <w:szCs w:val="20"/>
        </w:rPr>
        <w:t>la</w:t>
      </w:r>
      <w:proofErr w:type="gramEnd"/>
      <w:r w:rsidRPr="00CD6059">
        <w:rPr>
          <w:rFonts w:ascii="Verdana" w:hAnsi="Verdana"/>
          <w:sz w:val="20"/>
          <w:szCs w:val="20"/>
        </w:rPr>
        <w:t xml:space="preserve"> Corte Interamericana de Derechos Humanos (en adelante “la Corte Interamericana”, “la Corte” o “el Tribunal”), integrada por los siguientes </w:t>
      </w:r>
      <w:r w:rsidR="009E49BF">
        <w:rPr>
          <w:rFonts w:ascii="Verdana" w:hAnsi="Verdana"/>
          <w:sz w:val="20"/>
          <w:szCs w:val="20"/>
        </w:rPr>
        <w:t>j</w:t>
      </w:r>
      <w:r w:rsidRPr="00CD6059">
        <w:rPr>
          <w:rFonts w:ascii="Verdana" w:hAnsi="Verdana"/>
          <w:sz w:val="20"/>
          <w:szCs w:val="20"/>
        </w:rPr>
        <w:t>ueces:</w:t>
      </w:r>
    </w:p>
    <w:p w14:paraId="382177EC" w14:textId="77777777" w:rsidR="006F79F4" w:rsidRPr="00CD6059" w:rsidRDefault="006F79F4" w:rsidP="006F79F4">
      <w:pPr>
        <w:jc w:val="both"/>
        <w:rPr>
          <w:rFonts w:ascii="Verdana" w:hAnsi="Verdana"/>
          <w:sz w:val="20"/>
          <w:szCs w:val="20"/>
        </w:rPr>
      </w:pPr>
    </w:p>
    <w:p w14:paraId="77026E86" w14:textId="77777777" w:rsidR="006F79F4" w:rsidRPr="00CD6059" w:rsidRDefault="006F79F4" w:rsidP="006F79F4">
      <w:pPr>
        <w:jc w:val="both"/>
        <w:rPr>
          <w:rFonts w:ascii="Verdana" w:hAnsi="Verdana"/>
          <w:sz w:val="20"/>
          <w:szCs w:val="20"/>
          <w:lang w:val="pt-BR"/>
        </w:rPr>
      </w:pPr>
      <w:r w:rsidRPr="00CD6059">
        <w:rPr>
          <w:rFonts w:ascii="Verdana" w:hAnsi="Verdana"/>
          <w:sz w:val="20"/>
          <w:szCs w:val="20"/>
          <w:lang w:val="pt-BR"/>
        </w:rPr>
        <w:t>Roberto F. Caldas, Presidente;</w:t>
      </w:r>
    </w:p>
    <w:p w14:paraId="33570A0F" w14:textId="77777777" w:rsidR="006F79F4" w:rsidRPr="00CD6059" w:rsidRDefault="006F79F4" w:rsidP="006F79F4">
      <w:pPr>
        <w:jc w:val="both"/>
        <w:rPr>
          <w:rFonts w:ascii="Verdana" w:hAnsi="Verdana"/>
          <w:sz w:val="20"/>
          <w:szCs w:val="20"/>
          <w:lang w:val="pt-BR"/>
        </w:rPr>
      </w:pPr>
      <w:r w:rsidRPr="00CD6059">
        <w:rPr>
          <w:rFonts w:ascii="Verdana" w:hAnsi="Verdana"/>
          <w:sz w:val="20"/>
          <w:szCs w:val="20"/>
          <w:lang w:val="pt-BR"/>
        </w:rPr>
        <w:t xml:space="preserve">Eduardo Ferrer </w:t>
      </w:r>
      <w:r w:rsidRPr="0076651B">
        <w:rPr>
          <w:rFonts w:ascii="Verdana" w:hAnsi="Verdana"/>
          <w:sz w:val="20"/>
          <w:szCs w:val="20"/>
          <w:lang w:val="pt-BR"/>
        </w:rPr>
        <w:t>Mac-Gregor</w:t>
      </w:r>
      <w:r w:rsidRPr="00CD6059">
        <w:rPr>
          <w:rFonts w:ascii="Verdana" w:hAnsi="Verdana"/>
          <w:sz w:val="20"/>
          <w:szCs w:val="20"/>
          <w:lang w:val="pt-BR"/>
        </w:rPr>
        <w:t xml:space="preserve"> Poisot, Vicepresidente;</w:t>
      </w:r>
    </w:p>
    <w:p w14:paraId="2D29B333" w14:textId="77777777" w:rsidR="006F79F4" w:rsidRPr="00CD6059" w:rsidRDefault="006F79F4" w:rsidP="006F79F4">
      <w:pPr>
        <w:jc w:val="both"/>
        <w:rPr>
          <w:rFonts w:ascii="Verdana" w:hAnsi="Verdana"/>
          <w:sz w:val="20"/>
          <w:szCs w:val="20"/>
          <w:lang w:val="es-CR"/>
        </w:rPr>
      </w:pPr>
      <w:r w:rsidRPr="00CD6059">
        <w:rPr>
          <w:rFonts w:ascii="Verdana" w:hAnsi="Verdana"/>
          <w:sz w:val="20"/>
          <w:szCs w:val="20"/>
          <w:lang w:val="es-CR"/>
        </w:rPr>
        <w:t>Eduardo Vio Grossi, Juez;</w:t>
      </w:r>
    </w:p>
    <w:p w14:paraId="33CC6586" w14:textId="77777777" w:rsidR="006F79F4" w:rsidRPr="00CD6059" w:rsidRDefault="006F79F4" w:rsidP="006F79F4">
      <w:pPr>
        <w:jc w:val="both"/>
        <w:rPr>
          <w:rFonts w:ascii="Verdana" w:hAnsi="Verdana"/>
          <w:sz w:val="20"/>
          <w:szCs w:val="20"/>
          <w:lang w:val="es-CR"/>
        </w:rPr>
      </w:pPr>
      <w:r w:rsidRPr="00CD6059">
        <w:rPr>
          <w:rFonts w:ascii="Verdana" w:hAnsi="Verdana"/>
          <w:sz w:val="20"/>
          <w:szCs w:val="20"/>
          <w:lang w:val="es-CR"/>
        </w:rPr>
        <w:t>Humberto Antonio Sierra Porto, Juez;</w:t>
      </w:r>
    </w:p>
    <w:p w14:paraId="435F8FC9" w14:textId="77777777" w:rsidR="006F79F4" w:rsidRPr="00CD6059" w:rsidRDefault="006F79F4" w:rsidP="006F79F4">
      <w:pPr>
        <w:jc w:val="both"/>
        <w:rPr>
          <w:rFonts w:ascii="Verdana" w:hAnsi="Verdana"/>
          <w:sz w:val="20"/>
          <w:szCs w:val="20"/>
          <w:lang w:val="es-CR"/>
        </w:rPr>
      </w:pPr>
      <w:r w:rsidRPr="00CD6059">
        <w:rPr>
          <w:rFonts w:ascii="Verdana" w:hAnsi="Verdana"/>
          <w:sz w:val="20"/>
          <w:szCs w:val="20"/>
          <w:lang w:val="es-CR"/>
        </w:rPr>
        <w:t>Elizabeth Odio</w:t>
      </w:r>
      <w:r>
        <w:rPr>
          <w:rFonts w:ascii="Verdana" w:hAnsi="Verdana"/>
          <w:sz w:val="20"/>
          <w:szCs w:val="20"/>
          <w:lang w:val="es-CR"/>
        </w:rPr>
        <w:t xml:space="preserve"> </w:t>
      </w:r>
      <w:r w:rsidRPr="00CD6059">
        <w:rPr>
          <w:rFonts w:ascii="Verdana" w:hAnsi="Verdana"/>
          <w:sz w:val="20"/>
          <w:szCs w:val="20"/>
          <w:lang w:val="es-CR"/>
        </w:rPr>
        <w:t>Benito, Juez</w:t>
      </w:r>
      <w:r>
        <w:rPr>
          <w:rFonts w:ascii="Verdana" w:hAnsi="Verdana"/>
          <w:sz w:val="20"/>
          <w:szCs w:val="20"/>
          <w:lang w:val="es-CR"/>
        </w:rPr>
        <w:t>a</w:t>
      </w:r>
      <w:r w:rsidRPr="00CD6059">
        <w:rPr>
          <w:rFonts w:ascii="Verdana" w:hAnsi="Verdana"/>
          <w:sz w:val="20"/>
          <w:szCs w:val="20"/>
          <w:lang w:val="es-CR"/>
        </w:rPr>
        <w:t>;</w:t>
      </w:r>
    </w:p>
    <w:p w14:paraId="441BDE26" w14:textId="77777777" w:rsidR="006F79F4" w:rsidRPr="00CD6059" w:rsidRDefault="006F79F4" w:rsidP="006F79F4">
      <w:pPr>
        <w:jc w:val="both"/>
        <w:rPr>
          <w:rFonts w:ascii="Verdana" w:hAnsi="Verdana"/>
          <w:sz w:val="20"/>
          <w:szCs w:val="20"/>
          <w:lang w:val="es-CR"/>
        </w:rPr>
      </w:pPr>
      <w:r w:rsidRPr="00CD6059">
        <w:rPr>
          <w:rFonts w:ascii="Verdana" w:hAnsi="Verdana"/>
          <w:sz w:val="20"/>
          <w:szCs w:val="20"/>
          <w:lang w:val="es-CR"/>
        </w:rPr>
        <w:t xml:space="preserve">Eugenio Raúl </w:t>
      </w:r>
      <w:proofErr w:type="spellStart"/>
      <w:r w:rsidRPr="00CD6059">
        <w:rPr>
          <w:rFonts w:ascii="Verdana" w:hAnsi="Verdana"/>
          <w:sz w:val="20"/>
          <w:szCs w:val="20"/>
          <w:lang w:val="es-CR"/>
        </w:rPr>
        <w:t>Zaffaroni</w:t>
      </w:r>
      <w:proofErr w:type="spellEnd"/>
      <w:r w:rsidRPr="00CD6059">
        <w:rPr>
          <w:rFonts w:ascii="Verdana" w:hAnsi="Verdana"/>
          <w:sz w:val="20"/>
          <w:szCs w:val="20"/>
          <w:lang w:val="es-CR"/>
        </w:rPr>
        <w:t>, Juez, y</w:t>
      </w:r>
    </w:p>
    <w:p w14:paraId="7C262042" w14:textId="77777777" w:rsidR="006F79F4" w:rsidRPr="00CD6059" w:rsidRDefault="006F79F4" w:rsidP="006F79F4">
      <w:pPr>
        <w:jc w:val="both"/>
        <w:rPr>
          <w:rFonts w:ascii="Verdana" w:hAnsi="Verdana"/>
          <w:sz w:val="20"/>
          <w:szCs w:val="20"/>
          <w:lang w:val="es-CR"/>
        </w:rPr>
      </w:pPr>
      <w:r w:rsidRPr="00CD6059">
        <w:rPr>
          <w:rFonts w:ascii="Verdana" w:hAnsi="Verdana"/>
          <w:sz w:val="20"/>
          <w:szCs w:val="20"/>
          <w:lang w:val="es-CR"/>
        </w:rPr>
        <w:t>Patricio Pazmiño Freire, Juez,</w:t>
      </w:r>
    </w:p>
    <w:p w14:paraId="5DB0769E" w14:textId="77777777" w:rsidR="006F79F4" w:rsidRPr="00CD6059" w:rsidRDefault="006F79F4" w:rsidP="006F79F4">
      <w:pPr>
        <w:jc w:val="both"/>
        <w:rPr>
          <w:rFonts w:ascii="Verdana" w:hAnsi="Verdana"/>
          <w:sz w:val="20"/>
          <w:szCs w:val="20"/>
          <w:lang w:val="es-CR"/>
        </w:rPr>
      </w:pPr>
    </w:p>
    <w:p w14:paraId="55C361CA" w14:textId="77777777" w:rsidR="006F79F4" w:rsidRPr="00CD6059" w:rsidRDefault="006F79F4" w:rsidP="006F79F4">
      <w:pPr>
        <w:jc w:val="both"/>
        <w:rPr>
          <w:rFonts w:ascii="Verdana" w:hAnsi="Verdana"/>
          <w:sz w:val="20"/>
          <w:szCs w:val="20"/>
          <w:lang w:val="es-CR"/>
        </w:rPr>
      </w:pPr>
      <w:proofErr w:type="gramStart"/>
      <w:r w:rsidRPr="00CD6059">
        <w:rPr>
          <w:rFonts w:ascii="Verdana" w:hAnsi="Verdana"/>
          <w:sz w:val="20"/>
          <w:szCs w:val="20"/>
          <w:lang w:val="es-CR"/>
        </w:rPr>
        <w:t>presentes</w:t>
      </w:r>
      <w:proofErr w:type="gramEnd"/>
      <w:r w:rsidRPr="00CD6059">
        <w:rPr>
          <w:rFonts w:ascii="Verdana" w:hAnsi="Verdana"/>
          <w:sz w:val="20"/>
          <w:szCs w:val="20"/>
          <w:lang w:val="es-CR"/>
        </w:rPr>
        <w:t xml:space="preserve"> además, </w:t>
      </w:r>
    </w:p>
    <w:p w14:paraId="438B6CC8" w14:textId="77777777" w:rsidR="006F79F4" w:rsidRPr="00CD6059" w:rsidRDefault="006F79F4" w:rsidP="006F79F4">
      <w:pPr>
        <w:jc w:val="both"/>
        <w:rPr>
          <w:rFonts w:ascii="Verdana" w:hAnsi="Verdana"/>
          <w:sz w:val="20"/>
          <w:szCs w:val="20"/>
          <w:lang w:val="es-CR"/>
        </w:rPr>
      </w:pPr>
    </w:p>
    <w:p w14:paraId="56D90BCC" w14:textId="77777777" w:rsidR="006F79F4" w:rsidRPr="00CD6059" w:rsidRDefault="006F79F4" w:rsidP="006F79F4">
      <w:pPr>
        <w:jc w:val="both"/>
        <w:rPr>
          <w:rFonts w:ascii="Verdana" w:hAnsi="Verdana"/>
          <w:sz w:val="20"/>
          <w:szCs w:val="20"/>
          <w:lang w:val="es-CR"/>
        </w:rPr>
      </w:pPr>
      <w:r w:rsidRPr="00CD6059">
        <w:rPr>
          <w:rFonts w:ascii="Verdana" w:hAnsi="Verdana"/>
          <w:sz w:val="20"/>
          <w:szCs w:val="20"/>
          <w:lang w:val="es-CR"/>
        </w:rPr>
        <w:t>Pablo Saavedra Alessandri, Secretario, y</w:t>
      </w:r>
    </w:p>
    <w:p w14:paraId="5FA67476" w14:textId="77777777" w:rsidR="006F79F4" w:rsidRPr="00CD6059" w:rsidRDefault="006F79F4" w:rsidP="006F79F4">
      <w:pPr>
        <w:jc w:val="both"/>
        <w:rPr>
          <w:rFonts w:ascii="Verdana" w:hAnsi="Verdana"/>
          <w:sz w:val="20"/>
          <w:szCs w:val="20"/>
        </w:rPr>
      </w:pPr>
      <w:r w:rsidRPr="00CD6059">
        <w:rPr>
          <w:rFonts w:ascii="Verdana" w:hAnsi="Verdana"/>
          <w:sz w:val="20"/>
          <w:szCs w:val="20"/>
          <w:lang w:val="es-CR"/>
        </w:rPr>
        <w:t xml:space="preserve">Emilia Segares Rodríguez, Secretaria </w:t>
      </w:r>
      <w:r>
        <w:rPr>
          <w:rFonts w:ascii="Verdana" w:hAnsi="Verdana"/>
          <w:sz w:val="20"/>
          <w:szCs w:val="20"/>
          <w:lang w:val="es-CR"/>
        </w:rPr>
        <w:t>Adjunta</w:t>
      </w:r>
      <w:r w:rsidRPr="00CD6059">
        <w:rPr>
          <w:rFonts w:ascii="Verdana" w:hAnsi="Verdana"/>
          <w:sz w:val="20"/>
          <w:szCs w:val="20"/>
        </w:rPr>
        <w:t>,</w:t>
      </w:r>
    </w:p>
    <w:p w14:paraId="0FCECD87" w14:textId="77777777" w:rsidR="006F79F4" w:rsidRPr="00CD6059" w:rsidRDefault="006F79F4" w:rsidP="006F79F4">
      <w:pPr>
        <w:jc w:val="both"/>
        <w:rPr>
          <w:rFonts w:ascii="Verdana" w:hAnsi="Verdana"/>
          <w:sz w:val="20"/>
          <w:szCs w:val="20"/>
        </w:rPr>
      </w:pPr>
    </w:p>
    <w:p w14:paraId="0BAF74C9" w14:textId="77777777" w:rsidR="006F79F4" w:rsidRPr="00CD6059" w:rsidRDefault="006F79F4" w:rsidP="006F79F4">
      <w:pPr>
        <w:jc w:val="both"/>
        <w:rPr>
          <w:rFonts w:ascii="Verdana" w:hAnsi="Verdana"/>
          <w:sz w:val="20"/>
          <w:szCs w:val="20"/>
        </w:rPr>
      </w:pPr>
      <w:proofErr w:type="gramStart"/>
      <w:r w:rsidRPr="00CD6059">
        <w:rPr>
          <w:rFonts w:ascii="Verdana" w:hAnsi="Verdana"/>
          <w:sz w:val="20"/>
          <w:szCs w:val="20"/>
        </w:rPr>
        <w:t>de</w:t>
      </w:r>
      <w:proofErr w:type="gramEnd"/>
      <w:r w:rsidRPr="00CD6059">
        <w:rPr>
          <w:rFonts w:ascii="Verdana" w:hAnsi="Verdana"/>
          <w:sz w:val="20"/>
          <w:szCs w:val="20"/>
        </w:rPr>
        <w:t xml:space="preserve"> conformidad con los artículos 62.3 y 63.1 de la Convención Americana sobre Derechos </w:t>
      </w:r>
      <w:r w:rsidRPr="00F67DB2">
        <w:rPr>
          <w:rFonts w:ascii="Verdana" w:hAnsi="Verdana"/>
          <w:sz w:val="20"/>
          <w:szCs w:val="20"/>
        </w:rPr>
        <w:t>Humanos (en adelante “la Convención” o “la Convención Americana”) y con los artículos 31, 32, 42,</w:t>
      </w:r>
      <w:r>
        <w:rPr>
          <w:rFonts w:ascii="Verdana" w:hAnsi="Verdana"/>
          <w:sz w:val="20"/>
          <w:szCs w:val="20"/>
        </w:rPr>
        <w:t xml:space="preserve"> </w:t>
      </w:r>
      <w:r w:rsidRPr="00CD6059">
        <w:rPr>
          <w:rFonts w:ascii="Verdana" w:hAnsi="Verdana"/>
          <w:sz w:val="20"/>
          <w:szCs w:val="20"/>
        </w:rPr>
        <w:t>65 y 67 del Reglamento de la Corte (en adelante “el Reglamento”), dicta la presente Sentencia, que se estructura en el siguiente orden:</w:t>
      </w:r>
    </w:p>
    <w:p w14:paraId="651FF418" w14:textId="77777777" w:rsidR="006F79F4" w:rsidRPr="00CD6059" w:rsidRDefault="006F79F4" w:rsidP="006F79F4">
      <w:pPr>
        <w:jc w:val="both"/>
        <w:rPr>
          <w:rFonts w:ascii="Verdana" w:hAnsi="Verdana"/>
          <w:sz w:val="20"/>
          <w:szCs w:val="20"/>
        </w:rPr>
      </w:pPr>
    </w:p>
    <w:p w14:paraId="15E43BF3" w14:textId="77777777" w:rsidR="006F79F4" w:rsidRDefault="006F79F4" w:rsidP="006F79F4">
      <w:pPr>
        <w:jc w:val="center"/>
        <w:rPr>
          <w:rFonts w:ascii="Verdana" w:hAnsi="Verdana"/>
          <w:sz w:val="20"/>
          <w:szCs w:val="20"/>
        </w:rPr>
      </w:pPr>
    </w:p>
    <w:p w14:paraId="31820FA6" w14:textId="24486CF7" w:rsidR="0071598A" w:rsidRDefault="0071598A">
      <w:pPr>
        <w:spacing w:after="200" w:line="276" w:lineRule="auto"/>
        <w:rPr>
          <w:rFonts w:ascii="Verdana" w:hAnsi="Verdana"/>
          <w:sz w:val="20"/>
          <w:szCs w:val="20"/>
        </w:rPr>
      </w:pPr>
      <w:r>
        <w:rPr>
          <w:rFonts w:ascii="Verdana" w:hAnsi="Verdana"/>
          <w:sz w:val="20"/>
          <w:szCs w:val="20"/>
        </w:rPr>
        <w:br w:type="page"/>
      </w:r>
    </w:p>
    <w:p w14:paraId="659F2593" w14:textId="5DD83BB9" w:rsidR="006F79F4" w:rsidRPr="00CD6059" w:rsidRDefault="006F79F4" w:rsidP="006F79F4">
      <w:pPr>
        <w:jc w:val="both"/>
        <w:rPr>
          <w:rFonts w:ascii="Verdana" w:hAnsi="Verdana"/>
          <w:sz w:val="20"/>
          <w:szCs w:val="20"/>
        </w:rPr>
      </w:pPr>
    </w:p>
    <w:p w14:paraId="66B348E8" w14:textId="2AF2DAC4" w:rsidR="00240326" w:rsidRDefault="00CB5A95" w:rsidP="00A532BE">
      <w:pPr>
        <w:tabs>
          <w:tab w:val="left" w:pos="1683"/>
          <w:tab w:val="center" w:pos="4816"/>
        </w:tabs>
        <w:rPr>
          <w:rFonts w:ascii="Verdana" w:hAnsi="Verdana"/>
          <w:b/>
          <w:sz w:val="20"/>
          <w:szCs w:val="20"/>
        </w:rPr>
      </w:pPr>
      <w:r>
        <w:rPr>
          <w:rFonts w:ascii="Verdana" w:hAnsi="Verdana"/>
          <w:b/>
          <w:sz w:val="20"/>
          <w:szCs w:val="20"/>
        </w:rPr>
        <w:tab/>
      </w:r>
      <w:r>
        <w:rPr>
          <w:rFonts w:ascii="Verdana" w:hAnsi="Verdana"/>
          <w:b/>
          <w:sz w:val="20"/>
          <w:szCs w:val="20"/>
        </w:rPr>
        <w:tab/>
      </w:r>
      <w:r w:rsidR="00585E16" w:rsidRPr="00A032B8">
        <w:rPr>
          <w:rFonts w:ascii="Verdana" w:hAnsi="Verdana"/>
          <w:b/>
          <w:sz w:val="20"/>
          <w:szCs w:val="20"/>
        </w:rPr>
        <w:t>TABLA DE CONTENIDO</w:t>
      </w:r>
    </w:p>
    <w:p w14:paraId="6E941070" w14:textId="77777777" w:rsidR="00EF1AD0" w:rsidRPr="00A032B8" w:rsidRDefault="00EF1AD0" w:rsidP="00A532BE">
      <w:pPr>
        <w:tabs>
          <w:tab w:val="left" w:pos="1683"/>
          <w:tab w:val="center" w:pos="4816"/>
        </w:tabs>
        <w:rPr>
          <w:rFonts w:ascii="Verdana" w:hAnsi="Verdana"/>
          <w:b/>
          <w:sz w:val="18"/>
          <w:szCs w:val="18"/>
        </w:rPr>
      </w:pPr>
    </w:p>
    <w:bookmarkStart w:id="0" w:name="_Toc390328152"/>
    <w:p w14:paraId="58AC2904" w14:textId="77777777" w:rsidR="009D5837" w:rsidRPr="00B74567" w:rsidRDefault="006F79F4" w:rsidP="00167383">
      <w:pPr>
        <w:pStyle w:val="TOC1"/>
        <w:ind w:right="815"/>
        <w:rPr>
          <w:rFonts w:eastAsiaTheme="minorEastAsia" w:cstheme="minorBidi"/>
          <w:snapToGrid/>
          <w:lang w:val="es-CR" w:eastAsia="es-CR"/>
        </w:rPr>
      </w:pPr>
      <w:r w:rsidRPr="00A032B8">
        <w:fldChar w:fldCharType="begin"/>
      </w:r>
      <w:r w:rsidRPr="00A032B8">
        <w:instrText xml:space="preserve"> TOC \o "1-5" \h \z \u </w:instrText>
      </w:r>
      <w:r w:rsidRPr="00A032B8">
        <w:fldChar w:fldCharType="separate"/>
      </w:r>
      <w:hyperlink w:anchor="_Toc498333468" w:history="1">
        <w:r w:rsidR="009D5837" w:rsidRPr="00B74567">
          <w:rPr>
            <w:rStyle w:val="Hyperlink"/>
            <w:rFonts w:cs="Verdana"/>
          </w:rPr>
          <w:t>I INTRODUCCIÓN DE LA CAUSA Y OBJETO DE LA CONTROVERSIA</w:t>
        </w:r>
        <w:r w:rsidR="009D5837" w:rsidRPr="00B74567">
          <w:rPr>
            <w:webHidden/>
          </w:rPr>
          <w:tab/>
        </w:r>
        <w:r w:rsidR="009D5837" w:rsidRPr="00B74567">
          <w:rPr>
            <w:webHidden/>
          </w:rPr>
          <w:fldChar w:fldCharType="begin"/>
        </w:r>
        <w:r w:rsidR="009D5837" w:rsidRPr="00B74567">
          <w:rPr>
            <w:webHidden/>
          </w:rPr>
          <w:instrText xml:space="preserve"> PAGEREF _Toc498333468 \h </w:instrText>
        </w:r>
        <w:r w:rsidR="009D5837" w:rsidRPr="00B74567">
          <w:rPr>
            <w:webHidden/>
          </w:rPr>
        </w:r>
        <w:r w:rsidR="009D5837" w:rsidRPr="00B74567">
          <w:rPr>
            <w:webHidden/>
          </w:rPr>
          <w:fldChar w:fldCharType="separate"/>
        </w:r>
        <w:r w:rsidR="005810EE">
          <w:rPr>
            <w:webHidden/>
          </w:rPr>
          <w:t>4</w:t>
        </w:r>
        <w:r w:rsidR="009D5837" w:rsidRPr="00B74567">
          <w:rPr>
            <w:webHidden/>
          </w:rPr>
          <w:fldChar w:fldCharType="end"/>
        </w:r>
      </w:hyperlink>
    </w:p>
    <w:p w14:paraId="5FAE712B" w14:textId="7860721D" w:rsidR="009D5837" w:rsidRPr="00B74567" w:rsidRDefault="00D86616" w:rsidP="00167383">
      <w:pPr>
        <w:pStyle w:val="TOC1"/>
        <w:ind w:right="815"/>
        <w:rPr>
          <w:rFonts w:eastAsiaTheme="minorEastAsia" w:cstheme="minorBidi"/>
          <w:snapToGrid/>
          <w:lang w:val="es-CR" w:eastAsia="es-CR"/>
        </w:rPr>
      </w:pPr>
      <w:hyperlink w:anchor="_Toc498333469" w:history="1">
        <w:r w:rsidR="009D5837" w:rsidRPr="00B74567">
          <w:rPr>
            <w:rStyle w:val="Hyperlink"/>
            <w:rFonts w:cs="Verdana"/>
          </w:rPr>
          <w:t>II PROCEDIMIENTO ANTE LA CORTE</w:t>
        </w:r>
        <w:r w:rsidR="009D5837" w:rsidRPr="00B74567">
          <w:rPr>
            <w:webHidden/>
          </w:rPr>
          <w:tab/>
        </w:r>
        <w:r w:rsidR="009D5837" w:rsidRPr="00B74567">
          <w:rPr>
            <w:webHidden/>
          </w:rPr>
          <w:fldChar w:fldCharType="begin"/>
        </w:r>
        <w:r w:rsidR="009D5837" w:rsidRPr="00B74567">
          <w:rPr>
            <w:webHidden/>
          </w:rPr>
          <w:instrText xml:space="preserve"> PAGEREF _Toc498333469 \h </w:instrText>
        </w:r>
        <w:r w:rsidR="009D5837" w:rsidRPr="00B74567">
          <w:rPr>
            <w:webHidden/>
          </w:rPr>
        </w:r>
        <w:r w:rsidR="009D5837" w:rsidRPr="00B74567">
          <w:rPr>
            <w:webHidden/>
          </w:rPr>
          <w:fldChar w:fldCharType="separate"/>
        </w:r>
        <w:r w:rsidR="005810EE">
          <w:rPr>
            <w:webHidden/>
          </w:rPr>
          <w:t>5</w:t>
        </w:r>
        <w:r w:rsidR="009D5837" w:rsidRPr="00B74567">
          <w:rPr>
            <w:webHidden/>
          </w:rPr>
          <w:fldChar w:fldCharType="end"/>
        </w:r>
      </w:hyperlink>
    </w:p>
    <w:p w14:paraId="42385BFB" w14:textId="77777777" w:rsidR="009D5837" w:rsidRPr="00B74567" w:rsidRDefault="00D86616" w:rsidP="00167383">
      <w:pPr>
        <w:pStyle w:val="TOC1"/>
        <w:ind w:right="815"/>
        <w:rPr>
          <w:rFonts w:eastAsiaTheme="minorEastAsia" w:cstheme="minorBidi"/>
          <w:snapToGrid/>
          <w:lang w:val="es-CR" w:eastAsia="es-CR"/>
        </w:rPr>
      </w:pPr>
      <w:hyperlink w:anchor="_Toc498333470" w:history="1">
        <w:r w:rsidR="009D5837" w:rsidRPr="00B74567">
          <w:rPr>
            <w:rStyle w:val="Hyperlink"/>
            <w:rFonts w:cs="Verdana"/>
          </w:rPr>
          <w:t>III COMPETENCIA</w:t>
        </w:r>
        <w:r w:rsidR="009D5837" w:rsidRPr="00B74567">
          <w:rPr>
            <w:webHidden/>
          </w:rPr>
          <w:tab/>
        </w:r>
        <w:r w:rsidR="009D5837" w:rsidRPr="00B74567">
          <w:rPr>
            <w:webHidden/>
          </w:rPr>
          <w:fldChar w:fldCharType="begin"/>
        </w:r>
        <w:r w:rsidR="009D5837" w:rsidRPr="00B74567">
          <w:rPr>
            <w:webHidden/>
          </w:rPr>
          <w:instrText xml:space="preserve"> PAGEREF _Toc498333470 \h </w:instrText>
        </w:r>
        <w:r w:rsidR="009D5837" w:rsidRPr="00B74567">
          <w:rPr>
            <w:webHidden/>
          </w:rPr>
        </w:r>
        <w:r w:rsidR="009D5837" w:rsidRPr="00B74567">
          <w:rPr>
            <w:webHidden/>
          </w:rPr>
          <w:fldChar w:fldCharType="separate"/>
        </w:r>
        <w:r w:rsidR="005810EE">
          <w:rPr>
            <w:webHidden/>
          </w:rPr>
          <w:t>7</w:t>
        </w:r>
        <w:r w:rsidR="009D5837" w:rsidRPr="00B74567">
          <w:rPr>
            <w:webHidden/>
          </w:rPr>
          <w:fldChar w:fldCharType="end"/>
        </w:r>
      </w:hyperlink>
    </w:p>
    <w:p w14:paraId="072D9277" w14:textId="77777777" w:rsidR="009D5837" w:rsidRPr="00B74567" w:rsidRDefault="00D86616" w:rsidP="00167383">
      <w:pPr>
        <w:pStyle w:val="TOC1"/>
        <w:ind w:right="815"/>
        <w:rPr>
          <w:rFonts w:eastAsiaTheme="minorEastAsia" w:cstheme="minorBidi"/>
          <w:snapToGrid/>
          <w:lang w:val="es-CR" w:eastAsia="es-CR"/>
        </w:rPr>
      </w:pPr>
      <w:hyperlink w:anchor="_Toc498333471" w:history="1">
        <w:r w:rsidR="009D5837" w:rsidRPr="00B74567">
          <w:rPr>
            <w:rStyle w:val="Hyperlink"/>
            <w:rFonts w:cs="Verdana"/>
          </w:rPr>
          <w:t xml:space="preserve">IV </w:t>
        </w:r>
        <w:r w:rsidR="009D5837" w:rsidRPr="00B74567">
          <w:rPr>
            <w:rStyle w:val="Hyperlink"/>
          </w:rPr>
          <w:t>EXCEPCIONES PRELIMINARES</w:t>
        </w:r>
        <w:r w:rsidR="009D5837" w:rsidRPr="00B74567">
          <w:rPr>
            <w:webHidden/>
          </w:rPr>
          <w:tab/>
        </w:r>
        <w:r w:rsidR="009D5837" w:rsidRPr="00B74567">
          <w:rPr>
            <w:webHidden/>
          </w:rPr>
          <w:fldChar w:fldCharType="begin"/>
        </w:r>
        <w:r w:rsidR="009D5837" w:rsidRPr="00B74567">
          <w:rPr>
            <w:webHidden/>
          </w:rPr>
          <w:instrText xml:space="preserve"> PAGEREF _Toc498333471 \h </w:instrText>
        </w:r>
        <w:r w:rsidR="009D5837" w:rsidRPr="00B74567">
          <w:rPr>
            <w:webHidden/>
          </w:rPr>
        </w:r>
        <w:r w:rsidR="009D5837" w:rsidRPr="00B74567">
          <w:rPr>
            <w:webHidden/>
          </w:rPr>
          <w:fldChar w:fldCharType="separate"/>
        </w:r>
        <w:r w:rsidR="005810EE">
          <w:rPr>
            <w:webHidden/>
          </w:rPr>
          <w:t>7</w:t>
        </w:r>
        <w:r w:rsidR="009D5837" w:rsidRPr="00B74567">
          <w:rPr>
            <w:webHidden/>
          </w:rPr>
          <w:fldChar w:fldCharType="end"/>
        </w:r>
      </w:hyperlink>
    </w:p>
    <w:p w14:paraId="7A589061"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72" w:history="1">
        <w:r w:rsidR="009D5837" w:rsidRPr="00B74567">
          <w:rPr>
            <w:rStyle w:val="Hyperlink"/>
            <w:rFonts w:ascii="Verdana" w:hAnsi="Verdana"/>
            <w:i/>
            <w:noProof/>
            <w:sz w:val="20"/>
            <w:szCs w:val="20"/>
          </w:rPr>
          <w:t>A.</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eastAsia="MS Gothic" w:hAnsi="Verdana"/>
            <w:i/>
            <w:noProof/>
            <w:sz w:val="20"/>
            <w:szCs w:val="20"/>
            <w:lang w:val="es-CR"/>
          </w:rPr>
          <w:t>Planteamientos del Estado y observaciones de la Comisión y los representantes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_Toc498333472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7</w:t>
        </w:r>
        <w:r w:rsidR="009D5837" w:rsidRPr="00B74567">
          <w:rPr>
            <w:rFonts w:ascii="Verdana" w:hAnsi="Verdana"/>
            <w:noProof/>
            <w:webHidden/>
            <w:sz w:val="20"/>
            <w:szCs w:val="20"/>
          </w:rPr>
          <w:fldChar w:fldCharType="end"/>
        </w:r>
      </w:hyperlink>
    </w:p>
    <w:p w14:paraId="32A7DF70"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73" w:history="1">
        <w:r w:rsidR="009D5837" w:rsidRPr="00B74567">
          <w:rPr>
            <w:rStyle w:val="Hyperlink"/>
            <w:rFonts w:ascii="Verdana" w:hAnsi="Verdana"/>
            <w:i/>
            <w:noProof/>
            <w:sz w:val="20"/>
            <w:szCs w:val="20"/>
          </w:rPr>
          <w:t>B.</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Consideraciones de la Corte</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_Toc498333473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9</w:t>
        </w:r>
        <w:r w:rsidR="009D5837" w:rsidRPr="00B74567">
          <w:rPr>
            <w:rFonts w:ascii="Verdana" w:hAnsi="Verdana"/>
            <w:noProof/>
            <w:webHidden/>
            <w:sz w:val="20"/>
            <w:szCs w:val="20"/>
          </w:rPr>
          <w:fldChar w:fldCharType="end"/>
        </w:r>
      </w:hyperlink>
    </w:p>
    <w:p w14:paraId="6D338B73" w14:textId="77777777" w:rsidR="009D5837" w:rsidRPr="00B74567" w:rsidRDefault="00D86616" w:rsidP="00167383">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74" w:history="1">
        <w:r w:rsidR="009D5837" w:rsidRPr="00B74567">
          <w:rPr>
            <w:rStyle w:val="Hyperlink"/>
            <w:rFonts w:ascii="Verdana" w:hAnsi="Verdana"/>
            <w:i/>
            <w:noProof/>
            <w:sz w:val="20"/>
            <w:szCs w:val="20"/>
          </w:rPr>
          <w:t>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Inclusión del artículo 16 de la Convención en el Informe de Fondo</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_Toc498333474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9</w:t>
        </w:r>
        <w:r w:rsidR="009D5837" w:rsidRPr="00B74567">
          <w:rPr>
            <w:rFonts w:ascii="Verdana" w:hAnsi="Verdana"/>
            <w:noProof/>
            <w:webHidden/>
            <w:sz w:val="20"/>
            <w:szCs w:val="20"/>
          </w:rPr>
          <w:fldChar w:fldCharType="end"/>
        </w:r>
      </w:hyperlink>
    </w:p>
    <w:p w14:paraId="6D79AAB8" w14:textId="77777777" w:rsidR="009D5837" w:rsidRPr="00B74567" w:rsidRDefault="00D86616" w:rsidP="00167383">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75" w:history="1">
        <w:r w:rsidR="009D5837" w:rsidRPr="00B74567">
          <w:rPr>
            <w:rStyle w:val="Hyperlink"/>
            <w:rFonts w:ascii="Verdana" w:hAnsi="Verdana"/>
            <w:i/>
            <w:noProof/>
            <w:sz w:val="20"/>
            <w:szCs w:val="20"/>
          </w:rPr>
          <w:t>2.</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Delimitación temporal del análisis de acciones judiciales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_Toc498333475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11</w:t>
        </w:r>
        <w:r w:rsidR="009D5837" w:rsidRPr="00B74567">
          <w:rPr>
            <w:rFonts w:ascii="Verdana" w:hAnsi="Verdana"/>
            <w:noProof/>
            <w:webHidden/>
            <w:sz w:val="20"/>
            <w:szCs w:val="20"/>
          </w:rPr>
          <w:fldChar w:fldCharType="end"/>
        </w:r>
      </w:hyperlink>
    </w:p>
    <w:p w14:paraId="6F973CEB" w14:textId="77777777" w:rsidR="009D5837" w:rsidRPr="00B74567" w:rsidRDefault="00D86616" w:rsidP="00167383">
      <w:pPr>
        <w:pStyle w:val="TOC1"/>
        <w:ind w:right="815"/>
        <w:rPr>
          <w:rFonts w:eastAsiaTheme="minorEastAsia" w:cstheme="minorBidi"/>
          <w:snapToGrid/>
          <w:lang w:val="es-CR" w:eastAsia="es-CR"/>
        </w:rPr>
      </w:pPr>
      <w:hyperlink w:anchor="_Toc498333476" w:history="1">
        <w:r w:rsidR="009D5837" w:rsidRPr="00B74567">
          <w:rPr>
            <w:rStyle w:val="Hyperlink"/>
            <w:rFonts w:cs="Verdana"/>
          </w:rPr>
          <w:t>V PRUEBA</w:t>
        </w:r>
        <w:r w:rsidR="009D5837" w:rsidRPr="00B74567">
          <w:rPr>
            <w:webHidden/>
          </w:rPr>
          <w:tab/>
        </w:r>
        <w:r w:rsidR="009D5837" w:rsidRPr="00B74567">
          <w:rPr>
            <w:webHidden/>
          </w:rPr>
          <w:fldChar w:fldCharType="begin"/>
        </w:r>
        <w:r w:rsidR="009D5837" w:rsidRPr="00B74567">
          <w:rPr>
            <w:webHidden/>
          </w:rPr>
          <w:instrText xml:space="preserve"> PAGEREF _Toc498333476 \h </w:instrText>
        </w:r>
        <w:r w:rsidR="009D5837" w:rsidRPr="00B74567">
          <w:rPr>
            <w:webHidden/>
          </w:rPr>
        </w:r>
        <w:r w:rsidR="009D5837" w:rsidRPr="00B74567">
          <w:rPr>
            <w:webHidden/>
          </w:rPr>
          <w:fldChar w:fldCharType="separate"/>
        </w:r>
        <w:r w:rsidR="005810EE">
          <w:rPr>
            <w:webHidden/>
          </w:rPr>
          <w:t>11</w:t>
        </w:r>
        <w:r w:rsidR="009D5837" w:rsidRPr="00B74567">
          <w:rPr>
            <w:webHidden/>
          </w:rPr>
          <w:fldChar w:fldCharType="end"/>
        </w:r>
      </w:hyperlink>
    </w:p>
    <w:p w14:paraId="1808E8C0"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77" w:history="1">
        <w:r w:rsidR="009D5837" w:rsidRPr="00B74567">
          <w:rPr>
            <w:rStyle w:val="Hyperlink"/>
            <w:rFonts w:ascii="Verdana" w:eastAsia="MS Gothic" w:hAnsi="Verdana"/>
            <w:i/>
            <w:noProof/>
            <w:sz w:val="20"/>
            <w:szCs w:val="20"/>
            <w:lang w:val="es-CR"/>
          </w:rPr>
          <w:t>A.</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eastAsia="MS Gothic" w:hAnsi="Verdana"/>
            <w:i/>
            <w:noProof/>
            <w:sz w:val="20"/>
            <w:szCs w:val="20"/>
            <w:lang w:val="es-CR"/>
          </w:rPr>
          <w:t>Prueba documental, testimonial y pericial</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_Toc498333477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11</w:t>
        </w:r>
        <w:r w:rsidR="009D5837" w:rsidRPr="00B74567">
          <w:rPr>
            <w:rFonts w:ascii="Verdana" w:hAnsi="Verdana"/>
            <w:noProof/>
            <w:webHidden/>
            <w:sz w:val="20"/>
            <w:szCs w:val="20"/>
          </w:rPr>
          <w:fldChar w:fldCharType="end"/>
        </w:r>
      </w:hyperlink>
    </w:p>
    <w:p w14:paraId="28D5DE73"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78" w:history="1">
        <w:r w:rsidR="009D5837" w:rsidRPr="00B74567">
          <w:rPr>
            <w:rStyle w:val="Hyperlink"/>
            <w:rFonts w:ascii="Verdana" w:eastAsia="MS Gothic" w:hAnsi="Verdana"/>
            <w:i/>
            <w:noProof/>
            <w:sz w:val="20"/>
            <w:szCs w:val="20"/>
            <w:lang w:val="es-CR"/>
          </w:rPr>
          <w:t>B.</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eastAsia="MS Gothic" w:hAnsi="Verdana"/>
            <w:i/>
            <w:noProof/>
            <w:sz w:val="20"/>
            <w:szCs w:val="20"/>
            <w:lang w:val="es-CR"/>
          </w:rPr>
          <w:t>Admisión de la prueba</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_Toc498333478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12</w:t>
        </w:r>
        <w:r w:rsidR="009D5837" w:rsidRPr="00B74567">
          <w:rPr>
            <w:rFonts w:ascii="Verdana" w:hAnsi="Verdana"/>
            <w:noProof/>
            <w:webHidden/>
            <w:sz w:val="20"/>
            <w:szCs w:val="20"/>
          </w:rPr>
          <w:fldChar w:fldCharType="end"/>
        </w:r>
      </w:hyperlink>
    </w:p>
    <w:p w14:paraId="2FC3AD4E" w14:textId="77777777" w:rsidR="009D5837" w:rsidRPr="00B74567" w:rsidRDefault="00D86616" w:rsidP="00167383">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79" w:history="1">
        <w:r w:rsidR="009D5837" w:rsidRPr="00B74567">
          <w:rPr>
            <w:rStyle w:val="Hyperlink"/>
            <w:rFonts w:ascii="Verdana" w:hAnsi="Verdana"/>
            <w:i/>
            <w:noProof/>
            <w:sz w:val="20"/>
            <w:szCs w:val="20"/>
          </w:rPr>
          <w:t>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Admisión de la prueba documental</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_Toc498333479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12</w:t>
        </w:r>
        <w:r w:rsidR="009D5837" w:rsidRPr="00B74567">
          <w:rPr>
            <w:rFonts w:ascii="Verdana" w:hAnsi="Verdana"/>
            <w:noProof/>
            <w:webHidden/>
            <w:sz w:val="20"/>
            <w:szCs w:val="20"/>
          </w:rPr>
          <w:fldChar w:fldCharType="end"/>
        </w:r>
      </w:hyperlink>
    </w:p>
    <w:p w14:paraId="00DC66C7" w14:textId="77777777" w:rsidR="009D5837" w:rsidRPr="00B74567" w:rsidRDefault="00D86616" w:rsidP="00167383">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80" w:history="1">
        <w:r w:rsidR="009D5837" w:rsidRPr="00B74567">
          <w:rPr>
            <w:rStyle w:val="Hyperlink"/>
            <w:rFonts w:ascii="Verdana" w:hAnsi="Verdana"/>
            <w:i/>
            <w:noProof/>
            <w:sz w:val="20"/>
            <w:szCs w:val="20"/>
          </w:rPr>
          <w:t>2.</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Admisión de la prueba testimonial y pericial</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_Toc498333480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12</w:t>
        </w:r>
        <w:r w:rsidR="009D5837" w:rsidRPr="00B74567">
          <w:rPr>
            <w:rFonts w:ascii="Verdana" w:hAnsi="Verdana"/>
            <w:noProof/>
            <w:webHidden/>
            <w:sz w:val="20"/>
            <w:szCs w:val="20"/>
          </w:rPr>
          <w:fldChar w:fldCharType="end"/>
        </w:r>
      </w:hyperlink>
    </w:p>
    <w:p w14:paraId="225F80D0"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81" w:history="1">
        <w:r w:rsidR="009D5837" w:rsidRPr="00B74567">
          <w:rPr>
            <w:rStyle w:val="Hyperlink"/>
            <w:rFonts w:ascii="Verdana" w:eastAsia="MS Gothic" w:hAnsi="Verdana"/>
            <w:i/>
            <w:noProof/>
            <w:sz w:val="20"/>
            <w:szCs w:val="20"/>
            <w:lang w:val="es-CR"/>
          </w:rPr>
          <w:t>C.</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eastAsia="MS Gothic" w:hAnsi="Verdana"/>
            <w:i/>
            <w:noProof/>
            <w:sz w:val="20"/>
            <w:szCs w:val="20"/>
            <w:lang w:val="es-CR"/>
          </w:rPr>
          <w:t>Valoración de la prueba</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_Toc498333481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13</w:t>
        </w:r>
        <w:r w:rsidR="009D5837" w:rsidRPr="00B74567">
          <w:rPr>
            <w:rFonts w:ascii="Verdana" w:hAnsi="Verdana"/>
            <w:noProof/>
            <w:webHidden/>
            <w:sz w:val="20"/>
            <w:szCs w:val="20"/>
          </w:rPr>
          <w:fldChar w:fldCharType="end"/>
        </w:r>
      </w:hyperlink>
    </w:p>
    <w:p w14:paraId="44DD7EF5" w14:textId="77777777" w:rsidR="009D5837" w:rsidRPr="00B74567" w:rsidRDefault="00D86616" w:rsidP="00167383">
      <w:pPr>
        <w:pStyle w:val="TOC1"/>
        <w:ind w:right="815"/>
        <w:rPr>
          <w:rFonts w:eastAsiaTheme="minorEastAsia" w:cstheme="minorBidi"/>
          <w:snapToGrid/>
          <w:lang w:val="es-CR" w:eastAsia="es-CR"/>
        </w:rPr>
      </w:pPr>
      <w:hyperlink w:anchor="_Toc498333482" w:history="1">
        <w:r w:rsidR="009D5837" w:rsidRPr="00B74567">
          <w:rPr>
            <w:rStyle w:val="Hyperlink"/>
            <w:rFonts w:cs="Verdana"/>
          </w:rPr>
          <w:t>Vi hechos</w:t>
        </w:r>
        <w:r w:rsidR="009D5837" w:rsidRPr="00B74567">
          <w:rPr>
            <w:webHidden/>
          </w:rPr>
          <w:tab/>
        </w:r>
        <w:r w:rsidR="009D5837" w:rsidRPr="00B74567">
          <w:rPr>
            <w:webHidden/>
          </w:rPr>
          <w:fldChar w:fldCharType="begin"/>
        </w:r>
        <w:r w:rsidR="009D5837" w:rsidRPr="00B74567">
          <w:rPr>
            <w:webHidden/>
          </w:rPr>
          <w:instrText xml:space="preserve"> PAGEREF _Toc498333482 \h </w:instrText>
        </w:r>
        <w:r w:rsidR="009D5837" w:rsidRPr="00B74567">
          <w:rPr>
            <w:webHidden/>
          </w:rPr>
        </w:r>
        <w:r w:rsidR="009D5837" w:rsidRPr="00B74567">
          <w:rPr>
            <w:webHidden/>
          </w:rPr>
          <w:fldChar w:fldCharType="separate"/>
        </w:r>
        <w:r w:rsidR="005810EE">
          <w:rPr>
            <w:webHidden/>
          </w:rPr>
          <w:t>13</w:t>
        </w:r>
        <w:r w:rsidR="009D5837" w:rsidRPr="00B74567">
          <w:rPr>
            <w:webHidden/>
          </w:rPr>
          <w:fldChar w:fldCharType="end"/>
        </w:r>
      </w:hyperlink>
    </w:p>
    <w:p w14:paraId="005C68B8"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83" w:history="1">
        <w:r w:rsidR="009D5837" w:rsidRPr="00B74567">
          <w:rPr>
            <w:rStyle w:val="Hyperlink"/>
            <w:rFonts w:ascii="Verdana" w:eastAsia="MS Gothic" w:hAnsi="Verdana"/>
            <w:i/>
            <w:noProof/>
            <w:sz w:val="20"/>
            <w:szCs w:val="20"/>
            <w:lang w:val="es-CR"/>
          </w:rPr>
          <w:t>A.</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eastAsia="MS Gothic" w:hAnsi="Verdana"/>
            <w:i/>
            <w:noProof/>
            <w:sz w:val="20"/>
            <w:szCs w:val="20"/>
            <w:lang w:val="es-CR"/>
          </w:rPr>
          <w:t>Las Comunidades Industriales en el Perú</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_Toc498333483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14</w:t>
        </w:r>
        <w:r w:rsidR="009D5837" w:rsidRPr="00B74567">
          <w:rPr>
            <w:rFonts w:ascii="Verdana" w:hAnsi="Verdana"/>
            <w:noProof/>
            <w:webHidden/>
            <w:sz w:val="20"/>
            <w:szCs w:val="20"/>
          </w:rPr>
          <w:fldChar w:fldCharType="end"/>
        </w:r>
      </w:hyperlink>
    </w:p>
    <w:p w14:paraId="7429FF55" w14:textId="5F337654"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84" w:history="1">
        <w:r w:rsidR="009D5837" w:rsidRPr="00B74567">
          <w:rPr>
            <w:rStyle w:val="Hyperlink"/>
            <w:rFonts w:ascii="Verdana" w:eastAsia="MS Gothic" w:hAnsi="Verdana"/>
            <w:i/>
            <w:iCs/>
            <w:noProof/>
            <w:sz w:val="20"/>
            <w:szCs w:val="20"/>
          </w:rPr>
          <w:t>B.</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eastAsia="MS Gothic" w:hAnsi="Verdana"/>
            <w:i/>
            <w:iCs/>
            <w:noProof/>
            <w:sz w:val="20"/>
            <w:szCs w:val="20"/>
          </w:rPr>
          <w:t xml:space="preserve">Antecedentes, funciones y competencias del señor Lagos del Campo como </w:t>
        </w:r>
        <w:r w:rsidR="00B74567" w:rsidRPr="00B74567">
          <w:rPr>
            <w:rStyle w:val="Hyperlink"/>
            <w:rFonts w:ascii="Verdana" w:eastAsia="MS Gothic" w:hAnsi="Verdana"/>
            <w:i/>
            <w:iCs/>
            <w:noProof/>
            <w:sz w:val="20"/>
            <w:szCs w:val="20"/>
          </w:rPr>
          <w:t xml:space="preserve">    </w:t>
        </w:r>
        <w:r w:rsidR="009D5837" w:rsidRPr="00B74567">
          <w:rPr>
            <w:rStyle w:val="Hyperlink"/>
            <w:rFonts w:ascii="Verdana" w:eastAsia="MS Gothic" w:hAnsi="Verdana"/>
            <w:i/>
            <w:iCs/>
            <w:noProof/>
            <w:sz w:val="20"/>
            <w:szCs w:val="20"/>
          </w:rPr>
          <w:t>Presidente del Comité Electoral de la Comunidad Industrial</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_Toc498333484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17</w:t>
        </w:r>
        <w:r w:rsidR="009D5837" w:rsidRPr="00B74567">
          <w:rPr>
            <w:rFonts w:ascii="Verdana" w:hAnsi="Verdana"/>
            <w:noProof/>
            <w:webHidden/>
            <w:sz w:val="20"/>
            <w:szCs w:val="20"/>
          </w:rPr>
          <w:fldChar w:fldCharType="end"/>
        </w:r>
      </w:hyperlink>
    </w:p>
    <w:p w14:paraId="0A354B55"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85" w:history="1">
        <w:r w:rsidR="009D5837" w:rsidRPr="00B74567">
          <w:rPr>
            <w:rStyle w:val="Hyperlink"/>
            <w:rFonts w:ascii="Verdana" w:eastAsia="MS Gothic" w:hAnsi="Verdana"/>
            <w:i/>
            <w:iCs/>
            <w:noProof/>
            <w:sz w:val="20"/>
            <w:szCs w:val="20"/>
          </w:rPr>
          <w:t>C.</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eastAsia="MS Gothic" w:hAnsi="Verdana"/>
            <w:i/>
            <w:iCs/>
            <w:noProof/>
            <w:sz w:val="20"/>
            <w:szCs w:val="20"/>
          </w:rPr>
          <w:t>El despido del señor Lagos del Campo y el marco legal aplicable</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_Toc498333485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18</w:t>
        </w:r>
        <w:r w:rsidR="009D5837" w:rsidRPr="00B74567">
          <w:rPr>
            <w:rFonts w:ascii="Verdana" w:hAnsi="Verdana"/>
            <w:noProof/>
            <w:webHidden/>
            <w:sz w:val="20"/>
            <w:szCs w:val="20"/>
          </w:rPr>
          <w:fldChar w:fldCharType="end"/>
        </w:r>
      </w:hyperlink>
    </w:p>
    <w:p w14:paraId="3997A983"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86" w:history="1">
        <w:r w:rsidR="009D5837" w:rsidRPr="00B74567">
          <w:rPr>
            <w:rStyle w:val="Hyperlink"/>
            <w:rFonts w:ascii="Verdana" w:eastAsia="MS Gothic" w:hAnsi="Verdana"/>
            <w:i/>
            <w:iCs/>
            <w:noProof/>
            <w:sz w:val="20"/>
            <w:szCs w:val="20"/>
          </w:rPr>
          <w:t>D.</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eastAsia="MS Gothic" w:hAnsi="Verdana"/>
            <w:i/>
            <w:iCs/>
            <w:noProof/>
            <w:sz w:val="20"/>
            <w:szCs w:val="20"/>
          </w:rPr>
          <w:t>Acciones judiciales interpuestas por el señor Lagos del Campo</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_Toc498333486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22</w:t>
        </w:r>
        <w:r w:rsidR="009D5837" w:rsidRPr="00B74567">
          <w:rPr>
            <w:rFonts w:ascii="Verdana" w:hAnsi="Verdana"/>
            <w:noProof/>
            <w:webHidden/>
            <w:sz w:val="20"/>
            <w:szCs w:val="20"/>
          </w:rPr>
          <w:fldChar w:fldCharType="end"/>
        </w:r>
      </w:hyperlink>
    </w:p>
    <w:p w14:paraId="0A4ED1D2" w14:textId="77777777" w:rsidR="009D5837" w:rsidRPr="00B74567" w:rsidRDefault="00D86616" w:rsidP="00167383">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87" w:history="1">
        <w:r w:rsidR="009D5837" w:rsidRPr="00B74567">
          <w:rPr>
            <w:rStyle w:val="Hyperlink"/>
            <w:rFonts w:ascii="Verdana" w:hAnsi="Verdana"/>
            <w:i/>
            <w:noProof/>
            <w:sz w:val="20"/>
            <w:szCs w:val="20"/>
          </w:rPr>
          <w:t>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Demanda de calificación de despido</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_Toc498333487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22</w:t>
        </w:r>
        <w:r w:rsidR="009D5837" w:rsidRPr="00B74567">
          <w:rPr>
            <w:rFonts w:ascii="Verdana" w:hAnsi="Verdana"/>
            <w:noProof/>
            <w:webHidden/>
            <w:sz w:val="20"/>
            <w:szCs w:val="20"/>
          </w:rPr>
          <w:fldChar w:fldCharType="end"/>
        </w:r>
      </w:hyperlink>
    </w:p>
    <w:p w14:paraId="0CD426DB" w14:textId="77777777" w:rsidR="009D5837" w:rsidRPr="00B74567" w:rsidRDefault="00D86616" w:rsidP="00167383">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88" w:history="1">
        <w:r w:rsidR="009D5837" w:rsidRPr="00B74567">
          <w:rPr>
            <w:rStyle w:val="Hyperlink"/>
            <w:rFonts w:ascii="Verdana" w:hAnsi="Verdana"/>
            <w:i/>
            <w:iCs/>
            <w:noProof/>
            <w:sz w:val="20"/>
            <w:szCs w:val="20"/>
          </w:rPr>
          <w:t>2.</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iCs/>
            <w:noProof/>
            <w:sz w:val="20"/>
            <w:szCs w:val="20"/>
          </w:rPr>
          <w:t>Procedimiento de amparo y nulidad</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_Toc498333488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23</w:t>
        </w:r>
        <w:r w:rsidR="009D5837" w:rsidRPr="00B74567">
          <w:rPr>
            <w:rFonts w:ascii="Verdana" w:hAnsi="Verdana"/>
            <w:noProof/>
            <w:webHidden/>
            <w:sz w:val="20"/>
            <w:szCs w:val="20"/>
          </w:rPr>
          <w:fldChar w:fldCharType="end"/>
        </w:r>
      </w:hyperlink>
    </w:p>
    <w:p w14:paraId="41E35090" w14:textId="77777777" w:rsidR="009D5837" w:rsidRPr="00B74567" w:rsidRDefault="00D86616" w:rsidP="00167383">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89" w:history="1">
        <w:r w:rsidR="009D5837" w:rsidRPr="00B74567">
          <w:rPr>
            <w:rStyle w:val="Hyperlink"/>
            <w:rFonts w:ascii="Verdana" w:hAnsi="Verdana"/>
            <w:i/>
            <w:iCs/>
            <w:noProof/>
            <w:sz w:val="20"/>
            <w:szCs w:val="20"/>
          </w:rPr>
          <w:t>3.</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iCs/>
            <w:noProof/>
            <w:sz w:val="20"/>
            <w:szCs w:val="20"/>
          </w:rPr>
          <w:t>Recurso de amparo ante el Tribunal Constitucional</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_Toc498333489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25</w:t>
        </w:r>
        <w:r w:rsidR="009D5837" w:rsidRPr="00B74567">
          <w:rPr>
            <w:rFonts w:ascii="Verdana" w:hAnsi="Verdana"/>
            <w:noProof/>
            <w:webHidden/>
            <w:sz w:val="20"/>
            <w:szCs w:val="20"/>
          </w:rPr>
          <w:fldChar w:fldCharType="end"/>
        </w:r>
      </w:hyperlink>
    </w:p>
    <w:p w14:paraId="48967635"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90" w:history="1">
        <w:r w:rsidR="009D5837" w:rsidRPr="00B74567">
          <w:rPr>
            <w:rStyle w:val="Hyperlink"/>
            <w:rFonts w:ascii="Verdana" w:eastAsia="MS Gothic" w:hAnsi="Verdana"/>
            <w:i/>
            <w:iCs/>
            <w:noProof/>
            <w:sz w:val="20"/>
            <w:szCs w:val="20"/>
          </w:rPr>
          <w:t>E.</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eastAsia="MS Gothic" w:hAnsi="Verdana"/>
            <w:i/>
            <w:iCs/>
            <w:noProof/>
            <w:sz w:val="20"/>
            <w:szCs w:val="20"/>
          </w:rPr>
          <w:t>La situación de Lagos del Campo después de su despido</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_Toc498333490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26</w:t>
        </w:r>
        <w:r w:rsidR="009D5837" w:rsidRPr="00B74567">
          <w:rPr>
            <w:rFonts w:ascii="Verdana" w:hAnsi="Verdana"/>
            <w:noProof/>
            <w:webHidden/>
            <w:sz w:val="20"/>
            <w:szCs w:val="20"/>
          </w:rPr>
          <w:fldChar w:fldCharType="end"/>
        </w:r>
      </w:hyperlink>
    </w:p>
    <w:p w14:paraId="4F41BD8C" w14:textId="77777777" w:rsidR="009D5837" w:rsidRPr="00B74567" w:rsidRDefault="00D86616" w:rsidP="00167383">
      <w:pPr>
        <w:pStyle w:val="TOC1"/>
        <w:ind w:right="815"/>
        <w:rPr>
          <w:rFonts w:eastAsiaTheme="minorEastAsia" w:cstheme="minorBidi"/>
          <w:snapToGrid/>
          <w:lang w:val="es-CR" w:eastAsia="es-CR"/>
        </w:rPr>
      </w:pPr>
      <w:hyperlink w:anchor="_Toc498333491" w:history="1">
        <w:r w:rsidR="009D5837" w:rsidRPr="00B74567">
          <w:rPr>
            <w:rStyle w:val="Hyperlink"/>
            <w:rFonts w:cs="Verdana"/>
          </w:rPr>
          <w:t>ViI Fondo</w:t>
        </w:r>
        <w:r w:rsidR="009D5837" w:rsidRPr="00B74567">
          <w:rPr>
            <w:webHidden/>
          </w:rPr>
          <w:tab/>
        </w:r>
        <w:r w:rsidR="009D5837" w:rsidRPr="00B74567">
          <w:rPr>
            <w:webHidden/>
          </w:rPr>
          <w:fldChar w:fldCharType="begin"/>
        </w:r>
        <w:r w:rsidR="009D5837" w:rsidRPr="00B74567">
          <w:rPr>
            <w:webHidden/>
          </w:rPr>
          <w:instrText xml:space="preserve"> PAGEREF _Toc498333491 \h </w:instrText>
        </w:r>
        <w:r w:rsidR="009D5837" w:rsidRPr="00B74567">
          <w:rPr>
            <w:webHidden/>
          </w:rPr>
        </w:r>
        <w:r w:rsidR="009D5837" w:rsidRPr="00B74567">
          <w:rPr>
            <w:webHidden/>
          </w:rPr>
          <w:fldChar w:fldCharType="separate"/>
        </w:r>
        <w:r w:rsidR="005810EE">
          <w:rPr>
            <w:webHidden/>
          </w:rPr>
          <w:t>26</w:t>
        </w:r>
        <w:r w:rsidR="009D5837" w:rsidRPr="00B74567">
          <w:rPr>
            <w:webHidden/>
          </w:rPr>
          <w:fldChar w:fldCharType="end"/>
        </w:r>
      </w:hyperlink>
    </w:p>
    <w:p w14:paraId="4437F4DE" w14:textId="1F3B7034" w:rsidR="009D5837" w:rsidRPr="00B74567" w:rsidRDefault="00D86616" w:rsidP="00167383">
      <w:pPr>
        <w:pStyle w:val="TOC1"/>
        <w:ind w:right="815"/>
        <w:rPr>
          <w:rFonts w:eastAsiaTheme="minorEastAsia" w:cstheme="minorBidi"/>
          <w:snapToGrid/>
          <w:lang w:val="es-CR" w:eastAsia="es-CR"/>
        </w:rPr>
      </w:pPr>
      <w:hyperlink w:anchor="_Toc498333492" w:history="1">
        <w:r w:rsidR="009D5837" w:rsidRPr="00B74567">
          <w:rPr>
            <w:rStyle w:val="Hyperlink"/>
            <w:rFonts w:cs="Verdana"/>
          </w:rPr>
          <w:t>VII-1</w:t>
        </w:r>
        <w:r w:rsidR="009D5837" w:rsidRPr="00B74567">
          <w:rPr>
            <w:webHidden/>
          </w:rPr>
          <w:tab/>
        </w:r>
      </w:hyperlink>
      <w:r w:rsidR="009D5837" w:rsidRPr="00B74567">
        <w:rPr>
          <w:rStyle w:val="Hyperlink"/>
          <w:u w:val="none"/>
        </w:rPr>
        <w:t xml:space="preserve"> </w:t>
      </w:r>
      <w:hyperlink w:anchor="_Toc498333493" w:history="1">
        <w:r w:rsidR="009D5837" w:rsidRPr="00B74567">
          <w:rPr>
            <w:rStyle w:val="Hyperlink"/>
            <w:rFonts w:cs="Verdana"/>
            <w:u w:val="none"/>
          </w:rPr>
          <w:t>libertad de pensamiento y de expresión, GARANTÍAS JUDICIALES</w:t>
        </w:r>
      </w:hyperlink>
      <w:r w:rsidR="00167383" w:rsidRPr="00B74567">
        <w:rPr>
          <w:rStyle w:val="Hyperlink"/>
          <w:color w:val="auto"/>
          <w:u w:val="none"/>
        </w:rPr>
        <w:t>,</w:t>
      </w:r>
    </w:p>
    <w:p w14:paraId="31B9D06D" w14:textId="3F3ECEE4" w:rsidR="009D5837" w:rsidRPr="00B74567" w:rsidRDefault="00167383" w:rsidP="00167383">
      <w:pPr>
        <w:pStyle w:val="TOC1"/>
        <w:ind w:right="815"/>
        <w:rPr>
          <w:rFonts w:eastAsiaTheme="minorEastAsia" w:cstheme="minorBidi"/>
          <w:snapToGrid/>
          <w:lang w:val="es-CR" w:eastAsia="es-CR"/>
        </w:rPr>
      </w:pPr>
      <w:r w:rsidRPr="00B74567">
        <w:rPr>
          <w:rStyle w:val="Hyperlink"/>
          <w:color w:val="auto"/>
          <w:u w:val="none"/>
        </w:rPr>
        <w:t>ESTABILIDAD LABORAL, LIBERTAD DE ASOCIACIÓN, DEBER DE ADOPTAR DISPOSICIONE DE DERECHO iNTERNO</w:t>
      </w:r>
      <w:r w:rsidRPr="00B74567">
        <w:rPr>
          <w:rStyle w:val="Hyperlink"/>
          <w:u w:val="none"/>
        </w:rPr>
        <w:t xml:space="preserve"> </w:t>
      </w:r>
      <w:hyperlink w:anchor="_Toc498333494" w:history="1">
        <w:r w:rsidR="009D5837" w:rsidRPr="00B74567">
          <w:rPr>
            <w:rStyle w:val="Hyperlink"/>
            <w:rFonts w:cs="Verdana"/>
            <w:u w:val="none"/>
          </w:rPr>
          <w:t>(ARTÍCULOS 13, 8, 26, 16, 1.1 y 2 DE LA CONVENCIÓN AMERICANA)</w:t>
        </w:r>
        <w:r w:rsidR="009D5837" w:rsidRPr="00B74567">
          <w:rPr>
            <w:webHidden/>
          </w:rPr>
          <w:tab/>
        </w:r>
        <w:r w:rsidR="009D5837" w:rsidRPr="00B74567">
          <w:rPr>
            <w:webHidden/>
          </w:rPr>
          <w:fldChar w:fldCharType="begin"/>
        </w:r>
        <w:r w:rsidR="009D5837" w:rsidRPr="00B74567">
          <w:rPr>
            <w:webHidden/>
          </w:rPr>
          <w:instrText xml:space="preserve"> PAGEREF _Toc498333494 \h </w:instrText>
        </w:r>
        <w:r w:rsidR="009D5837" w:rsidRPr="00B74567">
          <w:rPr>
            <w:webHidden/>
          </w:rPr>
        </w:r>
        <w:r w:rsidR="009D5837" w:rsidRPr="00B74567">
          <w:rPr>
            <w:webHidden/>
          </w:rPr>
          <w:fldChar w:fldCharType="separate"/>
        </w:r>
        <w:r w:rsidR="005810EE">
          <w:rPr>
            <w:webHidden/>
          </w:rPr>
          <w:t>28</w:t>
        </w:r>
        <w:r w:rsidR="009D5837" w:rsidRPr="00B74567">
          <w:rPr>
            <w:webHidden/>
          </w:rPr>
          <w:fldChar w:fldCharType="end"/>
        </w:r>
      </w:hyperlink>
    </w:p>
    <w:p w14:paraId="407DAF07"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95" w:history="1">
        <w:r w:rsidR="009D5837" w:rsidRPr="00B74567">
          <w:rPr>
            <w:rStyle w:val="Hyperlink"/>
            <w:rFonts w:ascii="Verdana" w:hAnsi="Verdana"/>
            <w:i/>
            <w:noProof/>
            <w:sz w:val="20"/>
            <w:szCs w:val="20"/>
          </w:rPr>
          <w:t>A.</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Argumentos de las partes y de la Comisión</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_Toc498333495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28</w:t>
        </w:r>
        <w:r w:rsidR="009D5837" w:rsidRPr="00B74567">
          <w:rPr>
            <w:rFonts w:ascii="Verdana" w:hAnsi="Verdana"/>
            <w:noProof/>
            <w:webHidden/>
            <w:sz w:val="20"/>
            <w:szCs w:val="20"/>
          </w:rPr>
          <w:fldChar w:fldCharType="end"/>
        </w:r>
      </w:hyperlink>
    </w:p>
    <w:p w14:paraId="30B079AF"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96" w:history="1">
        <w:r w:rsidR="009D5837" w:rsidRPr="00B74567">
          <w:rPr>
            <w:rStyle w:val="Hyperlink"/>
            <w:rFonts w:ascii="Verdana" w:hAnsi="Verdana"/>
            <w:i/>
            <w:iCs/>
            <w:noProof/>
            <w:sz w:val="20"/>
            <w:szCs w:val="20"/>
          </w:rPr>
          <w:t>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iCs/>
            <w:noProof/>
            <w:sz w:val="20"/>
            <w:szCs w:val="20"/>
          </w:rPr>
          <w:t>Relativos a la libertad de expresión y a las garantías judiciales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_Toc498333496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28</w:t>
        </w:r>
        <w:r w:rsidR="009D5837" w:rsidRPr="00B74567">
          <w:rPr>
            <w:rFonts w:ascii="Verdana" w:hAnsi="Verdana"/>
            <w:noProof/>
            <w:webHidden/>
            <w:sz w:val="20"/>
            <w:szCs w:val="20"/>
          </w:rPr>
          <w:fldChar w:fldCharType="end"/>
        </w:r>
      </w:hyperlink>
    </w:p>
    <w:p w14:paraId="7D38F5C1"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97" w:history="1">
        <w:r w:rsidR="009D5837" w:rsidRPr="00B74567">
          <w:rPr>
            <w:rStyle w:val="Hyperlink"/>
            <w:rFonts w:ascii="Verdana" w:hAnsi="Verdana"/>
            <w:i/>
            <w:iCs/>
            <w:noProof/>
            <w:sz w:val="20"/>
            <w:szCs w:val="20"/>
          </w:rPr>
          <w:t>2.</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iCs/>
            <w:noProof/>
            <w:sz w:val="20"/>
            <w:szCs w:val="20"/>
          </w:rPr>
          <w:t>Relativos a la libertad de asociación</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_Toc498333497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30</w:t>
        </w:r>
        <w:r w:rsidR="009D5837" w:rsidRPr="00B74567">
          <w:rPr>
            <w:rFonts w:ascii="Verdana" w:hAnsi="Verdana"/>
            <w:noProof/>
            <w:webHidden/>
            <w:sz w:val="20"/>
            <w:szCs w:val="20"/>
          </w:rPr>
          <w:fldChar w:fldCharType="end"/>
        </w:r>
      </w:hyperlink>
    </w:p>
    <w:p w14:paraId="0D38DC63"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498" w:history="1">
        <w:r w:rsidR="009D5837" w:rsidRPr="00B74567">
          <w:rPr>
            <w:rStyle w:val="Hyperlink"/>
            <w:rFonts w:ascii="Verdana" w:hAnsi="Verdana"/>
            <w:i/>
            <w:iCs/>
            <w:noProof/>
            <w:sz w:val="20"/>
            <w:szCs w:val="20"/>
          </w:rPr>
          <w:t>3.</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iCs/>
            <w:noProof/>
            <w:sz w:val="20"/>
            <w:szCs w:val="20"/>
          </w:rPr>
          <w:t>Relativos al deber de adoptar disposiciones de derecho interno</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_Toc498333498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30</w:t>
        </w:r>
        <w:r w:rsidR="009D5837" w:rsidRPr="00B74567">
          <w:rPr>
            <w:rFonts w:ascii="Verdana" w:hAnsi="Verdana"/>
            <w:noProof/>
            <w:webHidden/>
            <w:sz w:val="20"/>
            <w:szCs w:val="20"/>
          </w:rPr>
          <w:fldChar w:fldCharType="end"/>
        </w:r>
      </w:hyperlink>
    </w:p>
    <w:p w14:paraId="596B6B66"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499" w:history="1">
        <w:r w:rsidR="009D5837" w:rsidRPr="00B74567">
          <w:rPr>
            <w:rStyle w:val="Hyperlink"/>
            <w:rFonts w:ascii="Verdana" w:hAnsi="Verdana"/>
            <w:i/>
            <w:noProof/>
            <w:sz w:val="20"/>
            <w:szCs w:val="20"/>
          </w:rPr>
          <w:t>B.</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Consideraciones de la Corte</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_Toc498333499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31</w:t>
        </w:r>
        <w:r w:rsidR="009D5837" w:rsidRPr="00B74567">
          <w:rPr>
            <w:rFonts w:ascii="Verdana" w:hAnsi="Verdana"/>
            <w:noProof/>
            <w:webHidden/>
            <w:sz w:val="20"/>
            <w:szCs w:val="20"/>
          </w:rPr>
          <w:fldChar w:fldCharType="end"/>
        </w:r>
      </w:hyperlink>
    </w:p>
    <w:p w14:paraId="0904130E"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0" w:history="1">
        <w:r w:rsidR="009D5837" w:rsidRPr="00B74567">
          <w:rPr>
            <w:rStyle w:val="Hyperlink"/>
            <w:rFonts w:ascii="Verdana" w:hAnsi="Verdana"/>
            <w:i/>
            <w:noProof/>
            <w:sz w:val="20"/>
            <w:szCs w:val="20"/>
            <w:lang w:val="es-MX"/>
          </w:rPr>
          <w:t>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Libertad de expresión y garantías judiciales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_Toc498333500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31</w:t>
        </w:r>
        <w:r w:rsidR="009D5837" w:rsidRPr="00B74567">
          <w:rPr>
            <w:rFonts w:ascii="Verdana" w:hAnsi="Verdana"/>
            <w:noProof/>
            <w:webHidden/>
            <w:sz w:val="20"/>
            <w:szCs w:val="20"/>
          </w:rPr>
          <w:fldChar w:fldCharType="end"/>
        </w:r>
      </w:hyperlink>
    </w:p>
    <w:p w14:paraId="7C5BC23F"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1" w:history="1">
        <w:r w:rsidR="009D5837" w:rsidRPr="00B74567">
          <w:rPr>
            <w:rStyle w:val="Hyperlink"/>
            <w:rFonts w:ascii="Verdana" w:hAnsi="Verdana"/>
            <w:i/>
            <w:noProof/>
            <w:sz w:val="20"/>
            <w:szCs w:val="20"/>
            <w:lang w:val="es-MX"/>
          </w:rPr>
          <w:t>1.1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La libertad de expresión en contextos laborales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_Toc498333501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31</w:t>
        </w:r>
        <w:r w:rsidR="009D5837" w:rsidRPr="00B74567">
          <w:rPr>
            <w:rFonts w:ascii="Verdana" w:hAnsi="Verdana"/>
            <w:noProof/>
            <w:webHidden/>
            <w:sz w:val="20"/>
            <w:szCs w:val="20"/>
          </w:rPr>
          <w:fldChar w:fldCharType="end"/>
        </w:r>
      </w:hyperlink>
    </w:p>
    <w:p w14:paraId="6737D3A2"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2" w:history="1">
        <w:r w:rsidR="009D5837" w:rsidRPr="00B74567">
          <w:rPr>
            <w:rStyle w:val="Hyperlink"/>
            <w:rFonts w:ascii="Verdana" w:hAnsi="Verdana"/>
            <w:i/>
            <w:noProof/>
            <w:sz w:val="20"/>
            <w:szCs w:val="20"/>
            <w:lang w:val="es-MX"/>
          </w:rPr>
          <w:t>1.2</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Análisis de necesidad y razonabilidad de la restricción en el presente caso</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_Toc498333502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33</w:t>
        </w:r>
        <w:r w:rsidR="009D5837" w:rsidRPr="00B74567">
          <w:rPr>
            <w:rFonts w:ascii="Verdana" w:hAnsi="Verdana"/>
            <w:noProof/>
            <w:webHidden/>
            <w:sz w:val="20"/>
            <w:szCs w:val="20"/>
          </w:rPr>
          <w:fldChar w:fldCharType="end"/>
        </w:r>
      </w:hyperlink>
    </w:p>
    <w:p w14:paraId="63BEEB81"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3" w:history="1">
        <w:r w:rsidR="009D5837" w:rsidRPr="00B74567">
          <w:rPr>
            <w:rStyle w:val="Hyperlink"/>
            <w:rFonts w:ascii="Verdana" w:hAnsi="Verdana"/>
            <w:i/>
            <w:noProof/>
            <w:sz w:val="20"/>
            <w:szCs w:val="20"/>
            <w:lang w:val="es-MX"/>
          </w:rPr>
          <w:t>1.2.1 Calificación de las declaraciones de Lagos del Campo</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_Toc498333503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35</w:t>
        </w:r>
        <w:r w:rsidR="009D5837" w:rsidRPr="00B74567">
          <w:rPr>
            <w:rFonts w:ascii="Verdana" w:hAnsi="Verdana"/>
            <w:noProof/>
            <w:webHidden/>
            <w:sz w:val="20"/>
            <w:szCs w:val="20"/>
          </w:rPr>
          <w:fldChar w:fldCharType="end"/>
        </w:r>
      </w:hyperlink>
    </w:p>
    <w:p w14:paraId="2E5DA528"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4" w:history="1">
        <w:r w:rsidR="009D5837" w:rsidRPr="00B74567">
          <w:rPr>
            <w:rStyle w:val="Hyperlink"/>
            <w:rFonts w:ascii="Verdana" w:hAnsi="Verdana"/>
            <w:i/>
            <w:noProof/>
            <w:sz w:val="20"/>
            <w:szCs w:val="20"/>
            <w:lang w:val="es-MX"/>
          </w:rPr>
          <w:t>1.2.2. Legalidad y finalidad</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_Toc498333504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39</w:t>
        </w:r>
        <w:r w:rsidR="009D5837" w:rsidRPr="00B74567">
          <w:rPr>
            <w:rFonts w:ascii="Verdana" w:hAnsi="Verdana"/>
            <w:noProof/>
            <w:webHidden/>
            <w:sz w:val="20"/>
            <w:szCs w:val="20"/>
          </w:rPr>
          <w:fldChar w:fldCharType="end"/>
        </w:r>
      </w:hyperlink>
    </w:p>
    <w:p w14:paraId="5995BB95"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5" w:history="1">
        <w:r w:rsidR="009D5837" w:rsidRPr="00B74567">
          <w:rPr>
            <w:rStyle w:val="Hyperlink"/>
            <w:rFonts w:ascii="Verdana" w:hAnsi="Verdana"/>
            <w:i/>
            <w:noProof/>
            <w:sz w:val="20"/>
            <w:szCs w:val="20"/>
            <w:lang w:val="es-MX"/>
          </w:rPr>
          <w:t>1.2.3. Necesidad de la restricción y debida motivación</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_Toc498333505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40</w:t>
        </w:r>
        <w:r w:rsidR="009D5837" w:rsidRPr="00B74567">
          <w:rPr>
            <w:rFonts w:ascii="Verdana" w:hAnsi="Verdana"/>
            <w:noProof/>
            <w:webHidden/>
            <w:sz w:val="20"/>
            <w:szCs w:val="20"/>
          </w:rPr>
          <w:fldChar w:fldCharType="end"/>
        </w:r>
      </w:hyperlink>
    </w:p>
    <w:p w14:paraId="604A2AFA"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6" w:history="1">
        <w:r w:rsidR="009D5837" w:rsidRPr="00B74567">
          <w:rPr>
            <w:rStyle w:val="Hyperlink"/>
            <w:rFonts w:ascii="Verdana" w:hAnsi="Verdana"/>
            <w:i/>
            <w:noProof/>
            <w:sz w:val="20"/>
            <w:szCs w:val="20"/>
          </w:rPr>
          <w:t>2.</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Vulneración a la estabilidad laboral</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_Toc498333506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42</w:t>
        </w:r>
        <w:r w:rsidR="009D5837" w:rsidRPr="00B74567">
          <w:rPr>
            <w:rFonts w:ascii="Verdana" w:hAnsi="Verdana"/>
            <w:noProof/>
            <w:webHidden/>
            <w:sz w:val="20"/>
            <w:szCs w:val="20"/>
          </w:rPr>
          <w:fldChar w:fldCharType="end"/>
        </w:r>
      </w:hyperlink>
    </w:p>
    <w:p w14:paraId="185FAF96"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7" w:history="1">
        <w:r w:rsidR="009D5837" w:rsidRPr="00B74567">
          <w:rPr>
            <w:rStyle w:val="Hyperlink"/>
            <w:rFonts w:ascii="Verdana" w:hAnsi="Verdana"/>
            <w:i/>
            <w:noProof/>
            <w:sz w:val="20"/>
            <w:szCs w:val="20"/>
          </w:rPr>
          <w:t>2.1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Alegatos relativos a derechos laborales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_Toc498333507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42</w:t>
        </w:r>
        <w:r w:rsidR="009D5837" w:rsidRPr="00B74567">
          <w:rPr>
            <w:rFonts w:ascii="Verdana" w:hAnsi="Verdana"/>
            <w:noProof/>
            <w:webHidden/>
            <w:sz w:val="20"/>
            <w:szCs w:val="20"/>
          </w:rPr>
          <w:fldChar w:fldCharType="end"/>
        </w:r>
      </w:hyperlink>
    </w:p>
    <w:p w14:paraId="29DFBD26"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8" w:history="1">
        <w:r w:rsidR="009D5837" w:rsidRPr="00B74567">
          <w:rPr>
            <w:rStyle w:val="Hyperlink"/>
            <w:rFonts w:ascii="Verdana" w:hAnsi="Verdana"/>
            <w:i/>
            <w:noProof/>
            <w:sz w:val="20"/>
            <w:szCs w:val="20"/>
          </w:rPr>
          <w:t>2.2</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El derecho a la estabilidad laboral como derecho protegido</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_Toc498333508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46</w:t>
        </w:r>
        <w:r w:rsidR="009D5837" w:rsidRPr="00B74567">
          <w:rPr>
            <w:rFonts w:ascii="Verdana" w:hAnsi="Verdana"/>
            <w:noProof/>
            <w:webHidden/>
            <w:sz w:val="20"/>
            <w:szCs w:val="20"/>
          </w:rPr>
          <w:fldChar w:fldCharType="end"/>
        </w:r>
      </w:hyperlink>
    </w:p>
    <w:p w14:paraId="0768225D"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09" w:history="1">
        <w:r w:rsidR="009D5837" w:rsidRPr="00B74567">
          <w:rPr>
            <w:rStyle w:val="Hyperlink"/>
            <w:rFonts w:ascii="Verdana" w:hAnsi="Verdana"/>
            <w:i/>
            <w:noProof/>
            <w:sz w:val="20"/>
            <w:szCs w:val="20"/>
            <w:lang w:val="es-MX"/>
          </w:rPr>
          <w:t>3.</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Afectaciones a la libertad de asociación</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_Toc498333509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51</w:t>
        </w:r>
        <w:r w:rsidR="009D5837" w:rsidRPr="00B74567">
          <w:rPr>
            <w:rFonts w:ascii="Verdana" w:hAnsi="Verdana"/>
            <w:noProof/>
            <w:webHidden/>
            <w:sz w:val="20"/>
            <w:szCs w:val="20"/>
          </w:rPr>
          <w:fldChar w:fldCharType="end"/>
        </w:r>
      </w:hyperlink>
    </w:p>
    <w:p w14:paraId="40FB0F2B"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10" w:history="1">
        <w:r w:rsidR="009D5837" w:rsidRPr="00B74567">
          <w:rPr>
            <w:rStyle w:val="Hyperlink"/>
            <w:rFonts w:ascii="Verdana" w:hAnsi="Verdana"/>
            <w:i/>
            <w:noProof/>
            <w:sz w:val="20"/>
            <w:szCs w:val="20"/>
            <w:lang w:val="es-MX"/>
          </w:rPr>
          <w:t>4.</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Deber de adoptar disposiciones de derecho interno</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_Toc498333510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54</w:t>
        </w:r>
        <w:r w:rsidR="009D5837" w:rsidRPr="00B74567">
          <w:rPr>
            <w:rFonts w:ascii="Verdana" w:hAnsi="Verdana"/>
            <w:noProof/>
            <w:webHidden/>
            <w:sz w:val="20"/>
            <w:szCs w:val="20"/>
          </w:rPr>
          <w:fldChar w:fldCharType="end"/>
        </w:r>
      </w:hyperlink>
    </w:p>
    <w:p w14:paraId="7A81C619"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11" w:history="1">
        <w:r w:rsidR="009D5837" w:rsidRPr="00B74567">
          <w:rPr>
            <w:rStyle w:val="Hyperlink"/>
            <w:rFonts w:ascii="Verdana" w:hAnsi="Verdana"/>
            <w:i/>
            <w:noProof/>
            <w:sz w:val="20"/>
            <w:szCs w:val="20"/>
          </w:rPr>
          <w:t>5.</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Conclusión General</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_Toc498333511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54</w:t>
        </w:r>
        <w:r w:rsidR="009D5837" w:rsidRPr="00B74567">
          <w:rPr>
            <w:rFonts w:ascii="Verdana" w:hAnsi="Verdana"/>
            <w:noProof/>
            <w:webHidden/>
            <w:sz w:val="20"/>
            <w:szCs w:val="20"/>
          </w:rPr>
          <w:fldChar w:fldCharType="end"/>
        </w:r>
      </w:hyperlink>
    </w:p>
    <w:p w14:paraId="6FA0C12B" w14:textId="70480073" w:rsidR="009D5837" w:rsidRPr="00B74567" w:rsidRDefault="00D86616" w:rsidP="009D5837">
      <w:pPr>
        <w:pStyle w:val="TOC1"/>
        <w:rPr>
          <w:rStyle w:val="Hyperlink"/>
          <w:rFonts w:eastAsiaTheme="minorEastAsia" w:cstheme="minorBidi"/>
          <w:b w:val="0"/>
          <w:caps w:val="0"/>
          <w:snapToGrid/>
          <w:color w:val="auto"/>
          <w:u w:val="none"/>
          <w:lang w:val="es-CR" w:eastAsia="es-CR"/>
        </w:rPr>
      </w:pPr>
      <w:hyperlink w:anchor="_Toc498333512" w:history="1">
        <w:r w:rsidR="009D5837" w:rsidRPr="00B74567">
          <w:rPr>
            <w:rStyle w:val="Hyperlink"/>
            <w:rFonts w:cs="Verdana"/>
          </w:rPr>
          <w:t>VII-2</w:t>
        </w:r>
      </w:hyperlink>
      <w:r w:rsidR="009D5837" w:rsidRPr="00B74567">
        <w:rPr>
          <w:rStyle w:val="Hyperlink"/>
          <w:u w:val="none"/>
        </w:rPr>
        <w:t xml:space="preserve">  </w:t>
      </w:r>
      <w:hyperlink w:anchor="_Toc498333513" w:history="1">
        <w:r w:rsidR="009D5837" w:rsidRPr="00B74567">
          <w:rPr>
            <w:rStyle w:val="Hyperlink"/>
            <w:rFonts w:cs="Verdana"/>
          </w:rPr>
          <w:t>ACCESO A LA JUSTICIA</w:t>
        </w:r>
      </w:hyperlink>
      <w:r w:rsidR="009D5837" w:rsidRPr="00B74567">
        <w:rPr>
          <w:rStyle w:val="Hyperlink"/>
        </w:rPr>
        <w:t xml:space="preserve"> </w:t>
      </w:r>
    </w:p>
    <w:p w14:paraId="6B2C1896" w14:textId="051F7A39" w:rsidR="009D5837" w:rsidRPr="00B74567" w:rsidRDefault="00D86616" w:rsidP="009D5837">
      <w:pPr>
        <w:pStyle w:val="TOC1"/>
        <w:rPr>
          <w:rFonts w:eastAsiaTheme="minorEastAsia" w:cstheme="minorBidi"/>
          <w:snapToGrid/>
          <w:lang w:val="es-CR" w:eastAsia="es-CR"/>
        </w:rPr>
      </w:pPr>
      <w:hyperlink w:anchor="_Toc498333514" w:history="1">
        <w:r w:rsidR="009D5837" w:rsidRPr="00B74567">
          <w:rPr>
            <w:rStyle w:val="Hyperlink"/>
            <w:rFonts w:cs="Verdana"/>
          </w:rPr>
          <w:t>(ARTÍCULOS 8 y 25 DE LA CONVENCION AMERICANA)</w:t>
        </w:r>
        <w:r w:rsidR="009D5837" w:rsidRPr="00B74567">
          <w:rPr>
            <w:webHidden/>
          </w:rPr>
          <w:tab/>
        </w:r>
        <w:r w:rsidR="009D5837" w:rsidRPr="00B74567">
          <w:rPr>
            <w:webHidden/>
          </w:rPr>
          <w:fldChar w:fldCharType="begin"/>
        </w:r>
        <w:r w:rsidR="009D5837" w:rsidRPr="00B74567">
          <w:rPr>
            <w:webHidden/>
          </w:rPr>
          <w:instrText xml:space="preserve"> PAGEREF _Toc498333514 \h </w:instrText>
        </w:r>
        <w:r w:rsidR="009D5837" w:rsidRPr="00B74567">
          <w:rPr>
            <w:webHidden/>
          </w:rPr>
        </w:r>
        <w:r w:rsidR="009D5837" w:rsidRPr="00B74567">
          <w:rPr>
            <w:webHidden/>
          </w:rPr>
          <w:fldChar w:fldCharType="separate"/>
        </w:r>
        <w:r w:rsidR="005810EE">
          <w:rPr>
            <w:webHidden/>
          </w:rPr>
          <w:t>54</w:t>
        </w:r>
        <w:r w:rsidR="009D5837" w:rsidRPr="00B74567">
          <w:rPr>
            <w:webHidden/>
          </w:rPr>
          <w:fldChar w:fldCharType="end"/>
        </w:r>
      </w:hyperlink>
    </w:p>
    <w:p w14:paraId="15B816AD"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515" w:history="1">
        <w:r w:rsidR="009D5837" w:rsidRPr="00B74567">
          <w:rPr>
            <w:rStyle w:val="Hyperlink"/>
            <w:rFonts w:ascii="Verdana" w:hAnsi="Verdana"/>
            <w:i/>
            <w:noProof/>
            <w:sz w:val="20"/>
            <w:szCs w:val="20"/>
          </w:rPr>
          <w:t>A.</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Argumentos de las partes y de la Comisión</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_Toc498333515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54</w:t>
        </w:r>
        <w:r w:rsidR="009D5837" w:rsidRPr="00B74567">
          <w:rPr>
            <w:rFonts w:ascii="Verdana" w:hAnsi="Verdana"/>
            <w:noProof/>
            <w:webHidden/>
            <w:sz w:val="20"/>
            <w:szCs w:val="20"/>
          </w:rPr>
          <w:fldChar w:fldCharType="end"/>
        </w:r>
      </w:hyperlink>
    </w:p>
    <w:p w14:paraId="524A98C7"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516" w:history="1">
        <w:r w:rsidR="009D5837" w:rsidRPr="00B74567">
          <w:rPr>
            <w:rStyle w:val="Hyperlink"/>
            <w:rFonts w:ascii="Verdana" w:hAnsi="Verdana"/>
            <w:i/>
            <w:noProof/>
            <w:sz w:val="20"/>
            <w:szCs w:val="20"/>
          </w:rPr>
          <w:t>B.</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Consideraciones de la Corte</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_Toc498333516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55</w:t>
        </w:r>
        <w:r w:rsidR="009D5837" w:rsidRPr="00B74567">
          <w:rPr>
            <w:rFonts w:ascii="Verdana" w:hAnsi="Verdana"/>
            <w:noProof/>
            <w:webHidden/>
            <w:sz w:val="20"/>
            <w:szCs w:val="20"/>
          </w:rPr>
          <w:fldChar w:fldCharType="end"/>
        </w:r>
      </w:hyperlink>
    </w:p>
    <w:p w14:paraId="12D3F166"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17" w:history="1">
        <w:r w:rsidR="009D5837" w:rsidRPr="00B74567">
          <w:rPr>
            <w:rStyle w:val="Hyperlink"/>
            <w:rFonts w:ascii="Verdana" w:hAnsi="Verdana"/>
            <w:i/>
            <w:noProof/>
            <w:sz w:val="20"/>
            <w:szCs w:val="20"/>
          </w:rPr>
          <w:t>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cs="Verdana"/>
            <w:i/>
            <w:noProof/>
            <w:sz w:val="20"/>
            <w:szCs w:val="20"/>
            <w:lang w:val="es-MX" w:eastAsia="es-MX"/>
          </w:rPr>
          <w:t>El acceso a la justicia para tutelar la estabilidad laboral, como derecho reconocido en la Constitución</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_Toc498333517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56</w:t>
        </w:r>
        <w:r w:rsidR="009D5837" w:rsidRPr="00B74567">
          <w:rPr>
            <w:rFonts w:ascii="Verdana" w:hAnsi="Verdana"/>
            <w:noProof/>
            <w:webHidden/>
            <w:sz w:val="20"/>
            <w:szCs w:val="20"/>
          </w:rPr>
          <w:fldChar w:fldCharType="end"/>
        </w:r>
      </w:hyperlink>
    </w:p>
    <w:p w14:paraId="67E08721"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18" w:history="1">
        <w:r w:rsidR="009D5837" w:rsidRPr="00B74567">
          <w:rPr>
            <w:rStyle w:val="Hyperlink"/>
            <w:rFonts w:ascii="Verdana" w:hAnsi="Verdana"/>
            <w:i/>
            <w:noProof/>
            <w:sz w:val="20"/>
            <w:szCs w:val="20"/>
            <w:lang w:val="es-MX"/>
          </w:rPr>
          <w:t>2.</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Conclusión</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_Toc498333518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60</w:t>
        </w:r>
        <w:r w:rsidR="009D5837" w:rsidRPr="00B74567">
          <w:rPr>
            <w:rFonts w:ascii="Verdana" w:hAnsi="Verdana"/>
            <w:noProof/>
            <w:webHidden/>
            <w:sz w:val="20"/>
            <w:szCs w:val="20"/>
          </w:rPr>
          <w:fldChar w:fldCharType="end"/>
        </w:r>
      </w:hyperlink>
    </w:p>
    <w:p w14:paraId="2654B428" w14:textId="720FFCB3" w:rsidR="009D5837" w:rsidRPr="00B74567" w:rsidRDefault="00D86616" w:rsidP="009D5837">
      <w:pPr>
        <w:pStyle w:val="TOC1"/>
        <w:rPr>
          <w:rFonts w:eastAsiaTheme="minorEastAsia" w:cstheme="minorBidi"/>
          <w:snapToGrid/>
          <w:lang w:val="es-CR" w:eastAsia="es-CR"/>
        </w:rPr>
      </w:pPr>
      <w:hyperlink w:anchor="_Toc498333519" w:history="1">
        <w:r w:rsidR="009D5837" w:rsidRPr="00B74567">
          <w:rPr>
            <w:rStyle w:val="Hyperlink"/>
            <w:rFonts w:cs="Verdana"/>
          </w:rPr>
          <w:t>VIII</w:t>
        </w:r>
      </w:hyperlink>
      <w:r w:rsidR="009D5837" w:rsidRPr="00B74567">
        <w:rPr>
          <w:rStyle w:val="Hyperlink"/>
          <w:u w:val="none"/>
        </w:rPr>
        <w:t xml:space="preserve">  </w:t>
      </w:r>
      <w:hyperlink w:anchor="_Toc498333520" w:history="1">
        <w:r w:rsidR="009D5837" w:rsidRPr="00B74567">
          <w:rPr>
            <w:rStyle w:val="Hyperlink"/>
            <w:rFonts w:cs="Verdana"/>
          </w:rPr>
          <w:t>REPARACIONES</w:t>
        </w:r>
        <w:r w:rsidR="009D5837" w:rsidRPr="00B74567">
          <w:rPr>
            <w:webHidden/>
          </w:rPr>
          <w:tab/>
        </w:r>
        <w:r w:rsidR="009D5837" w:rsidRPr="00B74567">
          <w:rPr>
            <w:webHidden/>
          </w:rPr>
          <w:fldChar w:fldCharType="begin"/>
        </w:r>
        <w:r w:rsidR="009D5837" w:rsidRPr="00B74567">
          <w:rPr>
            <w:webHidden/>
          </w:rPr>
          <w:instrText xml:space="preserve"> PAGEREF _Toc498333520 \h </w:instrText>
        </w:r>
        <w:r w:rsidR="009D5837" w:rsidRPr="00B74567">
          <w:rPr>
            <w:webHidden/>
          </w:rPr>
        </w:r>
        <w:r w:rsidR="009D5837" w:rsidRPr="00B74567">
          <w:rPr>
            <w:webHidden/>
          </w:rPr>
          <w:fldChar w:fldCharType="separate"/>
        </w:r>
        <w:r w:rsidR="005810EE">
          <w:rPr>
            <w:webHidden/>
          </w:rPr>
          <w:t>61</w:t>
        </w:r>
        <w:r w:rsidR="009D5837" w:rsidRPr="00B74567">
          <w:rPr>
            <w:webHidden/>
          </w:rPr>
          <w:fldChar w:fldCharType="end"/>
        </w:r>
      </w:hyperlink>
    </w:p>
    <w:p w14:paraId="1A9024C5" w14:textId="77777777" w:rsidR="009D5837" w:rsidRPr="00B74567" w:rsidRDefault="00D86616" w:rsidP="009D5837">
      <w:pPr>
        <w:pStyle w:val="TOC1"/>
        <w:rPr>
          <w:rFonts w:eastAsiaTheme="minorEastAsia" w:cstheme="minorBidi"/>
          <w:snapToGrid/>
          <w:lang w:val="es-CR" w:eastAsia="es-CR"/>
        </w:rPr>
      </w:pPr>
      <w:hyperlink w:anchor="_Toc498333521" w:history="1">
        <w:r w:rsidR="009D5837" w:rsidRPr="00B74567">
          <w:rPr>
            <w:rStyle w:val="Hyperlink"/>
            <w:rFonts w:cs="Verdana"/>
          </w:rPr>
          <w:t>(Aplicación del artículo 63.1 de la Convención Americana)</w:t>
        </w:r>
        <w:r w:rsidR="009D5837" w:rsidRPr="00B74567">
          <w:rPr>
            <w:webHidden/>
          </w:rPr>
          <w:tab/>
        </w:r>
        <w:r w:rsidR="009D5837" w:rsidRPr="00B74567">
          <w:rPr>
            <w:webHidden/>
          </w:rPr>
          <w:fldChar w:fldCharType="begin"/>
        </w:r>
        <w:r w:rsidR="009D5837" w:rsidRPr="00B74567">
          <w:rPr>
            <w:webHidden/>
          </w:rPr>
          <w:instrText xml:space="preserve"> PAGEREF _Toc498333521 \h </w:instrText>
        </w:r>
        <w:r w:rsidR="009D5837" w:rsidRPr="00B74567">
          <w:rPr>
            <w:webHidden/>
          </w:rPr>
        </w:r>
        <w:r w:rsidR="009D5837" w:rsidRPr="00B74567">
          <w:rPr>
            <w:webHidden/>
          </w:rPr>
          <w:fldChar w:fldCharType="separate"/>
        </w:r>
        <w:r w:rsidR="005810EE">
          <w:rPr>
            <w:webHidden/>
          </w:rPr>
          <w:t>61</w:t>
        </w:r>
        <w:r w:rsidR="009D5837" w:rsidRPr="00B74567">
          <w:rPr>
            <w:webHidden/>
          </w:rPr>
          <w:fldChar w:fldCharType="end"/>
        </w:r>
      </w:hyperlink>
    </w:p>
    <w:p w14:paraId="26DF62EC"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522" w:history="1">
        <w:r w:rsidR="009D5837" w:rsidRPr="00B74567">
          <w:rPr>
            <w:rStyle w:val="Hyperlink"/>
            <w:rFonts w:ascii="Verdana" w:hAnsi="Verdana"/>
            <w:i/>
            <w:noProof/>
            <w:sz w:val="20"/>
            <w:szCs w:val="20"/>
          </w:rPr>
          <w:t>A.</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Parte lesionada</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_Toc498333522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61</w:t>
        </w:r>
        <w:r w:rsidR="009D5837" w:rsidRPr="00B74567">
          <w:rPr>
            <w:rFonts w:ascii="Verdana" w:hAnsi="Verdana"/>
            <w:noProof/>
            <w:webHidden/>
            <w:sz w:val="20"/>
            <w:szCs w:val="20"/>
          </w:rPr>
          <w:fldChar w:fldCharType="end"/>
        </w:r>
      </w:hyperlink>
    </w:p>
    <w:p w14:paraId="62E2CAE7"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523" w:history="1">
        <w:r w:rsidR="009D5837" w:rsidRPr="00B74567">
          <w:rPr>
            <w:rStyle w:val="Hyperlink"/>
            <w:rFonts w:ascii="Verdana" w:hAnsi="Verdana"/>
            <w:i/>
            <w:noProof/>
            <w:sz w:val="20"/>
            <w:szCs w:val="20"/>
          </w:rPr>
          <w:t>B.</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Medidas de satisfacción</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_Toc498333523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61</w:t>
        </w:r>
        <w:r w:rsidR="009D5837" w:rsidRPr="00B74567">
          <w:rPr>
            <w:rFonts w:ascii="Verdana" w:hAnsi="Verdana"/>
            <w:noProof/>
            <w:webHidden/>
            <w:sz w:val="20"/>
            <w:szCs w:val="20"/>
          </w:rPr>
          <w:fldChar w:fldCharType="end"/>
        </w:r>
      </w:hyperlink>
    </w:p>
    <w:p w14:paraId="318EF196"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24" w:history="1">
        <w:r w:rsidR="009D5837" w:rsidRPr="00B74567">
          <w:rPr>
            <w:rStyle w:val="Hyperlink"/>
            <w:rFonts w:ascii="Verdana" w:hAnsi="Verdana"/>
            <w:i/>
            <w:noProof/>
            <w:sz w:val="20"/>
            <w:szCs w:val="20"/>
            <w:lang w:val="es-MX"/>
          </w:rPr>
          <w:t>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Publicaciones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_Toc498333524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61</w:t>
        </w:r>
        <w:r w:rsidR="009D5837" w:rsidRPr="00B74567">
          <w:rPr>
            <w:rFonts w:ascii="Verdana" w:hAnsi="Verdana"/>
            <w:noProof/>
            <w:webHidden/>
            <w:sz w:val="20"/>
            <w:szCs w:val="20"/>
          </w:rPr>
          <w:fldChar w:fldCharType="end"/>
        </w:r>
      </w:hyperlink>
    </w:p>
    <w:p w14:paraId="53D6D006"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525" w:history="1">
        <w:r w:rsidR="009D5837" w:rsidRPr="00B74567">
          <w:rPr>
            <w:rStyle w:val="Hyperlink"/>
            <w:rFonts w:ascii="Verdana" w:hAnsi="Verdana"/>
            <w:i/>
            <w:noProof/>
            <w:sz w:val="20"/>
            <w:szCs w:val="20"/>
          </w:rPr>
          <w:t>C.</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Otras medidas solicitadas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_Toc498333525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62</w:t>
        </w:r>
        <w:r w:rsidR="009D5837" w:rsidRPr="00B74567">
          <w:rPr>
            <w:rFonts w:ascii="Verdana" w:hAnsi="Verdana"/>
            <w:noProof/>
            <w:webHidden/>
            <w:sz w:val="20"/>
            <w:szCs w:val="20"/>
          </w:rPr>
          <w:fldChar w:fldCharType="end"/>
        </w:r>
      </w:hyperlink>
    </w:p>
    <w:p w14:paraId="72F7496C"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526" w:history="1">
        <w:r w:rsidR="009D5837" w:rsidRPr="00B74567">
          <w:rPr>
            <w:rStyle w:val="Hyperlink"/>
            <w:rFonts w:ascii="Verdana" w:hAnsi="Verdana"/>
            <w:i/>
            <w:noProof/>
            <w:sz w:val="20"/>
            <w:szCs w:val="20"/>
          </w:rPr>
          <w:t>D.</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Indemnización compensatoria</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_Toc498333526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63</w:t>
        </w:r>
        <w:r w:rsidR="009D5837" w:rsidRPr="00B74567">
          <w:rPr>
            <w:rFonts w:ascii="Verdana" w:hAnsi="Verdana"/>
            <w:noProof/>
            <w:webHidden/>
            <w:sz w:val="20"/>
            <w:szCs w:val="20"/>
          </w:rPr>
          <w:fldChar w:fldCharType="end"/>
        </w:r>
      </w:hyperlink>
    </w:p>
    <w:p w14:paraId="13C8ACDF"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27" w:history="1">
        <w:r w:rsidR="009D5837" w:rsidRPr="00B74567">
          <w:rPr>
            <w:rStyle w:val="Hyperlink"/>
            <w:rFonts w:ascii="Verdana" w:hAnsi="Verdana"/>
            <w:i/>
            <w:noProof/>
            <w:sz w:val="20"/>
            <w:szCs w:val="20"/>
            <w:lang w:val="es-MX"/>
          </w:rPr>
          <w:t>1.</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Daño material</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_Toc498333527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64</w:t>
        </w:r>
        <w:r w:rsidR="009D5837" w:rsidRPr="00B74567">
          <w:rPr>
            <w:rFonts w:ascii="Verdana" w:hAnsi="Verdana"/>
            <w:noProof/>
            <w:webHidden/>
            <w:sz w:val="20"/>
            <w:szCs w:val="20"/>
          </w:rPr>
          <w:fldChar w:fldCharType="end"/>
        </w:r>
      </w:hyperlink>
    </w:p>
    <w:p w14:paraId="149CAB6D" w14:textId="77777777" w:rsidR="009D5837" w:rsidRPr="00B74567" w:rsidRDefault="00D86616" w:rsidP="009D5837">
      <w:pPr>
        <w:pStyle w:val="TOC3"/>
        <w:tabs>
          <w:tab w:val="clear" w:pos="8828"/>
          <w:tab w:val="right" w:leader="dot" w:pos="8931"/>
        </w:tabs>
        <w:rPr>
          <w:rFonts w:ascii="Verdana" w:eastAsiaTheme="minorEastAsia" w:hAnsi="Verdana" w:cstheme="minorBidi"/>
          <w:noProof/>
          <w:sz w:val="20"/>
          <w:szCs w:val="20"/>
          <w:lang w:val="es-CR" w:eastAsia="es-CR"/>
        </w:rPr>
      </w:pPr>
      <w:hyperlink w:anchor="_Toc498333528" w:history="1">
        <w:r w:rsidR="009D5837" w:rsidRPr="00B74567">
          <w:rPr>
            <w:rStyle w:val="Hyperlink"/>
            <w:rFonts w:ascii="Verdana" w:hAnsi="Verdana"/>
            <w:i/>
            <w:noProof/>
            <w:sz w:val="20"/>
            <w:szCs w:val="20"/>
            <w:lang w:val="es-MX"/>
          </w:rPr>
          <w:t>2.</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lang w:val="es-MX"/>
          </w:rPr>
          <w:t>Daño inmaterial</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_Toc498333528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65</w:t>
        </w:r>
        <w:r w:rsidR="009D5837" w:rsidRPr="00B74567">
          <w:rPr>
            <w:rFonts w:ascii="Verdana" w:hAnsi="Verdana"/>
            <w:noProof/>
            <w:webHidden/>
            <w:sz w:val="20"/>
            <w:szCs w:val="20"/>
          </w:rPr>
          <w:fldChar w:fldCharType="end"/>
        </w:r>
      </w:hyperlink>
    </w:p>
    <w:p w14:paraId="596921DA"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529" w:history="1">
        <w:r w:rsidR="009D5837" w:rsidRPr="00B74567">
          <w:rPr>
            <w:rStyle w:val="Hyperlink"/>
            <w:rFonts w:ascii="Verdana" w:hAnsi="Verdana"/>
            <w:i/>
            <w:noProof/>
            <w:sz w:val="20"/>
            <w:szCs w:val="20"/>
          </w:rPr>
          <w:t>E.</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Costas y gastos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_Toc498333529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66</w:t>
        </w:r>
        <w:r w:rsidR="009D5837" w:rsidRPr="00B74567">
          <w:rPr>
            <w:rFonts w:ascii="Verdana" w:hAnsi="Verdana"/>
            <w:noProof/>
            <w:webHidden/>
            <w:sz w:val="20"/>
            <w:szCs w:val="20"/>
          </w:rPr>
          <w:fldChar w:fldCharType="end"/>
        </w:r>
      </w:hyperlink>
    </w:p>
    <w:p w14:paraId="31449D4F"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530" w:history="1">
        <w:r w:rsidR="009D5837" w:rsidRPr="00B74567">
          <w:rPr>
            <w:rStyle w:val="Hyperlink"/>
            <w:rFonts w:ascii="Verdana" w:hAnsi="Verdana"/>
            <w:i/>
            <w:noProof/>
            <w:sz w:val="20"/>
            <w:szCs w:val="20"/>
          </w:rPr>
          <w:t>F.</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Reintegro de los gastos al Fondo de Asistencia Legal de Víctimas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_Toc498333530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67</w:t>
        </w:r>
        <w:r w:rsidR="009D5837" w:rsidRPr="00B74567">
          <w:rPr>
            <w:rFonts w:ascii="Verdana" w:hAnsi="Verdana"/>
            <w:noProof/>
            <w:webHidden/>
            <w:sz w:val="20"/>
            <w:szCs w:val="20"/>
          </w:rPr>
          <w:fldChar w:fldCharType="end"/>
        </w:r>
      </w:hyperlink>
    </w:p>
    <w:p w14:paraId="3053B5DE" w14:textId="77777777" w:rsidR="009D5837" w:rsidRPr="00B74567" w:rsidRDefault="00D86616" w:rsidP="00167383">
      <w:pPr>
        <w:pStyle w:val="TOC2"/>
        <w:rPr>
          <w:rFonts w:ascii="Verdana" w:eastAsiaTheme="minorEastAsia" w:hAnsi="Verdana" w:cstheme="minorBidi"/>
          <w:noProof/>
          <w:sz w:val="20"/>
          <w:szCs w:val="20"/>
          <w:lang w:val="es-CR" w:eastAsia="es-CR"/>
        </w:rPr>
      </w:pPr>
      <w:hyperlink w:anchor="_Toc498333531" w:history="1">
        <w:r w:rsidR="009D5837" w:rsidRPr="00B74567">
          <w:rPr>
            <w:rStyle w:val="Hyperlink"/>
            <w:rFonts w:ascii="Verdana" w:hAnsi="Verdana"/>
            <w:i/>
            <w:noProof/>
            <w:sz w:val="20"/>
            <w:szCs w:val="20"/>
          </w:rPr>
          <w:t>G.</w:t>
        </w:r>
        <w:r w:rsidR="009D5837" w:rsidRPr="00B74567">
          <w:rPr>
            <w:rFonts w:ascii="Verdana" w:eastAsiaTheme="minorEastAsia" w:hAnsi="Verdana" w:cstheme="minorBidi"/>
            <w:noProof/>
            <w:sz w:val="20"/>
            <w:szCs w:val="20"/>
            <w:lang w:val="es-CR" w:eastAsia="es-CR"/>
          </w:rPr>
          <w:tab/>
        </w:r>
        <w:r w:rsidR="009D5837" w:rsidRPr="00B74567">
          <w:rPr>
            <w:rStyle w:val="Hyperlink"/>
            <w:rFonts w:ascii="Verdana" w:hAnsi="Verdana"/>
            <w:i/>
            <w:noProof/>
            <w:sz w:val="20"/>
            <w:szCs w:val="20"/>
          </w:rPr>
          <w:t>Modalidad de cumplimiento de los pagos ordenados</w:t>
        </w:r>
        <w:r w:rsidR="009D5837" w:rsidRPr="00B74567">
          <w:rPr>
            <w:rFonts w:ascii="Verdana" w:hAnsi="Verdana"/>
            <w:noProof/>
            <w:webHidden/>
            <w:sz w:val="20"/>
            <w:szCs w:val="20"/>
          </w:rPr>
          <w:tab/>
        </w:r>
        <w:r w:rsidR="009D5837" w:rsidRPr="00B74567">
          <w:rPr>
            <w:rFonts w:ascii="Verdana" w:hAnsi="Verdana"/>
            <w:noProof/>
            <w:webHidden/>
            <w:sz w:val="20"/>
            <w:szCs w:val="20"/>
          </w:rPr>
          <w:fldChar w:fldCharType="begin"/>
        </w:r>
        <w:r w:rsidR="009D5837" w:rsidRPr="00B74567">
          <w:rPr>
            <w:rFonts w:ascii="Verdana" w:hAnsi="Verdana"/>
            <w:noProof/>
            <w:webHidden/>
            <w:sz w:val="20"/>
            <w:szCs w:val="20"/>
          </w:rPr>
          <w:instrText xml:space="preserve"> PAGEREF _Toc498333531 \h </w:instrText>
        </w:r>
        <w:r w:rsidR="009D5837" w:rsidRPr="00B74567">
          <w:rPr>
            <w:rFonts w:ascii="Verdana" w:hAnsi="Verdana"/>
            <w:noProof/>
            <w:webHidden/>
            <w:sz w:val="20"/>
            <w:szCs w:val="20"/>
          </w:rPr>
        </w:r>
        <w:r w:rsidR="009D5837" w:rsidRPr="00B74567">
          <w:rPr>
            <w:rFonts w:ascii="Verdana" w:hAnsi="Verdana"/>
            <w:noProof/>
            <w:webHidden/>
            <w:sz w:val="20"/>
            <w:szCs w:val="20"/>
          </w:rPr>
          <w:fldChar w:fldCharType="separate"/>
        </w:r>
        <w:r w:rsidR="005810EE">
          <w:rPr>
            <w:rFonts w:ascii="Verdana" w:hAnsi="Verdana"/>
            <w:noProof/>
            <w:webHidden/>
            <w:sz w:val="20"/>
            <w:szCs w:val="20"/>
          </w:rPr>
          <w:t>68</w:t>
        </w:r>
        <w:r w:rsidR="009D5837" w:rsidRPr="00B74567">
          <w:rPr>
            <w:rFonts w:ascii="Verdana" w:hAnsi="Verdana"/>
            <w:noProof/>
            <w:webHidden/>
            <w:sz w:val="20"/>
            <w:szCs w:val="20"/>
          </w:rPr>
          <w:fldChar w:fldCharType="end"/>
        </w:r>
      </w:hyperlink>
    </w:p>
    <w:p w14:paraId="1674DB25" w14:textId="77777777" w:rsidR="009D5837" w:rsidRDefault="00D86616" w:rsidP="009D5837">
      <w:pPr>
        <w:pStyle w:val="TOC1"/>
        <w:rPr>
          <w:rFonts w:asciiTheme="minorHAnsi" w:eastAsiaTheme="minorEastAsia" w:hAnsiTheme="minorHAnsi" w:cstheme="minorBidi"/>
          <w:snapToGrid/>
          <w:sz w:val="22"/>
          <w:szCs w:val="22"/>
          <w:lang w:val="es-CR" w:eastAsia="es-CR"/>
        </w:rPr>
      </w:pPr>
      <w:hyperlink w:anchor="_Toc498333532" w:history="1">
        <w:r w:rsidR="009D5837" w:rsidRPr="00B74567">
          <w:rPr>
            <w:rStyle w:val="Hyperlink"/>
            <w:rFonts w:cs="Verdana"/>
          </w:rPr>
          <w:t>IX PUNTOS RESOLUTIVOS</w:t>
        </w:r>
        <w:r w:rsidR="009D5837" w:rsidRPr="00B74567">
          <w:rPr>
            <w:webHidden/>
          </w:rPr>
          <w:tab/>
        </w:r>
        <w:r w:rsidR="009D5837" w:rsidRPr="00B74567">
          <w:rPr>
            <w:webHidden/>
          </w:rPr>
          <w:fldChar w:fldCharType="begin"/>
        </w:r>
        <w:r w:rsidR="009D5837" w:rsidRPr="00B74567">
          <w:rPr>
            <w:webHidden/>
          </w:rPr>
          <w:instrText xml:space="preserve"> PAGEREF _Toc498333532 \h </w:instrText>
        </w:r>
        <w:r w:rsidR="009D5837" w:rsidRPr="00B74567">
          <w:rPr>
            <w:webHidden/>
          </w:rPr>
        </w:r>
        <w:r w:rsidR="009D5837" w:rsidRPr="00B74567">
          <w:rPr>
            <w:webHidden/>
          </w:rPr>
          <w:fldChar w:fldCharType="separate"/>
        </w:r>
        <w:r w:rsidR="005810EE">
          <w:rPr>
            <w:webHidden/>
          </w:rPr>
          <w:t>68</w:t>
        </w:r>
        <w:r w:rsidR="009D5837" w:rsidRPr="00B74567">
          <w:rPr>
            <w:webHidden/>
          </w:rPr>
          <w:fldChar w:fldCharType="end"/>
        </w:r>
      </w:hyperlink>
    </w:p>
    <w:p w14:paraId="16A8882A" w14:textId="77777777" w:rsidR="00240326" w:rsidRDefault="006F79F4" w:rsidP="009D5837">
      <w:pPr>
        <w:tabs>
          <w:tab w:val="left" w:pos="0"/>
          <w:tab w:val="left" w:pos="8730"/>
          <w:tab w:val="right" w:leader="dot" w:pos="8789"/>
          <w:tab w:val="left" w:pos="8931"/>
          <w:tab w:val="left" w:pos="9639"/>
          <w:tab w:val="right" w:leader="dot" w:pos="10065"/>
        </w:tabs>
        <w:ind w:right="815"/>
        <w:jc w:val="both"/>
        <w:rPr>
          <w:rFonts w:ascii="Verdana" w:hAnsi="Verdana" w:cs="Verdana"/>
          <w:b/>
          <w:caps/>
          <w:noProof/>
          <w:snapToGrid w:val="0"/>
          <w:sz w:val="18"/>
          <w:szCs w:val="18"/>
        </w:rPr>
      </w:pPr>
      <w:r w:rsidRPr="00A032B8">
        <w:rPr>
          <w:rFonts w:ascii="Verdana" w:hAnsi="Verdana" w:cs="Verdana"/>
          <w:b/>
          <w:caps/>
          <w:noProof/>
          <w:snapToGrid w:val="0"/>
          <w:sz w:val="18"/>
          <w:szCs w:val="18"/>
        </w:rPr>
        <w:fldChar w:fldCharType="end"/>
      </w:r>
    </w:p>
    <w:p w14:paraId="29E189B8" w14:textId="77777777" w:rsidR="00240326" w:rsidRDefault="00240326">
      <w:pPr>
        <w:spacing w:after="200" w:line="276" w:lineRule="auto"/>
        <w:rPr>
          <w:rFonts w:ascii="Verdana" w:hAnsi="Verdana" w:cs="Verdana"/>
          <w:b/>
          <w:caps/>
          <w:noProof/>
          <w:snapToGrid w:val="0"/>
          <w:sz w:val="18"/>
          <w:szCs w:val="18"/>
        </w:rPr>
      </w:pPr>
      <w:r>
        <w:rPr>
          <w:rFonts w:ascii="Verdana" w:hAnsi="Verdana" w:cs="Verdana"/>
          <w:b/>
          <w:caps/>
          <w:noProof/>
          <w:snapToGrid w:val="0"/>
          <w:sz w:val="18"/>
          <w:szCs w:val="18"/>
        </w:rPr>
        <w:br w:type="page"/>
      </w:r>
    </w:p>
    <w:p w14:paraId="4744C2C7" w14:textId="77777777" w:rsidR="006F79F4" w:rsidRPr="00CD6059" w:rsidRDefault="006F79F4" w:rsidP="006F79F4">
      <w:pPr>
        <w:pStyle w:val="Heading1"/>
        <w:tabs>
          <w:tab w:val="left" w:pos="851"/>
        </w:tabs>
        <w:spacing w:before="0"/>
        <w:jc w:val="center"/>
        <w:rPr>
          <w:rFonts w:cs="Verdana"/>
          <w:caps/>
          <w:snapToGrid w:val="0"/>
          <w:szCs w:val="20"/>
        </w:rPr>
      </w:pPr>
      <w:bookmarkStart w:id="1" w:name="_Toc498333468"/>
      <w:r w:rsidRPr="00CD6059">
        <w:rPr>
          <w:rFonts w:cs="Verdana"/>
          <w:caps/>
          <w:snapToGrid w:val="0"/>
          <w:szCs w:val="20"/>
        </w:rPr>
        <w:lastRenderedPageBreak/>
        <w:t>I</w:t>
      </w:r>
      <w:r w:rsidRPr="00CD6059">
        <w:rPr>
          <w:rFonts w:cs="Verdana"/>
          <w:caps/>
          <w:snapToGrid w:val="0"/>
          <w:szCs w:val="20"/>
        </w:rPr>
        <w:br/>
      </w:r>
      <w:bookmarkEnd w:id="0"/>
      <w:r w:rsidRPr="00CD6059">
        <w:rPr>
          <w:rFonts w:cs="Verdana"/>
          <w:caps/>
          <w:snapToGrid w:val="0"/>
          <w:szCs w:val="20"/>
        </w:rPr>
        <w:t>INTRODUCCIÓN DE LA CAUSA Y OBJETO DE LA CONTROVERSIA</w:t>
      </w:r>
      <w:bookmarkEnd w:id="1"/>
    </w:p>
    <w:p w14:paraId="33F120F7" w14:textId="77777777" w:rsidR="006F79F4" w:rsidRPr="00CD6059" w:rsidRDefault="006F79F4" w:rsidP="006F79F4">
      <w:pPr>
        <w:jc w:val="both"/>
        <w:rPr>
          <w:rFonts w:ascii="Verdana" w:hAnsi="Verdana"/>
          <w:sz w:val="20"/>
          <w:szCs w:val="20"/>
        </w:rPr>
      </w:pPr>
    </w:p>
    <w:p w14:paraId="5F084C35" w14:textId="1FACA055" w:rsidR="008C33CE" w:rsidRPr="00BD0D35" w:rsidRDefault="006F79F4" w:rsidP="00E66DD7">
      <w:pPr>
        <w:pStyle w:val="ListParagraph"/>
        <w:numPr>
          <w:ilvl w:val="0"/>
          <w:numId w:val="1"/>
        </w:numPr>
        <w:ind w:left="0" w:firstLine="0"/>
        <w:jc w:val="both"/>
        <w:rPr>
          <w:rFonts w:ascii="Verdana" w:hAnsi="Verdana"/>
          <w:sz w:val="20"/>
          <w:szCs w:val="20"/>
        </w:rPr>
      </w:pPr>
      <w:r w:rsidRPr="00393B00">
        <w:rPr>
          <w:rFonts w:ascii="Verdana" w:hAnsi="Verdana"/>
          <w:i/>
          <w:sz w:val="20"/>
          <w:szCs w:val="20"/>
        </w:rPr>
        <w:t>El caso sometido a la Corte</w:t>
      </w:r>
      <w:r w:rsidRPr="00393B00">
        <w:rPr>
          <w:rFonts w:ascii="Verdana" w:hAnsi="Verdana"/>
          <w:sz w:val="20"/>
          <w:szCs w:val="20"/>
        </w:rPr>
        <w:t xml:space="preserve">. </w:t>
      </w:r>
      <w:r w:rsidRPr="006A7D7E">
        <w:rPr>
          <w:rFonts w:ascii="Verdana" w:hAnsi="Verdana"/>
          <w:sz w:val="20"/>
          <w:szCs w:val="20"/>
        </w:rPr>
        <w:t>– El 28 de noviembre de 2015 la Comisión Interamericana de Derechos Humanos (en adelante “la Comisión” o “la Comisión Interamericana”</w:t>
      </w:r>
      <w:r w:rsidR="000909C0">
        <w:rPr>
          <w:rFonts w:ascii="Verdana" w:hAnsi="Verdana"/>
          <w:sz w:val="20"/>
          <w:szCs w:val="20"/>
        </w:rPr>
        <w:t xml:space="preserve"> o la CIDH</w:t>
      </w:r>
      <w:r w:rsidRPr="006A7D7E">
        <w:rPr>
          <w:rFonts w:ascii="Verdana" w:hAnsi="Verdana"/>
          <w:sz w:val="20"/>
          <w:szCs w:val="20"/>
        </w:rPr>
        <w:t xml:space="preserve">) sometió </w:t>
      </w:r>
      <w:r w:rsidRPr="0076651B">
        <w:rPr>
          <w:rFonts w:ascii="Verdana" w:hAnsi="Verdana"/>
          <w:sz w:val="20"/>
          <w:szCs w:val="20"/>
        </w:rPr>
        <w:t>a la jurisdicción de la Corte</w:t>
      </w:r>
      <w:r>
        <w:rPr>
          <w:rFonts w:ascii="Verdana" w:hAnsi="Verdana"/>
          <w:sz w:val="20"/>
          <w:szCs w:val="20"/>
        </w:rPr>
        <w:t xml:space="preserve"> </w:t>
      </w:r>
      <w:r w:rsidRPr="006A7D7E">
        <w:rPr>
          <w:rFonts w:ascii="Verdana" w:hAnsi="Verdana"/>
          <w:sz w:val="20"/>
          <w:szCs w:val="20"/>
        </w:rPr>
        <w:t xml:space="preserve">el caso </w:t>
      </w:r>
      <w:r w:rsidRPr="006A7D7E">
        <w:rPr>
          <w:rFonts w:ascii="Verdana" w:hAnsi="Verdana"/>
          <w:i/>
          <w:sz w:val="20"/>
          <w:szCs w:val="20"/>
        </w:rPr>
        <w:t xml:space="preserve">Lagos del Campo </w:t>
      </w:r>
      <w:r w:rsidRPr="006A7D7E">
        <w:rPr>
          <w:rFonts w:ascii="Verdana" w:hAnsi="Verdana"/>
          <w:sz w:val="20"/>
          <w:szCs w:val="20"/>
        </w:rPr>
        <w:t xml:space="preserve">contra la República del Perú (en adelante “el Estado” o “Perú”) ante la jurisdicción de la Corte Interamericana. De acuerdo con la Comisión, el caso se relaciona con el despido del señor Alfredo Lagos del Campo (en adelante “Lagos del Campo”) el 26 de junio de 1989 como consecuencia de manifestaciones realizadas siendo presidente del Comité Electoral de la Comunidad Industrial de la empresa </w:t>
      </w:r>
      <w:proofErr w:type="spellStart"/>
      <w:r w:rsidRPr="006A7D7E">
        <w:rPr>
          <w:rFonts w:ascii="Verdana" w:hAnsi="Verdana"/>
          <w:sz w:val="20"/>
          <w:szCs w:val="20"/>
        </w:rPr>
        <w:t>Ceper-Pirelli</w:t>
      </w:r>
      <w:proofErr w:type="spellEnd"/>
      <w:r w:rsidRPr="006A7D7E">
        <w:rPr>
          <w:rFonts w:ascii="Verdana" w:hAnsi="Verdana"/>
          <w:sz w:val="20"/>
          <w:szCs w:val="20"/>
        </w:rPr>
        <w:t>.</w:t>
      </w:r>
      <w:r w:rsidRPr="006A7D7E">
        <w:rPr>
          <w:rFonts w:ascii="Verdana" w:hAnsi="Verdana"/>
          <w:sz w:val="20"/>
          <w:szCs w:val="20"/>
          <w:lang w:val="es-ES"/>
        </w:rPr>
        <w:t xml:space="preserve"> Según la Comisión, las manifestaciones dadas por el señor Lagos del Campo </w:t>
      </w:r>
      <w:r w:rsidRPr="0076651B">
        <w:rPr>
          <w:rFonts w:ascii="Verdana" w:hAnsi="Verdana"/>
          <w:sz w:val="20"/>
          <w:szCs w:val="20"/>
          <w:lang w:val="es-ES"/>
        </w:rPr>
        <w:t>habrían tenido</w:t>
      </w:r>
      <w:r w:rsidRPr="006A7D7E">
        <w:rPr>
          <w:rFonts w:ascii="Verdana" w:hAnsi="Verdana"/>
          <w:sz w:val="20"/>
          <w:szCs w:val="20"/>
          <w:lang w:val="es-ES"/>
        </w:rPr>
        <w:t xml:space="preserve"> el objeto de denunciar y llamar la atención sobre actos de injerencia indebida de los empleadores en la vida de las organizaciones representativas de los trabajadores en la empresa y en la realización de elecciones internas de la Comunidad Industrial. Asimismo, la decisión de despido fue confirmada por los tribunales nacionales del Perú. </w:t>
      </w:r>
      <w:r>
        <w:rPr>
          <w:rFonts w:ascii="Verdana" w:hAnsi="Verdana"/>
          <w:sz w:val="20"/>
          <w:szCs w:val="20"/>
          <w:lang w:val="es-ES"/>
        </w:rPr>
        <w:t>Además, “[l]</w:t>
      </w:r>
      <w:r w:rsidRPr="00393B00">
        <w:rPr>
          <w:rFonts w:ascii="Verdana" w:hAnsi="Verdana"/>
          <w:sz w:val="20"/>
          <w:szCs w:val="20"/>
          <w:lang w:val="es-ES"/>
        </w:rPr>
        <w:t>a Comisión determinó que el despido del señor Lagos del Campo constituyó una injerencia arbitraria en el ejercicio del derecho a la libertad de expresión</w:t>
      </w:r>
      <w:r>
        <w:rPr>
          <w:rFonts w:ascii="Verdana" w:hAnsi="Verdana"/>
          <w:sz w:val="20"/>
          <w:szCs w:val="20"/>
          <w:lang w:val="es-ES"/>
        </w:rPr>
        <w:t xml:space="preserve"> […]</w:t>
      </w:r>
      <w:r w:rsidRPr="00393B00">
        <w:rPr>
          <w:rFonts w:ascii="Verdana" w:hAnsi="Verdana"/>
          <w:sz w:val="20"/>
          <w:szCs w:val="20"/>
          <w:lang w:val="es-ES"/>
        </w:rPr>
        <w:t>.</w:t>
      </w:r>
      <w:r w:rsidR="00585E16">
        <w:rPr>
          <w:rFonts w:ascii="Verdana" w:hAnsi="Verdana"/>
          <w:sz w:val="20"/>
          <w:szCs w:val="20"/>
          <w:lang w:val="es-ES"/>
        </w:rPr>
        <w:t xml:space="preserve"> </w:t>
      </w:r>
      <w:r>
        <w:rPr>
          <w:rFonts w:ascii="Verdana" w:hAnsi="Verdana"/>
          <w:sz w:val="20"/>
          <w:szCs w:val="20"/>
          <w:lang w:val="es-ES"/>
        </w:rPr>
        <w:t>L</w:t>
      </w:r>
      <w:r w:rsidRPr="00393B00">
        <w:rPr>
          <w:rFonts w:ascii="Verdana" w:hAnsi="Verdana"/>
          <w:sz w:val="20"/>
          <w:szCs w:val="20"/>
          <w:lang w:val="es-ES"/>
        </w:rPr>
        <w:t>a Comisión determinó que se aplicó el castigo más severo previsto en la legislación con consecuencias notables en la libertad de expresión de la</w:t>
      </w:r>
      <w:r>
        <w:rPr>
          <w:rFonts w:ascii="Verdana" w:hAnsi="Verdana"/>
          <w:sz w:val="20"/>
          <w:szCs w:val="20"/>
          <w:lang w:val="es-ES"/>
        </w:rPr>
        <w:t xml:space="preserve"> </w:t>
      </w:r>
      <w:r w:rsidR="009E49BF">
        <w:rPr>
          <w:rFonts w:ascii="Verdana" w:hAnsi="Verdana"/>
          <w:sz w:val="20"/>
          <w:szCs w:val="20"/>
          <w:lang w:val="es-ES"/>
        </w:rPr>
        <w:t>[</w:t>
      </w:r>
      <w:r>
        <w:rPr>
          <w:rFonts w:ascii="Verdana" w:hAnsi="Verdana"/>
          <w:sz w:val="20"/>
          <w:szCs w:val="20"/>
          <w:lang w:val="es-ES"/>
        </w:rPr>
        <w:t>presunta</w:t>
      </w:r>
      <w:r w:rsidR="009E49BF">
        <w:rPr>
          <w:rFonts w:ascii="Verdana" w:hAnsi="Verdana"/>
          <w:sz w:val="20"/>
          <w:szCs w:val="20"/>
          <w:lang w:val="es-ES"/>
        </w:rPr>
        <w:t>]</w:t>
      </w:r>
      <w:r w:rsidRPr="00393B00">
        <w:rPr>
          <w:rFonts w:ascii="Verdana" w:hAnsi="Verdana"/>
          <w:sz w:val="20"/>
          <w:szCs w:val="20"/>
          <w:lang w:val="es-ES"/>
        </w:rPr>
        <w:t xml:space="preserve"> víctima en tanto dirigente de trabajadores y en el derecho colectivo de trabajadores de recibir información sobre asuntos que l</w:t>
      </w:r>
      <w:r>
        <w:rPr>
          <w:rFonts w:ascii="Verdana" w:hAnsi="Verdana"/>
          <w:sz w:val="20"/>
          <w:szCs w:val="20"/>
          <w:lang w:val="es-ES"/>
        </w:rPr>
        <w:t>e</w:t>
      </w:r>
      <w:r w:rsidRPr="00393B00">
        <w:rPr>
          <w:rFonts w:ascii="Verdana" w:hAnsi="Verdana"/>
          <w:sz w:val="20"/>
          <w:szCs w:val="20"/>
          <w:lang w:val="es-ES"/>
        </w:rPr>
        <w:t xml:space="preserve"> conciernen</w:t>
      </w:r>
      <w:r>
        <w:rPr>
          <w:rFonts w:ascii="Verdana" w:hAnsi="Verdana"/>
          <w:sz w:val="20"/>
          <w:szCs w:val="20"/>
          <w:lang w:val="es-ES"/>
        </w:rPr>
        <w:t>”.</w:t>
      </w:r>
      <w:r w:rsidRPr="00333304">
        <w:rPr>
          <w:rFonts w:ascii="Verdana" w:hAnsi="Verdana"/>
          <w:sz w:val="20"/>
          <w:szCs w:val="20"/>
          <w:lang w:val="es-ES"/>
        </w:rPr>
        <w:t xml:space="preserve"> </w:t>
      </w:r>
      <w:r w:rsidRPr="007C6554">
        <w:rPr>
          <w:rFonts w:ascii="Verdana" w:hAnsi="Verdana"/>
          <w:sz w:val="20"/>
          <w:szCs w:val="20"/>
          <w:lang w:val="es-ES"/>
        </w:rPr>
        <w:t>Finalmente</w:t>
      </w:r>
      <w:r w:rsidRPr="00266456">
        <w:rPr>
          <w:rFonts w:ascii="Verdana" w:hAnsi="Verdana"/>
          <w:sz w:val="20"/>
          <w:szCs w:val="20"/>
          <w:lang w:val="es-ES"/>
        </w:rPr>
        <w:t xml:space="preserve">, </w:t>
      </w:r>
      <w:r w:rsidR="00266456" w:rsidRPr="00266456">
        <w:rPr>
          <w:rFonts w:ascii="Verdana" w:hAnsi="Verdana"/>
          <w:sz w:val="20"/>
          <w:szCs w:val="20"/>
          <w:lang w:val="es-ES"/>
        </w:rPr>
        <w:t>l</w:t>
      </w:r>
      <w:r w:rsidRPr="00266456">
        <w:rPr>
          <w:rFonts w:ascii="Verdana" w:hAnsi="Verdana"/>
          <w:sz w:val="20"/>
          <w:szCs w:val="20"/>
          <w:lang w:val="es-ES"/>
        </w:rPr>
        <w:t>a</w:t>
      </w:r>
      <w:r>
        <w:rPr>
          <w:rFonts w:ascii="Verdana" w:hAnsi="Verdana"/>
          <w:sz w:val="20"/>
          <w:szCs w:val="20"/>
          <w:lang w:val="es-ES"/>
        </w:rPr>
        <w:t xml:space="preserve"> Comisión precisó en su Informe de Fondo que lo que corresponde determinar en el presente caso es si el Estado cumplió su deber de garantizar los derechos de la presunta víctima en el contexto de las relaciones laborales, atendiendo a los alcances de los derechos reconocidos en la Convención Americana.</w:t>
      </w:r>
    </w:p>
    <w:p w14:paraId="4A7211FF" w14:textId="77777777" w:rsidR="006F79F4" w:rsidRPr="00CD6059" w:rsidRDefault="006F79F4" w:rsidP="00AF7637">
      <w:pPr>
        <w:pStyle w:val="ListParagraph"/>
        <w:ind w:left="0"/>
        <w:jc w:val="both"/>
        <w:rPr>
          <w:rFonts w:ascii="Verdana" w:hAnsi="Verdana"/>
          <w:sz w:val="20"/>
          <w:szCs w:val="20"/>
        </w:rPr>
      </w:pPr>
    </w:p>
    <w:p w14:paraId="152931F1" w14:textId="77777777" w:rsidR="006F79F4" w:rsidRPr="00CD6059" w:rsidRDefault="006F79F4" w:rsidP="00E66DD7">
      <w:pPr>
        <w:pStyle w:val="ListParagraph"/>
        <w:numPr>
          <w:ilvl w:val="0"/>
          <w:numId w:val="1"/>
        </w:numPr>
        <w:ind w:left="0" w:firstLine="0"/>
        <w:jc w:val="both"/>
        <w:rPr>
          <w:rFonts w:ascii="Verdana" w:hAnsi="Verdana"/>
          <w:sz w:val="20"/>
          <w:szCs w:val="20"/>
        </w:rPr>
      </w:pPr>
      <w:r w:rsidRPr="00CD6059">
        <w:rPr>
          <w:rFonts w:ascii="Verdana" w:hAnsi="Verdana"/>
          <w:i/>
          <w:sz w:val="20"/>
          <w:szCs w:val="20"/>
        </w:rPr>
        <w:t>Trámite ante la Comisión</w:t>
      </w:r>
      <w:r w:rsidRPr="00CD6059">
        <w:rPr>
          <w:rFonts w:ascii="Verdana" w:hAnsi="Verdana"/>
          <w:sz w:val="20"/>
          <w:szCs w:val="20"/>
        </w:rPr>
        <w:t xml:space="preserve">. – El trámite ante la Comisión fue el siguiente: </w:t>
      </w:r>
    </w:p>
    <w:p w14:paraId="686D96E8" w14:textId="77777777" w:rsidR="006F79F4" w:rsidRPr="00CD6059" w:rsidRDefault="006F79F4" w:rsidP="00AF7637">
      <w:pPr>
        <w:pStyle w:val="ListParagraph"/>
        <w:rPr>
          <w:rFonts w:ascii="Verdana" w:hAnsi="Verdana"/>
          <w:i/>
          <w:sz w:val="20"/>
          <w:szCs w:val="20"/>
        </w:rPr>
      </w:pPr>
    </w:p>
    <w:p w14:paraId="4F433080" w14:textId="474E16B6" w:rsidR="006F79F4" w:rsidRPr="007C6554" w:rsidRDefault="006F79F4" w:rsidP="00E66DD7">
      <w:pPr>
        <w:pStyle w:val="ListParagraph"/>
        <w:numPr>
          <w:ilvl w:val="0"/>
          <w:numId w:val="4"/>
        </w:numPr>
        <w:ind w:left="1066" w:hanging="357"/>
        <w:jc w:val="both"/>
        <w:rPr>
          <w:rFonts w:ascii="Verdana" w:hAnsi="Verdana"/>
          <w:sz w:val="18"/>
          <w:szCs w:val="18"/>
        </w:rPr>
      </w:pPr>
      <w:r w:rsidRPr="007C6554">
        <w:rPr>
          <w:rFonts w:ascii="Verdana" w:hAnsi="Verdana"/>
          <w:i/>
          <w:sz w:val="18"/>
          <w:szCs w:val="18"/>
        </w:rPr>
        <w:t>Petición</w:t>
      </w:r>
      <w:r w:rsidRPr="007C6554">
        <w:rPr>
          <w:rFonts w:ascii="Verdana" w:hAnsi="Verdana"/>
          <w:sz w:val="18"/>
          <w:szCs w:val="18"/>
        </w:rPr>
        <w:t xml:space="preserve">. – El </w:t>
      </w:r>
      <w:r w:rsidRPr="007C6554">
        <w:rPr>
          <w:rFonts w:ascii="Verdana" w:hAnsi="Verdana"/>
          <w:sz w:val="18"/>
          <w:szCs w:val="18"/>
          <w:lang w:val="es-ES"/>
        </w:rPr>
        <w:t xml:space="preserve">5 de agosto de 1998 </w:t>
      </w:r>
      <w:r w:rsidRPr="007C6554">
        <w:rPr>
          <w:rFonts w:ascii="Verdana" w:hAnsi="Verdana"/>
          <w:sz w:val="18"/>
          <w:szCs w:val="18"/>
        </w:rPr>
        <w:t>la Comisión recibió una petición presentada por la presunta víctima Lagos del Campo en la cual sostuvo la responsabilidad internacional de Perú por la falta de protección de su derecho, como dirigente laboral, a expresar opiniones en el contexto de un conflicto laboral electoral. Con posterioridad, la Asociación Pro Derechos Humanos, APRODEH (en adelante, “los peticionarios”), se constituyó como representante de la presunta víctima del caso.</w:t>
      </w:r>
    </w:p>
    <w:p w14:paraId="5FA87FC1" w14:textId="77777777" w:rsidR="006F79F4" w:rsidRPr="007C6554" w:rsidRDefault="006F79F4" w:rsidP="00AF7637">
      <w:pPr>
        <w:jc w:val="both"/>
        <w:rPr>
          <w:rFonts w:ascii="Verdana" w:hAnsi="Verdana"/>
          <w:sz w:val="18"/>
          <w:szCs w:val="18"/>
        </w:rPr>
      </w:pPr>
    </w:p>
    <w:p w14:paraId="5E3A0679" w14:textId="7AE6266C" w:rsidR="006F79F4" w:rsidRPr="007C6554" w:rsidRDefault="006F79F4" w:rsidP="00E66DD7">
      <w:pPr>
        <w:pStyle w:val="ListParagraph"/>
        <w:numPr>
          <w:ilvl w:val="0"/>
          <w:numId w:val="4"/>
        </w:numPr>
        <w:ind w:left="1066" w:hanging="357"/>
        <w:jc w:val="both"/>
        <w:rPr>
          <w:rFonts w:ascii="Verdana" w:hAnsi="Verdana"/>
          <w:sz w:val="18"/>
          <w:szCs w:val="18"/>
        </w:rPr>
      </w:pPr>
      <w:r w:rsidRPr="007C6554">
        <w:rPr>
          <w:rFonts w:ascii="Verdana" w:hAnsi="Verdana"/>
          <w:i/>
          <w:sz w:val="18"/>
          <w:szCs w:val="18"/>
        </w:rPr>
        <w:t>Informe de Admisibilidad.</w:t>
      </w:r>
      <w:r w:rsidRPr="007C6554">
        <w:rPr>
          <w:rFonts w:ascii="Verdana" w:hAnsi="Verdana"/>
          <w:sz w:val="18"/>
          <w:szCs w:val="18"/>
        </w:rPr>
        <w:t xml:space="preserve"> – El 1 de noviembre de 2010 la Comisión emitió el Informe de Admisibilidad No. 152/10 (en adelante “Informe de Admisibilidad”), en el que concluyó que la petición era admisible en relación a los artículos 8 y 13 de la Convención Americana, en relación con los artículos 1.1 y 2 de dicho instrumento, en perjuicio de Lagos del Campo. La Comisión también declaró que </w:t>
      </w:r>
      <w:r w:rsidRPr="007C6554">
        <w:rPr>
          <w:rFonts w:ascii="Verdana" w:eastAsiaTheme="minorHAnsi" w:hAnsi="Verdana" w:cs="Arial"/>
          <w:sz w:val="18"/>
          <w:szCs w:val="18"/>
          <w:lang w:val="es-CR"/>
        </w:rPr>
        <w:t>la petición era inadmisible en cuanto a la posible violación de los artículos 24 y 25 de la Convención.</w:t>
      </w:r>
    </w:p>
    <w:p w14:paraId="7317375B" w14:textId="77777777" w:rsidR="006F79F4" w:rsidRPr="007C6554" w:rsidRDefault="006F79F4" w:rsidP="00AF7637">
      <w:pPr>
        <w:pStyle w:val="ListParagraph"/>
        <w:rPr>
          <w:rFonts w:ascii="Verdana" w:hAnsi="Verdana"/>
          <w:i/>
          <w:sz w:val="18"/>
          <w:szCs w:val="18"/>
        </w:rPr>
      </w:pPr>
    </w:p>
    <w:p w14:paraId="5CB3915F" w14:textId="0A657B08" w:rsidR="006F79F4" w:rsidRPr="007C6554" w:rsidRDefault="006F79F4" w:rsidP="00E66DD7">
      <w:pPr>
        <w:pStyle w:val="ListParagraph"/>
        <w:numPr>
          <w:ilvl w:val="0"/>
          <w:numId w:val="4"/>
        </w:numPr>
        <w:ind w:left="1066" w:hanging="357"/>
        <w:jc w:val="both"/>
        <w:rPr>
          <w:rFonts w:ascii="Verdana" w:hAnsi="Verdana"/>
          <w:sz w:val="18"/>
          <w:szCs w:val="18"/>
        </w:rPr>
      </w:pPr>
      <w:r w:rsidRPr="007C6554">
        <w:rPr>
          <w:rFonts w:ascii="Verdana" w:hAnsi="Verdana"/>
          <w:i/>
          <w:sz w:val="18"/>
          <w:szCs w:val="18"/>
        </w:rPr>
        <w:t>Informe de Fondo.</w:t>
      </w:r>
      <w:r w:rsidRPr="007C6554">
        <w:rPr>
          <w:rFonts w:ascii="Verdana" w:hAnsi="Verdana"/>
          <w:sz w:val="18"/>
          <w:szCs w:val="18"/>
        </w:rPr>
        <w:t xml:space="preserve"> – El 21 de julio de 2015 la Comisión aprobó el Informe de Fondo No. 27/15, en los términos del artículo 50 de la Convención Americana (en adelante “Informe de Fondo” o “Informe 27/15”), en el cual llegó a la siguiente conclusión, y formuló varias recomendaciones al Estado, a saber:</w:t>
      </w:r>
    </w:p>
    <w:p w14:paraId="6FDCD854" w14:textId="77777777" w:rsidR="006F79F4" w:rsidRPr="007C6554" w:rsidRDefault="006F79F4" w:rsidP="00AF7637">
      <w:pPr>
        <w:ind w:left="708"/>
        <w:jc w:val="both"/>
        <w:rPr>
          <w:rFonts w:ascii="Verdana" w:hAnsi="Verdana"/>
          <w:sz w:val="18"/>
          <w:szCs w:val="18"/>
        </w:rPr>
      </w:pPr>
    </w:p>
    <w:p w14:paraId="06640129" w14:textId="77777777" w:rsidR="006F79F4" w:rsidRPr="007C6554" w:rsidRDefault="006F79F4" w:rsidP="00AF7637">
      <w:pPr>
        <w:ind w:left="348" w:firstLine="720"/>
        <w:jc w:val="both"/>
        <w:rPr>
          <w:rFonts w:ascii="Verdana" w:hAnsi="Verdana"/>
          <w:sz w:val="18"/>
          <w:szCs w:val="18"/>
        </w:rPr>
      </w:pPr>
      <w:r w:rsidRPr="007C6554">
        <w:rPr>
          <w:rFonts w:ascii="Verdana" w:hAnsi="Verdana"/>
          <w:sz w:val="18"/>
          <w:szCs w:val="18"/>
        </w:rPr>
        <w:t>Conclusión:</w:t>
      </w:r>
    </w:p>
    <w:p w14:paraId="458D31EC" w14:textId="77777777" w:rsidR="006F79F4" w:rsidRPr="007C6554" w:rsidRDefault="006F79F4" w:rsidP="00AF7637">
      <w:pPr>
        <w:jc w:val="both"/>
        <w:rPr>
          <w:rFonts w:ascii="Verdana" w:hAnsi="Verdana"/>
          <w:sz w:val="18"/>
          <w:szCs w:val="18"/>
        </w:rPr>
      </w:pPr>
    </w:p>
    <w:p w14:paraId="54C11522" w14:textId="093D52B0" w:rsidR="006F79F4" w:rsidRPr="007C6554" w:rsidRDefault="006F79F4" w:rsidP="00E66DD7">
      <w:pPr>
        <w:pStyle w:val="ListParagraph"/>
        <w:numPr>
          <w:ilvl w:val="0"/>
          <w:numId w:val="2"/>
        </w:numPr>
        <w:tabs>
          <w:tab w:val="left" w:pos="1418"/>
        </w:tabs>
        <w:ind w:left="1775" w:hanging="357"/>
        <w:jc w:val="both"/>
        <w:rPr>
          <w:rFonts w:ascii="Verdana" w:hAnsi="Verdana"/>
          <w:sz w:val="18"/>
          <w:szCs w:val="18"/>
        </w:rPr>
      </w:pPr>
      <w:r w:rsidRPr="00B94A60">
        <w:rPr>
          <w:rFonts w:ascii="Verdana" w:hAnsi="Verdana"/>
          <w:sz w:val="18"/>
          <w:szCs w:val="18"/>
        </w:rPr>
        <w:t>El</w:t>
      </w:r>
      <w:r w:rsidRPr="003550CD">
        <w:rPr>
          <w:rFonts w:ascii="Verdana" w:hAnsi="Verdana"/>
          <w:sz w:val="18"/>
          <w:szCs w:val="18"/>
        </w:rPr>
        <w:t xml:space="preserve"> Estado es responsable por la violación de los derechos a las garantías judiciales y libertad de expresión, de conformidad con los </w:t>
      </w:r>
      <w:r w:rsidRPr="002A78F7">
        <w:rPr>
          <w:rFonts w:ascii="Verdana" w:hAnsi="Verdana"/>
          <w:sz w:val="18"/>
          <w:szCs w:val="18"/>
        </w:rPr>
        <w:t>artículos 8.1 y 13 de la Convención Americana en relación con los artículos 1.1, 2 y 16.1 del mismo instrumento, en perjuicio del señor Lagos del Campo.</w:t>
      </w:r>
    </w:p>
    <w:p w14:paraId="0E54907F" w14:textId="77777777" w:rsidR="006F79F4" w:rsidRPr="007C6554" w:rsidRDefault="006F79F4" w:rsidP="00AF7637">
      <w:pPr>
        <w:jc w:val="both"/>
        <w:rPr>
          <w:rFonts w:ascii="Verdana" w:hAnsi="Verdana"/>
          <w:sz w:val="18"/>
          <w:szCs w:val="18"/>
        </w:rPr>
      </w:pPr>
    </w:p>
    <w:p w14:paraId="5D381520" w14:textId="77777777" w:rsidR="006F79F4" w:rsidRPr="007C6554" w:rsidRDefault="006F79F4" w:rsidP="00AF7637">
      <w:pPr>
        <w:ind w:left="348" w:firstLine="720"/>
        <w:jc w:val="both"/>
        <w:rPr>
          <w:rFonts w:ascii="Verdana" w:hAnsi="Verdana"/>
          <w:sz w:val="18"/>
          <w:szCs w:val="18"/>
        </w:rPr>
      </w:pPr>
      <w:r w:rsidRPr="007C6554">
        <w:rPr>
          <w:rFonts w:ascii="Verdana" w:hAnsi="Verdana"/>
          <w:sz w:val="18"/>
          <w:szCs w:val="18"/>
        </w:rPr>
        <w:t>Recomendaciones:</w:t>
      </w:r>
    </w:p>
    <w:p w14:paraId="4B8F6748" w14:textId="77777777" w:rsidR="006F79F4" w:rsidRPr="007C6554" w:rsidRDefault="006F79F4" w:rsidP="00AF7637">
      <w:pPr>
        <w:jc w:val="both"/>
        <w:rPr>
          <w:rFonts w:ascii="Verdana" w:hAnsi="Verdana"/>
          <w:sz w:val="18"/>
          <w:szCs w:val="18"/>
        </w:rPr>
      </w:pPr>
    </w:p>
    <w:p w14:paraId="577A1C42" w14:textId="77777777" w:rsidR="006F79F4" w:rsidRPr="002A78F7" w:rsidRDefault="006F79F4" w:rsidP="00E66DD7">
      <w:pPr>
        <w:pStyle w:val="ListParagraph"/>
        <w:numPr>
          <w:ilvl w:val="0"/>
          <w:numId w:val="5"/>
        </w:numPr>
        <w:jc w:val="both"/>
        <w:rPr>
          <w:rFonts w:ascii="Verdana" w:hAnsi="Verdana"/>
          <w:sz w:val="18"/>
          <w:szCs w:val="18"/>
        </w:rPr>
      </w:pPr>
      <w:r w:rsidRPr="00B94A60">
        <w:rPr>
          <w:rFonts w:ascii="Verdana" w:eastAsiaTheme="minorHAnsi" w:hAnsi="Verdana" w:cs="Arial"/>
          <w:sz w:val="18"/>
          <w:szCs w:val="18"/>
          <w:lang w:val="es-CR"/>
        </w:rPr>
        <w:t>Reparar integralmente al señor Lagos del Campo por las violaciones declaradas en el presente informe. Esta reparación debe incorporar tanto el asp</w:t>
      </w:r>
      <w:r w:rsidRPr="003550CD">
        <w:rPr>
          <w:rFonts w:ascii="Verdana" w:eastAsiaTheme="minorHAnsi" w:hAnsi="Verdana" w:cs="Arial"/>
          <w:sz w:val="18"/>
          <w:szCs w:val="18"/>
          <w:lang w:val="es-CR"/>
        </w:rPr>
        <w:t>ecto material como moral;</w:t>
      </w:r>
    </w:p>
    <w:p w14:paraId="029AE76C" w14:textId="77777777" w:rsidR="006F79F4" w:rsidRPr="00E8124B" w:rsidRDefault="006F79F4" w:rsidP="00AF7637">
      <w:pPr>
        <w:pStyle w:val="ListParagraph"/>
        <w:ind w:left="1776"/>
        <w:jc w:val="both"/>
        <w:rPr>
          <w:rFonts w:ascii="Verdana" w:hAnsi="Verdana"/>
          <w:sz w:val="18"/>
          <w:szCs w:val="18"/>
        </w:rPr>
      </w:pPr>
    </w:p>
    <w:p w14:paraId="0BACCCBD" w14:textId="77777777" w:rsidR="006F79F4" w:rsidRPr="007B445D" w:rsidRDefault="006F79F4" w:rsidP="00E66DD7">
      <w:pPr>
        <w:pStyle w:val="ListParagraph"/>
        <w:numPr>
          <w:ilvl w:val="0"/>
          <w:numId w:val="5"/>
        </w:numPr>
        <w:ind w:left="1775" w:hanging="357"/>
        <w:jc w:val="both"/>
        <w:rPr>
          <w:rFonts w:ascii="Verdana" w:hAnsi="Verdana"/>
          <w:sz w:val="18"/>
          <w:szCs w:val="18"/>
        </w:rPr>
      </w:pPr>
      <w:r w:rsidRPr="007B445D">
        <w:rPr>
          <w:rFonts w:ascii="Verdana" w:eastAsiaTheme="minorHAnsi" w:hAnsi="Verdana" w:cs="Arial"/>
          <w:sz w:val="18"/>
          <w:szCs w:val="18"/>
          <w:lang w:val="es-CR"/>
        </w:rPr>
        <w:t>Adoptar medidas de no repetición a fin de asegurar que los representantes de los trabajadores y líderes sindicales puedan gozar de su derecho a la libertad de expresión, de conformidad con los estándares establecidos en este informe, y</w:t>
      </w:r>
    </w:p>
    <w:p w14:paraId="7F373278" w14:textId="77777777" w:rsidR="006F79F4" w:rsidRPr="0004324B" w:rsidRDefault="006F79F4" w:rsidP="00AF7637">
      <w:pPr>
        <w:pStyle w:val="ListParagraph"/>
        <w:ind w:left="1776"/>
        <w:jc w:val="both"/>
        <w:rPr>
          <w:rFonts w:ascii="Verdana" w:hAnsi="Verdana"/>
          <w:sz w:val="18"/>
          <w:szCs w:val="18"/>
        </w:rPr>
      </w:pPr>
    </w:p>
    <w:p w14:paraId="03982531" w14:textId="7A73D5CE" w:rsidR="006F79F4" w:rsidRPr="007C6554" w:rsidRDefault="006F79F4" w:rsidP="00E66DD7">
      <w:pPr>
        <w:pStyle w:val="ListParagraph"/>
        <w:numPr>
          <w:ilvl w:val="0"/>
          <w:numId w:val="5"/>
        </w:numPr>
        <w:jc w:val="both"/>
        <w:rPr>
          <w:rFonts w:ascii="Verdana" w:hAnsi="Verdana"/>
          <w:sz w:val="18"/>
          <w:szCs w:val="18"/>
        </w:rPr>
      </w:pPr>
      <w:r w:rsidRPr="00B94A60">
        <w:rPr>
          <w:rFonts w:ascii="Verdana" w:eastAsiaTheme="minorHAnsi" w:hAnsi="Verdana" w:cs="Arial"/>
          <w:sz w:val="18"/>
          <w:szCs w:val="18"/>
          <w:lang w:val="es-CR"/>
        </w:rPr>
        <w:t>Adoptar medidas para asegurar que la legislación y su aplicación por parte de los tribunales internos se adecue a los principios establecidos por el derecho internacional de los derechos humanos en materia de libertad de expresión en contextos laborales, reiterados en el presente caso.</w:t>
      </w:r>
    </w:p>
    <w:p w14:paraId="7ED779E0" w14:textId="77777777" w:rsidR="006F79F4" w:rsidRPr="007C6554" w:rsidRDefault="006F79F4" w:rsidP="00AF7637">
      <w:pPr>
        <w:jc w:val="both"/>
        <w:rPr>
          <w:rFonts w:ascii="Verdana" w:hAnsi="Verdana"/>
          <w:sz w:val="18"/>
          <w:szCs w:val="18"/>
        </w:rPr>
      </w:pPr>
    </w:p>
    <w:p w14:paraId="2B6B859B" w14:textId="10853A3B" w:rsidR="006F79F4" w:rsidRPr="007C6554" w:rsidRDefault="006F79F4" w:rsidP="00E66DD7">
      <w:pPr>
        <w:pStyle w:val="ListParagraph"/>
        <w:numPr>
          <w:ilvl w:val="0"/>
          <w:numId w:val="4"/>
        </w:numPr>
        <w:jc w:val="both"/>
        <w:rPr>
          <w:rFonts w:ascii="Verdana" w:hAnsi="Verdana"/>
          <w:sz w:val="18"/>
          <w:szCs w:val="18"/>
        </w:rPr>
      </w:pPr>
      <w:r w:rsidRPr="007C6554">
        <w:rPr>
          <w:rFonts w:ascii="Verdana" w:hAnsi="Verdana"/>
          <w:i/>
          <w:sz w:val="18"/>
          <w:szCs w:val="18"/>
        </w:rPr>
        <w:t xml:space="preserve">Notificación al Estado. </w:t>
      </w:r>
      <w:r w:rsidRPr="007C6554">
        <w:rPr>
          <w:rFonts w:ascii="Verdana" w:hAnsi="Verdana"/>
          <w:sz w:val="18"/>
          <w:szCs w:val="18"/>
        </w:rPr>
        <w:t>– El 28 de agosto de 2015 la Comisión notificó el Informe de Fondo al Estado, otorgándosele un plazo de dos meses para informar sobre el cumplimiento de las recomendaciones.</w:t>
      </w:r>
    </w:p>
    <w:p w14:paraId="56F14F1E" w14:textId="77777777" w:rsidR="006F79F4" w:rsidRPr="007C6554" w:rsidRDefault="006F79F4" w:rsidP="00AF7637">
      <w:pPr>
        <w:ind w:left="708"/>
        <w:jc w:val="both"/>
        <w:rPr>
          <w:rFonts w:ascii="Verdana" w:hAnsi="Verdana"/>
          <w:sz w:val="18"/>
          <w:szCs w:val="18"/>
        </w:rPr>
      </w:pPr>
    </w:p>
    <w:p w14:paraId="02751A81" w14:textId="4138ADCE" w:rsidR="006F79F4" w:rsidRPr="007C6554" w:rsidRDefault="006F79F4" w:rsidP="00E66DD7">
      <w:pPr>
        <w:pStyle w:val="ListParagraph"/>
        <w:numPr>
          <w:ilvl w:val="0"/>
          <w:numId w:val="4"/>
        </w:numPr>
        <w:jc w:val="both"/>
        <w:rPr>
          <w:rFonts w:ascii="Verdana" w:eastAsiaTheme="minorHAnsi" w:hAnsi="Verdana" w:cs="Arial"/>
          <w:sz w:val="18"/>
          <w:szCs w:val="18"/>
          <w:lang w:val="es-CR"/>
        </w:rPr>
      </w:pPr>
      <w:r w:rsidRPr="007C6554">
        <w:rPr>
          <w:rFonts w:ascii="Verdana" w:hAnsi="Verdana"/>
          <w:i/>
          <w:sz w:val="18"/>
          <w:szCs w:val="18"/>
        </w:rPr>
        <w:t>Informe de cumplimiento.</w:t>
      </w:r>
      <w:r w:rsidRPr="007C6554">
        <w:rPr>
          <w:rFonts w:ascii="Verdana" w:hAnsi="Verdana"/>
          <w:sz w:val="18"/>
          <w:szCs w:val="18"/>
        </w:rPr>
        <w:t xml:space="preserve"> – El 29 de octubre de 2015 </w:t>
      </w:r>
      <w:r w:rsidRPr="007C6554">
        <w:rPr>
          <w:rFonts w:ascii="Verdana" w:eastAsiaTheme="minorHAnsi" w:hAnsi="Verdana" w:cs="Arial"/>
          <w:sz w:val="18"/>
          <w:szCs w:val="18"/>
          <w:lang w:val="es-CR"/>
        </w:rPr>
        <w:t>el Estado presentó un informe en el cual indicó que no se han vulnerado los derechos establecidos en los artículos 8.1 y 13 de la Convención en relación con los artículos 1.1, 2 y 16.1 del mismo instrumento, en perjuicio del señor Lagos del Campo.</w:t>
      </w:r>
    </w:p>
    <w:p w14:paraId="618669DA" w14:textId="77777777" w:rsidR="006F79F4" w:rsidRPr="007C6554" w:rsidRDefault="006F79F4" w:rsidP="00AF7637">
      <w:pPr>
        <w:ind w:left="708"/>
        <w:jc w:val="both"/>
        <w:rPr>
          <w:rFonts w:ascii="Verdana" w:hAnsi="Verdana"/>
          <w:i/>
          <w:sz w:val="18"/>
          <w:szCs w:val="18"/>
        </w:rPr>
      </w:pPr>
    </w:p>
    <w:p w14:paraId="7C97C9BA" w14:textId="30498ABD" w:rsidR="006F79F4" w:rsidRPr="005D0F69" w:rsidRDefault="006F79F4" w:rsidP="00E66DD7">
      <w:pPr>
        <w:pStyle w:val="ListParagraph"/>
        <w:numPr>
          <w:ilvl w:val="0"/>
          <w:numId w:val="1"/>
        </w:numPr>
        <w:ind w:left="0" w:firstLine="0"/>
        <w:jc w:val="both"/>
        <w:rPr>
          <w:rFonts w:ascii="Verdana" w:hAnsi="Verdana"/>
          <w:sz w:val="20"/>
          <w:szCs w:val="20"/>
        </w:rPr>
      </w:pPr>
      <w:r w:rsidRPr="005D0F69">
        <w:rPr>
          <w:rFonts w:ascii="Verdana" w:hAnsi="Verdana"/>
          <w:i/>
          <w:sz w:val="20"/>
          <w:szCs w:val="20"/>
        </w:rPr>
        <w:t>Sometimiento a la Corte.</w:t>
      </w:r>
      <w:r w:rsidRPr="005D0F69">
        <w:rPr>
          <w:rFonts w:ascii="Verdana" w:hAnsi="Verdana"/>
          <w:sz w:val="20"/>
          <w:szCs w:val="20"/>
        </w:rPr>
        <w:t xml:space="preserve"> – El 28 de noviembre de 2015 la Comisión decidió enviar el caso a la Corte Interamericana ante la necesidad de obtención de justicia. Asimismo, </w:t>
      </w:r>
      <w:r w:rsidR="008C33CE" w:rsidRPr="005D0F69">
        <w:rPr>
          <w:rFonts w:ascii="Verdana" w:hAnsi="Verdana"/>
          <w:sz w:val="20"/>
          <w:szCs w:val="20"/>
        </w:rPr>
        <w:t xml:space="preserve">sometió </w:t>
      </w:r>
      <w:r w:rsidRPr="005D0F69">
        <w:rPr>
          <w:rFonts w:ascii="Verdana" w:hAnsi="Verdana"/>
          <w:sz w:val="20"/>
          <w:szCs w:val="20"/>
        </w:rPr>
        <w:t>a la jurisdicción del Tribunal la totalidad de los hechos y violaciones de derechos humanos descritos en el Informe de Fondo</w:t>
      </w:r>
      <w:r w:rsidRPr="005D0F69">
        <w:rPr>
          <w:rStyle w:val="FootnoteReference"/>
          <w:szCs w:val="20"/>
        </w:rPr>
        <w:footnoteReference w:id="2"/>
      </w:r>
      <w:r w:rsidRPr="005D0F69">
        <w:rPr>
          <w:rFonts w:ascii="Verdana" w:hAnsi="Verdana"/>
          <w:sz w:val="20"/>
          <w:szCs w:val="20"/>
        </w:rPr>
        <w:t>.</w:t>
      </w:r>
    </w:p>
    <w:p w14:paraId="6622ED3D" w14:textId="77777777" w:rsidR="006F79F4" w:rsidRPr="00CD6059" w:rsidRDefault="006F79F4" w:rsidP="00AF7637">
      <w:pPr>
        <w:pStyle w:val="ListParagraph"/>
        <w:rPr>
          <w:rFonts w:ascii="Verdana" w:hAnsi="Verdana"/>
          <w:sz w:val="20"/>
          <w:szCs w:val="20"/>
        </w:rPr>
      </w:pPr>
    </w:p>
    <w:p w14:paraId="64F422FC" w14:textId="20E2581C" w:rsidR="006F79F4" w:rsidRPr="00CD6059" w:rsidRDefault="006F79F4" w:rsidP="00E66DD7">
      <w:pPr>
        <w:pStyle w:val="ListParagraph"/>
        <w:numPr>
          <w:ilvl w:val="0"/>
          <w:numId w:val="1"/>
        </w:numPr>
        <w:ind w:left="0" w:firstLine="0"/>
        <w:jc w:val="both"/>
        <w:rPr>
          <w:rFonts w:ascii="Verdana" w:hAnsi="Verdana"/>
          <w:sz w:val="20"/>
          <w:szCs w:val="20"/>
        </w:rPr>
      </w:pPr>
      <w:r w:rsidRPr="00CD6059">
        <w:rPr>
          <w:rFonts w:ascii="Verdana" w:hAnsi="Verdana"/>
          <w:i/>
          <w:sz w:val="20"/>
          <w:szCs w:val="20"/>
        </w:rPr>
        <w:t>Solicitudes de la Comisión Interamericana.</w:t>
      </w:r>
      <w:r w:rsidRPr="00CD6059">
        <w:rPr>
          <w:rFonts w:ascii="Verdana" w:hAnsi="Verdana"/>
          <w:sz w:val="20"/>
          <w:szCs w:val="20"/>
        </w:rPr>
        <w:t xml:space="preserve"> – Con base en lo anterior, la Comisión</w:t>
      </w:r>
      <w:r>
        <w:rPr>
          <w:rFonts w:ascii="Verdana" w:hAnsi="Verdana"/>
          <w:sz w:val="20"/>
          <w:szCs w:val="20"/>
        </w:rPr>
        <w:t xml:space="preserve"> solicitó a la Corte que concluya y declare la responsabilidad internacional del Estado por la violación de los derechos </w:t>
      </w:r>
      <w:r w:rsidRPr="0076651B">
        <w:rPr>
          <w:rFonts w:ascii="Verdana" w:hAnsi="Verdana"/>
          <w:sz w:val="20"/>
          <w:szCs w:val="20"/>
        </w:rPr>
        <w:t>señalados en su Informe de Fondo</w:t>
      </w:r>
      <w:r>
        <w:rPr>
          <w:rFonts w:ascii="Verdana" w:hAnsi="Verdana"/>
          <w:sz w:val="20"/>
          <w:szCs w:val="20"/>
        </w:rPr>
        <w:t>, en perjuicio de</w:t>
      </w:r>
      <w:r w:rsidRPr="0076651B">
        <w:rPr>
          <w:rFonts w:ascii="Verdana" w:hAnsi="Verdana"/>
          <w:sz w:val="20"/>
          <w:szCs w:val="20"/>
        </w:rPr>
        <w:t xml:space="preserve">l señor </w:t>
      </w:r>
      <w:r>
        <w:rPr>
          <w:rFonts w:ascii="Verdana" w:hAnsi="Verdana"/>
          <w:sz w:val="20"/>
          <w:szCs w:val="20"/>
        </w:rPr>
        <w:t xml:space="preserve">Lagos del Campo. Además, solicitó </w:t>
      </w:r>
      <w:r w:rsidR="00BD0D35">
        <w:rPr>
          <w:rFonts w:ascii="Verdana" w:hAnsi="Verdana"/>
          <w:sz w:val="20"/>
        </w:rPr>
        <w:t>que ordenara al Estado, como medidas de reparación, las recomendaciones contenidas en el mismo</w:t>
      </w:r>
      <w:r w:rsidR="00524EDB" w:rsidRPr="00333304">
        <w:rPr>
          <w:rFonts w:ascii="Verdana" w:hAnsi="Verdana"/>
          <w:sz w:val="20"/>
          <w:szCs w:val="20"/>
        </w:rPr>
        <w:t>.</w:t>
      </w:r>
    </w:p>
    <w:p w14:paraId="04EF17FC" w14:textId="77777777" w:rsidR="006F79F4" w:rsidRPr="00CD6059" w:rsidRDefault="006F79F4" w:rsidP="006F79F4">
      <w:pPr>
        <w:pStyle w:val="ListParagraph"/>
        <w:ind w:left="0"/>
        <w:jc w:val="both"/>
        <w:rPr>
          <w:rFonts w:ascii="Verdana" w:hAnsi="Verdana"/>
          <w:sz w:val="20"/>
          <w:szCs w:val="20"/>
        </w:rPr>
      </w:pPr>
    </w:p>
    <w:p w14:paraId="6377CA61" w14:textId="77777777" w:rsidR="006F79F4" w:rsidRPr="00CD6059" w:rsidRDefault="006F79F4" w:rsidP="006F79F4">
      <w:pPr>
        <w:pStyle w:val="Heading1"/>
        <w:tabs>
          <w:tab w:val="left" w:pos="851"/>
        </w:tabs>
        <w:spacing w:before="0"/>
        <w:jc w:val="center"/>
        <w:rPr>
          <w:rFonts w:cs="Verdana"/>
          <w:caps/>
          <w:snapToGrid w:val="0"/>
          <w:szCs w:val="20"/>
        </w:rPr>
      </w:pPr>
      <w:bookmarkStart w:id="2" w:name="_Toc498333469"/>
      <w:r w:rsidRPr="00CD6059">
        <w:rPr>
          <w:rFonts w:cs="Verdana"/>
          <w:caps/>
          <w:snapToGrid w:val="0"/>
          <w:szCs w:val="20"/>
        </w:rPr>
        <w:t>II</w:t>
      </w:r>
      <w:r w:rsidRPr="00CD6059">
        <w:rPr>
          <w:rFonts w:cs="Verdana"/>
          <w:caps/>
          <w:snapToGrid w:val="0"/>
          <w:szCs w:val="20"/>
        </w:rPr>
        <w:br/>
        <w:t>PROCEDIMIENTO ANTE LA CORTE</w:t>
      </w:r>
      <w:bookmarkEnd w:id="2"/>
    </w:p>
    <w:p w14:paraId="059BCF0C" w14:textId="77777777" w:rsidR="006F79F4" w:rsidRPr="00870C74" w:rsidRDefault="006F79F4" w:rsidP="006F79F4">
      <w:pPr>
        <w:pStyle w:val="ListParagraph"/>
        <w:ind w:left="0"/>
        <w:jc w:val="both"/>
        <w:rPr>
          <w:rFonts w:ascii="Verdana" w:hAnsi="Verdana"/>
          <w:sz w:val="20"/>
          <w:szCs w:val="20"/>
        </w:rPr>
      </w:pPr>
    </w:p>
    <w:p w14:paraId="4562B0BD" w14:textId="0817EEE3" w:rsidR="006F79F4" w:rsidRPr="006A7D7E" w:rsidRDefault="006F79F4" w:rsidP="00E66DD7">
      <w:pPr>
        <w:pStyle w:val="ListParagraph"/>
        <w:numPr>
          <w:ilvl w:val="0"/>
          <w:numId w:val="1"/>
        </w:numPr>
        <w:ind w:left="0" w:firstLine="0"/>
        <w:jc w:val="both"/>
        <w:rPr>
          <w:rFonts w:ascii="Verdana" w:hAnsi="Verdana"/>
          <w:sz w:val="20"/>
          <w:szCs w:val="20"/>
        </w:rPr>
      </w:pPr>
      <w:r w:rsidRPr="006A7D7E">
        <w:rPr>
          <w:rFonts w:ascii="Verdana" w:hAnsi="Verdana"/>
          <w:i/>
          <w:sz w:val="20"/>
          <w:szCs w:val="20"/>
        </w:rPr>
        <w:t>Notificación al Estado</w:t>
      </w:r>
      <w:r w:rsidRPr="006A7D7E">
        <w:rPr>
          <w:rStyle w:val="FootnoteReference"/>
          <w:i/>
          <w:szCs w:val="20"/>
        </w:rPr>
        <w:footnoteReference w:id="3"/>
      </w:r>
      <w:r w:rsidRPr="006A7D7E">
        <w:rPr>
          <w:rFonts w:ascii="Verdana" w:hAnsi="Verdana"/>
          <w:i/>
          <w:sz w:val="20"/>
          <w:szCs w:val="20"/>
        </w:rPr>
        <w:t xml:space="preserve"> y a los representantes.</w:t>
      </w:r>
      <w:r w:rsidRPr="006A7D7E">
        <w:rPr>
          <w:rFonts w:ascii="Verdana" w:hAnsi="Verdana"/>
          <w:sz w:val="20"/>
          <w:szCs w:val="20"/>
        </w:rPr>
        <w:t xml:space="preserve"> – El sometimiento del caso por </w:t>
      </w:r>
      <w:r w:rsidRPr="007C6554">
        <w:rPr>
          <w:rFonts w:ascii="Verdana" w:hAnsi="Verdana"/>
          <w:sz w:val="20"/>
          <w:szCs w:val="20"/>
        </w:rPr>
        <w:t>parte de</w:t>
      </w:r>
      <w:r>
        <w:rPr>
          <w:rFonts w:ascii="Verdana" w:hAnsi="Verdana"/>
          <w:sz w:val="20"/>
          <w:szCs w:val="20"/>
        </w:rPr>
        <w:t xml:space="preserve"> </w:t>
      </w:r>
      <w:r w:rsidRPr="006A7D7E">
        <w:rPr>
          <w:rFonts w:ascii="Verdana" w:hAnsi="Verdana"/>
          <w:sz w:val="20"/>
          <w:szCs w:val="20"/>
        </w:rPr>
        <w:t xml:space="preserve">la Comisión fue notificado al Estado y a los representantes el </w:t>
      </w:r>
      <w:r w:rsidRPr="00266456">
        <w:rPr>
          <w:rFonts w:ascii="Verdana" w:hAnsi="Verdana"/>
          <w:sz w:val="20"/>
          <w:szCs w:val="20"/>
        </w:rPr>
        <w:t>15</w:t>
      </w:r>
      <w:r w:rsidRPr="006A7D7E">
        <w:rPr>
          <w:rFonts w:ascii="Verdana" w:hAnsi="Verdana"/>
          <w:sz w:val="20"/>
          <w:szCs w:val="20"/>
        </w:rPr>
        <w:t xml:space="preserve"> de febrero de 2016. </w:t>
      </w:r>
    </w:p>
    <w:p w14:paraId="76231108" w14:textId="77777777" w:rsidR="006F79F4" w:rsidRPr="006A7D7E" w:rsidRDefault="006F79F4" w:rsidP="00AF7637">
      <w:pPr>
        <w:pStyle w:val="ListParagraph"/>
        <w:ind w:left="0"/>
        <w:jc w:val="both"/>
        <w:rPr>
          <w:rFonts w:ascii="Verdana" w:hAnsi="Verdana"/>
          <w:sz w:val="20"/>
          <w:szCs w:val="20"/>
        </w:rPr>
      </w:pPr>
    </w:p>
    <w:p w14:paraId="37142132" w14:textId="03C1B1FC" w:rsidR="00EC6021" w:rsidRDefault="006F79F4" w:rsidP="00333304">
      <w:pPr>
        <w:pStyle w:val="ListParagraph"/>
        <w:numPr>
          <w:ilvl w:val="0"/>
          <w:numId w:val="1"/>
        </w:numPr>
        <w:ind w:left="0" w:firstLine="0"/>
        <w:jc w:val="both"/>
        <w:rPr>
          <w:rFonts w:ascii="Verdana" w:hAnsi="Verdana"/>
          <w:sz w:val="20"/>
          <w:szCs w:val="20"/>
        </w:rPr>
      </w:pPr>
      <w:r w:rsidRPr="00524EDB">
        <w:rPr>
          <w:rFonts w:ascii="Verdana" w:hAnsi="Verdana"/>
          <w:i/>
          <w:sz w:val="20"/>
          <w:szCs w:val="20"/>
        </w:rPr>
        <w:t>Escrito de solicitudes, argumentos y pruebas.</w:t>
      </w:r>
      <w:r w:rsidRPr="00524EDB">
        <w:rPr>
          <w:rFonts w:ascii="Verdana" w:hAnsi="Verdana"/>
          <w:sz w:val="20"/>
          <w:szCs w:val="20"/>
        </w:rPr>
        <w:t xml:space="preserve"> – El 15 de abril de 2016 los representantes presentaron su escrito de solicitudes, argumentos y pruebas (en adelante</w:t>
      </w:r>
      <w:r w:rsidRPr="00FF0C2D">
        <w:rPr>
          <w:rFonts w:ascii="Verdana" w:hAnsi="Verdana"/>
          <w:sz w:val="20"/>
          <w:szCs w:val="20"/>
        </w:rPr>
        <w:t xml:space="preserve"> “esc</w:t>
      </w:r>
      <w:r w:rsidRPr="00524EDB">
        <w:rPr>
          <w:rFonts w:ascii="Verdana" w:hAnsi="Verdana"/>
          <w:sz w:val="20"/>
          <w:szCs w:val="20"/>
        </w:rPr>
        <w:t>rito de solicitudes y argumentos”), en el cual solicitaron acogerse al Fondo de Asistencia Legal de Víctimas de la Corte Interamericana (en adelante “Fondo de Asistencia de la Corte” o el “Fondo”).</w:t>
      </w:r>
    </w:p>
    <w:p w14:paraId="242AE307" w14:textId="77777777" w:rsidR="006F79F4" w:rsidRPr="00524EDB" w:rsidRDefault="006F79F4" w:rsidP="00333304">
      <w:pPr>
        <w:pStyle w:val="ListParagraph"/>
        <w:ind w:left="0"/>
        <w:jc w:val="both"/>
        <w:rPr>
          <w:rFonts w:ascii="Verdana" w:hAnsi="Verdana"/>
          <w:sz w:val="20"/>
          <w:szCs w:val="20"/>
        </w:rPr>
      </w:pPr>
    </w:p>
    <w:p w14:paraId="1807BAF3" w14:textId="46652050" w:rsidR="006F79F4" w:rsidRPr="006A7D7E" w:rsidRDefault="006F79F4" w:rsidP="00E66DD7">
      <w:pPr>
        <w:pStyle w:val="ListParagraph"/>
        <w:numPr>
          <w:ilvl w:val="0"/>
          <w:numId w:val="1"/>
        </w:numPr>
        <w:ind w:left="0" w:firstLine="0"/>
        <w:jc w:val="both"/>
        <w:rPr>
          <w:rFonts w:ascii="Verdana" w:hAnsi="Verdana"/>
          <w:sz w:val="20"/>
          <w:szCs w:val="20"/>
        </w:rPr>
      </w:pPr>
      <w:r w:rsidRPr="006A7D7E">
        <w:rPr>
          <w:rFonts w:ascii="Verdana" w:hAnsi="Verdana"/>
          <w:i/>
          <w:sz w:val="20"/>
          <w:szCs w:val="20"/>
        </w:rPr>
        <w:t>Escrito de contestación.</w:t>
      </w:r>
      <w:r w:rsidRPr="006A7D7E">
        <w:rPr>
          <w:rFonts w:ascii="Verdana" w:hAnsi="Verdana"/>
          <w:sz w:val="20"/>
          <w:szCs w:val="20"/>
        </w:rPr>
        <w:t xml:space="preserve"> – El 27 de junio de 2016 el Estado presentó ante la Corte su contestación al escrito de sometimiento del caso y de observaciones al escrito de solicitudes, argumentos y pruebas (en adelante “escrito de contestación”).</w:t>
      </w:r>
      <w:r w:rsidR="00524EDB">
        <w:rPr>
          <w:rFonts w:ascii="Verdana" w:hAnsi="Verdana"/>
          <w:sz w:val="20"/>
          <w:szCs w:val="20"/>
        </w:rPr>
        <w:t xml:space="preserve"> </w:t>
      </w:r>
      <w:r w:rsidRPr="006A7D7E">
        <w:rPr>
          <w:rFonts w:ascii="Verdana" w:hAnsi="Verdana"/>
          <w:sz w:val="20"/>
          <w:szCs w:val="20"/>
        </w:rPr>
        <w:t xml:space="preserve">En dicho escrito el Estado interpuso </w:t>
      </w:r>
      <w:r>
        <w:rPr>
          <w:rFonts w:ascii="Verdana" w:hAnsi="Verdana"/>
          <w:sz w:val="20"/>
          <w:szCs w:val="20"/>
        </w:rPr>
        <w:t>una serie de “observaciones al Informe de Admisibilidad y plantearon cuestionamientos procesales a los argumentos interpuestos por la Comisión y los representantes”</w:t>
      </w:r>
      <w:r w:rsidRPr="006A7D7E">
        <w:rPr>
          <w:rFonts w:ascii="Verdana" w:hAnsi="Verdana"/>
          <w:sz w:val="20"/>
          <w:szCs w:val="20"/>
        </w:rPr>
        <w:t>.</w:t>
      </w:r>
    </w:p>
    <w:p w14:paraId="7B9BC5A1" w14:textId="77777777" w:rsidR="006F79F4" w:rsidRPr="00A659C5" w:rsidRDefault="006F79F4" w:rsidP="00AF7637">
      <w:pPr>
        <w:pStyle w:val="ListParagraph"/>
        <w:ind w:left="0"/>
        <w:rPr>
          <w:rFonts w:ascii="Verdana" w:hAnsi="Verdana"/>
          <w:sz w:val="20"/>
          <w:szCs w:val="20"/>
        </w:rPr>
      </w:pPr>
    </w:p>
    <w:p w14:paraId="21F9AB06" w14:textId="5EB8FFA0" w:rsidR="006F79F4" w:rsidRPr="005D0F69" w:rsidRDefault="006F79F4" w:rsidP="00E66DD7">
      <w:pPr>
        <w:pStyle w:val="ListParagraph"/>
        <w:numPr>
          <w:ilvl w:val="0"/>
          <w:numId w:val="1"/>
        </w:numPr>
        <w:ind w:left="0" w:firstLine="0"/>
        <w:jc w:val="both"/>
        <w:rPr>
          <w:rFonts w:ascii="Verdana" w:hAnsi="Verdana"/>
          <w:i/>
          <w:sz w:val="20"/>
          <w:szCs w:val="20"/>
        </w:rPr>
      </w:pPr>
      <w:r w:rsidRPr="00A659C5">
        <w:rPr>
          <w:rFonts w:ascii="Verdana" w:hAnsi="Verdana"/>
          <w:i/>
          <w:sz w:val="20"/>
          <w:szCs w:val="20"/>
        </w:rPr>
        <w:lastRenderedPageBreak/>
        <w:t>Observaciones a las excepciones preliminares.</w:t>
      </w:r>
      <w:r w:rsidR="007C68E6" w:rsidRPr="00333304">
        <w:rPr>
          <w:rFonts w:ascii="Verdana" w:hAnsi="Verdana"/>
          <w:sz w:val="20"/>
          <w:szCs w:val="20"/>
        </w:rPr>
        <w:t xml:space="preserve"> </w:t>
      </w:r>
      <w:r w:rsidRPr="006A7D7E">
        <w:rPr>
          <w:rFonts w:ascii="Verdana" w:hAnsi="Verdana"/>
          <w:sz w:val="20"/>
          <w:szCs w:val="20"/>
        </w:rPr>
        <w:t>El 14 y 16 de agosto de 2016, respectivamente, los representantes y la Comisión</w:t>
      </w:r>
      <w:r w:rsidR="00524EDB" w:rsidRPr="00333304">
        <w:rPr>
          <w:rFonts w:ascii="Verdana" w:hAnsi="Verdana"/>
          <w:sz w:val="20"/>
          <w:szCs w:val="20"/>
        </w:rPr>
        <w:t xml:space="preserve"> </w:t>
      </w:r>
      <w:r w:rsidRPr="006A7D7E">
        <w:rPr>
          <w:rFonts w:ascii="Verdana" w:hAnsi="Verdana"/>
          <w:sz w:val="20"/>
          <w:szCs w:val="20"/>
        </w:rPr>
        <w:t xml:space="preserve">remitieron sus observaciones a las </w:t>
      </w:r>
      <w:r>
        <w:rPr>
          <w:rFonts w:ascii="Verdana" w:hAnsi="Verdana"/>
          <w:sz w:val="20"/>
          <w:szCs w:val="20"/>
        </w:rPr>
        <w:t>“observaciones al Informe de Admisibilidad y cuestionamientos procesales”</w:t>
      </w:r>
      <w:r w:rsidRPr="006A7D7E">
        <w:rPr>
          <w:rFonts w:ascii="Verdana" w:hAnsi="Verdana"/>
          <w:sz w:val="20"/>
          <w:szCs w:val="20"/>
        </w:rPr>
        <w:t xml:space="preserve"> interpuestas por el Estado. </w:t>
      </w:r>
    </w:p>
    <w:p w14:paraId="3C49942A" w14:textId="77777777" w:rsidR="00BD0D35" w:rsidRPr="005D0F69" w:rsidRDefault="00BD0D35" w:rsidP="005D0F69">
      <w:pPr>
        <w:pStyle w:val="ListParagraph"/>
        <w:ind w:left="0"/>
        <w:jc w:val="both"/>
        <w:rPr>
          <w:rFonts w:ascii="Verdana" w:hAnsi="Verdana"/>
          <w:i/>
          <w:sz w:val="20"/>
          <w:szCs w:val="20"/>
        </w:rPr>
      </w:pPr>
    </w:p>
    <w:p w14:paraId="5B7012DE" w14:textId="3C8FA722" w:rsidR="00BD0D35" w:rsidRPr="006A7D7E" w:rsidRDefault="00BD0D35" w:rsidP="00E66DD7">
      <w:pPr>
        <w:pStyle w:val="ListParagraph"/>
        <w:numPr>
          <w:ilvl w:val="0"/>
          <w:numId w:val="1"/>
        </w:numPr>
        <w:ind w:left="0" w:firstLine="0"/>
        <w:jc w:val="both"/>
        <w:rPr>
          <w:rFonts w:ascii="Verdana" w:hAnsi="Verdana"/>
          <w:i/>
          <w:sz w:val="20"/>
          <w:szCs w:val="20"/>
        </w:rPr>
      </w:pPr>
      <w:r>
        <w:rPr>
          <w:rFonts w:ascii="Verdana" w:hAnsi="Verdana"/>
          <w:i/>
          <w:sz w:val="20"/>
          <w:szCs w:val="20"/>
        </w:rPr>
        <w:t>Fondo de Asistencia Legal de las Víctimas</w:t>
      </w:r>
      <w:r>
        <w:rPr>
          <w:rFonts w:ascii="Verdana" w:hAnsi="Verdana"/>
          <w:sz w:val="20"/>
        </w:rPr>
        <w:t>.- Mediante Resolución del Presidente de la Corte de 14 de julio de 2016</w:t>
      </w:r>
      <w:r w:rsidR="00DD091E">
        <w:rPr>
          <w:rFonts w:ascii="Verdana" w:hAnsi="Verdana"/>
          <w:sz w:val="20"/>
        </w:rPr>
        <w:t xml:space="preserve"> </w:t>
      </w:r>
      <w:r>
        <w:rPr>
          <w:rFonts w:ascii="Verdana" w:hAnsi="Verdana"/>
          <w:sz w:val="20"/>
        </w:rPr>
        <w:t>se declaró procedente la solicitud interpuesta por la presunta víctima, a través de sus representantes, para acogerse al Fondo de Asistencia de la Corte</w:t>
      </w:r>
      <w:r>
        <w:rPr>
          <w:rStyle w:val="FootnoteReference"/>
        </w:rPr>
        <w:footnoteReference w:id="4"/>
      </w:r>
      <w:r>
        <w:rPr>
          <w:rFonts w:ascii="Verdana" w:hAnsi="Verdana"/>
          <w:sz w:val="20"/>
        </w:rPr>
        <w:t>.</w:t>
      </w:r>
    </w:p>
    <w:p w14:paraId="0222D07D" w14:textId="77777777" w:rsidR="006F79F4" w:rsidRPr="006A7D7E" w:rsidRDefault="006F79F4" w:rsidP="00AF7637">
      <w:pPr>
        <w:autoSpaceDE w:val="0"/>
        <w:autoSpaceDN w:val="0"/>
        <w:adjustRightInd w:val="0"/>
        <w:jc w:val="both"/>
        <w:rPr>
          <w:rFonts w:ascii="Verdana" w:eastAsiaTheme="minorHAnsi" w:hAnsi="Verdana" w:cs="Verdana"/>
          <w:color w:val="000000"/>
          <w:sz w:val="20"/>
          <w:szCs w:val="20"/>
          <w:lang w:val="es-MX"/>
        </w:rPr>
      </w:pPr>
    </w:p>
    <w:p w14:paraId="0CA4ED95" w14:textId="207BDE06" w:rsidR="006F79F4" w:rsidRPr="005571BA" w:rsidRDefault="006F79F4" w:rsidP="00E66DD7">
      <w:pPr>
        <w:pStyle w:val="ListParagraph"/>
        <w:numPr>
          <w:ilvl w:val="0"/>
          <w:numId w:val="1"/>
        </w:numPr>
        <w:ind w:left="0" w:firstLine="0"/>
        <w:jc w:val="both"/>
        <w:rPr>
          <w:rFonts w:ascii="Verdana" w:hAnsi="Verdana"/>
          <w:sz w:val="20"/>
          <w:szCs w:val="20"/>
        </w:rPr>
      </w:pPr>
      <w:r w:rsidRPr="006A7D7E">
        <w:rPr>
          <w:rFonts w:ascii="Verdana" w:hAnsi="Verdana"/>
          <w:i/>
          <w:sz w:val="20"/>
          <w:szCs w:val="20"/>
        </w:rPr>
        <w:t>Audiencia pública.</w:t>
      </w:r>
      <w:r w:rsidRPr="006A7D7E">
        <w:rPr>
          <w:rFonts w:ascii="Verdana" w:hAnsi="Verdana"/>
          <w:sz w:val="20"/>
          <w:szCs w:val="20"/>
        </w:rPr>
        <w:t xml:space="preserve"> </w:t>
      </w:r>
      <w:r w:rsidRPr="006A7D7E">
        <w:rPr>
          <w:rFonts w:ascii="Verdana" w:eastAsiaTheme="minorHAnsi" w:hAnsi="Verdana" w:cs="Verdana"/>
          <w:color w:val="000000"/>
          <w:sz w:val="20"/>
          <w:szCs w:val="20"/>
          <w:lang w:val="es-MX"/>
        </w:rPr>
        <w:t>–</w:t>
      </w:r>
      <w:r w:rsidRPr="006A7D7E">
        <w:rPr>
          <w:rFonts w:ascii="Verdana" w:hAnsi="Verdana"/>
          <w:sz w:val="20"/>
          <w:szCs w:val="20"/>
        </w:rPr>
        <w:t xml:space="preserve"> Mediante Resolución del Presidente de la Corte de 21 de noviembre de 2016</w:t>
      </w:r>
      <w:r w:rsidRPr="006A7D7E">
        <w:rPr>
          <w:rFonts w:ascii="Verdana" w:hAnsi="Verdana"/>
          <w:sz w:val="20"/>
          <w:szCs w:val="20"/>
          <w:vertAlign w:val="superscript"/>
        </w:rPr>
        <w:footnoteReference w:id="5"/>
      </w:r>
      <w:r w:rsidRPr="006A7D7E">
        <w:rPr>
          <w:rFonts w:ascii="Verdana" w:hAnsi="Verdana"/>
          <w:sz w:val="20"/>
          <w:szCs w:val="20"/>
        </w:rPr>
        <w:t xml:space="preserve"> se resolvió, entre otras situaciones: a) convocar a las partes a una audiencia pública</w:t>
      </w:r>
      <w:r w:rsidRPr="006A7D7E">
        <w:rPr>
          <w:rStyle w:val="FootnoteReference"/>
          <w:szCs w:val="20"/>
        </w:rPr>
        <w:footnoteReference w:id="6"/>
      </w:r>
      <w:r w:rsidRPr="006A7D7E">
        <w:rPr>
          <w:rFonts w:ascii="Verdana" w:hAnsi="Verdana"/>
          <w:sz w:val="20"/>
          <w:szCs w:val="20"/>
        </w:rPr>
        <w:t xml:space="preserve"> para recibir las declaraciones de la presunta víctima, así como de dos peritos</w:t>
      </w:r>
      <w:r>
        <w:rPr>
          <w:rFonts w:ascii="Verdana" w:hAnsi="Verdana"/>
          <w:sz w:val="20"/>
          <w:szCs w:val="20"/>
        </w:rPr>
        <w:t>;</w:t>
      </w:r>
      <w:r w:rsidRPr="006A7D7E">
        <w:rPr>
          <w:rFonts w:ascii="Verdana" w:hAnsi="Verdana"/>
          <w:sz w:val="20"/>
          <w:szCs w:val="20"/>
        </w:rPr>
        <w:t xml:space="preserve"> uno propuesto por la Comisión y otro por el Estado, y b) requerir</w:t>
      </w:r>
      <w:r w:rsidR="008C33CE">
        <w:rPr>
          <w:rFonts w:ascii="Verdana" w:hAnsi="Verdana"/>
          <w:sz w:val="20"/>
          <w:szCs w:val="20"/>
        </w:rPr>
        <w:t>,</w:t>
      </w:r>
      <w:r w:rsidRPr="006A7D7E">
        <w:rPr>
          <w:rFonts w:ascii="Verdana" w:hAnsi="Verdana"/>
          <w:sz w:val="20"/>
          <w:szCs w:val="20"/>
        </w:rPr>
        <w:t xml:space="preserve"> de conformidad con el principio de economía procesal y de la facultad que le otorga el artículo 50.1 del Reglamento de la Corte, que dos peritos, uno propuesto por el Estado</w:t>
      </w:r>
      <w:r>
        <w:rPr>
          <w:rStyle w:val="FootnoteReference"/>
          <w:szCs w:val="20"/>
        </w:rPr>
        <w:footnoteReference w:id="7"/>
      </w:r>
      <w:r w:rsidRPr="006A7D7E">
        <w:rPr>
          <w:rFonts w:ascii="Verdana" w:hAnsi="Verdana"/>
          <w:sz w:val="20"/>
          <w:szCs w:val="20"/>
        </w:rPr>
        <w:t xml:space="preserve"> y otro por los representantes</w:t>
      </w:r>
      <w:r>
        <w:rPr>
          <w:rStyle w:val="FootnoteReference"/>
          <w:szCs w:val="20"/>
        </w:rPr>
        <w:footnoteReference w:id="8"/>
      </w:r>
      <w:r w:rsidRPr="006A7D7E">
        <w:rPr>
          <w:rFonts w:ascii="Verdana" w:hAnsi="Verdana"/>
          <w:sz w:val="20"/>
          <w:szCs w:val="20"/>
        </w:rPr>
        <w:t xml:space="preserve"> presten su declaración ante fedatario público</w:t>
      </w:r>
      <w:r w:rsidRPr="006A7D7E">
        <w:rPr>
          <w:rStyle w:val="FootnoteReference"/>
          <w:rFonts w:eastAsiaTheme="minorHAnsi"/>
          <w:color w:val="000000"/>
          <w:szCs w:val="20"/>
          <w:lang w:val="es-MX"/>
        </w:rPr>
        <w:footnoteReference w:id="9"/>
      </w:r>
      <w:r w:rsidRPr="006A7D7E">
        <w:rPr>
          <w:rFonts w:ascii="Verdana" w:hAnsi="Verdana"/>
          <w:sz w:val="20"/>
          <w:szCs w:val="20"/>
        </w:rPr>
        <w:t>. La audiencia pública fue celebrada el 7 de febrero de 2017 en la ciudad de San</w:t>
      </w:r>
      <w:r w:rsidRPr="00312E3F">
        <w:rPr>
          <w:rFonts w:ascii="Verdana" w:hAnsi="Verdana"/>
          <w:sz w:val="20"/>
          <w:szCs w:val="20"/>
        </w:rPr>
        <w:t xml:space="preserve"> José, Costa Rica, durante el </w:t>
      </w:r>
      <w:r w:rsidRPr="00B56499">
        <w:rPr>
          <w:rFonts w:ascii="Verdana" w:hAnsi="Verdana"/>
          <w:sz w:val="20"/>
          <w:szCs w:val="20"/>
        </w:rPr>
        <w:t>11</w:t>
      </w:r>
      <w:r>
        <w:rPr>
          <w:rFonts w:ascii="Verdana" w:hAnsi="Verdana"/>
          <w:sz w:val="20"/>
          <w:szCs w:val="20"/>
        </w:rPr>
        <w:t>7</w:t>
      </w:r>
      <w:r w:rsidRPr="00B56499">
        <w:rPr>
          <w:rFonts w:ascii="Verdana" w:hAnsi="Verdana"/>
          <w:sz w:val="20"/>
          <w:szCs w:val="20"/>
        </w:rPr>
        <w:t xml:space="preserve"> Período Ordinario de Sesiones de la Corte</w:t>
      </w:r>
      <w:r w:rsidRPr="00CD6059">
        <w:rPr>
          <w:rStyle w:val="FootnoteReference"/>
          <w:szCs w:val="20"/>
        </w:rPr>
        <w:footnoteReference w:id="10"/>
      </w:r>
      <w:r w:rsidRPr="00B56499">
        <w:rPr>
          <w:rFonts w:ascii="Verdana" w:hAnsi="Verdana"/>
          <w:sz w:val="20"/>
          <w:szCs w:val="20"/>
        </w:rPr>
        <w:t>. En la audiencia se recibieron las declaraciones de la</w:t>
      </w:r>
      <w:r w:rsidRPr="00312E3F">
        <w:rPr>
          <w:rFonts w:ascii="Verdana" w:hAnsi="Verdana"/>
          <w:sz w:val="20"/>
          <w:szCs w:val="20"/>
        </w:rPr>
        <w:t xml:space="preserve"> presunta víctima </w:t>
      </w:r>
      <w:r w:rsidRPr="00312E3F">
        <w:rPr>
          <w:rFonts w:ascii="Verdana" w:hAnsi="Verdana"/>
          <w:sz w:val="20"/>
          <w:szCs w:val="20"/>
          <w:lang w:val="es-ES"/>
        </w:rPr>
        <w:t xml:space="preserve">el señor </w:t>
      </w:r>
      <w:r>
        <w:rPr>
          <w:rFonts w:ascii="Verdana" w:hAnsi="Verdana"/>
          <w:sz w:val="20"/>
          <w:szCs w:val="20"/>
          <w:lang w:val="es-ES"/>
        </w:rPr>
        <w:t>Lagos del Campo</w:t>
      </w:r>
      <w:r w:rsidRPr="00B56499">
        <w:rPr>
          <w:rFonts w:ascii="Verdana" w:hAnsi="Verdana"/>
          <w:sz w:val="20"/>
          <w:szCs w:val="20"/>
        </w:rPr>
        <w:t xml:space="preserve"> y del perito </w:t>
      </w:r>
      <w:r w:rsidRPr="007C6554">
        <w:rPr>
          <w:rFonts w:ascii="Verdana" w:hAnsi="Verdana"/>
          <w:sz w:val="20"/>
          <w:szCs w:val="20"/>
        </w:rPr>
        <w:t xml:space="preserve">Damián </w:t>
      </w:r>
      <w:proofErr w:type="spellStart"/>
      <w:r w:rsidRPr="007C6554">
        <w:rPr>
          <w:rFonts w:ascii="Verdana" w:hAnsi="Verdana"/>
          <w:sz w:val="20"/>
          <w:szCs w:val="20"/>
        </w:rPr>
        <w:t>Loreti</w:t>
      </w:r>
      <w:proofErr w:type="spellEnd"/>
      <w:r>
        <w:rPr>
          <w:rFonts w:ascii="Verdana" w:hAnsi="Verdana"/>
          <w:sz w:val="20"/>
          <w:szCs w:val="20"/>
        </w:rPr>
        <w:t>,</w:t>
      </w:r>
      <w:r w:rsidRPr="00B56499">
        <w:rPr>
          <w:rFonts w:ascii="Verdana" w:hAnsi="Verdana"/>
          <w:sz w:val="20"/>
          <w:szCs w:val="20"/>
        </w:rPr>
        <w:t xml:space="preserve"> propuesto por </w:t>
      </w:r>
      <w:r w:rsidRPr="007C6554">
        <w:rPr>
          <w:rFonts w:ascii="Verdana" w:hAnsi="Verdana"/>
          <w:sz w:val="20"/>
          <w:szCs w:val="20"/>
        </w:rPr>
        <w:t>la Comisión</w:t>
      </w:r>
      <w:r w:rsidRPr="00B56499">
        <w:rPr>
          <w:rFonts w:ascii="Verdana" w:hAnsi="Verdana"/>
          <w:sz w:val="20"/>
          <w:szCs w:val="20"/>
        </w:rPr>
        <w:t xml:space="preserve">, así como del perito </w:t>
      </w:r>
      <w:r w:rsidRPr="007C6554">
        <w:rPr>
          <w:rFonts w:ascii="Verdana" w:hAnsi="Verdana"/>
          <w:sz w:val="20"/>
          <w:szCs w:val="20"/>
        </w:rPr>
        <w:t>C</w:t>
      </w:r>
      <w:r w:rsidR="009E49BF">
        <w:rPr>
          <w:rFonts w:ascii="Verdana" w:hAnsi="Verdana"/>
          <w:sz w:val="20"/>
          <w:szCs w:val="20"/>
        </w:rPr>
        <w:t>é</w:t>
      </w:r>
      <w:r w:rsidRPr="007C6554">
        <w:rPr>
          <w:rFonts w:ascii="Verdana" w:hAnsi="Verdana"/>
          <w:sz w:val="20"/>
          <w:szCs w:val="20"/>
        </w:rPr>
        <w:t xml:space="preserve">sar Gonzáles </w:t>
      </w:r>
      <w:proofErr w:type="spellStart"/>
      <w:r w:rsidRPr="007C6554">
        <w:rPr>
          <w:rFonts w:ascii="Verdana" w:hAnsi="Verdana"/>
          <w:sz w:val="20"/>
          <w:szCs w:val="20"/>
        </w:rPr>
        <w:t>Hunt</w:t>
      </w:r>
      <w:proofErr w:type="spellEnd"/>
      <w:r w:rsidRPr="005571BA">
        <w:rPr>
          <w:rFonts w:ascii="Verdana" w:hAnsi="Verdana"/>
          <w:sz w:val="20"/>
          <w:szCs w:val="20"/>
        </w:rPr>
        <w:t xml:space="preserve"> propuesto por el Estado. Asimismo, se recibieron alegatos finales orales de los representantes y del Estado, así como las observaciones de la Comisión</w:t>
      </w:r>
      <w:r w:rsidR="00386930">
        <w:rPr>
          <w:rFonts w:ascii="Verdana" w:hAnsi="Verdana"/>
          <w:sz w:val="20"/>
          <w:szCs w:val="20"/>
        </w:rPr>
        <w:t>.</w:t>
      </w:r>
    </w:p>
    <w:p w14:paraId="2E3B1A04" w14:textId="77777777" w:rsidR="006F79F4" w:rsidRPr="00FB5FF8" w:rsidRDefault="006F79F4" w:rsidP="00AF7637">
      <w:pPr>
        <w:rPr>
          <w:rFonts w:ascii="Verdana" w:hAnsi="Verdana"/>
          <w:sz w:val="20"/>
          <w:szCs w:val="20"/>
        </w:rPr>
      </w:pPr>
    </w:p>
    <w:p w14:paraId="20FBEFF8" w14:textId="6E0B9D6A" w:rsidR="006F79F4" w:rsidRPr="00386930" w:rsidRDefault="006F79F4" w:rsidP="00386930">
      <w:pPr>
        <w:pStyle w:val="ListParagraph"/>
        <w:numPr>
          <w:ilvl w:val="0"/>
          <w:numId w:val="1"/>
        </w:numPr>
        <w:ind w:left="0" w:firstLine="0"/>
        <w:jc w:val="both"/>
        <w:rPr>
          <w:rFonts w:ascii="Verdana" w:hAnsi="Verdana"/>
          <w:sz w:val="20"/>
          <w:szCs w:val="20"/>
        </w:rPr>
      </w:pPr>
      <w:r>
        <w:rPr>
          <w:rFonts w:ascii="Verdana" w:hAnsi="Verdana"/>
          <w:i/>
          <w:sz w:val="20"/>
          <w:szCs w:val="20"/>
        </w:rPr>
        <w:t>A</w:t>
      </w:r>
      <w:r w:rsidRPr="00734D22">
        <w:rPr>
          <w:rFonts w:ascii="Verdana" w:hAnsi="Verdana"/>
          <w:i/>
          <w:sz w:val="20"/>
          <w:szCs w:val="20"/>
        </w:rPr>
        <w:t xml:space="preserve">legatos </w:t>
      </w:r>
      <w:r>
        <w:rPr>
          <w:rFonts w:ascii="Verdana" w:hAnsi="Verdana"/>
          <w:i/>
          <w:sz w:val="20"/>
          <w:szCs w:val="20"/>
        </w:rPr>
        <w:t>y o</w:t>
      </w:r>
      <w:r w:rsidRPr="00734D22">
        <w:rPr>
          <w:rFonts w:ascii="Verdana" w:hAnsi="Verdana"/>
          <w:i/>
          <w:sz w:val="20"/>
          <w:szCs w:val="20"/>
        </w:rPr>
        <w:t>bservaciones finales escrit</w:t>
      </w:r>
      <w:r>
        <w:rPr>
          <w:rFonts w:ascii="Verdana" w:hAnsi="Verdana"/>
          <w:i/>
          <w:sz w:val="20"/>
          <w:szCs w:val="20"/>
        </w:rPr>
        <w:t>a</w:t>
      </w:r>
      <w:r w:rsidRPr="00734D22">
        <w:rPr>
          <w:rFonts w:ascii="Verdana" w:hAnsi="Verdana"/>
          <w:i/>
          <w:sz w:val="20"/>
          <w:szCs w:val="20"/>
        </w:rPr>
        <w:t>s.</w:t>
      </w:r>
      <w:r w:rsidRPr="00734D22">
        <w:rPr>
          <w:rFonts w:ascii="Verdana" w:hAnsi="Verdana"/>
          <w:sz w:val="20"/>
          <w:szCs w:val="20"/>
        </w:rPr>
        <w:t xml:space="preserve"> – El </w:t>
      </w:r>
      <w:r w:rsidRPr="00266456">
        <w:rPr>
          <w:rFonts w:ascii="Verdana" w:hAnsi="Verdana"/>
          <w:sz w:val="20"/>
          <w:szCs w:val="20"/>
        </w:rPr>
        <w:t>8 de marzo de 2017</w:t>
      </w:r>
      <w:r w:rsidRPr="00734D22">
        <w:rPr>
          <w:rFonts w:ascii="Verdana" w:hAnsi="Verdana"/>
          <w:sz w:val="20"/>
          <w:szCs w:val="20"/>
        </w:rPr>
        <w:t xml:space="preserve"> el Estado</w:t>
      </w:r>
      <w:r>
        <w:rPr>
          <w:rFonts w:ascii="Verdana" w:hAnsi="Verdana"/>
          <w:sz w:val="20"/>
          <w:szCs w:val="20"/>
        </w:rPr>
        <w:t xml:space="preserve"> y</w:t>
      </w:r>
      <w:r w:rsidRPr="00734D22">
        <w:rPr>
          <w:rFonts w:ascii="Verdana" w:hAnsi="Verdana"/>
          <w:sz w:val="20"/>
          <w:szCs w:val="20"/>
        </w:rPr>
        <w:t xml:space="preserve"> los representantes presentaron sus alegatos finales escritos y </w:t>
      </w:r>
      <w:r>
        <w:rPr>
          <w:rFonts w:ascii="Verdana" w:hAnsi="Verdana"/>
          <w:sz w:val="20"/>
          <w:szCs w:val="20"/>
        </w:rPr>
        <w:t xml:space="preserve">sus </w:t>
      </w:r>
      <w:r w:rsidRPr="00734D22">
        <w:rPr>
          <w:rFonts w:ascii="Verdana" w:hAnsi="Verdana"/>
          <w:sz w:val="20"/>
          <w:szCs w:val="20"/>
        </w:rPr>
        <w:t xml:space="preserve">anexos, así </w:t>
      </w:r>
      <w:r>
        <w:rPr>
          <w:rFonts w:ascii="Verdana" w:hAnsi="Verdana"/>
          <w:sz w:val="20"/>
          <w:szCs w:val="20"/>
        </w:rPr>
        <w:t>como</w:t>
      </w:r>
      <w:r w:rsidRPr="00734D22">
        <w:rPr>
          <w:rFonts w:ascii="Verdana" w:hAnsi="Verdana"/>
          <w:sz w:val="20"/>
          <w:szCs w:val="20"/>
        </w:rPr>
        <w:t xml:space="preserve"> la Comisión </w:t>
      </w:r>
      <w:r>
        <w:rPr>
          <w:rFonts w:ascii="Verdana" w:hAnsi="Verdana"/>
          <w:sz w:val="20"/>
          <w:szCs w:val="20"/>
        </w:rPr>
        <w:t xml:space="preserve">presentó </w:t>
      </w:r>
      <w:r w:rsidRPr="00734D22">
        <w:rPr>
          <w:rFonts w:ascii="Verdana" w:hAnsi="Verdana"/>
          <w:sz w:val="20"/>
          <w:szCs w:val="20"/>
        </w:rPr>
        <w:t>sus observaciones finales escritas.</w:t>
      </w:r>
      <w:r w:rsidR="00386930">
        <w:rPr>
          <w:rFonts w:ascii="Verdana" w:hAnsi="Verdana"/>
          <w:sz w:val="20"/>
          <w:szCs w:val="20"/>
        </w:rPr>
        <w:t xml:space="preserve"> </w:t>
      </w:r>
      <w:r w:rsidRPr="002B70F4">
        <w:rPr>
          <w:rFonts w:ascii="Verdana" w:hAnsi="Verdana"/>
          <w:sz w:val="20"/>
          <w:szCs w:val="20"/>
        </w:rPr>
        <w:t xml:space="preserve">El </w:t>
      </w:r>
      <w:r w:rsidRPr="0076651B">
        <w:rPr>
          <w:rFonts w:ascii="Verdana" w:hAnsi="Verdana"/>
          <w:sz w:val="20"/>
          <w:szCs w:val="20"/>
        </w:rPr>
        <w:t>9</w:t>
      </w:r>
      <w:r w:rsidRPr="002B70F4">
        <w:rPr>
          <w:rFonts w:ascii="Verdana" w:hAnsi="Verdana"/>
          <w:sz w:val="20"/>
          <w:szCs w:val="20"/>
        </w:rPr>
        <w:t xml:space="preserve"> de </w:t>
      </w:r>
      <w:r w:rsidRPr="0076651B">
        <w:rPr>
          <w:rFonts w:ascii="Verdana" w:hAnsi="Verdana"/>
          <w:sz w:val="20"/>
          <w:szCs w:val="20"/>
        </w:rPr>
        <w:t>marzo</w:t>
      </w:r>
      <w:r w:rsidRPr="002B70F4">
        <w:rPr>
          <w:rFonts w:ascii="Verdana" w:hAnsi="Verdana"/>
          <w:sz w:val="20"/>
          <w:szCs w:val="20"/>
        </w:rPr>
        <w:t xml:space="preserve"> de 2017</w:t>
      </w:r>
      <w:r w:rsidRPr="006A7FA3">
        <w:rPr>
          <w:rFonts w:ascii="Verdana" w:hAnsi="Verdana"/>
          <w:sz w:val="20"/>
          <w:szCs w:val="20"/>
        </w:rPr>
        <w:t xml:space="preserve"> la Secretaría de la Corte remitió los anexos a los </w:t>
      </w:r>
      <w:r w:rsidRPr="0076651B">
        <w:rPr>
          <w:rFonts w:ascii="Verdana" w:hAnsi="Verdana"/>
          <w:sz w:val="20"/>
          <w:szCs w:val="20"/>
        </w:rPr>
        <w:t>alegatos finales escritos y solicitó a las partes y a la Comisión las observaciones que estimaren pertinentes. Mediante comunicación de 20 de marzo de 2017</w:t>
      </w:r>
      <w:r w:rsidR="00386930">
        <w:rPr>
          <w:rFonts w:ascii="Verdana" w:hAnsi="Verdana"/>
          <w:sz w:val="20"/>
          <w:szCs w:val="20"/>
        </w:rPr>
        <w:t xml:space="preserve">, </w:t>
      </w:r>
      <w:r w:rsidRPr="00386930">
        <w:rPr>
          <w:rFonts w:ascii="Verdana" w:hAnsi="Verdana"/>
          <w:sz w:val="20"/>
          <w:szCs w:val="20"/>
        </w:rPr>
        <w:t xml:space="preserve">los representantes presentaron observaciones </w:t>
      </w:r>
      <w:r w:rsidR="000909C0">
        <w:rPr>
          <w:rFonts w:ascii="Verdana" w:hAnsi="Verdana"/>
          <w:sz w:val="20"/>
          <w:szCs w:val="20"/>
        </w:rPr>
        <w:t>sobre</w:t>
      </w:r>
      <w:r w:rsidRPr="00386930">
        <w:rPr>
          <w:rFonts w:ascii="Verdana" w:hAnsi="Verdana"/>
          <w:sz w:val="20"/>
          <w:szCs w:val="20"/>
        </w:rPr>
        <w:t xml:space="preserve"> algunos anexos. </w:t>
      </w:r>
    </w:p>
    <w:p w14:paraId="7C31B343" w14:textId="77777777" w:rsidR="006F79F4" w:rsidRPr="009C7422" w:rsidRDefault="006F79F4" w:rsidP="00AF7637">
      <w:pPr>
        <w:pStyle w:val="ListParagraph"/>
        <w:ind w:left="0"/>
        <w:rPr>
          <w:rFonts w:ascii="Verdana" w:hAnsi="Verdana"/>
          <w:sz w:val="20"/>
          <w:szCs w:val="20"/>
        </w:rPr>
      </w:pPr>
    </w:p>
    <w:p w14:paraId="19B71E0F" w14:textId="0C28CCF4" w:rsidR="006F79F4" w:rsidRPr="009C7422" w:rsidRDefault="006F79F4" w:rsidP="00E66DD7">
      <w:pPr>
        <w:pStyle w:val="ListParagraph"/>
        <w:numPr>
          <w:ilvl w:val="0"/>
          <w:numId w:val="1"/>
        </w:numPr>
        <w:ind w:left="0" w:firstLine="0"/>
        <w:jc w:val="both"/>
        <w:rPr>
          <w:rFonts w:ascii="Verdana" w:hAnsi="Verdana"/>
          <w:sz w:val="20"/>
          <w:szCs w:val="20"/>
        </w:rPr>
      </w:pPr>
      <w:r w:rsidRPr="008921FD">
        <w:rPr>
          <w:rFonts w:ascii="Verdana" w:hAnsi="Verdana"/>
          <w:i/>
          <w:sz w:val="20"/>
          <w:szCs w:val="20"/>
        </w:rPr>
        <w:t>Erogaciones</w:t>
      </w:r>
      <w:r w:rsidRPr="008921FD">
        <w:rPr>
          <w:rFonts w:ascii="Verdana" w:hAnsi="Verdana"/>
          <w:sz w:val="20"/>
          <w:szCs w:val="20"/>
        </w:rPr>
        <w:t xml:space="preserve"> </w:t>
      </w:r>
      <w:r w:rsidRPr="00786F4B">
        <w:rPr>
          <w:rFonts w:ascii="Verdana" w:hAnsi="Verdana"/>
          <w:i/>
          <w:sz w:val="20"/>
          <w:szCs w:val="20"/>
        </w:rPr>
        <w:t>en aplicación del</w:t>
      </w:r>
      <w:r w:rsidRPr="008921FD">
        <w:rPr>
          <w:rFonts w:ascii="Verdana" w:hAnsi="Verdana"/>
          <w:sz w:val="20"/>
          <w:szCs w:val="20"/>
        </w:rPr>
        <w:t xml:space="preserve"> </w:t>
      </w:r>
      <w:r w:rsidRPr="00786F4B">
        <w:rPr>
          <w:rFonts w:ascii="Verdana" w:hAnsi="Verdana"/>
          <w:i/>
          <w:sz w:val="20"/>
          <w:szCs w:val="20"/>
        </w:rPr>
        <w:t>Fondo de Asistencia</w:t>
      </w:r>
      <w:r w:rsidRPr="008921FD">
        <w:rPr>
          <w:rFonts w:ascii="Verdana" w:hAnsi="Verdana"/>
          <w:sz w:val="20"/>
          <w:szCs w:val="20"/>
        </w:rPr>
        <w:t xml:space="preserve">. </w:t>
      </w:r>
      <w:r w:rsidR="00DE6F3B">
        <w:rPr>
          <w:rFonts w:ascii="Verdana" w:hAnsi="Verdana"/>
          <w:sz w:val="20"/>
          <w:szCs w:val="20"/>
        </w:rPr>
        <w:t xml:space="preserve">– El </w:t>
      </w:r>
      <w:r w:rsidR="009E49BF">
        <w:rPr>
          <w:rFonts w:ascii="Verdana" w:hAnsi="Verdana"/>
          <w:sz w:val="20"/>
          <w:szCs w:val="20"/>
        </w:rPr>
        <w:t>7</w:t>
      </w:r>
      <w:r w:rsidRPr="00EB5530">
        <w:rPr>
          <w:rFonts w:ascii="Verdana" w:hAnsi="Verdana"/>
          <w:sz w:val="20"/>
          <w:szCs w:val="20"/>
        </w:rPr>
        <w:t xml:space="preserve"> de </w:t>
      </w:r>
      <w:r w:rsidR="00DE6F3B" w:rsidRPr="00EB5530">
        <w:rPr>
          <w:rFonts w:ascii="Verdana" w:hAnsi="Verdana"/>
          <w:sz w:val="20"/>
          <w:szCs w:val="20"/>
        </w:rPr>
        <w:t xml:space="preserve">abril </w:t>
      </w:r>
      <w:r w:rsidRPr="00EB5530">
        <w:rPr>
          <w:rFonts w:ascii="Verdana" w:hAnsi="Verdana"/>
          <w:sz w:val="20"/>
          <w:szCs w:val="20"/>
        </w:rPr>
        <w:t>de</w:t>
      </w:r>
      <w:r w:rsidRPr="009C7422">
        <w:rPr>
          <w:rFonts w:ascii="Verdana" w:hAnsi="Verdana"/>
          <w:sz w:val="20"/>
          <w:szCs w:val="20"/>
        </w:rPr>
        <w:t xml:space="preserve"> 201</w:t>
      </w:r>
      <w:r>
        <w:rPr>
          <w:rFonts w:ascii="Verdana" w:hAnsi="Verdana"/>
          <w:sz w:val="20"/>
          <w:szCs w:val="20"/>
        </w:rPr>
        <w:t>7</w:t>
      </w:r>
      <w:r w:rsidRPr="009C7422">
        <w:rPr>
          <w:rFonts w:ascii="Verdana" w:hAnsi="Verdana"/>
          <w:sz w:val="20"/>
          <w:szCs w:val="20"/>
        </w:rPr>
        <w:t xml:space="preserve"> la Secretaría</w:t>
      </w:r>
      <w:r w:rsidRPr="008921FD">
        <w:rPr>
          <w:rFonts w:ascii="Verdana" w:hAnsi="Verdana"/>
          <w:sz w:val="20"/>
          <w:szCs w:val="20"/>
        </w:rPr>
        <w:t>, siguiendo instrucciones del Presidente de la Corte, remitió información al Estado sobre las eroga</w:t>
      </w:r>
      <w:r w:rsidRPr="006A7FA3">
        <w:rPr>
          <w:rFonts w:ascii="Verdana" w:hAnsi="Verdana"/>
          <w:sz w:val="20"/>
          <w:szCs w:val="20"/>
        </w:rPr>
        <w:t xml:space="preserve">ciones efectuadas en aplicación del Fondo de Asistencia en el presente caso y, según lo dispuesto en el artículo 5 del Reglamento de la Corte sobre el Funcionamiento del referido </w:t>
      </w:r>
      <w:r w:rsidRPr="006A7FA3">
        <w:rPr>
          <w:rFonts w:ascii="Verdana" w:hAnsi="Verdana"/>
          <w:sz w:val="20"/>
          <w:szCs w:val="20"/>
        </w:rPr>
        <w:lastRenderedPageBreak/>
        <w:t>Fondo, le otorgó un plazo para presentar las observaciones que estimara pertinentes</w:t>
      </w:r>
      <w:r>
        <w:rPr>
          <w:rFonts w:ascii="Verdana" w:hAnsi="Verdana"/>
          <w:sz w:val="20"/>
          <w:szCs w:val="20"/>
        </w:rPr>
        <w:t xml:space="preserve">. </w:t>
      </w:r>
      <w:r w:rsidRPr="006A7FA3">
        <w:rPr>
          <w:rFonts w:ascii="Verdana" w:hAnsi="Verdana"/>
          <w:sz w:val="20"/>
          <w:szCs w:val="20"/>
        </w:rPr>
        <w:t xml:space="preserve">El Estado presentó observaciones </w:t>
      </w:r>
      <w:r w:rsidR="005D0F69" w:rsidRPr="005D0F69">
        <w:rPr>
          <w:rFonts w:ascii="Verdana" w:hAnsi="Verdana"/>
          <w:sz w:val="20"/>
          <w:szCs w:val="20"/>
        </w:rPr>
        <w:t>el 17 de abril</w:t>
      </w:r>
      <w:r w:rsidRPr="005D0F69">
        <w:rPr>
          <w:rFonts w:ascii="Verdana" w:hAnsi="Verdana"/>
          <w:sz w:val="20"/>
          <w:szCs w:val="20"/>
        </w:rPr>
        <w:t xml:space="preserve"> de 2017</w:t>
      </w:r>
      <w:r w:rsidR="00386930">
        <w:rPr>
          <w:rFonts w:ascii="Verdana" w:hAnsi="Verdana"/>
          <w:sz w:val="20"/>
          <w:szCs w:val="20"/>
        </w:rPr>
        <w:t>.</w:t>
      </w:r>
    </w:p>
    <w:p w14:paraId="2108DD93" w14:textId="77777777" w:rsidR="006F79F4" w:rsidRPr="008921FD" w:rsidRDefault="006F79F4" w:rsidP="00AF7637">
      <w:pPr>
        <w:pStyle w:val="ListParagraph"/>
        <w:ind w:left="0"/>
        <w:jc w:val="both"/>
        <w:rPr>
          <w:rFonts w:ascii="Verdana" w:hAnsi="Verdana"/>
          <w:sz w:val="20"/>
          <w:szCs w:val="20"/>
        </w:rPr>
      </w:pPr>
    </w:p>
    <w:p w14:paraId="6C2905C0" w14:textId="144B5C13" w:rsidR="006F79F4" w:rsidRDefault="006F79F4" w:rsidP="00E66DD7">
      <w:pPr>
        <w:pStyle w:val="ListParagraph"/>
        <w:numPr>
          <w:ilvl w:val="0"/>
          <w:numId w:val="1"/>
        </w:numPr>
        <w:ind w:left="0" w:firstLine="0"/>
        <w:jc w:val="both"/>
        <w:rPr>
          <w:rFonts w:ascii="Verdana" w:hAnsi="Verdana"/>
          <w:sz w:val="20"/>
          <w:szCs w:val="20"/>
        </w:rPr>
      </w:pPr>
      <w:r w:rsidRPr="009C7422">
        <w:rPr>
          <w:rFonts w:ascii="Verdana" w:hAnsi="Verdana"/>
          <w:i/>
          <w:sz w:val="20"/>
          <w:szCs w:val="20"/>
        </w:rPr>
        <w:t>Deliberación del presente caso</w:t>
      </w:r>
      <w:r w:rsidRPr="008921FD">
        <w:rPr>
          <w:rFonts w:ascii="Verdana" w:hAnsi="Verdana"/>
          <w:i/>
          <w:sz w:val="20"/>
          <w:szCs w:val="20"/>
        </w:rPr>
        <w:t>.</w:t>
      </w:r>
      <w:r w:rsidRPr="008921FD">
        <w:rPr>
          <w:rFonts w:ascii="Verdana" w:hAnsi="Verdana"/>
          <w:sz w:val="20"/>
          <w:szCs w:val="20"/>
        </w:rPr>
        <w:t xml:space="preserve"> – La Corte inició la deliberación de</w:t>
      </w:r>
      <w:r w:rsidRPr="00CD6059">
        <w:rPr>
          <w:rFonts w:ascii="Verdana" w:hAnsi="Verdana"/>
          <w:sz w:val="20"/>
          <w:szCs w:val="20"/>
        </w:rPr>
        <w:t xml:space="preserve"> la presente </w:t>
      </w:r>
      <w:r w:rsidR="005D0F69" w:rsidRPr="005D0F69">
        <w:rPr>
          <w:rFonts w:ascii="Verdana" w:hAnsi="Verdana"/>
          <w:sz w:val="20"/>
          <w:szCs w:val="20"/>
        </w:rPr>
        <w:t xml:space="preserve">Sentencia </w:t>
      </w:r>
      <w:r w:rsidR="00DE6F3B" w:rsidRPr="00E535D8">
        <w:rPr>
          <w:rFonts w:ascii="Verdana" w:hAnsi="Verdana"/>
          <w:sz w:val="20"/>
          <w:szCs w:val="20"/>
        </w:rPr>
        <w:t>el 18</w:t>
      </w:r>
      <w:r w:rsidR="005D0F69" w:rsidRPr="00E535D8">
        <w:rPr>
          <w:rFonts w:ascii="Verdana" w:hAnsi="Verdana"/>
          <w:sz w:val="20"/>
          <w:szCs w:val="20"/>
        </w:rPr>
        <w:t xml:space="preserve"> de mayo</w:t>
      </w:r>
      <w:r w:rsidRPr="00E535D8">
        <w:rPr>
          <w:rFonts w:ascii="Verdana" w:hAnsi="Verdana"/>
          <w:sz w:val="20"/>
          <w:szCs w:val="20"/>
        </w:rPr>
        <w:t xml:space="preserve"> de 2017</w:t>
      </w:r>
      <w:r w:rsidR="00DE6F3B" w:rsidRPr="00E535D8">
        <w:rPr>
          <w:rFonts w:ascii="Verdana" w:hAnsi="Verdana"/>
          <w:sz w:val="20"/>
          <w:szCs w:val="20"/>
        </w:rPr>
        <w:t xml:space="preserve"> y posteriormente </w:t>
      </w:r>
      <w:r w:rsidR="00DE6F3B" w:rsidRPr="00333304">
        <w:rPr>
          <w:rFonts w:ascii="Verdana" w:hAnsi="Verdana"/>
          <w:sz w:val="20"/>
          <w:szCs w:val="20"/>
        </w:rPr>
        <w:t xml:space="preserve">el </w:t>
      </w:r>
      <w:r w:rsidR="00DF19CA" w:rsidRPr="00333304">
        <w:rPr>
          <w:rFonts w:ascii="Verdana" w:hAnsi="Verdana"/>
          <w:sz w:val="20"/>
          <w:szCs w:val="20"/>
        </w:rPr>
        <w:t>29</w:t>
      </w:r>
      <w:r w:rsidR="00DE6F3B" w:rsidRPr="00333304">
        <w:rPr>
          <w:rFonts w:ascii="Verdana" w:hAnsi="Verdana"/>
          <w:sz w:val="20"/>
          <w:szCs w:val="20"/>
        </w:rPr>
        <w:t xml:space="preserve"> de agosto de 2017</w:t>
      </w:r>
      <w:r w:rsidRPr="00333304">
        <w:rPr>
          <w:rFonts w:ascii="Verdana" w:hAnsi="Verdana"/>
          <w:sz w:val="20"/>
          <w:szCs w:val="20"/>
        </w:rPr>
        <w:t>.</w:t>
      </w:r>
      <w:r>
        <w:rPr>
          <w:rFonts w:ascii="Verdana" w:hAnsi="Verdana"/>
          <w:sz w:val="20"/>
          <w:szCs w:val="20"/>
        </w:rPr>
        <w:t xml:space="preserve"> </w:t>
      </w:r>
    </w:p>
    <w:p w14:paraId="7CCE7D2C" w14:textId="77777777" w:rsidR="006F79F4" w:rsidRPr="00786F4B" w:rsidRDefault="006F79F4" w:rsidP="006F79F4">
      <w:pPr>
        <w:pStyle w:val="ListParagraph"/>
        <w:rPr>
          <w:rFonts w:ascii="Verdana" w:hAnsi="Verdana"/>
          <w:sz w:val="20"/>
          <w:szCs w:val="20"/>
        </w:rPr>
      </w:pPr>
    </w:p>
    <w:p w14:paraId="18A50CE1" w14:textId="77777777" w:rsidR="006F79F4" w:rsidRDefault="006F79F4" w:rsidP="006F79F4">
      <w:pPr>
        <w:pStyle w:val="Heading1"/>
        <w:tabs>
          <w:tab w:val="left" w:pos="851"/>
        </w:tabs>
        <w:spacing w:before="0"/>
        <w:jc w:val="center"/>
        <w:rPr>
          <w:rFonts w:cs="Verdana"/>
          <w:caps/>
          <w:snapToGrid w:val="0"/>
          <w:szCs w:val="20"/>
        </w:rPr>
      </w:pPr>
      <w:bookmarkStart w:id="3" w:name="_Toc437960385"/>
      <w:bookmarkStart w:id="4" w:name="_Toc498333470"/>
      <w:r w:rsidRPr="009F6F45">
        <w:rPr>
          <w:rFonts w:cs="Verdana"/>
          <w:caps/>
          <w:snapToGrid w:val="0"/>
          <w:szCs w:val="20"/>
        </w:rPr>
        <w:t>III</w:t>
      </w:r>
      <w:r w:rsidRPr="009F6F45">
        <w:rPr>
          <w:rFonts w:cs="Verdana"/>
          <w:caps/>
          <w:snapToGrid w:val="0"/>
          <w:szCs w:val="20"/>
        </w:rPr>
        <w:br/>
        <w:t>COMPETENCIA</w:t>
      </w:r>
      <w:bookmarkEnd w:id="3"/>
      <w:bookmarkEnd w:id="4"/>
    </w:p>
    <w:p w14:paraId="0EEBCC03" w14:textId="77777777" w:rsidR="006F79F4" w:rsidRPr="006C3B8D" w:rsidRDefault="006F79F4" w:rsidP="006F79F4"/>
    <w:p w14:paraId="06FE5261" w14:textId="42B6027A" w:rsidR="006F79F4" w:rsidRPr="007C6554" w:rsidRDefault="006F79F4" w:rsidP="00E66DD7">
      <w:pPr>
        <w:pStyle w:val="ListParagraph"/>
        <w:numPr>
          <w:ilvl w:val="0"/>
          <w:numId w:val="1"/>
        </w:numPr>
        <w:ind w:left="0" w:firstLine="0"/>
        <w:jc w:val="both"/>
        <w:rPr>
          <w:rFonts w:ascii="Verdana" w:hAnsi="Verdana"/>
          <w:sz w:val="20"/>
          <w:szCs w:val="20"/>
        </w:rPr>
      </w:pPr>
      <w:r w:rsidRPr="0004677C">
        <w:rPr>
          <w:rFonts w:ascii="Verdana" w:hAnsi="Verdana"/>
          <w:sz w:val="20"/>
          <w:szCs w:val="20"/>
          <w:lang w:val="es-ES"/>
        </w:rPr>
        <w:t>La</w:t>
      </w:r>
      <w:r w:rsidRPr="0004677C">
        <w:rPr>
          <w:rFonts w:ascii="Verdana" w:eastAsia="Times New Roman" w:hAnsi="Verdana"/>
          <w:sz w:val="20"/>
          <w:szCs w:val="20"/>
          <w:lang w:val="es-ES"/>
        </w:rPr>
        <w:t xml:space="preserve"> Corte es competente para conocer del presente caso en los términos del artículo 62.3 de la Convención Americana, </w:t>
      </w:r>
      <w:r w:rsidR="001B481A" w:rsidRPr="00333304">
        <w:rPr>
          <w:rFonts w:ascii="Verdana" w:eastAsia="Times New Roman" w:hAnsi="Verdana"/>
          <w:sz w:val="20"/>
          <w:szCs w:val="20"/>
          <w:lang w:val="es-ES"/>
        </w:rPr>
        <w:t>puesto</w:t>
      </w:r>
      <w:r w:rsidRPr="0004677C">
        <w:rPr>
          <w:rFonts w:ascii="Verdana" w:eastAsia="Times New Roman" w:hAnsi="Verdana"/>
          <w:sz w:val="20"/>
          <w:szCs w:val="20"/>
          <w:lang w:val="es-ES"/>
        </w:rPr>
        <w:t xml:space="preserve"> </w:t>
      </w:r>
      <w:r w:rsidRPr="0076651B">
        <w:rPr>
          <w:rFonts w:ascii="Verdana" w:eastAsia="Times New Roman" w:hAnsi="Verdana"/>
          <w:sz w:val="20"/>
          <w:szCs w:val="20"/>
          <w:lang w:val="es-ES"/>
        </w:rPr>
        <w:t>que Perú ratificó la Convención Americana el 28 de julio de 1978, y reconoció la competencia contenciosa de la Corte el 21 de enero de 1981.</w:t>
      </w:r>
    </w:p>
    <w:p w14:paraId="65AB0B0F" w14:textId="77777777" w:rsidR="006F79F4" w:rsidRPr="0076651B" w:rsidRDefault="006F79F4" w:rsidP="006F79F4">
      <w:pPr>
        <w:pStyle w:val="ListParagraph"/>
        <w:ind w:left="0"/>
        <w:jc w:val="both"/>
        <w:rPr>
          <w:rFonts w:ascii="Verdana" w:hAnsi="Verdana"/>
          <w:sz w:val="20"/>
          <w:szCs w:val="20"/>
        </w:rPr>
      </w:pPr>
    </w:p>
    <w:p w14:paraId="39C32B7E" w14:textId="3AA79FC2" w:rsidR="00AF7637" w:rsidRPr="007005FF" w:rsidRDefault="00374FC9" w:rsidP="00AF7637">
      <w:pPr>
        <w:pStyle w:val="Heading1"/>
        <w:tabs>
          <w:tab w:val="left" w:pos="851"/>
        </w:tabs>
        <w:spacing w:before="0"/>
        <w:jc w:val="center"/>
        <w:rPr>
          <w:rFonts w:cs="Verdana"/>
          <w:caps/>
          <w:snapToGrid w:val="0"/>
          <w:szCs w:val="20"/>
        </w:rPr>
      </w:pPr>
      <w:bookmarkStart w:id="5" w:name="_Toc437960386"/>
      <w:bookmarkStart w:id="6" w:name="_Toc498333471"/>
      <w:r>
        <w:rPr>
          <w:rFonts w:cs="Verdana"/>
          <w:caps/>
          <w:snapToGrid w:val="0"/>
          <w:szCs w:val="20"/>
        </w:rPr>
        <w:t>I</w:t>
      </w:r>
      <w:r w:rsidR="00AF7637" w:rsidRPr="00577DD8">
        <w:rPr>
          <w:rFonts w:cs="Verdana"/>
          <w:caps/>
          <w:snapToGrid w:val="0"/>
          <w:szCs w:val="20"/>
        </w:rPr>
        <w:t>V</w:t>
      </w:r>
      <w:r w:rsidR="00AF7637" w:rsidRPr="00577DD8">
        <w:rPr>
          <w:rFonts w:cs="Verdana"/>
          <w:caps/>
          <w:snapToGrid w:val="0"/>
          <w:szCs w:val="20"/>
        </w:rPr>
        <w:br/>
      </w:r>
      <w:r w:rsidR="00AF7637" w:rsidRPr="005D0F69">
        <w:rPr>
          <w:caps/>
          <w:snapToGrid w:val="0"/>
        </w:rPr>
        <w:t>EXCEPCIONES PRELIMINARES</w:t>
      </w:r>
      <w:bookmarkEnd w:id="5"/>
      <w:bookmarkEnd w:id="6"/>
    </w:p>
    <w:p w14:paraId="0F684868" w14:textId="77777777" w:rsidR="00AF7637" w:rsidRPr="007005FF" w:rsidRDefault="00AF7637" w:rsidP="00AF7637"/>
    <w:p w14:paraId="0A754255" w14:textId="58B1934B" w:rsidR="00154B4B" w:rsidRPr="00E3547C" w:rsidRDefault="00154B4B" w:rsidP="00E66DD7">
      <w:pPr>
        <w:pStyle w:val="Heading2"/>
        <w:numPr>
          <w:ilvl w:val="0"/>
          <w:numId w:val="8"/>
        </w:numPr>
        <w:rPr>
          <w:i/>
          <w:szCs w:val="20"/>
        </w:rPr>
      </w:pPr>
      <w:r w:rsidRPr="00154B4B">
        <w:rPr>
          <w:i/>
          <w:szCs w:val="20"/>
        </w:rPr>
        <w:t xml:space="preserve"> </w:t>
      </w:r>
      <w:bookmarkStart w:id="7" w:name="_Toc498333472"/>
      <w:r w:rsidRPr="005B3D37">
        <w:rPr>
          <w:rFonts w:eastAsia="MS Gothic"/>
          <w:i/>
          <w:lang w:val="es-CR"/>
        </w:rPr>
        <w:t>Planteamientos del Estado y observaciones de la Comisión y los representantes</w:t>
      </w:r>
      <w:bookmarkEnd w:id="7"/>
    </w:p>
    <w:p w14:paraId="4F7E7751" w14:textId="77777777" w:rsidR="00154B4B" w:rsidRDefault="00154B4B" w:rsidP="00154B4B">
      <w:pPr>
        <w:pStyle w:val="ListParagraph"/>
        <w:ind w:left="0"/>
        <w:jc w:val="both"/>
        <w:rPr>
          <w:rFonts w:ascii="Verdana" w:hAnsi="Verdana"/>
          <w:sz w:val="20"/>
          <w:szCs w:val="20"/>
          <w:lang w:val="es-MX"/>
        </w:rPr>
      </w:pPr>
    </w:p>
    <w:p w14:paraId="41B4405B" w14:textId="2DD7B4A9" w:rsidR="00154B4B" w:rsidRDefault="00154B4B" w:rsidP="00E66DD7">
      <w:pPr>
        <w:pStyle w:val="ListParagraph"/>
        <w:numPr>
          <w:ilvl w:val="0"/>
          <w:numId w:val="1"/>
        </w:numPr>
        <w:ind w:left="0" w:firstLine="0"/>
        <w:jc w:val="both"/>
        <w:rPr>
          <w:rFonts w:ascii="Verdana" w:hAnsi="Verdana"/>
          <w:sz w:val="20"/>
          <w:szCs w:val="20"/>
          <w:lang w:val="es-MX"/>
        </w:rPr>
      </w:pPr>
      <w:r>
        <w:rPr>
          <w:rFonts w:ascii="Verdana" w:hAnsi="Verdana"/>
          <w:sz w:val="20"/>
          <w:szCs w:val="20"/>
          <w:lang w:val="es-MX"/>
        </w:rPr>
        <w:t xml:space="preserve">El </w:t>
      </w:r>
      <w:r w:rsidRPr="006F62A3">
        <w:rPr>
          <w:rFonts w:ascii="Verdana" w:hAnsi="Verdana"/>
          <w:b/>
          <w:i/>
          <w:sz w:val="20"/>
          <w:szCs w:val="20"/>
          <w:lang w:val="es-MX"/>
        </w:rPr>
        <w:t>Estado</w:t>
      </w:r>
      <w:r>
        <w:rPr>
          <w:rFonts w:ascii="Verdana" w:hAnsi="Verdana"/>
          <w:sz w:val="20"/>
          <w:szCs w:val="20"/>
          <w:lang w:val="es-MX"/>
        </w:rPr>
        <w:t xml:space="preserve"> solicitó a la Corte que realizara un control de legalidad del Informe de Admisibilidad de la Comisión y formuló </w:t>
      </w:r>
      <w:r w:rsidR="003B4ECF">
        <w:rPr>
          <w:rFonts w:ascii="Verdana" w:hAnsi="Verdana"/>
          <w:sz w:val="20"/>
          <w:szCs w:val="20"/>
          <w:lang w:val="es-MX"/>
        </w:rPr>
        <w:t>seis</w:t>
      </w:r>
      <w:r>
        <w:rPr>
          <w:rFonts w:ascii="Verdana" w:hAnsi="Verdana"/>
          <w:sz w:val="20"/>
          <w:szCs w:val="20"/>
          <w:lang w:val="es-MX"/>
        </w:rPr>
        <w:t xml:space="preserve"> “cuestionamientos procesales”, en los siguientes términos:</w:t>
      </w:r>
    </w:p>
    <w:p w14:paraId="3B15CC69" w14:textId="77777777" w:rsidR="00154B4B" w:rsidRDefault="00154B4B" w:rsidP="00154B4B">
      <w:pPr>
        <w:pStyle w:val="ListParagraph"/>
        <w:ind w:left="0"/>
        <w:jc w:val="both"/>
        <w:rPr>
          <w:rFonts w:ascii="Verdana" w:hAnsi="Verdana"/>
          <w:sz w:val="20"/>
          <w:szCs w:val="20"/>
          <w:lang w:val="es-MX"/>
        </w:rPr>
      </w:pPr>
    </w:p>
    <w:p w14:paraId="4E4F9A75" w14:textId="4EA2D216" w:rsidR="00154B4B" w:rsidRPr="00C71AC5" w:rsidRDefault="00154B4B" w:rsidP="00E66DD7">
      <w:pPr>
        <w:pStyle w:val="ListParagraph"/>
        <w:numPr>
          <w:ilvl w:val="0"/>
          <w:numId w:val="17"/>
        </w:numPr>
        <w:ind w:hanging="11"/>
        <w:jc w:val="both"/>
        <w:rPr>
          <w:rFonts w:ascii="Verdana" w:hAnsi="Verdana"/>
          <w:sz w:val="20"/>
          <w:szCs w:val="20"/>
          <w:lang w:val="es-MX"/>
        </w:rPr>
      </w:pPr>
      <w:r w:rsidRPr="00DF3DCF">
        <w:rPr>
          <w:rFonts w:ascii="Verdana" w:hAnsi="Verdana"/>
          <w:sz w:val="20"/>
          <w:szCs w:val="20"/>
          <w:lang w:val="es-MX"/>
        </w:rPr>
        <w:t xml:space="preserve"> </w:t>
      </w:r>
      <w:r w:rsidRPr="00C71AC5">
        <w:rPr>
          <w:rFonts w:ascii="Verdana" w:hAnsi="Verdana"/>
          <w:i/>
          <w:sz w:val="20"/>
          <w:szCs w:val="20"/>
          <w:lang w:val="es-MX"/>
        </w:rPr>
        <w:t>“Control de legalidad sobre el informe de admisibilidad de la CIDH relativo al presente caso”</w:t>
      </w:r>
      <w:r w:rsidR="00386930">
        <w:rPr>
          <w:rFonts w:ascii="Verdana" w:hAnsi="Verdana"/>
          <w:sz w:val="20"/>
          <w:szCs w:val="20"/>
          <w:lang w:val="es-MX"/>
        </w:rPr>
        <w:t xml:space="preserve">: </w:t>
      </w:r>
      <w:r w:rsidRPr="00C71AC5">
        <w:rPr>
          <w:rFonts w:ascii="Verdana" w:hAnsi="Verdana"/>
          <w:sz w:val="20"/>
          <w:szCs w:val="20"/>
          <w:lang w:val="es-MX"/>
        </w:rPr>
        <w:t>El Estado solicitó a la Corte que ejerza el debido control de legalidad sobre las omisiones de la Comisión con relación a la falta de verificación del plazo máximo para interponer la petición acorde con el artículo 46.1 b) de la Convención. Al respecto señaló que la Comisión consideró el 14 de octubre de 1993 como la fecha de petición del señor Lagos del Campo, aun cua</w:t>
      </w:r>
      <w:r>
        <w:rPr>
          <w:rFonts w:ascii="Verdana" w:hAnsi="Verdana"/>
          <w:sz w:val="20"/>
          <w:szCs w:val="20"/>
          <w:lang w:val="es-MX"/>
        </w:rPr>
        <w:t>ndo e</w:t>
      </w:r>
      <w:r w:rsidRPr="00C71AC5">
        <w:rPr>
          <w:rFonts w:ascii="Verdana" w:hAnsi="Verdana"/>
          <w:sz w:val="20"/>
          <w:szCs w:val="20"/>
          <w:lang w:val="es-MX"/>
        </w:rPr>
        <w:t>sta fue trasladada por la oficina de la Organización de Estados Americanos en Perú el 5 de agosto de 1998 violando así los principios de seguridad jurídica y equidad procesal. Adicionalmente, y en relación con lo anterior, el Estado consideró que la Comisión realizó una verificación contraria a las reglas procesales en lo que respecta al cumplimiento del requisito de admisibilidad de la petición, referido al plazo de los seis meses, en relación con las alegadas violaciones al derecho a la libertad de expresión y el derecho a ser oído. En consecuencia, solicitó a la Corte que determine cuál debe ser el proceder de la Comisión en circunstancias similares y que declare que la actuación de la CIDH no fue acorde a las reglas procesales y con sus competencias, y que la petición debió ser rechazada</w:t>
      </w:r>
      <w:r w:rsidRPr="00333304">
        <w:rPr>
          <w:rFonts w:ascii="Verdana" w:hAnsi="Verdana"/>
          <w:sz w:val="20"/>
          <w:szCs w:val="20"/>
          <w:lang w:val="es-MX"/>
        </w:rPr>
        <w:t>.</w:t>
      </w:r>
    </w:p>
    <w:p w14:paraId="5EE54AD3" w14:textId="77777777" w:rsidR="00154B4B" w:rsidRPr="00210213" w:rsidRDefault="00154B4B" w:rsidP="001B45F8">
      <w:pPr>
        <w:ind w:left="360" w:hanging="11"/>
        <w:jc w:val="both"/>
        <w:rPr>
          <w:rFonts w:ascii="Verdana" w:hAnsi="Verdana"/>
          <w:sz w:val="20"/>
          <w:szCs w:val="20"/>
          <w:lang w:val="es-MX"/>
        </w:rPr>
      </w:pPr>
    </w:p>
    <w:p w14:paraId="1D747611" w14:textId="74806609" w:rsidR="00154B4B" w:rsidRPr="00C71AC5" w:rsidRDefault="00154B4B" w:rsidP="00E66DD7">
      <w:pPr>
        <w:pStyle w:val="ListParagraph"/>
        <w:numPr>
          <w:ilvl w:val="0"/>
          <w:numId w:val="17"/>
        </w:numPr>
        <w:ind w:hanging="11"/>
        <w:jc w:val="both"/>
        <w:rPr>
          <w:rFonts w:ascii="Verdana" w:hAnsi="Verdana"/>
          <w:sz w:val="20"/>
          <w:szCs w:val="20"/>
          <w:lang w:val="es-MX"/>
        </w:rPr>
      </w:pPr>
      <w:r w:rsidRPr="00C71AC5">
        <w:rPr>
          <w:rFonts w:ascii="Verdana" w:hAnsi="Verdana"/>
          <w:i/>
          <w:sz w:val="20"/>
          <w:szCs w:val="20"/>
          <w:lang w:val="es-MX"/>
        </w:rPr>
        <w:t>“Ausencia del agotamiento de los recursos internos con relación a la alegación sobre la falta de debida motivación de las resoluciones judiciales”</w:t>
      </w:r>
      <w:r w:rsidR="006C25F6">
        <w:rPr>
          <w:rFonts w:ascii="Verdana" w:hAnsi="Verdana"/>
          <w:sz w:val="20"/>
          <w:szCs w:val="20"/>
          <w:lang w:val="es-MX"/>
        </w:rPr>
        <w:t>.</w:t>
      </w:r>
      <w:r w:rsidRPr="00C71AC5">
        <w:rPr>
          <w:rFonts w:ascii="Verdana" w:hAnsi="Verdana"/>
          <w:sz w:val="20"/>
          <w:szCs w:val="20"/>
          <w:lang w:val="es-MX"/>
        </w:rPr>
        <w:t xml:space="preserve"> El Estado argumentó que la Comisión realizó una evaluación incompleta o parcial de admisibilidad de la petición en cuanto al cumplimiento del agotamiento de recursos internos, y que desarrolló de manera insuficiente las razones por las que consideró cumplido tal requisito, sin explicar la vinculación entre los recursos interpuestos y el contenido de las vulneraciones alegadas</w:t>
      </w:r>
      <w:r w:rsidRPr="00A032B8">
        <w:rPr>
          <w:rFonts w:ascii="Verdana" w:hAnsi="Verdana"/>
          <w:sz w:val="20"/>
          <w:szCs w:val="20"/>
          <w:lang w:val="es-MX"/>
        </w:rPr>
        <w:t>.</w:t>
      </w:r>
      <w:r w:rsidRPr="00C71AC5">
        <w:rPr>
          <w:rFonts w:ascii="Verdana" w:hAnsi="Verdana"/>
          <w:sz w:val="20"/>
          <w:szCs w:val="20"/>
          <w:lang w:val="es-MX"/>
        </w:rPr>
        <w:t xml:space="preserve"> En este sentido, solicitó a la Corte analizar si la decisión judicial tomada en cuenta por la Comisión como el último recurso agotado por el peticionario efectivamente buscó revertir todas y cada una de las vi</w:t>
      </w:r>
      <w:r w:rsidR="003B4ECF">
        <w:rPr>
          <w:rFonts w:ascii="Verdana" w:hAnsi="Verdana"/>
          <w:sz w:val="20"/>
          <w:szCs w:val="20"/>
          <w:lang w:val="es-MX"/>
        </w:rPr>
        <w:t>olaciones a los derechos alegado</w:t>
      </w:r>
      <w:r w:rsidRPr="00C71AC5">
        <w:rPr>
          <w:rFonts w:ascii="Verdana" w:hAnsi="Verdana"/>
          <w:sz w:val="20"/>
          <w:szCs w:val="20"/>
          <w:lang w:val="es-MX"/>
        </w:rPr>
        <w:t>s en</w:t>
      </w:r>
      <w:r w:rsidR="00DD091E">
        <w:rPr>
          <w:rFonts w:ascii="Verdana" w:hAnsi="Verdana"/>
          <w:sz w:val="20"/>
          <w:szCs w:val="20"/>
          <w:lang w:val="es-MX"/>
        </w:rPr>
        <w:t xml:space="preserve"> </w:t>
      </w:r>
      <w:r w:rsidRPr="00C71AC5">
        <w:rPr>
          <w:rFonts w:ascii="Verdana" w:hAnsi="Verdana"/>
          <w:sz w:val="20"/>
          <w:szCs w:val="20"/>
          <w:lang w:val="es-MX"/>
        </w:rPr>
        <w:t>la petición presentada a la</w:t>
      </w:r>
      <w:r w:rsidR="001819F5">
        <w:rPr>
          <w:rFonts w:ascii="Verdana" w:hAnsi="Verdana"/>
          <w:sz w:val="20"/>
          <w:szCs w:val="20"/>
          <w:lang w:val="es-MX"/>
        </w:rPr>
        <w:t xml:space="preserve"> </w:t>
      </w:r>
      <w:r w:rsidRPr="00C71AC5">
        <w:rPr>
          <w:rFonts w:ascii="Verdana" w:hAnsi="Verdana"/>
          <w:sz w:val="20"/>
          <w:szCs w:val="20"/>
          <w:lang w:val="es-MX"/>
        </w:rPr>
        <w:t>Comisión Interamericana</w:t>
      </w:r>
      <w:r w:rsidR="00386930" w:rsidRPr="00333304">
        <w:rPr>
          <w:rFonts w:ascii="Verdana" w:hAnsi="Verdana"/>
          <w:sz w:val="20"/>
          <w:szCs w:val="20"/>
          <w:lang w:val="es-MX"/>
        </w:rPr>
        <w:t>.</w:t>
      </w:r>
      <w:r w:rsidRPr="00333304">
        <w:rPr>
          <w:rFonts w:ascii="Verdana" w:hAnsi="Verdana"/>
          <w:sz w:val="20"/>
          <w:szCs w:val="20"/>
          <w:lang w:val="es-MX"/>
        </w:rPr>
        <w:t xml:space="preserve"> </w:t>
      </w:r>
      <w:r w:rsidRPr="00C71AC5">
        <w:rPr>
          <w:rFonts w:ascii="Verdana" w:hAnsi="Verdana"/>
          <w:sz w:val="20"/>
          <w:szCs w:val="20"/>
          <w:lang w:val="es-MX"/>
        </w:rPr>
        <w:t>El Estado sometió a consideración este aspecto ante la Corte, pues considera que debe existir claridad y transparencia en los criterios que emplea la Comisión para la admisión de peticiones, con independencia de que el Estado haya alegado la cuestión en el momento procesal oportuno.</w:t>
      </w:r>
    </w:p>
    <w:p w14:paraId="17E235DB" w14:textId="77777777" w:rsidR="00154B4B" w:rsidRDefault="00154B4B" w:rsidP="001B45F8">
      <w:pPr>
        <w:pStyle w:val="ListParagraph"/>
        <w:ind w:hanging="11"/>
        <w:jc w:val="both"/>
        <w:rPr>
          <w:rFonts w:ascii="Verdana" w:hAnsi="Verdana"/>
          <w:sz w:val="20"/>
          <w:szCs w:val="20"/>
          <w:lang w:val="es-MX"/>
        </w:rPr>
      </w:pPr>
    </w:p>
    <w:p w14:paraId="5C38D791" w14:textId="6A7393D1" w:rsidR="00154B4B" w:rsidRPr="00C71AC5" w:rsidRDefault="00154B4B" w:rsidP="00E66DD7">
      <w:pPr>
        <w:pStyle w:val="ListParagraph"/>
        <w:numPr>
          <w:ilvl w:val="0"/>
          <w:numId w:val="17"/>
        </w:numPr>
        <w:ind w:hanging="11"/>
        <w:jc w:val="both"/>
        <w:rPr>
          <w:rFonts w:ascii="Verdana" w:hAnsi="Verdana"/>
          <w:sz w:val="20"/>
          <w:szCs w:val="20"/>
          <w:lang w:val="es-MX"/>
        </w:rPr>
      </w:pPr>
      <w:r w:rsidRPr="00C71AC5">
        <w:rPr>
          <w:rFonts w:ascii="Verdana" w:hAnsi="Verdana"/>
          <w:i/>
          <w:sz w:val="20"/>
          <w:szCs w:val="20"/>
          <w:lang w:val="es-MX"/>
        </w:rPr>
        <w:lastRenderedPageBreak/>
        <w:t>“Observaciones a la debida inclusión del artículo</w:t>
      </w:r>
      <w:r w:rsidR="00A032B8">
        <w:rPr>
          <w:rFonts w:ascii="Verdana" w:hAnsi="Verdana"/>
          <w:i/>
          <w:sz w:val="20"/>
          <w:szCs w:val="20"/>
          <w:lang w:val="es-MX"/>
        </w:rPr>
        <w:t xml:space="preserve"> 16 en el Informe de F</w:t>
      </w:r>
      <w:r w:rsidRPr="00C71AC5">
        <w:rPr>
          <w:rFonts w:ascii="Verdana" w:hAnsi="Verdana"/>
          <w:i/>
          <w:sz w:val="20"/>
          <w:szCs w:val="20"/>
          <w:lang w:val="es-MX"/>
        </w:rPr>
        <w:t>ondo de la CIDH”</w:t>
      </w:r>
      <w:r w:rsidR="006C25F6">
        <w:rPr>
          <w:rFonts w:ascii="Verdana" w:hAnsi="Verdana"/>
          <w:sz w:val="20"/>
          <w:szCs w:val="20"/>
          <w:lang w:val="es-MX"/>
        </w:rPr>
        <w:t>.</w:t>
      </w:r>
      <w:r w:rsidRPr="00C71AC5">
        <w:rPr>
          <w:rFonts w:ascii="Verdana" w:hAnsi="Verdana"/>
          <w:sz w:val="20"/>
          <w:szCs w:val="20"/>
          <w:lang w:val="es-MX"/>
        </w:rPr>
        <w:t xml:space="preserve"> </w:t>
      </w:r>
      <w:r w:rsidRPr="00C71AC5">
        <w:rPr>
          <w:rFonts w:ascii="Verdana" w:hAnsi="Verdana"/>
          <w:sz w:val="20"/>
          <w:szCs w:val="20"/>
          <w:lang w:val="es-ES"/>
        </w:rPr>
        <w:t xml:space="preserve">El Estado alegó que la Comisión admitió la petición con relación a los artículos 8 y 13 con relación a los artículos 1.1 y 2 de la Convención, pero que en el Informe de Fondo incluyó indebidamente presuntas violaciones al artículo 16.1 de la Convención. Al respecto, señaló que ni en los hechos del caso aportados por los peticionarios, ni en los documentos brindados por los mismos, existe referencia alguna a que, en razón del ejercicio del derecho a la libertad de expresión, y el consecuente alegado despido arbitrario del señor Lagos del Campo, se haya vulnerado su libertad de asociación. En consecuencia, el Estado alegó que nunca tuvo oportunidad de formular alegatos con relación a dicho aspecto, lo que constituyó una violación a su derecho a la defensa. Por lo anterior, solicitó a la Corte rechazar los alegatos relacionados con presuntas violaciones al artículo 16. </w:t>
      </w:r>
    </w:p>
    <w:p w14:paraId="0BB2BAAF" w14:textId="77777777" w:rsidR="00154B4B" w:rsidRPr="00210213" w:rsidRDefault="00154B4B" w:rsidP="001B45F8">
      <w:pPr>
        <w:ind w:hanging="11"/>
        <w:jc w:val="both"/>
        <w:rPr>
          <w:rFonts w:ascii="Verdana" w:hAnsi="Verdana"/>
          <w:sz w:val="20"/>
          <w:szCs w:val="20"/>
          <w:lang w:val="es-MX"/>
        </w:rPr>
      </w:pPr>
    </w:p>
    <w:p w14:paraId="62B0795B" w14:textId="2F56ACF2" w:rsidR="00154B4B" w:rsidRPr="00C71AC5" w:rsidRDefault="00154B4B" w:rsidP="00E66DD7">
      <w:pPr>
        <w:pStyle w:val="ListParagraph"/>
        <w:numPr>
          <w:ilvl w:val="0"/>
          <w:numId w:val="17"/>
        </w:numPr>
        <w:ind w:hanging="11"/>
        <w:jc w:val="both"/>
        <w:rPr>
          <w:rFonts w:ascii="Verdana" w:hAnsi="Verdana"/>
          <w:sz w:val="20"/>
          <w:szCs w:val="20"/>
          <w:lang w:val="es-MX"/>
        </w:rPr>
      </w:pPr>
      <w:r w:rsidRPr="00C71AC5">
        <w:rPr>
          <w:rFonts w:ascii="Verdana" w:hAnsi="Verdana"/>
          <w:i/>
          <w:sz w:val="20"/>
          <w:szCs w:val="20"/>
          <w:lang w:val="es-MX"/>
        </w:rPr>
        <w:t>“Falta de competencia de la CIDH para asumir un rol de cuarta instancia”</w:t>
      </w:r>
      <w:r w:rsidR="006C25F6">
        <w:rPr>
          <w:rFonts w:ascii="Verdana" w:hAnsi="Verdana"/>
          <w:sz w:val="20"/>
          <w:szCs w:val="20"/>
          <w:lang w:val="es-MX"/>
        </w:rPr>
        <w:t>.</w:t>
      </w:r>
      <w:r w:rsidRPr="00C71AC5">
        <w:rPr>
          <w:rFonts w:ascii="Verdana" w:hAnsi="Verdana"/>
          <w:sz w:val="20"/>
          <w:szCs w:val="20"/>
          <w:lang w:val="es-MX"/>
        </w:rPr>
        <w:t xml:space="preserve"> </w:t>
      </w:r>
      <w:r w:rsidRPr="00C71AC5">
        <w:rPr>
          <w:rFonts w:ascii="Verdana" w:hAnsi="Verdana"/>
          <w:sz w:val="20"/>
          <w:szCs w:val="20"/>
          <w:lang w:val="es-ES"/>
        </w:rPr>
        <w:t>El Estado alegó que la pretensión del peticio</w:t>
      </w:r>
      <w:r>
        <w:rPr>
          <w:rFonts w:ascii="Verdana" w:hAnsi="Verdana"/>
          <w:sz w:val="20"/>
          <w:szCs w:val="20"/>
          <w:lang w:val="es-ES"/>
        </w:rPr>
        <w:t>nario ante la Comisión fue que e</w:t>
      </w:r>
      <w:r w:rsidRPr="00C71AC5">
        <w:rPr>
          <w:rFonts w:ascii="Verdana" w:hAnsi="Verdana"/>
          <w:sz w:val="20"/>
          <w:szCs w:val="20"/>
          <w:lang w:val="es-ES"/>
        </w:rPr>
        <w:t>sta actuara como un tribunal interno con facultad para evaluar pruebas y hechos relacionados con su proceso en el ámbito interno, lo que excede sus competencias. Por ello, solicitó que la Corte valore el proceso laboral y el proceso de amparo con la finalidad de constatar que ambos se desarrollaron con pleno respeto a las garantías del debido proceso, dándosele la oportunidad al señor Lagos del Campo para recurrir las decisiones judiciales que le fueron adversas.</w:t>
      </w:r>
    </w:p>
    <w:p w14:paraId="272C713A" w14:textId="77777777" w:rsidR="00154B4B" w:rsidRPr="00BE3C2E" w:rsidRDefault="00154B4B" w:rsidP="001B45F8">
      <w:pPr>
        <w:pStyle w:val="ListParagraph"/>
        <w:ind w:hanging="11"/>
        <w:rPr>
          <w:rFonts w:ascii="Verdana" w:hAnsi="Verdana"/>
          <w:i/>
          <w:sz w:val="20"/>
          <w:szCs w:val="20"/>
          <w:lang w:val="es-MX"/>
        </w:rPr>
      </w:pPr>
    </w:p>
    <w:p w14:paraId="6F007763" w14:textId="1AF6797A" w:rsidR="00154B4B" w:rsidRPr="00C71AC5" w:rsidRDefault="00154B4B" w:rsidP="00E66DD7">
      <w:pPr>
        <w:pStyle w:val="ListParagraph"/>
        <w:numPr>
          <w:ilvl w:val="0"/>
          <w:numId w:val="17"/>
        </w:numPr>
        <w:ind w:hanging="11"/>
        <w:jc w:val="both"/>
        <w:rPr>
          <w:rFonts w:ascii="Verdana" w:hAnsi="Verdana"/>
          <w:sz w:val="20"/>
          <w:szCs w:val="20"/>
          <w:lang w:val="es-MX"/>
        </w:rPr>
      </w:pPr>
      <w:r w:rsidRPr="00C71AC5">
        <w:rPr>
          <w:rFonts w:ascii="Verdana" w:hAnsi="Verdana"/>
          <w:i/>
          <w:sz w:val="20"/>
          <w:szCs w:val="20"/>
          <w:lang w:val="es-MX"/>
        </w:rPr>
        <w:t>“Observaciones al escrito de solicitudes, argumentos y pruebas con relación a la delimitación de la controversia jurídica”</w:t>
      </w:r>
      <w:r w:rsidR="006C25F6">
        <w:rPr>
          <w:rFonts w:ascii="Verdana" w:hAnsi="Verdana"/>
          <w:sz w:val="20"/>
          <w:szCs w:val="20"/>
          <w:lang w:val="es-MX"/>
        </w:rPr>
        <w:t>.</w:t>
      </w:r>
      <w:r w:rsidRPr="00C71AC5">
        <w:rPr>
          <w:rFonts w:ascii="Verdana" w:hAnsi="Verdana"/>
          <w:sz w:val="20"/>
          <w:szCs w:val="20"/>
          <w:lang w:val="es-MX"/>
        </w:rPr>
        <w:t xml:space="preserve"> </w:t>
      </w:r>
      <w:r w:rsidRPr="00C71AC5">
        <w:rPr>
          <w:rFonts w:ascii="Verdana" w:hAnsi="Verdana"/>
          <w:sz w:val="20"/>
          <w:szCs w:val="20"/>
          <w:lang w:val="es-ES"/>
        </w:rPr>
        <w:t>El Estado</w:t>
      </w:r>
      <w:r w:rsidRPr="00C71AC5">
        <w:rPr>
          <w:rFonts w:ascii="Verdana" w:hAnsi="Verdana"/>
          <w:b/>
          <w:i/>
          <w:sz w:val="20"/>
          <w:szCs w:val="20"/>
          <w:lang w:val="es-ES"/>
        </w:rPr>
        <w:t xml:space="preserve"> </w:t>
      </w:r>
      <w:r w:rsidRPr="00C71AC5">
        <w:rPr>
          <w:rFonts w:ascii="Verdana" w:hAnsi="Verdana"/>
          <w:sz w:val="20"/>
          <w:szCs w:val="20"/>
          <w:lang w:val="es-ES"/>
        </w:rPr>
        <w:t>alegó que los recursos que no fueron materia de análisis para efectos de establecer el cumplimiento de los requisitos de admisibilidad, es decir aquellos posteriores al recurso interpuesto el 15 de marzo de 1993, no pueden ser empleados para considerar violaciones a derechos adicionales a los contenidos en el Informe de Fondo. De igual forma, alegó que los representantes de la presunta víctima emplearon indebidamente los sucesos relacionados con el autogolpe de</w:t>
      </w:r>
      <w:r w:rsidR="00053B34">
        <w:rPr>
          <w:rFonts w:ascii="Verdana" w:hAnsi="Verdana"/>
          <w:sz w:val="20"/>
          <w:szCs w:val="20"/>
          <w:lang w:val="es-ES"/>
        </w:rPr>
        <w:t>l</w:t>
      </w:r>
      <w:r w:rsidRPr="00C71AC5">
        <w:rPr>
          <w:rFonts w:ascii="Verdana" w:hAnsi="Verdana"/>
          <w:sz w:val="20"/>
          <w:szCs w:val="20"/>
          <w:lang w:val="es-ES"/>
        </w:rPr>
        <w:t xml:space="preserve"> 5 de abril de 1992 y la desactivación del Tribunal de Garantías Constitucionales para sustentar una pretendida afectación al derecho a impugnar resoluciones judiciales, aun cuando estos hechos no han sido considerados en el Informe de Fondo de la Comisión. En consecuencia, solicit</w:t>
      </w:r>
      <w:r w:rsidR="00053B34">
        <w:rPr>
          <w:rFonts w:ascii="Verdana" w:hAnsi="Verdana"/>
          <w:sz w:val="20"/>
          <w:szCs w:val="20"/>
          <w:lang w:val="es-ES"/>
        </w:rPr>
        <w:t>ó</w:t>
      </w:r>
      <w:r w:rsidRPr="00C71AC5">
        <w:rPr>
          <w:rFonts w:ascii="Verdana" w:hAnsi="Verdana"/>
          <w:sz w:val="20"/>
          <w:szCs w:val="20"/>
          <w:lang w:val="es-ES"/>
        </w:rPr>
        <w:t xml:space="preserve"> que la Corte estable</w:t>
      </w:r>
      <w:r w:rsidR="00053B34">
        <w:rPr>
          <w:rFonts w:ascii="Verdana" w:hAnsi="Verdana"/>
          <w:sz w:val="20"/>
          <w:szCs w:val="20"/>
          <w:lang w:val="es-ES"/>
        </w:rPr>
        <w:t>ciera</w:t>
      </w:r>
      <w:r w:rsidRPr="00C71AC5">
        <w:rPr>
          <w:rFonts w:ascii="Verdana" w:hAnsi="Verdana"/>
          <w:sz w:val="20"/>
          <w:szCs w:val="20"/>
          <w:lang w:val="es-ES"/>
        </w:rPr>
        <w:t xml:space="preserve"> que las alegaciones presentadas por los representantes sobre afectaciones al derecho a ser oído por un juez o tribunal y al derecho a impugnar resoluciones, así como los hechos nuevos y el contexto aludido por los representantes, no </w:t>
      </w:r>
      <w:r w:rsidR="00053B34">
        <w:rPr>
          <w:rFonts w:ascii="Verdana" w:hAnsi="Verdana"/>
          <w:sz w:val="20"/>
          <w:szCs w:val="20"/>
          <w:lang w:val="es-ES"/>
        </w:rPr>
        <w:t>fueran</w:t>
      </w:r>
      <w:r w:rsidRPr="00C71AC5">
        <w:rPr>
          <w:rFonts w:ascii="Verdana" w:hAnsi="Verdana"/>
          <w:sz w:val="20"/>
          <w:szCs w:val="20"/>
          <w:lang w:val="es-ES"/>
        </w:rPr>
        <w:t xml:space="preserve"> considerados como parte de la controversia.</w:t>
      </w:r>
    </w:p>
    <w:p w14:paraId="7FF10F71" w14:textId="77777777" w:rsidR="00154B4B" w:rsidRPr="00BE3C2E" w:rsidRDefault="00154B4B" w:rsidP="001B45F8">
      <w:pPr>
        <w:ind w:hanging="11"/>
        <w:jc w:val="both"/>
        <w:rPr>
          <w:rFonts w:ascii="Verdana" w:hAnsi="Verdana"/>
          <w:sz w:val="20"/>
          <w:szCs w:val="20"/>
          <w:lang w:val="es-MX"/>
        </w:rPr>
      </w:pPr>
    </w:p>
    <w:p w14:paraId="5DEA5344" w14:textId="6F7A9062" w:rsidR="00154B4B" w:rsidRPr="00BE3C2E" w:rsidRDefault="00154B4B" w:rsidP="00E66DD7">
      <w:pPr>
        <w:pStyle w:val="ListParagraph"/>
        <w:numPr>
          <w:ilvl w:val="0"/>
          <w:numId w:val="17"/>
        </w:numPr>
        <w:ind w:hanging="11"/>
        <w:jc w:val="both"/>
        <w:rPr>
          <w:rFonts w:ascii="Verdana" w:hAnsi="Verdana"/>
          <w:sz w:val="20"/>
          <w:szCs w:val="20"/>
          <w:lang w:val="es-MX"/>
        </w:rPr>
      </w:pPr>
      <w:r w:rsidRPr="00BE3C2E">
        <w:rPr>
          <w:rFonts w:ascii="Verdana" w:hAnsi="Verdana"/>
          <w:i/>
          <w:sz w:val="20"/>
          <w:szCs w:val="20"/>
          <w:lang w:val="es-MX"/>
        </w:rPr>
        <w:t>“Indebida inclusión de presuntas víctimas adicionales en el ESAP”</w:t>
      </w:r>
      <w:r w:rsidR="006C25F6">
        <w:rPr>
          <w:rFonts w:ascii="Verdana" w:hAnsi="Verdana"/>
          <w:sz w:val="20"/>
          <w:szCs w:val="20"/>
          <w:lang w:val="es-MX"/>
        </w:rPr>
        <w:t>.</w:t>
      </w:r>
      <w:r>
        <w:rPr>
          <w:rFonts w:ascii="Verdana" w:hAnsi="Verdana"/>
          <w:sz w:val="20"/>
          <w:szCs w:val="20"/>
          <w:lang w:val="es-MX"/>
        </w:rPr>
        <w:t xml:space="preserve"> El Estado alegó</w:t>
      </w:r>
      <w:r w:rsidRPr="00BE3C2E">
        <w:rPr>
          <w:rFonts w:ascii="Verdana" w:hAnsi="Verdana"/>
          <w:sz w:val="20"/>
          <w:szCs w:val="20"/>
          <w:lang w:val="es-MX"/>
        </w:rPr>
        <w:t xml:space="preserve"> </w:t>
      </w:r>
      <w:r w:rsidRPr="00BE3C2E">
        <w:rPr>
          <w:rFonts w:ascii="Verdana" w:hAnsi="Verdana"/>
          <w:sz w:val="20"/>
          <w:szCs w:val="20"/>
        </w:rPr>
        <w:t>que</w:t>
      </w:r>
      <w:r>
        <w:rPr>
          <w:rFonts w:ascii="Verdana" w:hAnsi="Verdana"/>
          <w:sz w:val="20"/>
          <w:szCs w:val="20"/>
        </w:rPr>
        <w:t xml:space="preserve"> las presuntas víctimas son aquellas señaladas por la Comisión en</w:t>
      </w:r>
      <w:r w:rsidRPr="00BE3C2E">
        <w:rPr>
          <w:rFonts w:ascii="Verdana" w:hAnsi="Verdana"/>
          <w:sz w:val="20"/>
          <w:szCs w:val="20"/>
        </w:rPr>
        <w:t xml:space="preserve"> el Informe de Fondo</w:t>
      </w:r>
      <w:r>
        <w:rPr>
          <w:rFonts w:ascii="Verdana" w:hAnsi="Verdana"/>
          <w:sz w:val="20"/>
          <w:szCs w:val="20"/>
        </w:rPr>
        <w:t>, que en el presente caso</w:t>
      </w:r>
      <w:r w:rsidRPr="00BE3C2E">
        <w:rPr>
          <w:rFonts w:ascii="Verdana" w:hAnsi="Verdana"/>
          <w:sz w:val="20"/>
          <w:szCs w:val="20"/>
        </w:rPr>
        <w:t xml:space="preserve"> s</w:t>
      </w:r>
      <w:r>
        <w:rPr>
          <w:rFonts w:ascii="Verdana" w:hAnsi="Verdana"/>
          <w:sz w:val="20"/>
          <w:szCs w:val="20"/>
        </w:rPr>
        <w:t>olo considera</w:t>
      </w:r>
      <w:r w:rsidRPr="00BE3C2E">
        <w:rPr>
          <w:rFonts w:ascii="Verdana" w:hAnsi="Verdana"/>
          <w:sz w:val="20"/>
          <w:szCs w:val="20"/>
        </w:rPr>
        <w:t xml:space="preserve"> como presunta v</w:t>
      </w:r>
      <w:r>
        <w:rPr>
          <w:rFonts w:ascii="Verdana" w:hAnsi="Verdana"/>
          <w:sz w:val="20"/>
          <w:szCs w:val="20"/>
        </w:rPr>
        <w:t>íctima al señor Lagos del Campo. En razón de lo anterior</w:t>
      </w:r>
      <w:r w:rsidRPr="00BE3C2E">
        <w:rPr>
          <w:rFonts w:ascii="Verdana" w:hAnsi="Verdana"/>
          <w:sz w:val="20"/>
          <w:szCs w:val="20"/>
        </w:rPr>
        <w:t xml:space="preserve"> </w:t>
      </w:r>
      <w:r>
        <w:rPr>
          <w:rFonts w:ascii="Verdana" w:hAnsi="Verdana"/>
          <w:sz w:val="20"/>
          <w:szCs w:val="20"/>
        </w:rPr>
        <w:t xml:space="preserve">el Estado </w:t>
      </w:r>
      <w:r w:rsidRPr="00BE3C2E">
        <w:rPr>
          <w:rFonts w:ascii="Verdana" w:hAnsi="Verdana"/>
          <w:sz w:val="20"/>
          <w:szCs w:val="20"/>
        </w:rPr>
        <w:t>se opone a la inclusión de presuntas víctimas r</w:t>
      </w:r>
      <w:r>
        <w:rPr>
          <w:rFonts w:ascii="Verdana" w:hAnsi="Verdana"/>
          <w:sz w:val="20"/>
          <w:szCs w:val="20"/>
        </w:rPr>
        <w:t>ealizada por los representantes</w:t>
      </w:r>
      <w:r w:rsidRPr="00BE3C2E">
        <w:rPr>
          <w:rFonts w:ascii="Verdana" w:hAnsi="Verdana"/>
          <w:sz w:val="20"/>
          <w:szCs w:val="20"/>
        </w:rPr>
        <w:t xml:space="preserve"> a favor de quienes solicitan medidas de reparación, </w:t>
      </w:r>
      <w:r>
        <w:rPr>
          <w:rFonts w:ascii="Verdana" w:hAnsi="Verdana"/>
          <w:sz w:val="20"/>
          <w:szCs w:val="20"/>
        </w:rPr>
        <w:t>pues</w:t>
      </w:r>
      <w:r w:rsidRPr="00BE3C2E">
        <w:rPr>
          <w:rFonts w:ascii="Verdana" w:hAnsi="Verdana"/>
          <w:sz w:val="20"/>
          <w:szCs w:val="20"/>
        </w:rPr>
        <w:t xml:space="preserve"> no han sido considerados en el Informe de Fondo de la Comisión.</w:t>
      </w:r>
    </w:p>
    <w:p w14:paraId="0189433B" w14:textId="77777777" w:rsidR="00154B4B" w:rsidRDefault="00154B4B" w:rsidP="00154B4B">
      <w:pPr>
        <w:pStyle w:val="ListParagraph"/>
        <w:ind w:left="0"/>
        <w:jc w:val="both"/>
        <w:rPr>
          <w:rFonts w:ascii="Verdana" w:hAnsi="Verdana"/>
          <w:sz w:val="20"/>
          <w:szCs w:val="20"/>
          <w:lang w:val="es-MX"/>
        </w:rPr>
      </w:pPr>
    </w:p>
    <w:p w14:paraId="09E4D4A7" w14:textId="7CD74AB2" w:rsidR="00154B4B" w:rsidRPr="006F62A3" w:rsidRDefault="00154B4B" w:rsidP="00E66DD7">
      <w:pPr>
        <w:pStyle w:val="ListParagraph"/>
        <w:numPr>
          <w:ilvl w:val="0"/>
          <w:numId w:val="1"/>
        </w:numPr>
        <w:ind w:left="0" w:firstLine="0"/>
        <w:jc w:val="both"/>
        <w:rPr>
          <w:rFonts w:ascii="Verdana" w:hAnsi="Verdana"/>
          <w:sz w:val="20"/>
          <w:szCs w:val="20"/>
          <w:lang w:val="es-MX"/>
        </w:rPr>
      </w:pPr>
      <w:r>
        <w:rPr>
          <w:rFonts w:ascii="Verdana" w:hAnsi="Verdana"/>
          <w:sz w:val="20"/>
          <w:szCs w:val="20"/>
          <w:lang w:val="es-MX"/>
        </w:rPr>
        <w:t xml:space="preserve">La </w:t>
      </w:r>
      <w:r w:rsidRPr="00BE3C2E">
        <w:rPr>
          <w:rFonts w:ascii="Verdana" w:hAnsi="Verdana"/>
          <w:b/>
          <w:i/>
          <w:sz w:val="20"/>
          <w:szCs w:val="20"/>
          <w:lang w:val="es-MX"/>
        </w:rPr>
        <w:t>Comisión</w:t>
      </w:r>
      <w:r>
        <w:rPr>
          <w:rFonts w:ascii="Verdana" w:hAnsi="Verdana"/>
          <w:b/>
          <w:sz w:val="20"/>
          <w:szCs w:val="20"/>
          <w:lang w:val="es-MX"/>
        </w:rPr>
        <w:t xml:space="preserve"> </w:t>
      </w:r>
      <w:r w:rsidR="008D084E">
        <w:rPr>
          <w:rFonts w:ascii="Verdana" w:hAnsi="Verdana"/>
          <w:sz w:val="20"/>
          <w:szCs w:val="20"/>
          <w:lang w:val="es-MX"/>
        </w:rPr>
        <w:t xml:space="preserve">sostuvo que los alegatos a) [control de legalidad sobre el informe de la Comisión] y </w:t>
      </w:r>
      <w:r>
        <w:rPr>
          <w:rFonts w:ascii="Verdana" w:hAnsi="Verdana"/>
          <w:sz w:val="20"/>
          <w:szCs w:val="20"/>
          <w:lang w:val="es-MX"/>
        </w:rPr>
        <w:t>b)</w:t>
      </w:r>
      <w:r w:rsidR="008D084E">
        <w:rPr>
          <w:rFonts w:ascii="Verdana" w:hAnsi="Verdana"/>
          <w:sz w:val="20"/>
          <w:szCs w:val="20"/>
          <w:lang w:val="es-MX"/>
        </w:rPr>
        <w:t xml:space="preserve"> [falta de agotamiento de los recursos internos]</w:t>
      </w:r>
      <w:r>
        <w:rPr>
          <w:rFonts w:ascii="Verdana" w:hAnsi="Verdana"/>
          <w:sz w:val="20"/>
          <w:szCs w:val="20"/>
          <w:lang w:val="es-MX"/>
        </w:rPr>
        <w:t xml:space="preserve"> tienen la naturaleza de excepciones preliminares que no fueron presentadas por el Estado en el momento procesal oportuno, y por lo tanto deben ser rechazadas por extemporáneas</w:t>
      </w:r>
      <w:r w:rsidR="008352F8">
        <w:rPr>
          <w:rFonts w:ascii="Verdana" w:hAnsi="Verdana"/>
          <w:sz w:val="20"/>
          <w:szCs w:val="20"/>
          <w:lang w:val="es-MX"/>
        </w:rPr>
        <w:t>.</w:t>
      </w:r>
      <w:r w:rsidRPr="00333304">
        <w:rPr>
          <w:rFonts w:ascii="Verdana" w:hAnsi="Verdana"/>
          <w:sz w:val="20"/>
          <w:szCs w:val="20"/>
          <w:lang w:val="es-MX"/>
        </w:rPr>
        <w:t xml:space="preserve"> </w:t>
      </w:r>
      <w:r>
        <w:rPr>
          <w:rFonts w:ascii="Verdana" w:hAnsi="Verdana"/>
          <w:sz w:val="20"/>
          <w:szCs w:val="20"/>
          <w:lang w:val="es-MX"/>
        </w:rPr>
        <w:t>Adicionalm</w:t>
      </w:r>
      <w:r w:rsidR="008D084E">
        <w:rPr>
          <w:rFonts w:ascii="Verdana" w:hAnsi="Verdana"/>
          <w:sz w:val="20"/>
          <w:szCs w:val="20"/>
          <w:lang w:val="es-MX"/>
        </w:rPr>
        <w:t xml:space="preserve">ente, observó que los alegatos </w:t>
      </w:r>
      <w:r>
        <w:rPr>
          <w:rFonts w:ascii="Verdana" w:hAnsi="Verdana"/>
          <w:sz w:val="20"/>
          <w:szCs w:val="20"/>
          <w:lang w:val="es-MX"/>
        </w:rPr>
        <w:t>c)</w:t>
      </w:r>
      <w:r w:rsidR="008D084E">
        <w:rPr>
          <w:rFonts w:ascii="Verdana" w:hAnsi="Verdana"/>
          <w:sz w:val="20"/>
          <w:szCs w:val="20"/>
          <w:lang w:val="es-MX"/>
        </w:rPr>
        <w:t xml:space="preserve"> [debida i</w:t>
      </w:r>
      <w:r w:rsidR="00A032B8">
        <w:rPr>
          <w:rFonts w:ascii="Verdana" w:hAnsi="Verdana"/>
          <w:sz w:val="20"/>
          <w:szCs w:val="20"/>
          <w:lang w:val="es-MX"/>
        </w:rPr>
        <w:t>nclusión del artículo 16 en el Informe de F</w:t>
      </w:r>
      <w:r w:rsidR="008D084E">
        <w:rPr>
          <w:rFonts w:ascii="Verdana" w:hAnsi="Verdana"/>
          <w:sz w:val="20"/>
          <w:szCs w:val="20"/>
          <w:lang w:val="es-MX"/>
        </w:rPr>
        <w:t xml:space="preserve">ondo] y </w:t>
      </w:r>
      <w:r>
        <w:rPr>
          <w:rFonts w:ascii="Verdana" w:hAnsi="Verdana"/>
          <w:sz w:val="20"/>
          <w:szCs w:val="20"/>
          <w:lang w:val="es-MX"/>
        </w:rPr>
        <w:t>d)</w:t>
      </w:r>
      <w:r w:rsidR="008D084E">
        <w:rPr>
          <w:rFonts w:ascii="Verdana" w:hAnsi="Verdana"/>
          <w:sz w:val="20"/>
          <w:szCs w:val="20"/>
          <w:lang w:val="es-MX"/>
        </w:rPr>
        <w:t xml:space="preserve"> [falta de competencia de la comisión para asumir un rol de cuarta instancia]</w:t>
      </w:r>
      <w:r w:rsidR="008352F8">
        <w:rPr>
          <w:rFonts w:ascii="Verdana" w:hAnsi="Verdana"/>
          <w:sz w:val="20"/>
          <w:szCs w:val="20"/>
          <w:lang w:val="es-MX"/>
        </w:rPr>
        <w:t xml:space="preserve"> </w:t>
      </w:r>
      <w:r>
        <w:rPr>
          <w:rFonts w:ascii="Verdana" w:hAnsi="Verdana"/>
          <w:sz w:val="20"/>
          <w:szCs w:val="20"/>
          <w:lang w:val="es-MX"/>
        </w:rPr>
        <w:t>no son excepciones preliminares, sino cuestiones que atañen al fondo del asunto. R</w:t>
      </w:r>
      <w:r w:rsidR="008D084E">
        <w:rPr>
          <w:rFonts w:ascii="Verdana" w:hAnsi="Verdana"/>
          <w:sz w:val="20"/>
          <w:szCs w:val="20"/>
          <w:lang w:val="es-MX"/>
        </w:rPr>
        <w:t xml:space="preserve">especto al alegato </w:t>
      </w:r>
      <w:r>
        <w:rPr>
          <w:rFonts w:ascii="Verdana" w:hAnsi="Verdana"/>
          <w:sz w:val="20"/>
          <w:szCs w:val="20"/>
          <w:lang w:val="es-MX"/>
        </w:rPr>
        <w:t>e)</w:t>
      </w:r>
      <w:r w:rsidR="008D084E">
        <w:rPr>
          <w:rFonts w:ascii="Verdana" w:hAnsi="Verdana"/>
          <w:sz w:val="20"/>
          <w:szCs w:val="20"/>
          <w:lang w:val="es-MX"/>
        </w:rPr>
        <w:t xml:space="preserve"> [delimitación de la controversia jurídica]</w:t>
      </w:r>
      <w:r>
        <w:rPr>
          <w:rFonts w:ascii="Verdana" w:hAnsi="Verdana"/>
          <w:sz w:val="20"/>
          <w:szCs w:val="20"/>
          <w:lang w:val="es-MX"/>
        </w:rPr>
        <w:t>, la Comisión alegó que los hechos que el Estado pretende excluir mediante ese extremo sí se encuentran en el marco fáctico definido por la Comisión. F</w:t>
      </w:r>
      <w:r w:rsidR="008D084E">
        <w:rPr>
          <w:rFonts w:ascii="Verdana" w:hAnsi="Verdana"/>
          <w:sz w:val="20"/>
          <w:szCs w:val="20"/>
          <w:lang w:val="es-MX"/>
        </w:rPr>
        <w:t xml:space="preserve">inalmente, respecto al alegato </w:t>
      </w:r>
      <w:r>
        <w:rPr>
          <w:rFonts w:ascii="Verdana" w:hAnsi="Verdana"/>
          <w:sz w:val="20"/>
          <w:szCs w:val="20"/>
          <w:lang w:val="es-MX"/>
        </w:rPr>
        <w:t>f)</w:t>
      </w:r>
      <w:r w:rsidR="008D084E">
        <w:rPr>
          <w:rFonts w:ascii="Verdana" w:hAnsi="Verdana"/>
          <w:sz w:val="20"/>
          <w:szCs w:val="20"/>
          <w:lang w:val="es-MX"/>
        </w:rPr>
        <w:t xml:space="preserve"> [indebida inclusión de presuntas víctimas]</w:t>
      </w:r>
      <w:r>
        <w:rPr>
          <w:rFonts w:ascii="Verdana" w:hAnsi="Verdana"/>
          <w:sz w:val="20"/>
          <w:szCs w:val="20"/>
          <w:lang w:val="es-MX"/>
        </w:rPr>
        <w:t xml:space="preserve">, la </w:t>
      </w:r>
      <w:r>
        <w:rPr>
          <w:rFonts w:ascii="Verdana" w:hAnsi="Verdana"/>
          <w:sz w:val="20"/>
          <w:szCs w:val="20"/>
          <w:lang w:val="es-MX"/>
        </w:rPr>
        <w:lastRenderedPageBreak/>
        <w:t>Comisión coincidió con el Estado en relación a que el señor Lagos del Campo es la única víctima declarada en el Informe de Fondo</w:t>
      </w:r>
      <w:r w:rsidR="0086485F">
        <w:rPr>
          <w:rFonts w:ascii="Verdana" w:hAnsi="Verdana"/>
          <w:sz w:val="20"/>
          <w:szCs w:val="20"/>
          <w:lang w:val="es-MX"/>
        </w:rPr>
        <w:t xml:space="preserve">. </w:t>
      </w:r>
      <w:r>
        <w:rPr>
          <w:rFonts w:ascii="Verdana" w:hAnsi="Verdana"/>
          <w:sz w:val="20"/>
          <w:szCs w:val="20"/>
          <w:lang w:val="es-MX"/>
        </w:rPr>
        <w:t>Por su parte, l</w:t>
      </w:r>
      <w:r w:rsidRPr="006F62A3">
        <w:rPr>
          <w:rFonts w:ascii="Verdana" w:hAnsi="Verdana"/>
          <w:sz w:val="20"/>
          <w:szCs w:val="20"/>
          <w:lang w:val="es-MX"/>
        </w:rPr>
        <w:t xml:space="preserve">os </w:t>
      </w:r>
      <w:r w:rsidRPr="006F62A3">
        <w:rPr>
          <w:rFonts w:ascii="Verdana" w:hAnsi="Verdana"/>
          <w:b/>
          <w:i/>
          <w:sz w:val="20"/>
          <w:szCs w:val="20"/>
          <w:lang w:val="es-MX"/>
        </w:rPr>
        <w:t xml:space="preserve">representantes </w:t>
      </w:r>
      <w:r w:rsidRPr="006F62A3">
        <w:rPr>
          <w:rFonts w:ascii="Verdana" w:hAnsi="Verdana"/>
          <w:sz w:val="20"/>
          <w:szCs w:val="20"/>
          <w:lang w:val="es-MX"/>
        </w:rPr>
        <w:t>coincidieron en lo general con la posición de la Comisión</w:t>
      </w:r>
      <w:r w:rsidR="0086485F">
        <w:rPr>
          <w:rFonts w:ascii="Verdana" w:hAnsi="Verdana"/>
          <w:sz w:val="20"/>
          <w:szCs w:val="20"/>
          <w:lang w:val="es-MX"/>
        </w:rPr>
        <w:t xml:space="preserve">. </w:t>
      </w:r>
      <w:r w:rsidRPr="006F62A3">
        <w:rPr>
          <w:rFonts w:ascii="Verdana" w:hAnsi="Verdana"/>
          <w:sz w:val="20"/>
          <w:szCs w:val="20"/>
          <w:lang w:val="es-MX"/>
        </w:rPr>
        <w:t>En relación con la inclusión de víctimas adicionales, los representantes, a través de su escrito de 5 de septiembre de 2016 solicitaron a la Corte que, en el presente caso, sólo se considere como víctima al señor Lagos del Campo</w:t>
      </w:r>
      <w:r w:rsidR="00830CF2">
        <w:rPr>
          <w:rFonts w:ascii="Verdana" w:hAnsi="Verdana"/>
          <w:sz w:val="20"/>
          <w:szCs w:val="20"/>
          <w:lang w:val="es-MX"/>
        </w:rPr>
        <w:t xml:space="preserve">. </w:t>
      </w:r>
    </w:p>
    <w:p w14:paraId="2ABEB036" w14:textId="77777777" w:rsidR="00154B4B" w:rsidRDefault="00154B4B" w:rsidP="00154B4B">
      <w:pPr>
        <w:jc w:val="both"/>
        <w:rPr>
          <w:rFonts w:ascii="Verdana" w:hAnsi="Verdana"/>
          <w:sz w:val="20"/>
          <w:szCs w:val="20"/>
          <w:lang w:val="es-MX"/>
        </w:rPr>
      </w:pPr>
    </w:p>
    <w:p w14:paraId="707AC6AB" w14:textId="77777777" w:rsidR="00154B4B" w:rsidRPr="00897912" w:rsidRDefault="00154B4B" w:rsidP="00E66DD7">
      <w:pPr>
        <w:pStyle w:val="Heading2"/>
        <w:numPr>
          <w:ilvl w:val="0"/>
          <w:numId w:val="8"/>
        </w:numPr>
        <w:rPr>
          <w:i/>
          <w:szCs w:val="20"/>
        </w:rPr>
      </w:pPr>
      <w:bookmarkStart w:id="8" w:name="_Toc498333473"/>
      <w:r w:rsidRPr="00E3547C">
        <w:rPr>
          <w:i/>
          <w:szCs w:val="20"/>
        </w:rPr>
        <w:t>Consideraciones de la Corte</w:t>
      </w:r>
      <w:bookmarkEnd w:id="8"/>
      <w:r w:rsidRPr="00E3547C">
        <w:rPr>
          <w:i/>
          <w:szCs w:val="20"/>
        </w:rPr>
        <w:t xml:space="preserve"> </w:t>
      </w:r>
    </w:p>
    <w:p w14:paraId="31247569" w14:textId="77777777" w:rsidR="00154B4B" w:rsidRDefault="00154B4B" w:rsidP="00154B4B">
      <w:pPr>
        <w:jc w:val="both"/>
        <w:rPr>
          <w:rFonts w:ascii="Verdana" w:hAnsi="Verdana"/>
          <w:sz w:val="20"/>
          <w:szCs w:val="20"/>
          <w:lang w:val="es-MX"/>
        </w:rPr>
      </w:pPr>
    </w:p>
    <w:p w14:paraId="5EB912C9" w14:textId="516942A2" w:rsidR="00154B4B" w:rsidRPr="006D61BA" w:rsidRDefault="00154B4B" w:rsidP="00E66DD7">
      <w:pPr>
        <w:pStyle w:val="ListParagraph"/>
        <w:numPr>
          <w:ilvl w:val="0"/>
          <w:numId w:val="1"/>
        </w:numPr>
        <w:ind w:left="0" w:firstLine="0"/>
        <w:jc w:val="both"/>
        <w:rPr>
          <w:rFonts w:eastAsia="Verdana" w:cs="Verdana"/>
        </w:rPr>
      </w:pPr>
      <w:r w:rsidRPr="00C43B5F">
        <w:rPr>
          <w:rFonts w:ascii="Verdana" w:hAnsi="Verdana"/>
          <w:sz w:val="20"/>
        </w:rPr>
        <w:t>Atendiendo a la naturaleza diversa de los argumentos formulados por el Estado</w:t>
      </w:r>
      <w:r>
        <w:rPr>
          <w:rFonts w:ascii="Verdana" w:hAnsi="Verdana"/>
          <w:sz w:val="20"/>
        </w:rPr>
        <w:t>,</w:t>
      </w:r>
      <w:r w:rsidRPr="00C43B5F">
        <w:rPr>
          <w:rFonts w:ascii="Verdana" w:hAnsi="Verdana"/>
          <w:sz w:val="20"/>
        </w:rPr>
        <w:t xml:space="preserve"> y </w:t>
      </w:r>
      <w:r>
        <w:rPr>
          <w:rFonts w:ascii="Verdana" w:hAnsi="Verdana"/>
          <w:sz w:val="20"/>
        </w:rPr>
        <w:t>a la afirmación expresa del Estado respecto a que é</w:t>
      </w:r>
      <w:r w:rsidRPr="00C43B5F">
        <w:rPr>
          <w:rFonts w:ascii="Verdana" w:hAnsi="Verdana"/>
          <w:sz w:val="20"/>
        </w:rPr>
        <w:t>stos no fueron planteados como excepciones preliminares,</w:t>
      </w:r>
      <w:r>
        <w:rPr>
          <w:rFonts w:ascii="Verdana" w:hAnsi="Verdana"/>
          <w:sz w:val="20"/>
        </w:rPr>
        <w:t xml:space="preserve"> sino como una solicitud para que la Corte realizara un “control de legalidad” y respondiera ciertos “cuestionamientos procesales”,</w:t>
      </w:r>
      <w:r w:rsidRPr="00C43B5F">
        <w:rPr>
          <w:rFonts w:ascii="Verdana" w:hAnsi="Verdana"/>
          <w:sz w:val="20"/>
        </w:rPr>
        <w:t xml:space="preserve"> la Corte</w:t>
      </w:r>
      <w:r>
        <w:rPr>
          <w:rFonts w:ascii="Verdana" w:hAnsi="Verdana"/>
          <w:sz w:val="20"/>
        </w:rPr>
        <w:t xml:space="preserve"> </w:t>
      </w:r>
      <w:r>
        <w:rPr>
          <w:rFonts w:ascii="Verdana" w:hAnsi="Verdana"/>
          <w:sz w:val="20"/>
          <w:szCs w:val="20"/>
        </w:rPr>
        <w:t>recuerda</w:t>
      </w:r>
      <w:r w:rsidRPr="007005FF">
        <w:rPr>
          <w:rFonts w:ascii="Verdana" w:hAnsi="Verdana"/>
          <w:sz w:val="20"/>
          <w:szCs w:val="20"/>
        </w:rPr>
        <w:t xml:space="preserve"> </w:t>
      </w:r>
      <w:r w:rsidRPr="007005FF">
        <w:rPr>
          <w:rFonts w:ascii="Verdana" w:hAnsi="Verdana"/>
          <w:sz w:val="20"/>
          <w:szCs w:val="20"/>
          <w:lang w:val="es-CR"/>
        </w:rPr>
        <w:t>que las excepciones preliminares son objeciones a la admisibilidad de una demanda o a la competencia del Tribunal para conocer de un determinado caso o de alguno de sus aspectos, ya sea en razón de la persona, materia, tiempo o lugar, siempre y cuando dichos planteamientos tengan el carácter de preliminares</w:t>
      </w:r>
      <w:r w:rsidRPr="009D5EA7">
        <w:rPr>
          <w:rFonts w:ascii="Verdana" w:eastAsia="Verdana" w:hAnsi="Verdana" w:cs="Verdana"/>
          <w:sz w:val="20"/>
          <w:vertAlign w:val="superscript"/>
        </w:rPr>
        <w:footnoteReference w:id="11"/>
      </w:r>
      <w:r>
        <w:rPr>
          <w:rFonts w:ascii="Verdana" w:hAnsi="Verdana"/>
          <w:sz w:val="20"/>
          <w:szCs w:val="20"/>
          <w:lang w:val="es-CR"/>
        </w:rPr>
        <w:t>.</w:t>
      </w:r>
      <w:r w:rsidRPr="007005FF">
        <w:rPr>
          <w:rFonts w:ascii="Verdana" w:hAnsi="Verdana"/>
          <w:sz w:val="20"/>
          <w:szCs w:val="20"/>
        </w:rPr>
        <w:t xml:space="preserve"> Por ello, independientemente de </w:t>
      </w:r>
      <w:r>
        <w:rPr>
          <w:rFonts w:ascii="Verdana" w:hAnsi="Verdana"/>
          <w:sz w:val="20"/>
          <w:szCs w:val="20"/>
        </w:rPr>
        <w:t>la denominación que sea dada por el Estado en sus escritos</w:t>
      </w:r>
      <w:r w:rsidRPr="007005FF">
        <w:rPr>
          <w:rFonts w:ascii="Verdana" w:hAnsi="Verdana"/>
          <w:sz w:val="20"/>
          <w:szCs w:val="20"/>
        </w:rPr>
        <w:t xml:space="preserve">, si al analizar </w:t>
      </w:r>
      <w:r>
        <w:rPr>
          <w:rFonts w:ascii="Verdana" w:hAnsi="Verdana"/>
          <w:sz w:val="20"/>
          <w:szCs w:val="20"/>
        </w:rPr>
        <w:t>los</w:t>
      </w:r>
      <w:r w:rsidRPr="007005FF">
        <w:rPr>
          <w:rFonts w:ascii="Verdana" w:hAnsi="Verdana"/>
          <w:sz w:val="20"/>
          <w:szCs w:val="20"/>
        </w:rPr>
        <w:t xml:space="preserve"> planteamientos se determinara que tienen la naturaleza de excepción preliminar,</w:t>
      </w:r>
      <w:r w:rsidR="00C364F7">
        <w:rPr>
          <w:rFonts w:ascii="Verdana" w:hAnsi="Verdana"/>
          <w:sz w:val="20"/>
          <w:szCs w:val="20"/>
        </w:rPr>
        <w:t xml:space="preserve"> es decir que objeten la admisibilidad de la demanda o la competencia de la Corte para conocer del caso o de alguno de sus aspectos,</w:t>
      </w:r>
      <w:r w:rsidRPr="007005FF">
        <w:rPr>
          <w:rFonts w:ascii="Verdana" w:hAnsi="Verdana"/>
          <w:sz w:val="20"/>
          <w:szCs w:val="20"/>
        </w:rPr>
        <w:t xml:space="preserve"> entonces deberá</w:t>
      </w:r>
      <w:r>
        <w:rPr>
          <w:rFonts w:ascii="Verdana" w:hAnsi="Verdana"/>
          <w:sz w:val="20"/>
          <w:szCs w:val="20"/>
        </w:rPr>
        <w:t xml:space="preserve">n ser </w:t>
      </w:r>
      <w:r w:rsidRPr="00653B63">
        <w:rPr>
          <w:rFonts w:ascii="Verdana" w:hAnsi="Verdana"/>
          <w:sz w:val="20"/>
          <w:szCs w:val="20"/>
        </w:rPr>
        <w:t>resueltos</w:t>
      </w:r>
      <w:r w:rsidRPr="006D61BA">
        <w:rPr>
          <w:rFonts w:ascii="Verdana" w:hAnsi="Verdana"/>
          <w:sz w:val="20"/>
          <w:szCs w:val="20"/>
        </w:rPr>
        <w:t xml:space="preserve"> como tal</w:t>
      </w:r>
      <w:r w:rsidRPr="00653B63">
        <w:rPr>
          <w:rFonts w:ascii="Verdana" w:eastAsia="Verdana" w:hAnsi="Verdana" w:cs="Verdana"/>
          <w:sz w:val="20"/>
          <w:vertAlign w:val="superscript"/>
        </w:rPr>
        <w:footnoteReference w:id="12"/>
      </w:r>
      <w:r w:rsidRPr="00653B63">
        <w:rPr>
          <w:rFonts w:ascii="Verdana" w:hAnsi="Verdana"/>
          <w:sz w:val="20"/>
          <w:szCs w:val="20"/>
        </w:rPr>
        <w:t>.</w:t>
      </w:r>
    </w:p>
    <w:p w14:paraId="7D129A75" w14:textId="77777777" w:rsidR="00154B4B" w:rsidRPr="000D5308" w:rsidRDefault="00154B4B" w:rsidP="00154B4B">
      <w:pPr>
        <w:pStyle w:val="ListParagraph"/>
        <w:ind w:left="0"/>
        <w:jc w:val="both"/>
        <w:rPr>
          <w:rFonts w:ascii="Verdana" w:hAnsi="Verdana"/>
          <w:sz w:val="20"/>
        </w:rPr>
      </w:pPr>
    </w:p>
    <w:p w14:paraId="3D78E68B" w14:textId="4C99040C" w:rsidR="008D084E" w:rsidRPr="0062065E" w:rsidRDefault="00154B4B" w:rsidP="00E66DD7">
      <w:pPr>
        <w:pStyle w:val="ListParagraph"/>
        <w:numPr>
          <w:ilvl w:val="0"/>
          <w:numId w:val="1"/>
        </w:numPr>
        <w:ind w:left="0" w:firstLine="0"/>
        <w:jc w:val="both"/>
        <w:rPr>
          <w:rFonts w:ascii="Verdana" w:hAnsi="Verdana"/>
          <w:sz w:val="20"/>
          <w:szCs w:val="20"/>
          <w:lang w:val="es-MX"/>
        </w:rPr>
      </w:pPr>
      <w:r w:rsidRPr="00AA1F88">
        <w:rPr>
          <w:rFonts w:ascii="Verdana" w:hAnsi="Verdana"/>
          <w:sz w:val="20"/>
        </w:rPr>
        <w:t>En el presente caso, la Cor</w:t>
      </w:r>
      <w:r w:rsidR="008D084E" w:rsidRPr="00990959">
        <w:rPr>
          <w:rFonts w:ascii="Verdana" w:hAnsi="Verdana"/>
          <w:sz w:val="20"/>
        </w:rPr>
        <w:t xml:space="preserve">te hace notar que los alegatos </w:t>
      </w:r>
      <w:r w:rsidRPr="00990959">
        <w:rPr>
          <w:rFonts w:ascii="Verdana" w:hAnsi="Verdana"/>
          <w:sz w:val="20"/>
        </w:rPr>
        <w:t>a)</w:t>
      </w:r>
      <w:r w:rsidR="008D084E" w:rsidRPr="00990959">
        <w:rPr>
          <w:rFonts w:ascii="Verdana" w:hAnsi="Verdana"/>
          <w:sz w:val="20"/>
        </w:rPr>
        <w:t xml:space="preserve"> </w:t>
      </w:r>
      <w:r w:rsidR="008D084E" w:rsidRPr="00E72D85">
        <w:rPr>
          <w:rFonts w:ascii="Verdana" w:hAnsi="Verdana"/>
          <w:sz w:val="20"/>
          <w:szCs w:val="20"/>
          <w:lang w:val="es-MX"/>
        </w:rPr>
        <w:t>[control de legalidad sobre el informe de la Comisión]</w:t>
      </w:r>
      <w:r w:rsidR="008D084E" w:rsidRPr="00915ACA">
        <w:rPr>
          <w:rFonts w:ascii="Verdana" w:hAnsi="Verdana"/>
          <w:sz w:val="20"/>
        </w:rPr>
        <w:t xml:space="preserve"> y </w:t>
      </w:r>
      <w:r w:rsidRPr="00BB752A">
        <w:rPr>
          <w:rFonts w:ascii="Verdana" w:hAnsi="Verdana"/>
          <w:sz w:val="20"/>
        </w:rPr>
        <w:t xml:space="preserve">b) </w:t>
      </w:r>
      <w:r w:rsidR="008D084E" w:rsidRPr="000C6082">
        <w:rPr>
          <w:rFonts w:ascii="Verdana" w:hAnsi="Verdana"/>
          <w:sz w:val="20"/>
          <w:szCs w:val="20"/>
          <w:lang w:val="es-MX"/>
        </w:rPr>
        <w:t>[falta de agotamiento de los recursos internos]</w:t>
      </w:r>
      <w:r w:rsidRPr="000C6082">
        <w:rPr>
          <w:rFonts w:ascii="Verdana" w:hAnsi="Verdana"/>
          <w:sz w:val="20"/>
        </w:rPr>
        <w:t xml:space="preserve"> del Estado </w:t>
      </w:r>
      <w:r w:rsidR="00D214EC" w:rsidRPr="005D0F69">
        <w:rPr>
          <w:rFonts w:ascii="Verdana" w:hAnsi="Verdana"/>
          <w:sz w:val="20"/>
          <w:lang w:val="es-MX"/>
        </w:rPr>
        <w:t>se relacionan con un alegado incumplimiento por parte</w:t>
      </w:r>
      <w:r w:rsidRPr="005D0F69">
        <w:rPr>
          <w:rFonts w:ascii="Verdana" w:hAnsi="Verdana"/>
          <w:sz w:val="20"/>
          <w:lang w:val="es-MX"/>
        </w:rPr>
        <w:t xml:space="preserve"> de </w:t>
      </w:r>
      <w:r w:rsidR="00D214EC" w:rsidRPr="005D0F69">
        <w:rPr>
          <w:rFonts w:ascii="Verdana" w:hAnsi="Verdana"/>
          <w:sz w:val="20"/>
          <w:lang w:val="es-MX"/>
        </w:rPr>
        <w:t xml:space="preserve">la Comisión de </w:t>
      </w:r>
      <w:r w:rsidRPr="005D0F69">
        <w:rPr>
          <w:rFonts w:ascii="Verdana" w:hAnsi="Verdana"/>
          <w:sz w:val="20"/>
          <w:lang w:val="es-MX"/>
        </w:rPr>
        <w:t xml:space="preserve">los </w:t>
      </w:r>
      <w:r w:rsidR="00D214EC" w:rsidRPr="005D0F69">
        <w:rPr>
          <w:rFonts w:ascii="Verdana" w:hAnsi="Verdana"/>
          <w:sz w:val="20"/>
          <w:lang w:val="es-MX"/>
        </w:rPr>
        <w:t>requisitos de admisibilidad previstos</w:t>
      </w:r>
      <w:r w:rsidRPr="00653B63">
        <w:rPr>
          <w:rFonts w:ascii="Verdana" w:hAnsi="Verdana"/>
          <w:sz w:val="20"/>
          <w:lang w:val="es-MX"/>
        </w:rPr>
        <w:t xml:space="preserve"> en los artículos 46.1 a) y b) de la Convención. En esos términos, y de conformidad con su jurisprudencia reiterada, la Corte desestima ambas excepciones preliminares al no haber sido formuladas en el momento procesal oportuno, es decir durante el procedim</w:t>
      </w:r>
      <w:r w:rsidRPr="006D61BA">
        <w:rPr>
          <w:rFonts w:ascii="Verdana" w:hAnsi="Verdana"/>
          <w:sz w:val="20"/>
          <w:lang w:val="es-MX"/>
        </w:rPr>
        <w:t>iento de admisibilidad ante la Comisión</w:t>
      </w:r>
      <w:r w:rsidRPr="00653B63">
        <w:rPr>
          <w:rStyle w:val="FootnoteReference"/>
          <w:lang w:val="es-MX"/>
        </w:rPr>
        <w:footnoteReference w:id="13"/>
      </w:r>
      <w:r w:rsidRPr="00653B63">
        <w:rPr>
          <w:rFonts w:ascii="Verdana" w:hAnsi="Verdana"/>
          <w:sz w:val="20"/>
          <w:lang w:val="es-MX"/>
        </w:rPr>
        <w:t>. Por otro lado,</w:t>
      </w:r>
      <w:r w:rsidR="008D084E" w:rsidRPr="006D61BA">
        <w:rPr>
          <w:rFonts w:ascii="Verdana" w:hAnsi="Verdana"/>
          <w:sz w:val="20"/>
          <w:lang w:val="es-MX"/>
        </w:rPr>
        <w:t xml:space="preserve"> en lo que respecta al alegato </w:t>
      </w:r>
      <w:r w:rsidRPr="000D5308">
        <w:rPr>
          <w:rFonts w:ascii="Verdana" w:hAnsi="Verdana"/>
          <w:sz w:val="20"/>
          <w:lang w:val="es-MX"/>
        </w:rPr>
        <w:t xml:space="preserve">d) </w:t>
      </w:r>
      <w:r w:rsidR="008D084E" w:rsidRPr="000D5308">
        <w:rPr>
          <w:rFonts w:ascii="Verdana" w:hAnsi="Verdana"/>
          <w:sz w:val="20"/>
          <w:szCs w:val="20"/>
          <w:lang w:val="es-MX"/>
        </w:rPr>
        <w:t>[falta de competencia de la comisión para asumir un rol de cuarta instancia]</w:t>
      </w:r>
      <w:r w:rsidRPr="000D5308">
        <w:rPr>
          <w:rFonts w:ascii="Verdana" w:hAnsi="Verdana"/>
          <w:sz w:val="20"/>
          <w:szCs w:val="20"/>
          <w:lang w:val="es-MX"/>
        </w:rPr>
        <w:t>,</w:t>
      </w:r>
      <w:r w:rsidRPr="000D5308">
        <w:rPr>
          <w:rFonts w:ascii="Verdana" w:hAnsi="Verdana"/>
          <w:sz w:val="20"/>
          <w:lang w:val="es-MX"/>
        </w:rPr>
        <w:t xml:space="preserve"> la Corte advierte que la solicitud del Estado no busca objetar la admisibilidad del caso por este Tribunal, ni alega la afectación de su derecho a la defensa por supuestas irregularida</w:t>
      </w:r>
      <w:r w:rsidRPr="00AA1F88">
        <w:rPr>
          <w:rFonts w:ascii="Verdana" w:hAnsi="Verdana"/>
          <w:sz w:val="20"/>
          <w:lang w:val="es-MX"/>
        </w:rPr>
        <w:t>des cometidas durante el trámite ante la Comisión, sino que se trata de un alegato que atañe al fondo del asunto, y que por lo tanto será resuelto en el acápite correspondiente (</w:t>
      </w:r>
      <w:r w:rsidRPr="009D5837">
        <w:rPr>
          <w:rFonts w:ascii="Verdana" w:hAnsi="Verdana"/>
          <w:i/>
          <w:sz w:val="20"/>
          <w:lang w:val="es-MX"/>
        </w:rPr>
        <w:t>infra</w:t>
      </w:r>
      <w:r w:rsidRPr="00AA1F88">
        <w:rPr>
          <w:rFonts w:ascii="Verdana" w:hAnsi="Verdana"/>
          <w:sz w:val="20"/>
          <w:lang w:val="es-MX"/>
        </w:rPr>
        <w:t xml:space="preserve"> </w:t>
      </w:r>
      <w:r w:rsidR="00B91A4D">
        <w:rPr>
          <w:rFonts w:ascii="Verdana" w:hAnsi="Verdana"/>
          <w:sz w:val="20"/>
          <w:lang w:val="es-MX"/>
        </w:rPr>
        <w:t>párr. 97</w:t>
      </w:r>
      <w:r w:rsidRPr="00AA1F88">
        <w:rPr>
          <w:rFonts w:ascii="Verdana" w:hAnsi="Verdana"/>
          <w:sz w:val="20"/>
          <w:lang w:val="es-MX"/>
        </w:rPr>
        <w:t>). Asimismo,</w:t>
      </w:r>
      <w:r w:rsidR="008D084E" w:rsidRPr="00990959">
        <w:rPr>
          <w:rFonts w:ascii="Verdana" w:hAnsi="Verdana"/>
          <w:sz w:val="20"/>
          <w:lang w:val="es-MX"/>
        </w:rPr>
        <w:t xml:space="preserve"> en lo que respecta al alegato </w:t>
      </w:r>
      <w:r w:rsidRPr="00E72D85">
        <w:rPr>
          <w:rFonts w:ascii="Verdana" w:hAnsi="Verdana"/>
          <w:sz w:val="20"/>
          <w:lang w:val="es-MX"/>
        </w:rPr>
        <w:t>f)</w:t>
      </w:r>
      <w:r w:rsidR="008D084E" w:rsidRPr="00915ACA">
        <w:rPr>
          <w:rFonts w:ascii="Verdana" w:hAnsi="Verdana"/>
          <w:sz w:val="20"/>
          <w:lang w:val="es-MX"/>
        </w:rPr>
        <w:t xml:space="preserve"> </w:t>
      </w:r>
      <w:r w:rsidR="008D084E" w:rsidRPr="00BB752A">
        <w:rPr>
          <w:rFonts w:ascii="Verdana" w:hAnsi="Verdana"/>
          <w:sz w:val="20"/>
          <w:szCs w:val="20"/>
          <w:lang w:val="es-MX"/>
        </w:rPr>
        <w:t>[indebida inclusión</w:t>
      </w:r>
      <w:r w:rsidR="008D084E" w:rsidRPr="000C6082">
        <w:rPr>
          <w:rFonts w:ascii="Verdana" w:hAnsi="Verdana"/>
          <w:sz w:val="20"/>
          <w:szCs w:val="20"/>
          <w:lang w:val="es-MX"/>
        </w:rPr>
        <w:t xml:space="preserve"> de presuntas víctimas]</w:t>
      </w:r>
      <w:r w:rsidRPr="000C6082">
        <w:rPr>
          <w:rFonts w:ascii="Verdana" w:hAnsi="Verdana"/>
          <w:sz w:val="20"/>
          <w:szCs w:val="20"/>
          <w:lang w:val="es-MX"/>
        </w:rPr>
        <w:t xml:space="preserve"> </w:t>
      </w:r>
      <w:r w:rsidRPr="000C6082">
        <w:rPr>
          <w:rFonts w:ascii="Verdana" w:hAnsi="Verdana"/>
          <w:sz w:val="20"/>
          <w:lang w:val="es-MX"/>
        </w:rPr>
        <w:t>del Estado</w:t>
      </w:r>
      <w:r w:rsidRPr="000C6082">
        <w:rPr>
          <w:rFonts w:ascii="Verdana" w:hAnsi="Verdana"/>
          <w:sz w:val="20"/>
          <w:szCs w:val="20"/>
          <w:lang w:val="es-MX"/>
        </w:rPr>
        <w:t>,</w:t>
      </w:r>
      <w:r w:rsidRPr="000C6082">
        <w:rPr>
          <w:rFonts w:ascii="Verdana" w:hAnsi="Verdana"/>
          <w:sz w:val="20"/>
          <w:lang w:val="es-MX"/>
        </w:rPr>
        <w:t xml:space="preserve"> la Corte concluye que,</w:t>
      </w:r>
      <w:r w:rsidR="00224537">
        <w:rPr>
          <w:rFonts w:ascii="Verdana" w:hAnsi="Verdana"/>
          <w:sz w:val="20"/>
          <w:lang w:val="es-MX"/>
        </w:rPr>
        <w:t xml:space="preserve"> en virtud de las posiciones de las</w:t>
      </w:r>
      <w:r w:rsidRPr="000C6082">
        <w:rPr>
          <w:rFonts w:ascii="Verdana" w:hAnsi="Verdana"/>
          <w:sz w:val="20"/>
          <w:lang w:val="es-MX"/>
        </w:rPr>
        <w:t xml:space="preserve"> partes, la controversia ha cesado. </w:t>
      </w:r>
    </w:p>
    <w:p w14:paraId="66F4694E" w14:textId="77777777" w:rsidR="008D084E" w:rsidRPr="00AD7CB4" w:rsidRDefault="008D084E" w:rsidP="005D0F69">
      <w:pPr>
        <w:pStyle w:val="ListParagraph"/>
        <w:ind w:left="0"/>
        <w:jc w:val="both"/>
        <w:rPr>
          <w:rFonts w:ascii="Verdana" w:hAnsi="Verdana"/>
          <w:sz w:val="20"/>
          <w:szCs w:val="20"/>
          <w:lang w:val="es-MX"/>
        </w:rPr>
      </w:pPr>
    </w:p>
    <w:p w14:paraId="780339A3" w14:textId="478C1BE3" w:rsidR="00154B4B" w:rsidRPr="005D0F69" w:rsidRDefault="007E0655" w:rsidP="00E66DD7">
      <w:pPr>
        <w:pStyle w:val="ListParagraph"/>
        <w:numPr>
          <w:ilvl w:val="0"/>
          <w:numId w:val="1"/>
        </w:numPr>
        <w:ind w:left="0" w:firstLine="0"/>
        <w:jc w:val="both"/>
        <w:rPr>
          <w:rFonts w:ascii="Verdana" w:hAnsi="Verdana"/>
          <w:sz w:val="20"/>
          <w:lang w:val="es-MX"/>
        </w:rPr>
      </w:pPr>
      <w:r w:rsidRPr="005D0F69">
        <w:rPr>
          <w:rFonts w:ascii="Verdana" w:hAnsi="Verdana"/>
          <w:sz w:val="20"/>
          <w:szCs w:val="20"/>
          <w:lang w:val="es-MX"/>
        </w:rPr>
        <w:t>A</w:t>
      </w:r>
      <w:r w:rsidR="00AC5A07" w:rsidRPr="005D0F69">
        <w:rPr>
          <w:rFonts w:ascii="Verdana" w:hAnsi="Verdana"/>
          <w:sz w:val="20"/>
          <w:szCs w:val="20"/>
          <w:lang w:val="es-MX"/>
        </w:rPr>
        <w:t xml:space="preserve"> </w:t>
      </w:r>
      <w:r w:rsidR="00154B4B" w:rsidRPr="005D0F69">
        <w:rPr>
          <w:rFonts w:ascii="Verdana" w:hAnsi="Verdana"/>
          <w:sz w:val="20"/>
          <w:szCs w:val="20"/>
          <w:lang w:val="es-MX"/>
        </w:rPr>
        <w:t>continuación</w:t>
      </w:r>
      <w:r w:rsidR="00AC5A07" w:rsidRPr="005D0F69">
        <w:rPr>
          <w:rFonts w:ascii="Verdana" w:hAnsi="Verdana"/>
          <w:sz w:val="20"/>
          <w:szCs w:val="20"/>
          <w:lang w:val="es-MX"/>
        </w:rPr>
        <w:t>,</w:t>
      </w:r>
      <w:r w:rsidR="00154B4B" w:rsidRPr="005D0F69">
        <w:rPr>
          <w:rFonts w:ascii="Verdana" w:hAnsi="Verdana"/>
          <w:sz w:val="20"/>
          <w:szCs w:val="20"/>
          <w:lang w:val="es-MX"/>
        </w:rPr>
        <w:t xml:space="preserve"> este Tribunal </w:t>
      </w:r>
      <w:r w:rsidR="008D084E" w:rsidRPr="005D0F69">
        <w:rPr>
          <w:rFonts w:ascii="Verdana" w:hAnsi="Verdana"/>
          <w:sz w:val="20"/>
          <w:szCs w:val="20"/>
          <w:lang w:val="es-MX"/>
        </w:rPr>
        <w:t>analizará</w:t>
      </w:r>
      <w:r w:rsidR="008D084E" w:rsidRPr="005D0F69">
        <w:rPr>
          <w:rFonts w:ascii="Verdana" w:hAnsi="Verdana"/>
          <w:sz w:val="20"/>
          <w:szCs w:val="20"/>
          <w:lang w:val="es-CR"/>
        </w:rPr>
        <w:t xml:space="preserve"> los alegatos c) </w:t>
      </w:r>
      <w:r w:rsidR="008D084E" w:rsidRPr="005D0F69">
        <w:rPr>
          <w:rFonts w:ascii="Verdana" w:hAnsi="Verdana"/>
          <w:sz w:val="20"/>
          <w:szCs w:val="20"/>
          <w:lang w:val="es-MX"/>
        </w:rPr>
        <w:t>[</w:t>
      </w:r>
      <w:r w:rsidR="001423EE" w:rsidRPr="005D0F69">
        <w:rPr>
          <w:rFonts w:ascii="Verdana" w:hAnsi="Verdana"/>
          <w:sz w:val="20"/>
          <w:szCs w:val="20"/>
          <w:lang w:val="es-MX"/>
        </w:rPr>
        <w:t>in</w:t>
      </w:r>
      <w:r w:rsidR="008D084E" w:rsidRPr="005D0F69">
        <w:rPr>
          <w:rFonts w:ascii="Verdana" w:hAnsi="Verdana"/>
          <w:sz w:val="20"/>
          <w:szCs w:val="20"/>
          <w:lang w:val="es-MX"/>
        </w:rPr>
        <w:t>debida i</w:t>
      </w:r>
      <w:r w:rsidR="00A032B8">
        <w:rPr>
          <w:rFonts w:ascii="Verdana" w:hAnsi="Verdana"/>
          <w:sz w:val="20"/>
          <w:szCs w:val="20"/>
          <w:lang w:val="es-MX"/>
        </w:rPr>
        <w:t>nclusión del artículo 16 en el Informe de F</w:t>
      </w:r>
      <w:r w:rsidR="008D084E" w:rsidRPr="005D0F69">
        <w:rPr>
          <w:rFonts w:ascii="Verdana" w:hAnsi="Verdana"/>
          <w:sz w:val="20"/>
          <w:szCs w:val="20"/>
          <w:lang w:val="es-MX"/>
        </w:rPr>
        <w:t>ondo]</w:t>
      </w:r>
      <w:r w:rsidR="008D084E" w:rsidRPr="005D0F69">
        <w:rPr>
          <w:rFonts w:ascii="Verdana" w:hAnsi="Verdana"/>
          <w:sz w:val="20"/>
          <w:szCs w:val="20"/>
          <w:lang w:val="es-CR"/>
        </w:rPr>
        <w:t xml:space="preserve"> y </w:t>
      </w:r>
      <w:r w:rsidR="00154B4B" w:rsidRPr="005D0F69">
        <w:rPr>
          <w:rFonts w:ascii="Verdana" w:hAnsi="Verdana"/>
          <w:sz w:val="20"/>
          <w:szCs w:val="20"/>
          <w:lang w:val="es-CR"/>
        </w:rPr>
        <w:t>e)</w:t>
      </w:r>
      <w:r w:rsidR="008D084E" w:rsidRPr="005D0F69">
        <w:rPr>
          <w:rFonts w:ascii="Verdana" w:hAnsi="Verdana"/>
          <w:sz w:val="20"/>
          <w:szCs w:val="20"/>
          <w:lang w:val="es-CR"/>
        </w:rPr>
        <w:t xml:space="preserve"> </w:t>
      </w:r>
      <w:r w:rsidR="008D084E" w:rsidRPr="005D0F69">
        <w:rPr>
          <w:rFonts w:ascii="Verdana" w:hAnsi="Verdana"/>
          <w:sz w:val="20"/>
          <w:szCs w:val="20"/>
          <w:lang w:val="es-MX"/>
        </w:rPr>
        <w:t>[delimitación de la controversia jurídica]</w:t>
      </w:r>
      <w:r w:rsidR="00154B4B" w:rsidRPr="005D0F69">
        <w:rPr>
          <w:rFonts w:ascii="Verdana" w:hAnsi="Verdana"/>
          <w:sz w:val="20"/>
          <w:szCs w:val="20"/>
          <w:lang w:val="es-CR"/>
        </w:rPr>
        <w:t xml:space="preserve"> del Estado.</w:t>
      </w:r>
    </w:p>
    <w:p w14:paraId="2EC7136F" w14:textId="77777777" w:rsidR="00154B4B" w:rsidRPr="005D0F69" w:rsidRDefault="00154B4B" w:rsidP="00154B4B">
      <w:pPr>
        <w:pStyle w:val="ListParagraph"/>
        <w:rPr>
          <w:rFonts w:ascii="Verdana" w:hAnsi="Verdana"/>
          <w:sz w:val="20"/>
          <w:szCs w:val="20"/>
          <w:lang w:val="es-MX"/>
        </w:rPr>
      </w:pPr>
    </w:p>
    <w:p w14:paraId="26414E7C" w14:textId="77777777" w:rsidR="00154B4B" w:rsidRPr="005B3D37" w:rsidRDefault="00154B4B" w:rsidP="00E66DD7">
      <w:pPr>
        <w:pStyle w:val="Heading3"/>
        <w:numPr>
          <w:ilvl w:val="0"/>
          <w:numId w:val="7"/>
        </w:numPr>
        <w:jc w:val="both"/>
        <w:rPr>
          <w:b w:val="0"/>
          <w:i/>
          <w:szCs w:val="20"/>
        </w:rPr>
      </w:pPr>
      <w:bookmarkStart w:id="9" w:name="_Toc498333474"/>
      <w:r w:rsidRPr="005B3D37">
        <w:rPr>
          <w:i/>
          <w:szCs w:val="20"/>
        </w:rPr>
        <w:t>Inclusión del artículo 16 de la Convención en el Informe de Fondo</w:t>
      </w:r>
      <w:bookmarkEnd w:id="9"/>
    </w:p>
    <w:p w14:paraId="326CB7A0" w14:textId="77777777" w:rsidR="00154B4B" w:rsidRPr="006F62A3" w:rsidRDefault="00154B4B" w:rsidP="00154B4B">
      <w:pPr>
        <w:tabs>
          <w:tab w:val="left" w:pos="1134"/>
        </w:tabs>
        <w:jc w:val="both"/>
        <w:rPr>
          <w:rFonts w:ascii="Verdana" w:hAnsi="Verdana"/>
          <w:b/>
          <w:i/>
          <w:sz w:val="20"/>
          <w:szCs w:val="20"/>
          <w:lang w:val="es-ES"/>
        </w:rPr>
      </w:pPr>
    </w:p>
    <w:p w14:paraId="0FCD4108" w14:textId="77777777" w:rsidR="00154B4B" w:rsidRDefault="00154B4B" w:rsidP="00E66DD7">
      <w:pPr>
        <w:pStyle w:val="ListParagraph"/>
        <w:numPr>
          <w:ilvl w:val="0"/>
          <w:numId w:val="1"/>
        </w:numPr>
        <w:ind w:left="0" w:firstLine="0"/>
        <w:jc w:val="both"/>
        <w:rPr>
          <w:rFonts w:ascii="Verdana" w:hAnsi="Verdana"/>
          <w:sz w:val="20"/>
          <w:szCs w:val="20"/>
          <w:lang w:val="es-CO"/>
        </w:rPr>
      </w:pPr>
      <w:r>
        <w:rPr>
          <w:rFonts w:ascii="Verdana" w:hAnsi="Verdana"/>
          <w:sz w:val="20"/>
          <w:szCs w:val="20"/>
          <w:lang w:val="es-CO"/>
        </w:rPr>
        <w:t xml:space="preserve">La Corte reitera que, respecto a la inclusión por parte de la Comisión de nuevos derechos en el Informe de Fondo, que no fueron indicados previamente en el Informe de Admisibilidad, ni en la Convención Americana, ni en el Reglamento de la Comisión Interamericana, existe </w:t>
      </w:r>
      <w:r>
        <w:rPr>
          <w:rFonts w:ascii="Verdana" w:hAnsi="Verdana"/>
          <w:sz w:val="20"/>
          <w:szCs w:val="20"/>
          <w:lang w:val="es-CO"/>
        </w:rPr>
        <w:lastRenderedPageBreak/>
        <w:t>normatividad alguna que disponga que en el Informe de Admisibilidad se deben establecer todos los derechos presuntamente vulnerados</w:t>
      </w:r>
      <w:r>
        <w:rPr>
          <w:rStyle w:val="FootnoteReference"/>
          <w:szCs w:val="20"/>
          <w:lang w:val="es-CO"/>
        </w:rPr>
        <w:footnoteReference w:id="14"/>
      </w:r>
      <w:r>
        <w:rPr>
          <w:rFonts w:ascii="Verdana" w:hAnsi="Verdana"/>
          <w:sz w:val="20"/>
          <w:szCs w:val="20"/>
          <w:lang w:val="es-CO"/>
        </w:rPr>
        <w:t>. Al respecto, los artículos 46</w:t>
      </w:r>
      <w:r>
        <w:rPr>
          <w:rStyle w:val="FootnoteReference"/>
          <w:szCs w:val="20"/>
        </w:rPr>
        <w:footnoteReference w:id="15"/>
      </w:r>
      <w:r>
        <w:rPr>
          <w:rFonts w:ascii="Verdana" w:hAnsi="Verdana"/>
          <w:sz w:val="20"/>
          <w:szCs w:val="20"/>
          <w:lang w:val="es-CO"/>
        </w:rPr>
        <w:t xml:space="preserve"> y 47</w:t>
      </w:r>
      <w:r>
        <w:rPr>
          <w:rStyle w:val="FootnoteReference"/>
          <w:szCs w:val="20"/>
        </w:rPr>
        <w:footnoteReference w:id="16"/>
      </w:r>
      <w:r>
        <w:rPr>
          <w:rFonts w:ascii="Verdana" w:hAnsi="Verdana"/>
          <w:sz w:val="20"/>
          <w:szCs w:val="20"/>
          <w:lang w:val="es-CO"/>
        </w:rPr>
        <w:t xml:space="preserve"> de la Convención Americana establecen exclusivamente los requisitos por los cuales una petición puede ser declarada admisible o inadmisible, mas no impone a la Comisión la obligación de determinar cuáles serían los derechos objeto del trámite. En este sentido, los derechos indicados en el Informe de Admisibilidad son el resultado de un examen preliminar de la petición que se encuentra en curso, por lo que no limitan la posibilidad de que en etapas posteriores del proceso puedan incluirse otros derechos o artículos que presuntamente hayan sido vulnerados, siempre y cuando se respete el derecho de defensa del Estado en el marco de la base fáctica del caso bajo análisis</w:t>
      </w:r>
      <w:r>
        <w:rPr>
          <w:rStyle w:val="FootnoteReference"/>
          <w:szCs w:val="20"/>
          <w:lang w:val="es-CO"/>
        </w:rPr>
        <w:footnoteReference w:id="17"/>
      </w:r>
      <w:r>
        <w:rPr>
          <w:rFonts w:ascii="Verdana" w:hAnsi="Verdana"/>
          <w:sz w:val="20"/>
          <w:szCs w:val="20"/>
          <w:lang w:val="es-CO"/>
        </w:rPr>
        <w:t>.</w:t>
      </w:r>
    </w:p>
    <w:p w14:paraId="50448375" w14:textId="77777777" w:rsidR="00154B4B" w:rsidRDefault="00154B4B" w:rsidP="00154B4B">
      <w:pPr>
        <w:pStyle w:val="ListParagraph"/>
        <w:ind w:left="0"/>
        <w:jc w:val="both"/>
        <w:rPr>
          <w:rFonts w:ascii="Verdana" w:hAnsi="Verdana"/>
          <w:sz w:val="20"/>
          <w:szCs w:val="20"/>
          <w:lang w:val="es-CO"/>
        </w:rPr>
      </w:pPr>
    </w:p>
    <w:p w14:paraId="6F73F824" w14:textId="12A316DE" w:rsidR="00154B4B" w:rsidRDefault="00154B4B" w:rsidP="00E66DD7">
      <w:pPr>
        <w:pStyle w:val="ListParagraph"/>
        <w:numPr>
          <w:ilvl w:val="0"/>
          <w:numId w:val="1"/>
        </w:numPr>
        <w:ind w:left="0" w:firstLine="0"/>
        <w:jc w:val="both"/>
        <w:rPr>
          <w:rFonts w:ascii="Verdana" w:hAnsi="Verdana"/>
          <w:sz w:val="20"/>
          <w:szCs w:val="20"/>
        </w:rPr>
      </w:pPr>
      <w:r w:rsidRPr="00C9297C">
        <w:rPr>
          <w:rFonts w:ascii="Verdana" w:hAnsi="Verdana"/>
          <w:sz w:val="20"/>
          <w:szCs w:val="20"/>
          <w:lang w:val="es-CO"/>
        </w:rPr>
        <w:t>En el presente caso, el Tribunal observa que</w:t>
      </w:r>
      <w:r w:rsidRPr="00C9297C">
        <w:rPr>
          <w:rFonts w:ascii="Verdana" w:hAnsi="Verdana"/>
          <w:sz w:val="20"/>
          <w:szCs w:val="20"/>
        </w:rPr>
        <w:t xml:space="preserve"> el Estado tenía conocimiento de los hechos que sustentan la presunta violación al artículo 16, en tanto estos se encuentran narrados en la petición inicial dirigida a la Comisión Interamericana de 13 de octubre de 1993</w:t>
      </w:r>
      <w:r w:rsidRPr="00C9297C">
        <w:rPr>
          <w:rStyle w:val="FootnoteReference"/>
          <w:szCs w:val="20"/>
        </w:rPr>
        <w:footnoteReference w:id="18"/>
      </w:r>
      <w:r w:rsidRPr="00C9297C">
        <w:rPr>
          <w:rFonts w:ascii="Verdana" w:hAnsi="Verdana"/>
          <w:sz w:val="20"/>
          <w:szCs w:val="20"/>
        </w:rPr>
        <w:t>. En dicha comunicación, el señor Lagos del Campo manifestó que el motivo de su despido estaba relacionado con su calidad como dirigente laboral, lo cual es la base fáctica utilizada por la Comisión para formular su alegato en torno a la violación al artículo 16 de la Convención</w:t>
      </w:r>
      <w:r w:rsidRPr="00C9297C">
        <w:rPr>
          <w:rStyle w:val="FootnoteReference"/>
          <w:szCs w:val="20"/>
        </w:rPr>
        <w:footnoteReference w:id="19"/>
      </w:r>
      <w:r w:rsidRPr="00C9297C">
        <w:rPr>
          <w:rFonts w:ascii="Verdana" w:hAnsi="Verdana"/>
          <w:sz w:val="20"/>
          <w:szCs w:val="20"/>
        </w:rPr>
        <w:t>. En particular, en dicha carta, el señor Lagos del Campo manifestó que fue despedid</w:t>
      </w:r>
      <w:r>
        <w:rPr>
          <w:rFonts w:ascii="Verdana" w:hAnsi="Verdana"/>
          <w:sz w:val="20"/>
          <w:szCs w:val="20"/>
        </w:rPr>
        <w:t xml:space="preserve">o cuando ostentaba el cargo de </w:t>
      </w:r>
      <w:r w:rsidRPr="00C9297C">
        <w:rPr>
          <w:rFonts w:ascii="Verdana" w:hAnsi="Verdana"/>
          <w:sz w:val="20"/>
          <w:szCs w:val="20"/>
        </w:rPr>
        <w:t>Presidente del Comité Electoral dentro de la Comunidad Industrial</w:t>
      </w:r>
      <w:r>
        <w:rPr>
          <w:rFonts w:ascii="Verdana" w:hAnsi="Verdana"/>
          <w:sz w:val="20"/>
          <w:szCs w:val="20"/>
        </w:rPr>
        <w:t xml:space="preserve"> de la empresa </w:t>
      </w:r>
      <w:proofErr w:type="spellStart"/>
      <w:r>
        <w:rPr>
          <w:rFonts w:ascii="Verdana" w:hAnsi="Verdana"/>
          <w:sz w:val="20"/>
          <w:szCs w:val="20"/>
        </w:rPr>
        <w:t>Ceper</w:t>
      </w:r>
      <w:proofErr w:type="spellEnd"/>
      <w:r>
        <w:rPr>
          <w:rFonts w:ascii="Verdana" w:hAnsi="Verdana"/>
          <w:sz w:val="20"/>
          <w:szCs w:val="20"/>
        </w:rPr>
        <w:t xml:space="preserve"> </w:t>
      </w:r>
      <w:proofErr w:type="spellStart"/>
      <w:r>
        <w:rPr>
          <w:rFonts w:ascii="Verdana" w:hAnsi="Verdana"/>
          <w:sz w:val="20"/>
          <w:szCs w:val="20"/>
        </w:rPr>
        <w:t>Pirelli</w:t>
      </w:r>
      <w:proofErr w:type="spellEnd"/>
      <w:r>
        <w:rPr>
          <w:rFonts w:ascii="Verdana" w:hAnsi="Verdana"/>
          <w:sz w:val="20"/>
          <w:szCs w:val="20"/>
        </w:rPr>
        <w:t xml:space="preserve"> </w:t>
      </w:r>
      <w:r w:rsidRPr="00C9297C">
        <w:rPr>
          <w:rFonts w:ascii="Verdana" w:hAnsi="Verdana"/>
          <w:sz w:val="20"/>
          <w:szCs w:val="20"/>
        </w:rPr>
        <w:t>“por el solo hecho de ser un</w:t>
      </w:r>
      <w:r w:rsidR="006D5615">
        <w:rPr>
          <w:rFonts w:ascii="Verdana" w:hAnsi="Verdana"/>
          <w:sz w:val="20"/>
          <w:szCs w:val="20"/>
        </w:rPr>
        <w:t xml:space="preserve"> [dirigente laboral]</w:t>
      </w:r>
      <w:r w:rsidRPr="00C9297C">
        <w:rPr>
          <w:rFonts w:ascii="Verdana" w:hAnsi="Verdana"/>
          <w:sz w:val="20"/>
          <w:szCs w:val="20"/>
        </w:rPr>
        <w:t>, que viene luchando en defensa de los sagrados derechos y beneficios que les asiste a los trabajadores de mi país y en especial de los que laboran en la Empresa Conductores Eléctricos Peruanos S.A. CEPER PIRELLI</w:t>
      </w:r>
      <w:r w:rsidRPr="00C9297C">
        <w:rPr>
          <w:rStyle w:val="FootnoteReference"/>
          <w:szCs w:val="20"/>
        </w:rPr>
        <w:footnoteReference w:id="20"/>
      </w:r>
      <w:r w:rsidR="006D5615">
        <w:rPr>
          <w:rFonts w:ascii="Verdana" w:hAnsi="Verdana"/>
          <w:sz w:val="20"/>
          <w:szCs w:val="20"/>
        </w:rPr>
        <w:t>”</w:t>
      </w:r>
      <w:r w:rsidR="00696BC7">
        <w:rPr>
          <w:rFonts w:ascii="Verdana" w:hAnsi="Verdana"/>
          <w:sz w:val="20"/>
          <w:szCs w:val="20"/>
        </w:rPr>
        <w:t>.</w:t>
      </w:r>
      <w:r w:rsidR="006D5615">
        <w:rPr>
          <w:rFonts w:ascii="Verdana" w:hAnsi="Verdana"/>
          <w:sz w:val="20"/>
          <w:szCs w:val="20"/>
        </w:rPr>
        <w:t xml:space="preserve"> </w:t>
      </w:r>
    </w:p>
    <w:p w14:paraId="33FA198C" w14:textId="77777777" w:rsidR="006D5615" w:rsidRPr="005D0F69" w:rsidRDefault="006D5615" w:rsidP="005D0F69">
      <w:pPr>
        <w:pStyle w:val="ListParagraph"/>
        <w:rPr>
          <w:rFonts w:ascii="Verdana" w:hAnsi="Verdana"/>
          <w:sz w:val="20"/>
          <w:szCs w:val="20"/>
        </w:rPr>
      </w:pPr>
    </w:p>
    <w:p w14:paraId="66893D5E" w14:textId="388EC879" w:rsidR="006D5615" w:rsidRPr="006D5615" w:rsidRDefault="006D5615" w:rsidP="00E66DD7">
      <w:pPr>
        <w:pStyle w:val="ListParagraph"/>
        <w:numPr>
          <w:ilvl w:val="0"/>
          <w:numId w:val="1"/>
        </w:numPr>
        <w:ind w:left="0" w:firstLine="0"/>
        <w:jc w:val="both"/>
        <w:rPr>
          <w:rFonts w:ascii="Verdana" w:hAnsi="Verdana"/>
          <w:sz w:val="20"/>
          <w:szCs w:val="20"/>
        </w:rPr>
      </w:pPr>
      <w:r w:rsidRPr="007005FF">
        <w:rPr>
          <w:rFonts w:ascii="Verdana" w:hAnsi="Verdana"/>
          <w:sz w:val="20"/>
          <w:szCs w:val="20"/>
        </w:rPr>
        <w:t>En el mismo sentido, este Tribunal considera que existen elementos que permitan inferir que el señor Lagos del Campo alegó en sus escritos iniciales que, con motivo de su despido, habrían sido afectados los derechos de otros trabajadores. En efecto, la presunta víctima señaló en su demanda ante el Juez de Trabajo que “es evidente que la sanción aplicada en mi perjuicio, además de improcedente e injustificada, constituye un acto de intromisión en los asuntos internos de la Comunidad Industrial”</w:t>
      </w:r>
      <w:r w:rsidRPr="007005FF">
        <w:rPr>
          <w:rStyle w:val="FootnoteReference"/>
          <w:szCs w:val="20"/>
        </w:rPr>
        <w:footnoteReference w:id="21"/>
      </w:r>
      <w:r w:rsidRPr="007005FF">
        <w:rPr>
          <w:rFonts w:ascii="Verdana" w:hAnsi="Verdana"/>
          <w:sz w:val="20"/>
          <w:szCs w:val="20"/>
        </w:rPr>
        <w:t xml:space="preserve">. En opinión de la Corte, esta y otras referencias relacionadas con la conexión entre el despido de la presunta víctima y la afectación a la </w:t>
      </w:r>
      <w:r w:rsidRPr="007005FF">
        <w:rPr>
          <w:rFonts w:ascii="Verdana" w:hAnsi="Verdana"/>
          <w:sz w:val="20"/>
          <w:szCs w:val="20"/>
        </w:rPr>
        <w:lastRenderedPageBreak/>
        <w:t>Comunidad Industrial y sus miembros, permiten concluir que el Estado contó con oportunidad para pronunciarse sobre hechos relacionados con la posible violación a la libertad de asociación del señor Lagos del Campo y de otros trabajadores.</w:t>
      </w:r>
    </w:p>
    <w:p w14:paraId="4F0378B6" w14:textId="77777777" w:rsidR="00154B4B" w:rsidRDefault="00154B4B" w:rsidP="00154B4B">
      <w:pPr>
        <w:pStyle w:val="ListParagraph"/>
        <w:ind w:left="0"/>
        <w:rPr>
          <w:rFonts w:ascii="Verdana" w:hAnsi="Verdana"/>
          <w:sz w:val="20"/>
          <w:szCs w:val="20"/>
        </w:rPr>
      </w:pPr>
    </w:p>
    <w:p w14:paraId="533AACB7" w14:textId="4B251674" w:rsidR="00154B4B" w:rsidRPr="009B4DFE" w:rsidRDefault="006D5615" w:rsidP="00E66DD7">
      <w:pPr>
        <w:pStyle w:val="ListParagraph"/>
        <w:numPr>
          <w:ilvl w:val="0"/>
          <w:numId w:val="1"/>
        </w:numPr>
        <w:ind w:left="0" w:firstLine="0"/>
        <w:jc w:val="both"/>
        <w:rPr>
          <w:rFonts w:ascii="Verdana" w:hAnsi="Verdana"/>
          <w:sz w:val="20"/>
          <w:szCs w:val="20"/>
          <w:lang w:val="es-CO"/>
        </w:rPr>
      </w:pPr>
      <w:r>
        <w:rPr>
          <w:rFonts w:ascii="Verdana" w:hAnsi="Verdana"/>
          <w:sz w:val="20"/>
          <w:szCs w:val="20"/>
        </w:rPr>
        <w:t>En consideración a lo anterior</w:t>
      </w:r>
      <w:r w:rsidR="00154B4B">
        <w:rPr>
          <w:rFonts w:ascii="Verdana" w:hAnsi="Verdana"/>
          <w:sz w:val="20"/>
          <w:szCs w:val="20"/>
        </w:rPr>
        <w:t xml:space="preserve">, </w:t>
      </w:r>
      <w:r w:rsidR="00154B4B">
        <w:rPr>
          <w:rFonts w:ascii="Verdana" w:hAnsi="Verdana"/>
          <w:sz w:val="20"/>
          <w:szCs w:val="20"/>
          <w:lang w:val="es-CO"/>
        </w:rPr>
        <w:t>la Corte concluye que el Estado tuvo conocimiento de los hechos que sustentan la presunta violación del artículo 16 de la Convención en perjuicio del señor Lagos del Campo desde el inicio del trámite del proceso ante la Comisión, por lo que habría podido expresar su posición de haberlo considerado pertinente. Por la misma razón, la Comisión podía considerar en su Informe de Fondo otra calificación de los mismos hechos distinta a la realizada en el Informe de Admisibilidad, sin que lo anterior implicara una vulneración al derecho de defensa del Estado. En consecuencia</w:t>
      </w:r>
      <w:r w:rsidR="00154B4B" w:rsidRPr="009B4DFE">
        <w:rPr>
          <w:rFonts w:ascii="Verdana" w:hAnsi="Verdana"/>
          <w:sz w:val="20"/>
          <w:szCs w:val="20"/>
          <w:lang w:val="es-CO"/>
        </w:rPr>
        <w:t>, la Corte concluye que, en el particular, no existió violación al derecho de defensa en el procedimiento ante la Comisión Interamericana en los términos planteados por el Estado.</w:t>
      </w:r>
    </w:p>
    <w:p w14:paraId="0D00D714" w14:textId="77777777" w:rsidR="00154B4B" w:rsidRDefault="00154B4B" w:rsidP="00154B4B">
      <w:pPr>
        <w:pStyle w:val="ListParagraph"/>
        <w:ind w:left="0"/>
        <w:jc w:val="both"/>
        <w:rPr>
          <w:rFonts w:ascii="Verdana" w:hAnsi="Verdana"/>
          <w:sz w:val="20"/>
          <w:szCs w:val="20"/>
          <w:lang w:val="es-CO"/>
        </w:rPr>
      </w:pPr>
    </w:p>
    <w:p w14:paraId="5199065F" w14:textId="1ED0DEEA" w:rsidR="00154B4B" w:rsidRPr="005B3D37" w:rsidRDefault="00154B4B" w:rsidP="00E66DD7">
      <w:pPr>
        <w:pStyle w:val="Heading3"/>
        <w:numPr>
          <w:ilvl w:val="0"/>
          <w:numId w:val="7"/>
        </w:numPr>
        <w:jc w:val="both"/>
        <w:rPr>
          <w:i/>
          <w:szCs w:val="20"/>
        </w:rPr>
      </w:pPr>
      <w:bookmarkStart w:id="10" w:name="_Toc498333475"/>
      <w:r w:rsidRPr="005B3D37">
        <w:rPr>
          <w:i/>
          <w:szCs w:val="20"/>
        </w:rPr>
        <w:t>Delimitación temporal del análisis de acciones judiciales</w:t>
      </w:r>
      <w:bookmarkEnd w:id="10"/>
    </w:p>
    <w:p w14:paraId="02423CF9" w14:textId="77777777" w:rsidR="00154B4B" w:rsidRDefault="00154B4B" w:rsidP="00154B4B">
      <w:pPr>
        <w:pStyle w:val="ListParagraph"/>
        <w:ind w:left="0"/>
        <w:jc w:val="both"/>
        <w:rPr>
          <w:rFonts w:ascii="Verdana" w:hAnsi="Verdana"/>
          <w:sz w:val="20"/>
          <w:szCs w:val="20"/>
          <w:lang w:val="es-CO"/>
        </w:rPr>
      </w:pPr>
    </w:p>
    <w:p w14:paraId="4229DF5E" w14:textId="77777777" w:rsidR="00154B4B" w:rsidRPr="006D61BA" w:rsidRDefault="00154B4B" w:rsidP="00E66DD7">
      <w:pPr>
        <w:pStyle w:val="ListParagraph"/>
        <w:numPr>
          <w:ilvl w:val="0"/>
          <w:numId w:val="1"/>
        </w:numPr>
        <w:ind w:left="0" w:firstLine="0"/>
        <w:jc w:val="both"/>
        <w:rPr>
          <w:rFonts w:ascii="Verdana" w:hAnsi="Verdana"/>
          <w:sz w:val="20"/>
          <w:szCs w:val="20"/>
        </w:rPr>
      </w:pPr>
      <w:r w:rsidRPr="00061FA6">
        <w:rPr>
          <w:rFonts w:ascii="Verdana" w:hAnsi="Verdana"/>
          <w:sz w:val="20"/>
          <w:szCs w:val="20"/>
        </w:rPr>
        <w:t xml:space="preserve">Esta Corte ha establecido que el marco fáctico del proceso ante la misma se encuentra constituido por los hechos contenidos en el Informe de Fondo sometidos a consideración de la Corte. En consecuencia, no es admisible que las partes aleguen nuevos hechos distintos de los contenidos en dicho Informe de Fondo, sin perjuicio de exponer aquellos que permitan explicar, </w:t>
      </w:r>
      <w:r w:rsidRPr="00653B63">
        <w:rPr>
          <w:rFonts w:ascii="Verdana" w:hAnsi="Verdana"/>
          <w:sz w:val="20"/>
          <w:szCs w:val="20"/>
        </w:rPr>
        <w:t>aclarar o desestimar los que hayan sido mencionados en el mismo y hayan sido sometidos a consideración de la Corte (también llamados “hechos complementarios”)</w:t>
      </w:r>
      <w:r w:rsidRPr="00653B63">
        <w:rPr>
          <w:rStyle w:val="FootnoteReference"/>
          <w:szCs w:val="20"/>
        </w:rPr>
        <w:footnoteReference w:id="22"/>
      </w:r>
      <w:r w:rsidRPr="00653B63">
        <w:rPr>
          <w:rFonts w:ascii="Verdana" w:hAnsi="Verdana"/>
          <w:sz w:val="20"/>
          <w:szCs w:val="20"/>
        </w:rPr>
        <w:t>. La excepción a este principio son los hechos que se califican como supervinientes, que podrían ser remitidos al Tribunal siempre que se encuen</w:t>
      </w:r>
      <w:r w:rsidRPr="006D61BA">
        <w:rPr>
          <w:rFonts w:ascii="Verdana" w:hAnsi="Verdana"/>
          <w:sz w:val="20"/>
          <w:szCs w:val="20"/>
        </w:rPr>
        <w:t xml:space="preserve">tren ligados a los hechos del caso y en cualquier estado del proceso antes de la emisión de la sentencia. </w:t>
      </w:r>
    </w:p>
    <w:p w14:paraId="5B6AFADB" w14:textId="77777777" w:rsidR="00154B4B" w:rsidRPr="000D5308" w:rsidRDefault="00154B4B" w:rsidP="00154B4B">
      <w:pPr>
        <w:pStyle w:val="ListParagraph"/>
        <w:rPr>
          <w:rFonts w:ascii="Verdana" w:hAnsi="Verdana"/>
          <w:sz w:val="20"/>
          <w:szCs w:val="20"/>
        </w:rPr>
      </w:pPr>
    </w:p>
    <w:p w14:paraId="46A619F4" w14:textId="6A59905D" w:rsidR="00653B63" w:rsidRPr="00653B63" w:rsidRDefault="00154B4B" w:rsidP="00E66DD7">
      <w:pPr>
        <w:pStyle w:val="ListParagraph"/>
        <w:numPr>
          <w:ilvl w:val="0"/>
          <w:numId w:val="1"/>
        </w:numPr>
        <w:ind w:left="0" w:firstLine="0"/>
        <w:jc w:val="both"/>
        <w:rPr>
          <w:rFonts w:ascii="Verdana" w:hAnsi="Verdana"/>
          <w:sz w:val="20"/>
        </w:rPr>
      </w:pPr>
      <w:r w:rsidRPr="000D5308">
        <w:rPr>
          <w:rFonts w:ascii="Verdana" w:hAnsi="Verdana"/>
          <w:sz w:val="20"/>
          <w:szCs w:val="20"/>
        </w:rPr>
        <w:t>En el presente caso, la Corte constata que en el Informe de Fondo la Comisión incluyó diversos recursos</w:t>
      </w:r>
      <w:r w:rsidRPr="00AA1F88">
        <w:rPr>
          <w:rFonts w:ascii="Verdana" w:hAnsi="Verdana"/>
          <w:sz w:val="20"/>
          <w:szCs w:val="20"/>
        </w:rPr>
        <w:t xml:space="preserve"> interpuestos por el señor Lagos del Campo, entre ellos se encuentran los de fecha</w:t>
      </w:r>
      <w:r w:rsidRPr="00990959">
        <w:rPr>
          <w:rFonts w:ascii="Verdana" w:hAnsi="Verdana"/>
          <w:sz w:val="20"/>
          <w:szCs w:val="20"/>
          <w:lang w:val="es-ES"/>
        </w:rPr>
        <w:t xml:space="preserve"> 30 de marzo, 28 de abril y 4 de mayo de 1993 así como los recursos interpuestos en 1996, y de forma posterior</w:t>
      </w:r>
      <w:r w:rsidRPr="00E72D85">
        <w:rPr>
          <w:rFonts w:ascii="Verdana" w:hAnsi="Verdana"/>
          <w:sz w:val="20"/>
          <w:szCs w:val="20"/>
        </w:rPr>
        <w:t>.</w:t>
      </w:r>
      <w:r w:rsidRPr="00BB752A">
        <w:rPr>
          <w:rFonts w:ascii="Verdana" w:hAnsi="Verdana"/>
          <w:sz w:val="20"/>
          <w:szCs w:val="20"/>
        </w:rPr>
        <w:t xml:space="preserve"> Asimismo, la Comisión hizo referencia en el Informe de</w:t>
      </w:r>
      <w:r w:rsidRPr="000C6082">
        <w:rPr>
          <w:rFonts w:ascii="Verdana" w:hAnsi="Verdana"/>
          <w:sz w:val="20"/>
          <w:szCs w:val="20"/>
        </w:rPr>
        <w:t xml:space="preserve"> Fondo a los hechos relacionados con el autogolpe de 5 de abril de 1992 y la desactivación del Tribunal de Garantías Constitucionales.</w:t>
      </w:r>
      <w:r w:rsidR="00F41D30">
        <w:rPr>
          <w:rFonts w:ascii="Verdana" w:hAnsi="Verdana"/>
          <w:sz w:val="20"/>
          <w:szCs w:val="20"/>
        </w:rPr>
        <w:t xml:space="preserve"> </w:t>
      </w:r>
      <w:r w:rsidRPr="000C6082">
        <w:rPr>
          <w:rFonts w:ascii="Verdana" w:hAnsi="Verdana"/>
          <w:sz w:val="20"/>
          <w:szCs w:val="20"/>
        </w:rPr>
        <w:t xml:space="preserve">Por esta razón, dado que los hechos antes mencionados fueron sometidos a la jurisdicción de la Corte por parte de la Comisión, podrán ser tomados en cuenta al momento de realizar el estudio de fondo. </w:t>
      </w:r>
      <w:r w:rsidRPr="000C6082">
        <w:rPr>
          <w:rFonts w:ascii="Verdana" w:hAnsi="Verdana"/>
          <w:sz w:val="20"/>
        </w:rPr>
        <w:t>En el mismo sentido, los hechos narrados por los representantes en el</w:t>
      </w:r>
      <w:r w:rsidR="001F25C7" w:rsidRPr="0062065E">
        <w:rPr>
          <w:rFonts w:ascii="Verdana" w:hAnsi="Verdana"/>
          <w:sz w:val="20"/>
        </w:rPr>
        <w:t xml:space="preserve"> </w:t>
      </w:r>
      <w:r w:rsidR="001F25C7" w:rsidRPr="00AD7CB4">
        <w:rPr>
          <w:rFonts w:ascii="Verdana" w:hAnsi="Verdana"/>
          <w:sz w:val="20"/>
          <w:szCs w:val="20"/>
        </w:rPr>
        <w:t>escrito de solicitudes, argumentos y pruebas</w:t>
      </w:r>
      <w:r w:rsidRPr="00535854">
        <w:rPr>
          <w:rFonts w:ascii="Verdana" w:hAnsi="Verdana"/>
          <w:sz w:val="20"/>
        </w:rPr>
        <w:t xml:space="preserve"> serán tomados en consideración en tanto no constituyan h</w:t>
      </w:r>
      <w:r w:rsidRPr="005D0F69">
        <w:rPr>
          <w:rFonts w:ascii="Verdana" w:hAnsi="Verdana"/>
          <w:sz w:val="20"/>
        </w:rPr>
        <w:t xml:space="preserve">echos nuevos. En consecuencia, la Corte considera improcedente la solicitud </w:t>
      </w:r>
      <w:r w:rsidRPr="005D0F69">
        <w:rPr>
          <w:rFonts w:ascii="Verdana" w:hAnsi="Verdana"/>
          <w:sz w:val="20"/>
          <w:szCs w:val="20"/>
        </w:rPr>
        <w:t>de</w:t>
      </w:r>
      <w:r w:rsidR="006D5615" w:rsidRPr="005D0F69">
        <w:rPr>
          <w:rFonts w:ascii="Verdana" w:hAnsi="Verdana"/>
          <w:sz w:val="20"/>
          <w:szCs w:val="20"/>
        </w:rPr>
        <w:t xml:space="preserve">l Estado </w:t>
      </w:r>
      <w:r w:rsidR="00653B63">
        <w:rPr>
          <w:rFonts w:ascii="Verdana" w:hAnsi="Verdana"/>
          <w:sz w:val="20"/>
          <w:szCs w:val="20"/>
        </w:rPr>
        <w:t xml:space="preserve">en este respecto. </w:t>
      </w:r>
    </w:p>
    <w:p w14:paraId="6BC60A54" w14:textId="67EF7B9D" w:rsidR="00AF7637" w:rsidRPr="00AF7637" w:rsidRDefault="00AF7637" w:rsidP="005D0F69">
      <w:pPr>
        <w:pStyle w:val="ListParagraph"/>
        <w:ind w:left="0"/>
        <w:jc w:val="both"/>
        <w:rPr>
          <w:rFonts w:ascii="Verdana" w:hAnsi="Verdana"/>
          <w:sz w:val="20"/>
          <w:szCs w:val="20"/>
        </w:rPr>
      </w:pPr>
    </w:p>
    <w:p w14:paraId="63C4E73D" w14:textId="107DFD97" w:rsidR="008C33CE" w:rsidRPr="007F10A2" w:rsidRDefault="008C33CE" w:rsidP="008C33CE">
      <w:pPr>
        <w:pStyle w:val="Heading1"/>
        <w:tabs>
          <w:tab w:val="left" w:pos="851"/>
        </w:tabs>
        <w:spacing w:before="0"/>
        <w:jc w:val="center"/>
        <w:rPr>
          <w:rFonts w:cs="Verdana"/>
          <w:caps/>
          <w:snapToGrid w:val="0"/>
          <w:szCs w:val="20"/>
        </w:rPr>
      </w:pPr>
      <w:bookmarkStart w:id="11" w:name="_Toc498333476"/>
      <w:r>
        <w:rPr>
          <w:rFonts w:cs="Verdana"/>
          <w:caps/>
          <w:snapToGrid w:val="0"/>
          <w:szCs w:val="20"/>
        </w:rPr>
        <w:t>V</w:t>
      </w:r>
      <w:r w:rsidRPr="007F10A2">
        <w:rPr>
          <w:rFonts w:cs="Verdana"/>
          <w:caps/>
          <w:snapToGrid w:val="0"/>
          <w:szCs w:val="20"/>
        </w:rPr>
        <w:br/>
        <w:t>PRUEBA</w:t>
      </w:r>
      <w:bookmarkEnd w:id="11"/>
    </w:p>
    <w:p w14:paraId="13E7F092" w14:textId="77777777" w:rsidR="008C33CE" w:rsidRPr="007A52C1" w:rsidRDefault="008C33CE" w:rsidP="008C33CE">
      <w:pPr>
        <w:jc w:val="both"/>
        <w:rPr>
          <w:rFonts w:ascii="Verdana" w:hAnsi="Verdana"/>
          <w:sz w:val="20"/>
          <w:szCs w:val="20"/>
          <w:highlight w:val="yellow"/>
        </w:rPr>
      </w:pPr>
    </w:p>
    <w:p w14:paraId="4404C99C" w14:textId="77777777" w:rsidR="008C33CE" w:rsidRPr="006F79F4" w:rsidRDefault="008C33CE" w:rsidP="00E66DD7">
      <w:pPr>
        <w:pStyle w:val="Heading2"/>
        <w:numPr>
          <w:ilvl w:val="0"/>
          <w:numId w:val="19"/>
        </w:numPr>
        <w:rPr>
          <w:rFonts w:eastAsia="MS Gothic"/>
          <w:i/>
          <w:lang w:val="es-CR"/>
        </w:rPr>
      </w:pPr>
      <w:bookmarkStart w:id="12" w:name="_Toc498333477"/>
      <w:r w:rsidRPr="006F79F4">
        <w:rPr>
          <w:rFonts w:eastAsia="MS Gothic"/>
          <w:i/>
          <w:lang w:val="es-CR"/>
        </w:rPr>
        <w:t>Prueba documental, testimonial y pericial</w:t>
      </w:r>
      <w:bookmarkEnd w:id="12"/>
    </w:p>
    <w:p w14:paraId="06B744D6" w14:textId="77777777" w:rsidR="008C33CE" w:rsidRPr="002F613F" w:rsidRDefault="008C33CE" w:rsidP="008C33CE">
      <w:pPr>
        <w:pStyle w:val="ListParagraph"/>
        <w:ind w:left="0"/>
        <w:jc w:val="both"/>
        <w:rPr>
          <w:rFonts w:ascii="Verdana" w:hAnsi="Verdana"/>
          <w:sz w:val="20"/>
          <w:szCs w:val="20"/>
        </w:rPr>
      </w:pPr>
    </w:p>
    <w:p w14:paraId="3FD86D14" w14:textId="4549A667" w:rsidR="008C33CE" w:rsidRPr="002F613F" w:rsidRDefault="008C33CE" w:rsidP="00E66DD7">
      <w:pPr>
        <w:pStyle w:val="ListParagraph"/>
        <w:numPr>
          <w:ilvl w:val="0"/>
          <w:numId w:val="1"/>
        </w:numPr>
        <w:ind w:left="0" w:firstLine="0"/>
        <w:jc w:val="both"/>
        <w:rPr>
          <w:rFonts w:ascii="Verdana" w:hAnsi="Verdana"/>
          <w:sz w:val="20"/>
          <w:szCs w:val="20"/>
        </w:rPr>
      </w:pPr>
      <w:r w:rsidRPr="002F613F">
        <w:rPr>
          <w:rFonts w:ascii="Verdana" w:hAnsi="Verdana"/>
          <w:sz w:val="20"/>
          <w:szCs w:val="20"/>
        </w:rPr>
        <w:t>La Corte recibió diversos documentos presentados como prueba por la Comisión, los representantes y el Estado, adjuntos a sus escritos principales (</w:t>
      </w:r>
      <w:r w:rsidR="00224537" w:rsidRPr="00224537">
        <w:rPr>
          <w:rFonts w:ascii="Verdana" w:hAnsi="Verdana"/>
          <w:i/>
          <w:sz w:val="20"/>
          <w:szCs w:val="20"/>
        </w:rPr>
        <w:t>supra</w:t>
      </w:r>
      <w:r w:rsidRPr="002F613F">
        <w:rPr>
          <w:rFonts w:ascii="Verdana" w:hAnsi="Verdana"/>
          <w:sz w:val="20"/>
          <w:szCs w:val="20"/>
        </w:rPr>
        <w:t xml:space="preserve"> </w:t>
      </w:r>
      <w:proofErr w:type="spellStart"/>
      <w:r w:rsidRPr="002F613F">
        <w:rPr>
          <w:rFonts w:ascii="Verdana" w:hAnsi="Verdana"/>
          <w:sz w:val="20"/>
          <w:szCs w:val="20"/>
        </w:rPr>
        <w:t>párrs</w:t>
      </w:r>
      <w:proofErr w:type="spellEnd"/>
      <w:r w:rsidRPr="002F613F">
        <w:rPr>
          <w:rFonts w:ascii="Verdana" w:hAnsi="Verdana"/>
          <w:sz w:val="20"/>
          <w:szCs w:val="20"/>
        </w:rPr>
        <w:t>.</w:t>
      </w:r>
      <w:r w:rsidR="002A3B2C">
        <w:rPr>
          <w:rFonts w:ascii="Verdana" w:hAnsi="Verdana"/>
          <w:sz w:val="20"/>
          <w:szCs w:val="20"/>
        </w:rPr>
        <w:t xml:space="preserve"> 6 y 7</w:t>
      </w:r>
      <w:r w:rsidRPr="002F613F">
        <w:rPr>
          <w:rFonts w:ascii="Verdana" w:hAnsi="Verdana"/>
          <w:sz w:val="20"/>
          <w:szCs w:val="20"/>
        </w:rPr>
        <w:t xml:space="preserve">). Además, la Corte recibió la declaración rendida ante fedatario público por: Carlos Alberto </w:t>
      </w:r>
      <w:proofErr w:type="spellStart"/>
      <w:r w:rsidRPr="002F613F">
        <w:rPr>
          <w:rFonts w:ascii="Verdana" w:hAnsi="Verdana"/>
          <w:sz w:val="20"/>
          <w:szCs w:val="20"/>
        </w:rPr>
        <w:t>Jibaja</w:t>
      </w:r>
      <w:proofErr w:type="spellEnd"/>
      <w:r w:rsidRPr="002F613F">
        <w:rPr>
          <w:rFonts w:ascii="Verdana" w:hAnsi="Verdana"/>
          <w:sz w:val="20"/>
          <w:szCs w:val="20"/>
        </w:rPr>
        <w:t xml:space="preserve"> </w:t>
      </w:r>
      <w:r w:rsidRPr="0076651B">
        <w:rPr>
          <w:rFonts w:ascii="Verdana" w:hAnsi="Verdana"/>
          <w:sz w:val="20"/>
          <w:szCs w:val="20"/>
        </w:rPr>
        <w:t xml:space="preserve">Zárate y Omar </w:t>
      </w:r>
      <w:proofErr w:type="spellStart"/>
      <w:r w:rsidRPr="0076651B">
        <w:rPr>
          <w:rFonts w:ascii="Verdana" w:hAnsi="Verdana"/>
          <w:sz w:val="20"/>
          <w:szCs w:val="20"/>
        </w:rPr>
        <w:t>Sar</w:t>
      </w:r>
      <w:proofErr w:type="spellEnd"/>
      <w:r w:rsidRPr="0076651B">
        <w:rPr>
          <w:rFonts w:ascii="Verdana" w:hAnsi="Verdana"/>
          <w:sz w:val="20"/>
          <w:szCs w:val="20"/>
        </w:rPr>
        <w:t xml:space="preserve"> Suárez, propuestos por los representantes y el Estado, respectivamente.</w:t>
      </w:r>
      <w:r w:rsidRPr="002F613F">
        <w:rPr>
          <w:rFonts w:ascii="Verdana" w:hAnsi="Verdana"/>
          <w:sz w:val="20"/>
          <w:szCs w:val="20"/>
        </w:rPr>
        <w:t xml:space="preserve"> En cuanto a la prueba rendida en audiencia pública, la Corte escuchó las declaraciones de la presunta </w:t>
      </w:r>
      <w:r w:rsidRPr="002F613F">
        <w:rPr>
          <w:rFonts w:ascii="Verdana" w:hAnsi="Verdana"/>
          <w:sz w:val="20"/>
          <w:szCs w:val="20"/>
        </w:rPr>
        <w:lastRenderedPageBreak/>
        <w:t xml:space="preserve">víctima </w:t>
      </w:r>
      <w:r w:rsidRPr="002F613F">
        <w:rPr>
          <w:rFonts w:ascii="Verdana" w:hAnsi="Verdana"/>
          <w:sz w:val="20"/>
          <w:szCs w:val="20"/>
          <w:lang w:val="es-ES"/>
        </w:rPr>
        <w:t>el señor Lagos del Campo</w:t>
      </w:r>
      <w:r w:rsidRPr="002F613F">
        <w:rPr>
          <w:rFonts w:ascii="Verdana" w:hAnsi="Verdana"/>
          <w:sz w:val="20"/>
          <w:szCs w:val="20"/>
        </w:rPr>
        <w:t xml:space="preserve">; así como los peritajes de Damián </w:t>
      </w:r>
      <w:proofErr w:type="spellStart"/>
      <w:r w:rsidRPr="002F613F">
        <w:rPr>
          <w:rFonts w:ascii="Verdana" w:hAnsi="Verdana"/>
          <w:sz w:val="20"/>
          <w:szCs w:val="20"/>
        </w:rPr>
        <w:t>Loreti</w:t>
      </w:r>
      <w:proofErr w:type="spellEnd"/>
      <w:r w:rsidRPr="002F613F">
        <w:rPr>
          <w:rFonts w:ascii="Verdana" w:hAnsi="Verdana"/>
          <w:sz w:val="20"/>
          <w:szCs w:val="20"/>
        </w:rPr>
        <w:t xml:space="preserve"> y C</w:t>
      </w:r>
      <w:r w:rsidR="002A3B2C">
        <w:rPr>
          <w:rFonts w:ascii="Verdana" w:hAnsi="Verdana"/>
          <w:sz w:val="20"/>
          <w:szCs w:val="20"/>
        </w:rPr>
        <w:t>é</w:t>
      </w:r>
      <w:r w:rsidRPr="002F613F">
        <w:rPr>
          <w:rFonts w:ascii="Verdana" w:hAnsi="Verdana"/>
          <w:sz w:val="20"/>
          <w:szCs w:val="20"/>
        </w:rPr>
        <w:t xml:space="preserve">sar Gonzáles </w:t>
      </w:r>
      <w:proofErr w:type="spellStart"/>
      <w:r w:rsidRPr="002F613F">
        <w:rPr>
          <w:rFonts w:ascii="Verdana" w:hAnsi="Verdana"/>
          <w:sz w:val="20"/>
          <w:szCs w:val="20"/>
        </w:rPr>
        <w:t>Hunt</w:t>
      </w:r>
      <w:proofErr w:type="spellEnd"/>
      <w:r w:rsidRPr="002F613F">
        <w:rPr>
          <w:rFonts w:ascii="Verdana" w:hAnsi="Verdana"/>
          <w:sz w:val="20"/>
          <w:szCs w:val="20"/>
        </w:rPr>
        <w:t>, propuestos por la Comisión y el Estado, respectivamente</w:t>
      </w:r>
      <w:r w:rsidRPr="002F613F">
        <w:rPr>
          <w:rStyle w:val="FootnoteReference"/>
          <w:szCs w:val="20"/>
        </w:rPr>
        <w:footnoteReference w:id="23"/>
      </w:r>
      <w:r w:rsidRPr="002F613F">
        <w:rPr>
          <w:rFonts w:ascii="Verdana" w:hAnsi="Verdana"/>
          <w:sz w:val="20"/>
          <w:szCs w:val="20"/>
        </w:rPr>
        <w:t>.</w:t>
      </w:r>
    </w:p>
    <w:p w14:paraId="6CDD7FF7" w14:textId="77777777" w:rsidR="008C33CE" w:rsidRPr="007A52C1" w:rsidRDefault="008C33CE" w:rsidP="008C33CE">
      <w:pPr>
        <w:jc w:val="both"/>
        <w:rPr>
          <w:rFonts w:ascii="Verdana" w:hAnsi="Verdana"/>
          <w:sz w:val="20"/>
          <w:szCs w:val="20"/>
          <w:highlight w:val="yellow"/>
        </w:rPr>
      </w:pPr>
    </w:p>
    <w:p w14:paraId="08830F8F" w14:textId="77777777" w:rsidR="008C33CE" w:rsidRPr="006F79F4" w:rsidRDefault="008C33CE" w:rsidP="00E66DD7">
      <w:pPr>
        <w:pStyle w:val="Heading2"/>
        <w:numPr>
          <w:ilvl w:val="0"/>
          <w:numId w:val="19"/>
        </w:numPr>
        <w:rPr>
          <w:rFonts w:eastAsia="MS Gothic"/>
          <w:i/>
          <w:lang w:val="es-CR"/>
        </w:rPr>
      </w:pPr>
      <w:bookmarkStart w:id="13" w:name="_Toc498333478"/>
      <w:r w:rsidRPr="006F79F4">
        <w:rPr>
          <w:rFonts w:eastAsia="MS Gothic"/>
          <w:i/>
          <w:lang w:val="es-CR"/>
        </w:rPr>
        <w:t>Admisión de la prueba</w:t>
      </w:r>
      <w:bookmarkEnd w:id="13"/>
    </w:p>
    <w:p w14:paraId="26F898EC" w14:textId="77777777" w:rsidR="008C33CE" w:rsidRDefault="008C33CE" w:rsidP="008C33CE">
      <w:pPr>
        <w:pStyle w:val="Heading3"/>
        <w:jc w:val="both"/>
        <w:rPr>
          <w:rFonts w:eastAsia="Calibri" w:cs="Times New Roman"/>
          <w:b w:val="0"/>
          <w:bCs w:val="0"/>
          <w:szCs w:val="20"/>
        </w:rPr>
      </w:pPr>
    </w:p>
    <w:p w14:paraId="2A0F6383" w14:textId="77777777" w:rsidR="008C33CE" w:rsidRPr="002F613F" w:rsidRDefault="008C33CE" w:rsidP="00E66DD7">
      <w:pPr>
        <w:pStyle w:val="Heading3"/>
        <w:numPr>
          <w:ilvl w:val="0"/>
          <w:numId w:val="20"/>
        </w:numPr>
        <w:jc w:val="both"/>
        <w:rPr>
          <w:i/>
          <w:strike/>
          <w:szCs w:val="20"/>
        </w:rPr>
      </w:pPr>
      <w:bookmarkStart w:id="14" w:name="_Toc498333479"/>
      <w:r w:rsidRPr="002F613F">
        <w:rPr>
          <w:i/>
          <w:szCs w:val="20"/>
        </w:rPr>
        <w:t>Admisión de la prueba documental</w:t>
      </w:r>
      <w:bookmarkEnd w:id="14"/>
    </w:p>
    <w:p w14:paraId="2B6960E6" w14:textId="77777777" w:rsidR="008C33CE" w:rsidRPr="00D46C16" w:rsidRDefault="008C33CE" w:rsidP="008C33CE">
      <w:pPr>
        <w:pStyle w:val="ListParagraph"/>
        <w:ind w:left="0"/>
        <w:jc w:val="both"/>
        <w:rPr>
          <w:rFonts w:ascii="Verdana" w:hAnsi="Verdana"/>
          <w:sz w:val="20"/>
          <w:szCs w:val="20"/>
        </w:rPr>
      </w:pPr>
    </w:p>
    <w:p w14:paraId="04B715E6" w14:textId="090429D0" w:rsidR="008C33CE" w:rsidRPr="003500A9" w:rsidRDefault="008C33CE" w:rsidP="00E66DD7">
      <w:pPr>
        <w:pStyle w:val="ListParagraph"/>
        <w:numPr>
          <w:ilvl w:val="0"/>
          <w:numId w:val="1"/>
        </w:numPr>
        <w:tabs>
          <w:tab w:val="left" w:pos="168"/>
          <w:tab w:val="left" w:pos="851"/>
          <w:tab w:val="left" w:pos="2618"/>
          <w:tab w:val="left" w:pos="4536"/>
        </w:tabs>
        <w:ind w:left="0" w:firstLine="0"/>
        <w:jc w:val="both"/>
        <w:rPr>
          <w:rFonts w:ascii="Verdana" w:hAnsi="Verdana"/>
          <w:sz w:val="20"/>
          <w:szCs w:val="20"/>
        </w:rPr>
      </w:pPr>
      <w:r w:rsidRPr="00D46C16">
        <w:rPr>
          <w:rFonts w:ascii="Verdana" w:hAnsi="Verdana"/>
          <w:sz w:val="20"/>
          <w:szCs w:val="20"/>
        </w:rPr>
        <w:t xml:space="preserve">En el presente caso, como en otros, la Corte admite aquellos documentos presentados por las partes y la Comisión </w:t>
      </w:r>
      <w:r w:rsidRPr="006D61BA">
        <w:rPr>
          <w:rFonts w:ascii="Verdana" w:hAnsi="Verdana"/>
          <w:sz w:val="20"/>
          <w:szCs w:val="20"/>
        </w:rPr>
        <w:t>en la debida oportunidad procesal o solicitados como prueba para mejor resolver, que no fueron c</w:t>
      </w:r>
      <w:r w:rsidRPr="000D5308">
        <w:rPr>
          <w:rFonts w:ascii="Verdana" w:hAnsi="Verdana"/>
          <w:sz w:val="20"/>
          <w:szCs w:val="20"/>
        </w:rPr>
        <w:t>ontrovertidos ni objetados, ni cuya autenticidad fue puesta en duda</w:t>
      </w:r>
      <w:r w:rsidRPr="006D61BA">
        <w:rPr>
          <w:rFonts w:ascii="Verdana" w:hAnsi="Verdana"/>
          <w:sz w:val="20"/>
          <w:szCs w:val="20"/>
          <w:vertAlign w:val="superscript"/>
        </w:rPr>
        <w:footnoteReference w:id="24"/>
      </w:r>
      <w:r w:rsidRPr="006D61BA">
        <w:rPr>
          <w:rFonts w:ascii="Verdana" w:hAnsi="Verdana"/>
          <w:sz w:val="20"/>
          <w:szCs w:val="20"/>
        </w:rPr>
        <w:t>. Los documentos solicitados por la Corte, que fueron aportados por las partes con posterioridad a la audiencia pública, son incorporados al acervo probatorio en aplicación del artículo 58</w:t>
      </w:r>
      <w:r w:rsidRPr="000D5308">
        <w:rPr>
          <w:rFonts w:ascii="Verdana" w:hAnsi="Verdana"/>
          <w:sz w:val="20"/>
          <w:szCs w:val="20"/>
        </w:rPr>
        <w:t xml:space="preserve"> del Reglamento </w:t>
      </w:r>
      <w:r w:rsidRPr="005D0F69">
        <w:rPr>
          <w:rFonts w:ascii="Verdana" w:hAnsi="Verdana"/>
          <w:sz w:val="20"/>
          <w:szCs w:val="20"/>
        </w:rPr>
        <w:t>(</w:t>
      </w:r>
      <w:r w:rsidR="00224537" w:rsidRPr="00224537">
        <w:rPr>
          <w:rFonts w:ascii="Verdana" w:hAnsi="Verdana"/>
          <w:i/>
          <w:sz w:val="20"/>
          <w:szCs w:val="20"/>
        </w:rPr>
        <w:t>supra</w:t>
      </w:r>
      <w:r w:rsidRPr="005D0F69">
        <w:rPr>
          <w:rFonts w:ascii="Verdana" w:hAnsi="Verdana"/>
          <w:sz w:val="20"/>
          <w:szCs w:val="20"/>
        </w:rPr>
        <w:t xml:space="preserve"> párr. </w:t>
      </w:r>
      <w:r w:rsidR="00EC6021">
        <w:rPr>
          <w:rFonts w:ascii="Verdana" w:hAnsi="Verdana"/>
          <w:sz w:val="20"/>
          <w:szCs w:val="20"/>
        </w:rPr>
        <w:t>10</w:t>
      </w:r>
      <w:r w:rsidRPr="005D0F69">
        <w:rPr>
          <w:rFonts w:ascii="Verdana" w:hAnsi="Verdana"/>
          <w:sz w:val="20"/>
          <w:szCs w:val="20"/>
        </w:rPr>
        <w:t>).</w:t>
      </w:r>
      <w:r w:rsidRPr="003500A9">
        <w:rPr>
          <w:rFonts w:ascii="Verdana" w:hAnsi="Verdana"/>
          <w:sz w:val="20"/>
          <w:szCs w:val="20"/>
        </w:rPr>
        <w:t xml:space="preserve"> </w:t>
      </w:r>
    </w:p>
    <w:p w14:paraId="44302028" w14:textId="77777777" w:rsidR="008C33CE" w:rsidRDefault="008C33CE" w:rsidP="008C33CE">
      <w:pPr>
        <w:pStyle w:val="ListParagraph"/>
        <w:ind w:left="0"/>
        <w:jc w:val="both"/>
        <w:rPr>
          <w:rFonts w:ascii="Verdana" w:hAnsi="Verdana"/>
          <w:sz w:val="20"/>
          <w:szCs w:val="20"/>
        </w:rPr>
      </w:pPr>
    </w:p>
    <w:p w14:paraId="054E84BD" w14:textId="00CFC9B4" w:rsidR="008C33CE" w:rsidRPr="007C6554" w:rsidRDefault="008C33CE" w:rsidP="00E66DD7">
      <w:pPr>
        <w:pStyle w:val="ListParagraph"/>
        <w:numPr>
          <w:ilvl w:val="0"/>
          <w:numId w:val="1"/>
        </w:numPr>
        <w:ind w:left="0" w:firstLine="0"/>
        <w:jc w:val="both"/>
        <w:rPr>
          <w:rFonts w:ascii="Verdana" w:hAnsi="Verdana"/>
          <w:b/>
          <w:sz w:val="20"/>
          <w:szCs w:val="20"/>
        </w:rPr>
      </w:pPr>
      <w:r>
        <w:rPr>
          <w:rFonts w:ascii="Verdana" w:hAnsi="Verdana"/>
          <w:sz w:val="20"/>
          <w:szCs w:val="20"/>
        </w:rPr>
        <w:t>Por su parte, e</w:t>
      </w:r>
      <w:r w:rsidRPr="0076651B">
        <w:rPr>
          <w:rFonts w:ascii="Verdana" w:hAnsi="Verdana"/>
          <w:sz w:val="20"/>
          <w:szCs w:val="20"/>
        </w:rPr>
        <w:t xml:space="preserve">l 20 de marzo de 2017 los representantes presentaron observaciones a los anexos </w:t>
      </w:r>
      <w:r>
        <w:rPr>
          <w:rFonts w:ascii="Verdana" w:hAnsi="Verdana"/>
          <w:sz w:val="20"/>
          <w:szCs w:val="20"/>
        </w:rPr>
        <w:t>remitidos</w:t>
      </w:r>
      <w:r w:rsidRPr="0076651B">
        <w:rPr>
          <w:rFonts w:ascii="Verdana" w:hAnsi="Verdana"/>
          <w:sz w:val="20"/>
          <w:szCs w:val="20"/>
        </w:rPr>
        <w:t xml:space="preserve"> por el Estado junto a sus alegatos finales escritos</w:t>
      </w:r>
      <w:r>
        <w:rPr>
          <w:rFonts w:ascii="Verdana" w:hAnsi="Verdana"/>
          <w:sz w:val="20"/>
          <w:szCs w:val="20"/>
        </w:rPr>
        <w:t xml:space="preserve">. </w:t>
      </w:r>
      <w:r w:rsidRPr="0076651B">
        <w:rPr>
          <w:rFonts w:ascii="Verdana" w:hAnsi="Verdana"/>
          <w:sz w:val="20"/>
          <w:szCs w:val="20"/>
        </w:rPr>
        <w:t>En cuanto a documentos incompletos o ilegibles, la Corte considera que ello no afecta su admisibilidad</w:t>
      </w:r>
      <w:r w:rsidR="001819F5">
        <w:rPr>
          <w:rFonts w:ascii="Verdana" w:hAnsi="Verdana"/>
          <w:sz w:val="20"/>
          <w:szCs w:val="20"/>
        </w:rPr>
        <w:t>,</w:t>
      </w:r>
      <w:r w:rsidRPr="0076651B">
        <w:rPr>
          <w:rFonts w:ascii="Verdana" w:hAnsi="Verdana"/>
          <w:sz w:val="20"/>
          <w:szCs w:val="20"/>
        </w:rPr>
        <w:t xml:space="preserve"> aunque si puede afectar su peso probatorio. Sin embargo, la Corte considera que los anexos mencionados responden a la prueba para mejor resolver solicitada en el transcurso de la audiencia pública, por lo que se admiten en virtud del artículo 58.</w:t>
      </w:r>
      <w:r>
        <w:rPr>
          <w:rFonts w:ascii="Verdana" w:hAnsi="Verdana"/>
          <w:sz w:val="20"/>
          <w:szCs w:val="20"/>
        </w:rPr>
        <w:t xml:space="preserve"> </w:t>
      </w:r>
      <w:r w:rsidRPr="0076651B">
        <w:rPr>
          <w:rFonts w:ascii="Verdana" w:hAnsi="Verdana"/>
          <w:sz w:val="20"/>
          <w:szCs w:val="20"/>
        </w:rPr>
        <w:t>b) del Reglamento.</w:t>
      </w:r>
    </w:p>
    <w:p w14:paraId="3046F0D9" w14:textId="77777777" w:rsidR="008C33CE" w:rsidRPr="007A52C1" w:rsidRDefault="008C33CE" w:rsidP="008C33CE">
      <w:pPr>
        <w:jc w:val="both"/>
        <w:rPr>
          <w:rFonts w:ascii="Verdana" w:hAnsi="Verdana"/>
          <w:sz w:val="20"/>
          <w:szCs w:val="20"/>
          <w:highlight w:val="yellow"/>
          <w:u w:val="single"/>
        </w:rPr>
      </w:pPr>
    </w:p>
    <w:p w14:paraId="2C92726D" w14:textId="77777777" w:rsidR="008C33CE" w:rsidRPr="00375165" w:rsidRDefault="008C33CE" w:rsidP="00E66DD7">
      <w:pPr>
        <w:pStyle w:val="Heading3"/>
        <w:numPr>
          <w:ilvl w:val="0"/>
          <w:numId w:val="20"/>
        </w:numPr>
        <w:jc w:val="both"/>
        <w:rPr>
          <w:i/>
          <w:szCs w:val="20"/>
        </w:rPr>
      </w:pPr>
      <w:bookmarkStart w:id="15" w:name="_Toc498333480"/>
      <w:r w:rsidRPr="00375165">
        <w:rPr>
          <w:i/>
          <w:szCs w:val="20"/>
        </w:rPr>
        <w:t>Admisión de la prueba testimonial y pericial</w:t>
      </w:r>
      <w:bookmarkEnd w:id="15"/>
    </w:p>
    <w:p w14:paraId="093C7EEA" w14:textId="77777777" w:rsidR="008C33CE" w:rsidRPr="00375165" w:rsidRDefault="008C33CE" w:rsidP="008C33CE">
      <w:pPr>
        <w:jc w:val="both"/>
        <w:rPr>
          <w:rFonts w:ascii="Verdana" w:hAnsi="Verdana"/>
          <w:sz w:val="20"/>
          <w:szCs w:val="20"/>
        </w:rPr>
      </w:pPr>
    </w:p>
    <w:p w14:paraId="70DD9D23" w14:textId="383B7497" w:rsidR="008C33CE" w:rsidRPr="0076651B" w:rsidRDefault="008C33CE" w:rsidP="00E66DD7">
      <w:pPr>
        <w:pStyle w:val="ListParagraph"/>
        <w:numPr>
          <w:ilvl w:val="0"/>
          <w:numId w:val="1"/>
        </w:numPr>
        <w:ind w:left="0" w:firstLine="0"/>
        <w:jc w:val="both"/>
        <w:rPr>
          <w:rFonts w:ascii="Verdana" w:hAnsi="Verdana"/>
          <w:sz w:val="20"/>
          <w:szCs w:val="20"/>
        </w:rPr>
      </w:pPr>
      <w:r w:rsidRPr="0076651B">
        <w:rPr>
          <w:rFonts w:ascii="Verdana" w:eastAsia="Times New Roman" w:hAnsi="Verdana"/>
          <w:sz w:val="20"/>
          <w:szCs w:val="20"/>
        </w:rPr>
        <w:t xml:space="preserve">La Corte estima pertinente admitir </w:t>
      </w:r>
      <w:r w:rsidRPr="0076651B">
        <w:rPr>
          <w:rFonts w:ascii="Verdana" w:hAnsi="Verdana"/>
          <w:sz w:val="20"/>
          <w:szCs w:val="20"/>
        </w:rPr>
        <w:t xml:space="preserve">las declaraciones rendidas durante la audiencia pública y ante fedatario público, </w:t>
      </w:r>
      <w:r w:rsidRPr="0076651B">
        <w:rPr>
          <w:rFonts w:ascii="Verdana" w:eastAsia="Times New Roman" w:hAnsi="Verdana"/>
          <w:sz w:val="20"/>
          <w:szCs w:val="20"/>
        </w:rPr>
        <w:t>en cuanto se ajusten al objeto definido por el Presidente en la Resolución que ordenó recibirlas y al objeto del presente caso (</w:t>
      </w:r>
      <w:r w:rsidR="00224537" w:rsidRPr="00224537">
        <w:rPr>
          <w:rFonts w:ascii="Verdana" w:eastAsia="Times New Roman" w:hAnsi="Verdana"/>
          <w:i/>
          <w:sz w:val="20"/>
          <w:szCs w:val="20"/>
        </w:rPr>
        <w:t>supra</w:t>
      </w:r>
      <w:r w:rsidRPr="0076651B">
        <w:rPr>
          <w:rFonts w:ascii="Verdana" w:eastAsia="Times New Roman" w:hAnsi="Verdana"/>
          <w:sz w:val="20"/>
          <w:szCs w:val="20"/>
        </w:rPr>
        <w:t xml:space="preserve"> párr.</w:t>
      </w:r>
      <w:r w:rsidR="001C0F23">
        <w:rPr>
          <w:rFonts w:ascii="Verdana" w:eastAsia="Times New Roman" w:hAnsi="Verdana"/>
          <w:sz w:val="20"/>
          <w:szCs w:val="20"/>
        </w:rPr>
        <w:t xml:space="preserve"> </w:t>
      </w:r>
      <w:r w:rsidR="00EC6021">
        <w:rPr>
          <w:rFonts w:ascii="Verdana" w:eastAsia="Times New Roman" w:hAnsi="Verdana"/>
          <w:sz w:val="20"/>
          <w:szCs w:val="20"/>
        </w:rPr>
        <w:t>10</w:t>
      </w:r>
      <w:r w:rsidRPr="0076651B">
        <w:rPr>
          <w:rFonts w:ascii="Verdana" w:eastAsia="Times New Roman" w:hAnsi="Verdana"/>
          <w:sz w:val="20"/>
          <w:szCs w:val="20"/>
        </w:rPr>
        <w:t>).</w:t>
      </w:r>
    </w:p>
    <w:p w14:paraId="00E24885" w14:textId="77777777" w:rsidR="008C33CE" w:rsidRPr="0076651B" w:rsidRDefault="008C33CE" w:rsidP="008C33CE">
      <w:pPr>
        <w:pStyle w:val="ListParagraph"/>
        <w:ind w:left="0"/>
        <w:jc w:val="both"/>
        <w:rPr>
          <w:rFonts w:ascii="Verdana" w:hAnsi="Verdana"/>
          <w:sz w:val="20"/>
          <w:szCs w:val="20"/>
        </w:rPr>
      </w:pPr>
    </w:p>
    <w:p w14:paraId="0404D316" w14:textId="7FC4C4DC" w:rsidR="008C33CE" w:rsidRPr="0076651B" w:rsidRDefault="008C33CE" w:rsidP="00E66DD7">
      <w:pPr>
        <w:pStyle w:val="ListParagraph"/>
        <w:numPr>
          <w:ilvl w:val="0"/>
          <w:numId w:val="1"/>
        </w:numPr>
        <w:ind w:left="0" w:firstLine="0"/>
        <w:jc w:val="both"/>
        <w:rPr>
          <w:rFonts w:ascii="Verdana" w:hAnsi="Verdana"/>
          <w:sz w:val="20"/>
          <w:szCs w:val="20"/>
          <w:lang w:val="es-MX"/>
        </w:rPr>
      </w:pPr>
      <w:r w:rsidRPr="0076651B">
        <w:rPr>
          <w:rFonts w:ascii="Verdana" w:hAnsi="Verdana"/>
          <w:sz w:val="20"/>
          <w:szCs w:val="20"/>
        </w:rPr>
        <w:t xml:space="preserve">Mediante comunicación de 30 de enero de 2017 el Estado desistió de la presentación de la declaración pericial del señor Omar </w:t>
      </w:r>
      <w:proofErr w:type="spellStart"/>
      <w:r w:rsidRPr="0076651B">
        <w:rPr>
          <w:rFonts w:ascii="Verdana" w:hAnsi="Verdana"/>
          <w:sz w:val="20"/>
          <w:szCs w:val="20"/>
        </w:rPr>
        <w:t>Sar</w:t>
      </w:r>
      <w:proofErr w:type="spellEnd"/>
      <w:r w:rsidRPr="0076651B">
        <w:rPr>
          <w:rFonts w:ascii="Verdana" w:hAnsi="Verdana"/>
          <w:sz w:val="20"/>
          <w:szCs w:val="20"/>
        </w:rPr>
        <w:t xml:space="preserve"> Suárez</w:t>
      </w:r>
      <w:r w:rsidR="001C0F23" w:rsidRPr="00333304">
        <w:rPr>
          <w:rFonts w:ascii="Verdana" w:hAnsi="Verdana"/>
          <w:sz w:val="20"/>
          <w:szCs w:val="20"/>
        </w:rPr>
        <w:t>.</w:t>
      </w:r>
      <w:r w:rsidRPr="0076651B">
        <w:rPr>
          <w:rFonts w:ascii="Verdana" w:hAnsi="Verdana"/>
          <w:sz w:val="20"/>
          <w:szCs w:val="20"/>
        </w:rPr>
        <w:t xml:space="preserve"> Dicho desistimiento fue objetado por los representantes el 7 de febrero de 2017 durante la audiencia pública y mediante comunicación de 13 de febrero de 2017</w:t>
      </w:r>
      <w:r w:rsidR="001C0F23">
        <w:rPr>
          <w:rFonts w:ascii="Verdana" w:hAnsi="Verdana"/>
          <w:sz w:val="20"/>
          <w:szCs w:val="20"/>
        </w:rPr>
        <w:t>.</w:t>
      </w:r>
      <w:r w:rsidRPr="0076651B">
        <w:rPr>
          <w:rFonts w:ascii="Verdana" w:hAnsi="Verdana"/>
          <w:sz w:val="20"/>
          <w:szCs w:val="20"/>
        </w:rPr>
        <w:t xml:space="preserve"> </w:t>
      </w:r>
      <w:r>
        <w:rPr>
          <w:rFonts w:ascii="Verdana" w:hAnsi="Verdana"/>
          <w:sz w:val="20"/>
          <w:szCs w:val="20"/>
        </w:rPr>
        <w:t>Al respecto, l</w:t>
      </w:r>
      <w:r w:rsidRPr="0076651B">
        <w:rPr>
          <w:rFonts w:ascii="Verdana" w:hAnsi="Verdana"/>
          <w:sz w:val="20"/>
          <w:szCs w:val="20"/>
        </w:rPr>
        <w:t>a</w:t>
      </w:r>
      <w:r w:rsidRPr="0076651B">
        <w:rPr>
          <w:rFonts w:ascii="Verdana" w:hAnsi="Verdana"/>
          <w:sz w:val="20"/>
          <w:szCs w:val="20"/>
          <w:lang w:val="es-MX"/>
        </w:rPr>
        <w:t xml:space="preserve"> representación de la víctima objetó los motivos de dicho desistimiento e informó que el mismo ya había sido realizado</w:t>
      </w:r>
      <w:r>
        <w:rPr>
          <w:rFonts w:ascii="Verdana" w:hAnsi="Verdana"/>
          <w:sz w:val="20"/>
          <w:szCs w:val="20"/>
          <w:lang w:val="es-CR"/>
        </w:rPr>
        <w:t>, p</w:t>
      </w:r>
      <w:r w:rsidRPr="0076651B">
        <w:rPr>
          <w:rFonts w:ascii="Verdana" w:hAnsi="Verdana"/>
          <w:sz w:val="20"/>
          <w:szCs w:val="20"/>
          <w:lang w:val="es-CR"/>
        </w:rPr>
        <w:t xml:space="preserve">or lo que solicitó el peritaje y las respuestas a sus preguntas y remitieron fotografías en las que el señor Omar </w:t>
      </w:r>
      <w:proofErr w:type="spellStart"/>
      <w:r w:rsidRPr="0076651B">
        <w:rPr>
          <w:rFonts w:ascii="Verdana" w:hAnsi="Verdana"/>
          <w:sz w:val="20"/>
          <w:szCs w:val="20"/>
          <w:lang w:val="es-CR"/>
        </w:rPr>
        <w:t>Sar</w:t>
      </w:r>
      <w:proofErr w:type="spellEnd"/>
      <w:r w:rsidRPr="0076651B">
        <w:rPr>
          <w:rFonts w:ascii="Verdana" w:hAnsi="Verdana"/>
          <w:sz w:val="20"/>
          <w:szCs w:val="20"/>
          <w:lang w:val="es-CR"/>
        </w:rPr>
        <w:t xml:space="preserve"> Suárez </w:t>
      </w:r>
      <w:r>
        <w:rPr>
          <w:rFonts w:ascii="Verdana" w:hAnsi="Verdana"/>
          <w:sz w:val="20"/>
          <w:szCs w:val="20"/>
          <w:lang w:val="es-CR"/>
        </w:rPr>
        <w:t>aparentemente habría rendido el mismo ante notario público.</w:t>
      </w:r>
    </w:p>
    <w:p w14:paraId="4822B262" w14:textId="77777777" w:rsidR="008C33CE" w:rsidRPr="0076651B" w:rsidRDefault="008C33CE" w:rsidP="008C33CE">
      <w:pPr>
        <w:pStyle w:val="ListParagraph"/>
        <w:ind w:left="0"/>
        <w:jc w:val="both"/>
        <w:rPr>
          <w:rFonts w:ascii="Verdana" w:hAnsi="Verdana"/>
          <w:sz w:val="20"/>
          <w:szCs w:val="20"/>
          <w:lang w:val="es-MX"/>
        </w:rPr>
      </w:pPr>
    </w:p>
    <w:p w14:paraId="76223234" w14:textId="3AC123E2" w:rsidR="008C33CE" w:rsidRPr="0076651B" w:rsidRDefault="008C33CE" w:rsidP="00E66DD7">
      <w:pPr>
        <w:pStyle w:val="ListParagraph"/>
        <w:numPr>
          <w:ilvl w:val="0"/>
          <w:numId w:val="1"/>
        </w:numPr>
        <w:ind w:left="0" w:firstLine="0"/>
        <w:jc w:val="both"/>
        <w:rPr>
          <w:rFonts w:ascii="Verdana" w:hAnsi="Verdana"/>
          <w:sz w:val="20"/>
          <w:szCs w:val="20"/>
        </w:rPr>
      </w:pPr>
      <w:r w:rsidRPr="0076651B">
        <w:rPr>
          <w:rFonts w:ascii="Verdana" w:hAnsi="Verdana"/>
          <w:sz w:val="20"/>
          <w:szCs w:val="20"/>
        </w:rPr>
        <w:t xml:space="preserve">En vista de lo anterior, mediante nota de </w:t>
      </w:r>
      <w:r>
        <w:rPr>
          <w:rFonts w:ascii="Verdana" w:hAnsi="Verdana"/>
          <w:sz w:val="20"/>
          <w:szCs w:val="20"/>
        </w:rPr>
        <w:t>S</w:t>
      </w:r>
      <w:r w:rsidRPr="0076651B">
        <w:rPr>
          <w:rFonts w:ascii="Verdana" w:hAnsi="Verdana"/>
          <w:sz w:val="20"/>
          <w:szCs w:val="20"/>
        </w:rPr>
        <w:t xml:space="preserve">ecretaría de 17 de febrero de 2017, el </w:t>
      </w:r>
      <w:r w:rsidR="000D5308">
        <w:rPr>
          <w:rFonts w:ascii="Verdana" w:hAnsi="Verdana"/>
          <w:sz w:val="20"/>
          <w:szCs w:val="20"/>
        </w:rPr>
        <w:t>P</w:t>
      </w:r>
      <w:r w:rsidRPr="0076651B">
        <w:rPr>
          <w:rFonts w:ascii="Verdana" w:hAnsi="Verdana"/>
          <w:sz w:val="20"/>
          <w:szCs w:val="20"/>
        </w:rPr>
        <w:t>leno de la Corte determinó que</w:t>
      </w:r>
      <w:r>
        <w:rPr>
          <w:rFonts w:ascii="Verdana" w:hAnsi="Verdana"/>
          <w:sz w:val="20"/>
          <w:szCs w:val="20"/>
        </w:rPr>
        <w:t>,</w:t>
      </w:r>
      <w:r w:rsidRPr="0076651B">
        <w:rPr>
          <w:rFonts w:ascii="Verdana" w:hAnsi="Verdana"/>
          <w:sz w:val="20"/>
          <w:szCs w:val="20"/>
        </w:rPr>
        <w:t xml:space="preserve"> de conformidad con el artículo 46.1 del Reglamento, </w:t>
      </w:r>
      <w:r w:rsidRPr="0076651B">
        <w:rPr>
          <w:rFonts w:ascii="Verdana" w:hAnsi="Verdana"/>
          <w:sz w:val="20"/>
          <w:szCs w:val="20"/>
          <w:lang w:val="es-CR"/>
        </w:rPr>
        <w:t>el momento procesal oportuno para que la Comisión y las partes confirmen o desistan del ofrecimiento de las declaraciones realizadas en sus respectivos escritos es en la lista definitiva solicitada por el Tribunal, por lo que una vez convocado un peritaje mediante Resolución de Presidente y, más aún, cuando este haya sido practicado, resulta de mayor relevancia que sea integrado al</w:t>
      </w:r>
      <w:r w:rsidRPr="0076651B">
        <w:rPr>
          <w:rFonts w:ascii="Verdana" w:hAnsi="Verdana"/>
          <w:sz w:val="20"/>
          <w:szCs w:val="20"/>
        </w:rPr>
        <w:t xml:space="preserve"> </w:t>
      </w:r>
      <w:r w:rsidRPr="0076651B">
        <w:rPr>
          <w:rFonts w:ascii="Verdana" w:hAnsi="Verdana"/>
          <w:sz w:val="20"/>
          <w:szCs w:val="20"/>
          <w:lang w:val="es-CR"/>
        </w:rPr>
        <w:t xml:space="preserve">proceso. Por lo anterior, de conformidad con los artículos 31, 46.1, 54 y 58 del Reglamento, así como los Puntos Resolutivos 4, 5, 8 y 11 de la Resolución del Presidente de 21 de noviembre de 2016 se requirió al Estado remitir a la Corte el peritaje del señor Omar </w:t>
      </w:r>
      <w:proofErr w:type="spellStart"/>
      <w:r w:rsidRPr="0076651B">
        <w:rPr>
          <w:rFonts w:ascii="Verdana" w:hAnsi="Verdana"/>
          <w:sz w:val="20"/>
          <w:szCs w:val="20"/>
          <w:lang w:val="es-CR"/>
        </w:rPr>
        <w:t>Sar</w:t>
      </w:r>
      <w:proofErr w:type="spellEnd"/>
      <w:r w:rsidRPr="0076651B">
        <w:rPr>
          <w:rFonts w:ascii="Verdana" w:hAnsi="Verdana"/>
          <w:sz w:val="20"/>
          <w:szCs w:val="20"/>
          <w:lang w:val="es-CR"/>
        </w:rPr>
        <w:t xml:space="preserve"> Suárez, a más tardar el 24 de febrero de 2017.</w:t>
      </w:r>
    </w:p>
    <w:p w14:paraId="18ECD9E6" w14:textId="77777777" w:rsidR="008C33CE" w:rsidRPr="0076651B" w:rsidRDefault="008C33CE" w:rsidP="008C33CE">
      <w:pPr>
        <w:pStyle w:val="ListParagraph"/>
        <w:ind w:left="0"/>
        <w:jc w:val="both"/>
        <w:rPr>
          <w:rFonts w:ascii="Verdana" w:hAnsi="Verdana"/>
          <w:sz w:val="20"/>
          <w:szCs w:val="20"/>
        </w:rPr>
      </w:pPr>
    </w:p>
    <w:p w14:paraId="516FFA56" w14:textId="62AF1B7C" w:rsidR="008C33CE" w:rsidRPr="0076651B" w:rsidRDefault="008C33CE" w:rsidP="00E66DD7">
      <w:pPr>
        <w:pStyle w:val="ListParagraph"/>
        <w:numPr>
          <w:ilvl w:val="0"/>
          <w:numId w:val="1"/>
        </w:numPr>
        <w:ind w:left="0" w:firstLine="0"/>
        <w:jc w:val="both"/>
        <w:rPr>
          <w:rFonts w:ascii="Verdana" w:hAnsi="Verdana"/>
          <w:sz w:val="20"/>
          <w:szCs w:val="20"/>
          <w:lang w:val="es-CR"/>
        </w:rPr>
      </w:pPr>
      <w:r w:rsidRPr="0076651B">
        <w:rPr>
          <w:rFonts w:ascii="Verdana" w:hAnsi="Verdana"/>
          <w:sz w:val="20"/>
          <w:szCs w:val="20"/>
        </w:rPr>
        <w:t xml:space="preserve">El 24 de febrero de 2017 el Estado presentó el peritaje de Omar </w:t>
      </w:r>
      <w:proofErr w:type="spellStart"/>
      <w:r w:rsidRPr="0076651B">
        <w:rPr>
          <w:rFonts w:ascii="Verdana" w:hAnsi="Verdana"/>
          <w:sz w:val="20"/>
          <w:szCs w:val="20"/>
        </w:rPr>
        <w:t>Sar</w:t>
      </w:r>
      <w:proofErr w:type="spellEnd"/>
      <w:r w:rsidRPr="0076651B">
        <w:rPr>
          <w:rFonts w:ascii="Verdana" w:hAnsi="Verdana"/>
          <w:sz w:val="20"/>
          <w:szCs w:val="20"/>
        </w:rPr>
        <w:t xml:space="preserve"> y </w:t>
      </w:r>
      <w:r w:rsidRPr="0076651B">
        <w:rPr>
          <w:rFonts w:ascii="Verdana" w:hAnsi="Verdana"/>
          <w:sz w:val="20"/>
          <w:szCs w:val="20"/>
          <w:lang w:val="es-CR"/>
        </w:rPr>
        <w:t>su informe No. 032-2017-JUS/CDJE-PPES con las observaciones del requerimiento de la Corte para la presentación de</w:t>
      </w:r>
      <w:r>
        <w:rPr>
          <w:rFonts w:ascii="Verdana" w:hAnsi="Verdana"/>
          <w:sz w:val="20"/>
          <w:szCs w:val="20"/>
          <w:lang w:val="es-CR"/>
        </w:rPr>
        <w:t xml:space="preserve"> dicho</w:t>
      </w:r>
      <w:r w:rsidRPr="0076651B">
        <w:rPr>
          <w:rFonts w:ascii="Verdana" w:hAnsi="Verdana"/>
          <w:sz w:val="20"/>
          <w:szCs w:val="20"/>
          <w:lang w:val="es-CR"/>
        </w:rPr>
        <w:t xml:space="preserve"> peritaje</w:t>
      </w:r>
      <w:r>
        <w:rPr>
          <w:rFonts w:ascii="Verdana" w:hAnsi="Verdana"/>
          <w:sz w:val="20"/>
          <w:szCs w:val="20"/>
          <w:lang w:val="es-CR"/>
        </w:rPr>
        <w:t>.</w:t>
      </w:r>
      <w:r w:rsidR="001C0F23">
        <w:rPr>
          <w:rFonts w:ascii="Verdana" w:hAnsi="Verdana"/>
          <w:sz w:val="20"/>
          <w:szCs w:val="20"/>
          <w:lang w:val="es-CR"/>
        </w:rPr>
        <w:t xml:space="preserve"> </w:t>
      </w:r>
      <w:r w:rsidRPr="0076651B">
        <w:rPr>
          <w:rFonts w:ascii="Verdana" w:hAnsi="Verdana"/>
          <w:sz w:val="20"/>
          <w:szCs w:val="20"/>
          <w:lang w:val="es-CR"/>
        </w:rPr>
        <w:t>En sus observaciones el Estado manifestó su inconformidad con el hecho de que la Corte no le ha</w:t>
      </w:r>
      <w:r>
        <w:rPr>
          <w:rFonts w:ascii="Verdana" w:hAnsi="Verdana"/>
          <w:sz w:val="20"/>
          <w:szCs w:val="20"/>
          <w:lang w:val="es-CR"/>
        </w:rPr>
        <w:t>bría</w:t>
      </w:r>
      <w:r w:rsidRPr="0076651B">
        <w:rPr>
          <w:rFonts w:ascii="Verdana" w:hAnsi="Verdana"/>
          <w:sz w:val="20"/>
          <w:szCs w:val="20"/>
          <w:lang w:val="es-CR"/>
        </w:rPr>
        <w:t xml:space="preserve"> brindado la oportunidad procesal para realizar sus </w:t>
      </w:r>
      <w:r w:rsidRPr="0076651B">
        <w:rPr>
          <w:rFonts w:ascii="Verdana" w:hAnsi="Verdana"/>
          <w:sz w:val="20"/>
          <w:szCs w:val="20"/>
          <w:lang w:val="es-CR"/>
        </w:rPr>
        <w:lastRenderedPageBreak/>
        <w:t>observaciones respecto del desistimiento del peritaje. Asimismo, solicitó que no se tuviera</w:t>
      </w:r>
      <w:r w:rsidR="00F24C42">
        <w:rPr>
          <w:rFonts w:ascii="Verdana" w:hAnsi="Verdana"/>
          <w:sz w:val="20"/>
          <w:szCs w:val="20"/>
          <w:lang w:val="es-CR"/>
        </w:rPr>
        <w:t>n</w:t>
      </w:r>
      <w:r w:rsidRPr="0076651B">
        <w:rPr>
          <w:rFonts w:ascii="Verdana" w:hAnsi="Verdana"/>
          <w:sz w:val="20"/>
          <w:szCs w:val="20"/>
          <w:lang w:val="es-CR"/>
        </w:rPr>
        <w:t xml:space="preserve"> en cuenta los párrafos 64 a 67, 82, 83 y 96, y la respuesta a la pregunta 7 formulada por los representantes, pues el Estado consideró que </w:t>
      </w:r>
      <w:r w:rsidR="00F24C42">
        <w:rPr>
          <w:rFonts w:ascii="Verdana" w:hAnsi="Verdana"/>
          <w:sz w:val="20"/>
          <w:szCs w:val="20"/>
          <w:lang w:val="es-CR"/>
        </w:rPr>
        <w:t>hacían alusión</w:t>
      </w:r>
      <w:r w:rsidRPr="0076651B">
        <w:rPr>
          <w:rFonts w:ascii="Verdana" w:hAnsi="Verdana"/>
          <w:sz w:val="20"/>
          <w:szCs w:val="20"/>
          <w:lang w:val="es-CR"/>
        </w:rPr>
        <w:t xml:space="preserve"> de forma directa al caso concreto. </w:t>
      </w:r>
      <w:r>
        <w:rPr>
          <w:rFonts w:ascii="Verdana" w:hAnsi="Verdana"/>
          <w:sz w:val="20"/>
          <w:szCs w:val="20"/>
          <w:lang w:val="es-CR"/>
        </w:rPr>
        <w:t>No obstante lo anterior, e</w:t>
      </w:r>
      <w:r w:rsidRPr="0076651B">
        <w:rPr>
          <w:rFonts w:ascii="Verdana" w:hAnsi="Verdana"/>
          <w:sz w:val="20"/>
          <w:szCs w:val="20"/>
          <w:lang w:val="es-CR"/>
        </w:rPr>
        <w:t xml:space="preserve">n sus alegatos finales escritos el Estado </w:t>
      </w:r>
      <w:r w:rsidR="000D5308">
        <w:rPr>
          <w:rFonts w:ascii="Verdana" w:hAnsi="Verdana"/>
          <w:sz w:val="20"/>
          <w:szCs w:val="20"/>
          <w:lang w:val="es-CR"/>
        </w:rPr>
        <w:t>utilizó</w:t>
      </w:r>
      <w:r w:rsidRPr="0076651B">
        <w:rPr>
          <w:rFonts w:ascii="Verdana" w:hAnsi="Verdana"/>
          <w:sz w:val="20"/>
          <w:szCs w:val="20"/>
          <w:lang w:val="es-CR"/>
        </w:rPr>
        <w:t xml:space="preserve"> </w:t>
      </w:r>
      <w:r w:rsidR="000D5308">
        <w:rPr>
          <w:rFonts w:ascii="Verdana" w:hAnsi="Verdana"/>
          <w:sz w:val="20"/>
          <w:szCs w:val="20"/>
          <w:lang w:val="es-CR"/>
        </w:rPr>
        <w:t>e</w:t>
      </w:r>
      <w:r w:rsidRPr="0076651B">
        <w:rPr>
          <w:rFonts w:ascii="Verdana" w:hAnsi="Verdana"/>
          <w:sz w:val="20"/>
          <w:szCs w:val="20"/>
          <w:lang w:val="es-CR"/>
        </w:rPr>
        <w:t xml:space="preserve">l peritaje del señor Omar </w:t>
      </w:r>
      <w:proofErr w:type="spellStart"/>
      <w:r w:rsidRPr="0076651B">
        <w:rPr>
          <w:rFonts w:ascii="Verdana" w:hAnsi="Verdana"/>
          <w:sz w:val="20"/>
          <w:szCs w:val="20"/>
          <w:lang w:val="es-CR"/>
        </w:rPr>
        <w:t>Sar</w:t>
      </w:r>
      <w:proofErr w:type="spellEnd"/>
      <w:r w:rsidRPr="0076651B">
        <w:rPr>
          <w:rFonts w:ascii="Verdana" w:hAnsi="Verdana"/>
          <w:sz w:val="20"/>
          <w:szCs w:val="20"/>
          <w:lang w:val="es-CR"/>
        </w:rPr>
        <w:t xml:space="preserve"> Suárez en diferentes aspectos como los límites a la libertad de expresión y el </w:t>
      </w:r>
      <w:r w:rsidR="00F24C42">
        <w:rPr>
          <w:rFonts w:ascii="Verdana" w:hAnsi="Verdana"/>
          <w:sz w:val="20"/>
          <w:szCs w:val="20"/>
          <w:lang w:val="es-CR"/>
        </w:rPr>
        <w:t>“</w:t>
      </w:r>
      <w:proofErr w:type="spellStart"/>
      <w:r w:rsidRPr="0076651B">
        <w:rPr>
          <w:rFonts w:ascii="Verdana" w:hAnsi="Verdana"/>
          <w:sz w:val="20"/>
          <w:szCs w:val="20"/>
          <w:lang w:val="es-CR"/>
        </w:rPr>
        <w:t>faltamiento</w:t>
      </w:r>
      <w:proofErr w:type="spellEnd"/>
      <w:r w:rsidRPr="0076651B">
        <w:rPr>
          <w:rFonts w:ascii="Verdana" w:hAnsi="Verdana"/>
          <w:sz w:val="20"/>
          <w:szCs w:val="20"/>
          <w:lang w:val="es-CR"/>
        </w:rPr>
        <w:t xml:space="preserve"> grave de palabra</w:t>
      </w:r>
      <w:r w:rsidR="00F24C42">
        <w:rPr>
          <w:rFonts w:ascii="Verdana" w:hAnsi="Verdana"/>
          <w:sz w:val="20"/>
          <w:szCs w:val="20"/>
          <w:lang w:val="es-CR"/>
        </w:rPr>
        <w:t>”</w:t>
      </w:r>
      <w:r>
        <w:rPr>
          <w:rFonts w:ascii="Verdana" w:hAnsi="Verdana"/>
          <w:sz w:val="20"/>
          <w:szCs w:val="20"/>
          <w:lang w:val="es-CR"/>
        </w:rPr>
        <w:t>.</w:t>
      </w:r>
    </w:p>
    <w:p w14:paraId="4FE38E68" w14:textId="77777777" w:rsidR="008C33CE" w:rsidRPr="0076651B" w:rsidRDefault="008C33CE" w:rsidP="008C33CE">
      <w:pPr>
        <w:pStyle w:val="ListParagraph"/>
        <w:ind w:left="0"/>
        <w:jc w:val="both"/>
        <w:rPr>
          <w:rFonts w:ascii="Verdana" w:hAnsi="Verdana"/>
          <w:sz w:val="20"/>
          <w:szCs w:val="20"/>
          <w:lang w:val="es-CR"/>
        </w:rPr>
      </w:pPr>
    </w:p>
    <w:p w14:paraId="7A079D2F" w14:textId="1E8A679A" w:rsidR="008C33CE" w:rsidRPr="0076651B" w:rsidRDefault="008C33CE" w:rsidP="00E66DD7">
      <w:pPr>
        <w:pStyle w:val="ListParagraph"/>
        <w:numPr>
          <w:ilvl w:val="0"/>
          <w:numId w:val="1"/>
        </w:numPr>
        <w:ind w:left="0" w:firstLine="0"/>
        <w:jc w:val="both"/>
        <w:rPr>
          <w:rFonts w:ascii="Verdana" w:hAnsi="Verdana"/>
          <w:sz w:val="20"/>
          <w:szCs w:val="20"/>
          <w:lang w:val="es-CR"/>
        </w:rPr>
      </w:pPr>
      <w:r w:rsidRPr="00A243D9">
        <w:rPr>
          <w:rFonts w:ascii="Verdana" w:hAnsi="Verdana"/>
          <w:sz w:val="20"/>
          <w:szCs w:val="20"/>
        </w:rPr>
        <w:t xml:space="preserve">En atención a las observaciones del Estado realizadas mediante escrito de 24 de febrero de 2017 la Corte estima que la </w:t>
      </w:r>
      <w:r w:rsidR="000D5308">
        <w:rPr>
          <w:rFonts w:ascii="Verdana" w:hAnsi="Verdana"/>
          <w:sz w:val="20"/>
          <w:szCs w:val="20"/>
        </w:rPr>
        <w:t xml:space="preserve">admisión y </w:t>
      </w:r>
      <w:r w:rsidRPr="00A243D9">
        <w:rPr>
          <w:rFonts w:ascii="Verdana" w:hAnsi="Verdana"/>
          <w:sz w:val="20"/>
          <w:szCs w:val="20"/>
        </w:rPr>
        <w:t xml:space="preserve">recepción del peritaje del señor Omar </w:t>
      </w:r>
      <w:proofErr w:type="spellStart"/>
      <w:r w:rsidRPr="00A243D9">
        <w:rPr>
          <w:rFonts w:ascii="Verdana" w:hAnsi="Verdana"/>
          <w:sz w:val="20"/>
          <w:szCs w:val="20"/>
        </w:rPr>
        <w:t>Sar</w:t>
      </w:r>
      <w:proofErr w:type="spellEnd"/>
      <w:r w:rsidRPr="00A243D9">
        <w:rPr>
          <w:rFonts w:ascii="Verdana" w:hAnsi="Verdana"/>
          <w:sz w:val="20"/>
          <w:szCs w:val="20"/>
        </w:rPr>
        <w:t xml:space="preserve"> Suárez fue decidida tanto en la Resolución de Convocatoria de 21 de noviembre de 2016 como en la decisión del </w:t>
      </w:r>
      <w:r w:rsidR="00F24C42">
        <w:rPr>
          <w:rFonts w:ascii="Verdana" w:hAnsi="Verdana"/>
          <w:sz w:val="20"/>
          <w:szCs w:val="20"/>
        </w:rPr>
        <w:t>P</w:t>
      </w:r>
      <w:r w:rsidRPr="00A243D9">
        <w:rPr>
          <w:rFonts w:ascii="Verdana" w:hAnsi="Verdana"/>
          <w:sz w:val="20"/>
          <w:szCs w:val="20"/>
        </w:rPr>
        <w:t>leno de la Corte</w:t>
      </w:r>
      <w:r w:rsidRPr="0061536D">
        <w:rPr>
          <w:rFonts w:ascii="Verdana" w:hAnsi="Verdana"/>
          <w:sz w:val="20"/>
          <w:szCs w:val="20"/>
        </w:rPr>
        <w:t>, mediante nota de Secretaría de 17 de febrero de 2017</w:t>
      </w:r>
      <w:r>
        <w:rPr>
          <w:rFonts w:ascii="Verdana" w:hAnsi="Verdana"/>
          <w:sz w:val="20"/>
          <w:szCs w:val="20"/>
        </w:rPr>
        <w:t xml:space="preserve"> (</w:t>
      </w:r>
      <w:r w:rsidR="00224537" w:rsidRPr="00224537">
        <w:rPr>
          <w:rFonts w:ascii="Verdana" w:hAnsi="Verdana"/>
          <w:i/>
          <w:sz w:val="20"/>
          <w:szCs w:val="20"/>
        </w:rPr>
        <w:t>supra</w:t>
      </w:r>
      <w:r>
        <w:rPr>
          <w:rFonts w:ascii="Verdana" w:hAnsi="Verdana"/>
          <w:sz w:val="20"/>
          <w:szCs w:val="20"/>
        </w:rPr>
        <w:t xml:space="preserve">, párr. </w:t>
      </w:r>
      <w:r w:rsidR="00FF0C2D">
        <w:rPr>
          <w:rFonts w:ascii="Verdana" w:hAnsi="Verdana"/>
          <w:sz w:val="20"/>
          <w:szCs w:val="20"/>
        </w:rPr>
        <w:t>31</w:t>
      </w:r>
      <w:r>
        <w:rPr>
          <w:rFonts w:ascii="Verdana" w:hAnsi="Verdana"/>
          <w:sz w:val="20"/>
          <w:szCs w:val="20"/>
        </w:rPr>
        <w:t>).</w:t>
      </w:r>
      <w:r w:rsidR="000D5308">
        <w:rPr>
          <w:rFonts w:ascii="Verdana" w:hAnsi="Verdana"/>
          <w:sz w:val="20"/>
          <w:szCs w:val="20"/>
        </w:rPr>
        <w:t xml:space="preserve"> </w:t>
      </w:r>
      <w:r w:rsidRPr="007D7DA8">
        <w:rPr>
          <w:rFonts w:ascii="Verdana" w:hAnsi="Verdana"/>
          <w:sz w:val="20"/>
          <w:szCs w:val="20"/>
        </w:rPr>
        <w:t>En cuanto al contenido del peritaje</w:t>
      </w:r>
      <w:r w:rsidRPr="007D7DA8">
        <w:rPr>
          <w:rFonts w:ascii="Verdana" w:hAnsi="Verdana"/>
          <w:sz w:val="20"/>
          <w:szCs w:val="20"/>
          <w:lang w:val="es-CR"/>
        </w:rPr>
        <w:t>, la Corte ha señalado que</w:t>
      </w:r>
      <w:r w:rsidRPr="00CB5A95">
        <w:rPr>
          <w:rFonts w:ascii="Verdana" w:hAnsi="Verdana"/>
          <w:sz w:val="20"/>
          <w:szCs w:val="20"/>
          <w:lang w:val="es-CR"/>
        </w:rPr>
        <w:t xml:space="preserve"> </w:t>
      </w:r>
      <w:r w:rsidRPr="0076651B">
        <w:rPr>
          <w:rFonts w:ascii="Verdana" w:hAnsi="Verdana"/>
          <w:sz w:val="20"/>
          <w:szCs w:val="20"/>
          <w:lang w:val="es-CR"/>
        </w:rPr>
        <w:t xml:space="preserve">los peritos se pueden referir tanto a puntos específicos de la </w:t>
      </w:r>
      <w:proofErr w:type="spellStart"/>
      <w:r w:rsidRPr="00CB5A95">
        <w:rPr>
          <w:rFonts w:ascii="Verdana" w:hAnsi="Verdana"/>
          <w:i/>
          <w:sz w:val="20"/>
          <w:szCs w:val="20"/>
          <w:lang w:val="es-CR"/>
        </w:rPr>
        <w:t>litis</w:t>
      </w:r>
      <w:proofErr w:type="spellEnd"/>
      <w:r w:rsidRPr="0076651B">
        <w:rPr>
          <w:rFonts w:ascii="Verdana" w:hAnsi="Verdana"/>
          <w:sz w:val="20"/>
          <w:szCs w:val="20"/>
          <w:lang w:val="es-CR"/>
        </w:rPr>
        <w:t xml:space="preserve"> como a cualquier otro punto relevante del litigio, siempre y cuando se circunscriban al objeto para el que fueron convocados</w:t>
      </w:r>
      <w:r w:rsidRPr="0076651B">
        <w:rPr>
          <w:rStyle w:val="FootnoteReference"/>
          <w:szCs w:val="20"/>
          <w:lang w:val="es-CR"/>
        </w:rPr>
        <w:footnoteReference w:id="25"/>
      </w:r>
      <w:r w:rsidRPr="0076651B">
        <w:rPr>
          <w:rFonts w:ascii="Verdana" w:hAnsi="Verdana"/>
          <w:sz w:val="20"/>
          <w:szCs w:val="20"/>
          <w:lang w:val="es-CR"/>
        </w:rPr>
        <w:t xml:space="preserve">. </w:t>
      </w:r>
      <w:r>
        <w:rPr>
          <w:rFonts w:ascii="Verdana" w:hAnsi="Verdana"/>
          <w:sz w:val="20"/>
          <w:szCs w:val="20"/>
          <w:lang w:val="es-CR"/>
        </w:rPr>
        <w:t>La</w:t>
      </w:r>
      <w:r w:rsidRPr="0076651B">
        <w:rPr>
          <w:rFonts w:ascii="Verdana" w:hAnsi="Verdana"/>
          <w:sz w:val="20"/>
          <w:szCs w:val="20"/>
          <w:lang w:val="es-CR"/>
        </w:rPr>
        <w:t xml:space="preserve"> Corte determina que las declaraciones esbozadas en los párrafos anteriormente mencionados hacen referencia al alcance, contenido y restricciones legítimas del derecho a la libertad de expresión en el contexto laboral y enfocado en los representantes de una organización sindical y del Comité Electoral de la Comunidad Industrial. Con base en </w:t>
      </w:r>
      <w:r w:rsidR="00F24C42">
        <w:rPr>
          <w:rFonts w:ascii="Verdana" w:hAnsi="Verdana"/>
          <w:sz w:val="20"/>
          <w:szCs w:val="20"/>
          <w:lang w:val="es-CR"/>
        </w:rPr>
        <w:t>la Resolución de Convocatoria</w:t>
      </w:r>
      <w:r w:rsidRPr="0076651B">
        <w:rPr>
          <w:rFonts w:ascii="Verdana" w:hAnsi="Verdana"/>
          <w:sz w:val="20"/>
          <w:szCs w:val="20"/>
          <w:lang w:val="es-CR"/>
        </w:rPr>
        <w:t>, la Corte admite el peritaje señalado en cuanto se ajusta al objeto ordenado y lo valorará conjuntamente con el resto del acervo probatorio y de conformidad con las reglas de la sana crítica.</w:t>
      </w:r>
    </w:p>
    <w:p w14:paraId="1B7B4FE9" w14:textId="77777777" w:rsidR="008C33CE" w:rsidRPr="0076651B" w:rsidRDefault="008C33CE" w:rsidP="008C33CE">
      <w:pPr>
        <w:tabs>
          <w:tab w:val="left" w:pos="426"/>
        </w:tabs>
        <w:jc w:val="both"/>
        <w:rPr>
          <w:rFonts w:ascii="Verdana" w:hAnsi="Verdana"/>
          <w:sz w:val="20"/>
          <w:szCs w:val="20"/>
          <w:lang w:val="es-CR"/>
        </w:rPr>
      </w:pPr>
    </w:p>
    <w:p w14:paraId="64B550D2" w14:textId="77777777" w:rsidR="008C33CE" w:rsidRPr="006F79F4" w:rsidRDefault="008C33CE" w:rsidP="00E66DD7">
      <w:pPr>
        <w:pStyle w:val="Heading2"/>
        <w:numPr>
          <w:ilvl w:val="0"/>
          <w:numId w:val="19"/>
        </w:numPr>
        <w:rPr>
          <w:rFonts w:eastAsia="MS Gothic"/>
          <w:i/>
          <w:lang w:val="es-CR"/>
        </w:rPr>
      </w:pPr>
      <w:bookmarkStart w:id="16" w:name="_Toc498333481"/>
      <w:r w:rsidRPr="006F79F4">
        <w:rPr>
          <w:rFonts w:eastAsia="MS Gothic"/>
          <w:i/>
          <w:lang w:val="es-CR"/>
        </w:rPr>
        <w:t>Valoración de la prueba</w:t>
      </w:r>
      <w:bookmarkEnd w:id="16"/>
    </w:p>
    <w:p w14:paraId="1AEA6474" w14:textId="77777777" w:rsidR="008C33CE" w:rsidRPr="00375165" w:rsidRDefault="008C33CE" w:rsidP="008C33CE">
      <w:pPr>
        <w:pStyle w:val="ListParagraph"/>
        <w:rPr>
          <w:rFonts w:ascii="Verdana" w:hAnsi="Verdana"/>
          <w:sz w:val="20"/>
          <w:szCs w:val="20"/>
        </w:rPr>
      </w:pPr>
    </w:p>
    <w:p w14:paraId="2D1C79A7" w14:textId="77777777" w:rsidR="008C33CE" w:rsidRPr="00375165" w:rsidRDefault="008C33CE" w:rsidP="00E66DD7">
      <w:pPr>
        <w:pStyle w:val="ListParagraph"/>
        <w:numPr>
          <w:ilvl w:val="0"/>
          <w:numId w:val="1"/>
        </w:numPr>
        <w:ind w:left="0" w:firstLine="0"/>
        <w:jc w:val="both"/>
        <w:rPr>
          <w:rFonts w:ascii="Verdana" w:eastAsia="Times New Roman" w:hAnsi="Verdana"/>
          <w:sz w:val="20"/>
          <w:szCs w:val="20"/>
        </w:rPr>
      </w:pPr>
      <w:r w:rsidRPr="00375165">
        <w:rPr>
          <w:rFonts w:ascii="Verdana" w:eastAsia="Times New Roman" w:hAnsi="Verdana"/>
          <w:sz w:val="20"/>
          <w:szCs w:val="20"/>
        </w:rPr>
        <w:t>Con base en su jurisprudencia constante respecto de la prueba y su apreciación, la Corte examinará y valorará los elementos probatorios documentales remitidos por las partes y la Comisión, las declaraciones, testimonios y dictámenes periciales, así como la prueba para mejor resolver solicitada e incorporada por este Tribunal, al establecer los hechos del caso y pronunciarse sobre el fondo. Para ello se sujeta a los principios de la sana crítica, dentro del marco normativo correspondiente, teniendo en cuenta el conjunto del acervo probatorio y lo alegado en la causa</w:t>
      </w:r>
      <w:r w:rsidRPr="00375165">
        <w:rPr>
          <w:rFonts w:ascii="Verdana" w:eastAsia="Times New Roman" w:hAnsi="Verdana"/>
          <w:sz w:val="20"/>
          <w:szCs w:val="20"/>
          <w:vertAlign w:val="superscript"/>
        </w:rPr>
        <w:footnoteReference w:id="26"/>
      </w:r>
      <w:r w:rsidRPr="00375165">
        <w:rPr>
          <w:rFonts w:ascii="Verdana" w:eastAsia="Times New Roman" w:hAnsi="Verdana"/>
          <w:sz w:val="20"/>
          <w:szCs w:val="20"/>
        </w:rPr>
        <w:t>.</w:t>
      </w:r>
    </w:p>
    <w:p w14:paraId="3873C865" w14:textId="77777777" w:rsidR="008C33CE" w:rsidRPr="00375165" w:rsidRDefault="008C33CE" w:rsidP="008C33CE">
      <w:pPr>
        <w:pStyle w:val="ListParagraph"/>
        <w:ind w:left="0"/>
        <w:jc w:val="both"/>
        <w:rPr>
          <w:rFonts w:ascii="Verdana" w:eastAsia="Times New Roman" w:hAnsi="Verdana"/>
          <w:sz w:val="20"/>
          <w:szCs w:val="20"/>
        </w:rPr>
      </w:pPr>
    </w:p>
    <w:p w14:paraId="4CDBA488" w14:textId="77777777" w:rsidR="008C33CE" w:rsidRDefault="008C33CE" w:rsidP="00E66DD7">
      <w:pPr>
        <w:pStyle w:val="ListParagraph"/>
        <w:numPr>
          <w:ilvl w:val="0"/>
          <w:numId w:val="1"/>
        </w:numPr>
        <w:ind w:left="0" w:firstLine="0"/>
        <w:jc w:val="both"/>
        <w:rPr>
          <w:rFonts w:ascii="Verdana" w:eastAsia="Times New Roman" w:hAnsi="Verdana"/>
          <w:sz w:val="20"/>
          <w:szCs w:val="20"/>
        </w:rPr>
      </w:pPr>
      <w:r w:rsidRPr="00375165">
        <w:rPr>
          <w:rFonts w:ascii="Verdana" w:eastAsia="Times New Roman" w:hAnsi="Verdana"/>
          <w:sz w:val="20"/>
          <w:szCs w:val="20"/>
        </w:rPr>
        <w:t>Asimismo, conforme a la jurisprudencia de este Tribunal, la declaración rendida por la presunta víctima no puede ser valorada aisladamente sino dentro del conjunto de las pruebas del proceso, en la medida en que puede proporcionar mayor información sobre las presuntas violaciones y sus consecuencias</w:t>
      </w:r>
      <w:r w:rsidRPr="00375165">
        <w:rPr>
          <w:rFonts w:ascii="Verdana" w:eastAsia="Times New Roman" w:hAnsi="Verdana"/>
          <w:sz w:val="20"/>
          <w:szCs w:val="20"/>
          <w:vertAlign w:val="superscript"/>
        </w:rPr>
        <w:footnoteReference w:id="27"/>
      </w:r>
      <w:r w:rsidRPr="00375165">
        <w:rPr>
          <w:rFonts w:ascii="Verdana" w:eastAsia="Times New Roman" w:hAnsi="Verdana"/>
          <w:sz w:val="20"/>
          <w:szCs w:val="20"/>
        </w:rPr>
        <w:t>.</w:t>
      </w:r>
    </w:p>
    <w:p w14:paraId="6796056D" w14:textId="77777777" w:rsidR="009E58AE" w:rsidRPr="0076651B" w:rsidRDefault="009E58AE" w:rsidP="009E58AE">
      <w:pPr>
        <w:rPr>
          <w:rFonts w:ascii="Verdana" w:eastAsia="Times New Roman" w:hAnsi="Verdana"/>
          <w:sz w:val="20"/>
          <w:szCs w:val="20"/>
        </w:rPr>
      </w:pPr>
    </w:p>
    <w:p w14:paraId="57884309" w14:textId="77777777" w:rsidR="008C33CE" w:rsidRDefault="008C33CE" w:rsidP="009E58AE">
      <w:pPr>
        <w:pStyle w:val="Heading1"/>
        <w:tabs>
          <w:tab w:val="left" w:pos="851"/>
        </w:tabs>
        <w:spacing w:before="0"/>
        <w:jc w:val="center"/>
        <w:rPr>
          <w:rFonts w:cs="Verdana"/>
          <w:caps/>
          <w:snapToGrid w:val="0"/>
          <w:szCs w:val="20"/>
        </w:rPr>
      </w:pPr>
    </w:p>
    <w:p w14:paraId="6796056E" w14:textId="7DB99F89" w:rsidR="009E58AE" w:rsidRPr="006948D3" w:rsidRDefault="00374FC9" w:rsidP="009E58AE">
      <w:pPr>
        <w:pStyle w:val="Heading1"/>
        <w:tabs>
          <w:tab w:val="left" w:pos="851"/>
        </w:tabs>
        <w:spacing w:before="0"/>
        <w:jc w:val="center"/>
        <w:rPr>
          <w:rFonts w:cs="Verdana"/>
          <w:caps/>
          <w:snapToGrid w:val="0"/>
          <w:szCs w:val="20"/>
        </w:rPr>
      </w:pPr>
      <w:bookmarkStart w:id="17" w:name="_Toc498333482"/>
      <w:r w:rsidRPr="006948D3">
        <w:rPr>
          <w:rFonts w:cs="Verdana"/>
          <w:caps/>
          <w:snapToGrid w:val="0"/>
          <w:szCs w:val="20"/>
        </w:rPr>
        <w:t>Vi</w:t>
      </w:r>
      <w:r w:rsidR="009E58AE" w:rsidRPr="006948D3">
        <w:rPr>
          <w:rFonts w:cs="Verdana"/>
          <w:caps/>
          <w:snapToGrid w:val="0"/>
          <w:szCs w:val="20"/>
        </w:rPr>
        <w:br/>
        <w:t>hechos</w:t>
      </w:r>
      <w:bookmarkEnd w:id="17"/>
    </w:p>
    <w:p w14:paraId="6796056F" w14:textId="77777777" w:rsidR="009E58AE" w:rsidRPr="006948D3" w:rsidRDefault="009E58AE" w:rsidP="009E58AE">
      <w:pPr>
        <w:jc w:val="both"/>
        <w:rPr>
          <w:rFonts w:ascii="Verdana" w:hAnsi="Verdana"/>
          <w:spacing w:val="-2"/>
          <w:sz w:val="20"/>
          <w:szCs w:val="20"/>
        </w:rPr>
      </w:pPr>
    </w:p>
    <w:p w14:paraId="2983E08D" w14:textId="5F1712D9" w:rsidR="00D73A3B" w:rsidRPr="00333304" w:rsidRDefault="007912F7" w:rsidP="00E66DD7">
      <w:pPr>
        <w:pStyle w:val="ListParagraph"/>
        <w:numPr>
          <w:ilvl w:val="0"/>
          <w:numId w:val="1"/>
        </w:numPr>
        <w:ind w:left="0" w:firstLine="0"/>
        <w:jc w:val="both"/>
        <w:rPr>
          <w:rFonts w:ascii="Verdana" w:hAnsi="Verdana"/>
          <w:strike/>
          <w:spacing w:val="-2"/>
          <w:sz w:val="20"/>
          <w:szCs w:val="20"/>
          <w:lang w:val="es-CR"/>
        </w:rPr>
      </w:pPr>
      <w:r w:rsidRPr="006948D3">
        <w:rPr>
          <w:rFonts w:ascii="Verdana" w:hAnsi="Verdana"/>
          <w:spacing w:val="-2"/>
          <w:sz w:val="20"/>
          <w:szCs w:val="20"/>
          <w:lang w:val="es-CR"/>
        </w:rPr>
        <w:t xml:space="preserve">En </w:t>
      </w:r>
      <w:r w:rsidRPr="006948D3">
        <w:rPr>
          <w:rFonts w:ascii="Verdana" w:eastAsia="Times New Roman" w:hAnsi="Verdana"/>
          <w:sz w:val="20"/>
          <w:szCs w:val="20"/>
        </w:rPr>
        <w:t>este</w:t>
      </w:r>
      <w:r w:rsidRPr="006948D3">
        <w:rPr>
          <w:rFonts w:ascii="Verdana" w:hAnsi="Verdana"/>
          <w:spacing w:val="-2"/>
          <w:sz w:val="20"/>
          <w:szCs w:val="20"/>
          <w:lang w:val="es-CR"/>
        </w:rPr>
        <w:t xml:space="preserve"> capítulo se establecerán los hechos del presente caso, con base en el marco fáctico sometido al conocimiento de la Corte por la Comisión, tomando en consideración el acervo probatorio del caso, así como lo alegado por los representantes y el Estado. De esta forma, los mismos serán expuestos en los siguientes apartados: a) las Comunidades Industriales en el Perú; b) antecedentes, funciones y competencias del señor Lagos del Campo como dirigente laboral; c) </w:t>
      </w:r>
      <w:r w:rsidRPr="006948D3">
        <w:rPr>
          <w:rFonts w:ascii="Verdana" w:hAnsi="Verdana"/>
          <w:spacing w:val="-2"/>
          <w:sz w:val="20"/>
          <w:szCs w:val="20"/>
          <w:lang w:val="es-CR"/>
        </w:rPr>
        <w:lastRenderedPageBreak/>
        <w:t>el despido del señor Lagos del Campo y el marco legal aplicable a ello; d) las acciones judiciales intentadas por el señor Lagos del Campo, y e) su situación después del despido.</w:t>
      </w:r>
    </w:p>
    <w:p w14:paraId="5851E457" w14:textId="77777777" w:rsidR="00D73A3B" w:rsidRPr="00D73A3B" w:rsidRDefault="00D73A3B" w:rsidP="00D73A3B">
      <w:pPr>
        <w:jc w:val="both"/>
        <w:rPr>
          <w:rFonts w:ascii="Verdana" w:hAnsi="Verdana"/>
          <w:b/>
          <w:sz w:val="20"/>
          <w:szCs w:val="20"/>
          <w:lang w:val="es-CR"/>
        </w:rPr>
      </w:pPr>
    </w:p>
    <w:p w14:paraId="2CCC10F2" w14:textId="746DB33D" w:rsidR="00275EDE" w:rsidRDefault="00275EDE" w:rsidP="00E66DD7">
      <w:pPr>
        <w:pStyle w:val="Heading2"/>
        <w:numPr>
          <w:ilvl w:val="0"/>
          <w:numId w:val="12"/>
        </w:numPr>
        <w:rPr>
          <w:rFonts w:eastAsia="MS Gothic"/>
          <w:i/>
          <w:lang w:val="es-CR"/>
        </w:rPr>
      </w:pPr>
      <w:bookmarkStart w:id="18" w:name="_Toc498333483"/>
      <w:r w:rsidRPr="00D73A3B">
        <w:rPr>
          <w:rFonts w:eastAsia="MS Gothic"/>
          <w:i/>
          <w:lang w:val="es-CR"/>
        </w:rPr>
        <w:t>Las Comunidades Industriales en el Perú</w:t>
      </w:r>
      <w:bookmarkEnd w:id="18"/>
      <w:r w:rsidR="00D73A3B" w:rsidRPr="00D73A3B">
        <w:rPr>
          <w:rFonts w:eastAsia="MS Gothic"/>
          <w:i/>
          <w:lang w:val="es-CR"/>
        </w:rPr>
        <w:t xml:space="preserve"> </w:t>
      </w:r>
    </w:p>
    <w:p w14:paraId="1C3858AE" w14:textId="77777777" w:rsidR="00D73A3B" w:rsidRPr="00D73A3B" w:rsidRDefault="00D73A3B" w:rsidP="00D73A3B">
      <w:pPr>
        <w:rPr>
          <w:lang w:val="es-CR"/>
        </w:rPr>
      </w:pPr>
    </w:p>
    <w:p w14:paraId="2330291F" w14:textId="3EB531E6" w:rsidR="007912F7" w:rsidRDefault="00275EDE"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t>La figura de la Comunidad Industrial fue incorporada en la normativa peruana el 27 de julio de 1970 fecha en la que se aprobó la Ley General de Industrias ("Decreto-Ley 18350”)</w:t>
      </w:r>
      <w:r w:rsidRPr="005D0ACD">
        <w:rPr>
          <w:rFonts w:ascii="Verdana" w:hAnsi="Verdana"/>
          <w:sz w:val="20"/>
          <w:szCs w:val="20"/>
          <w:vertAlign w:val="superscript"/>
        </w:rPr>
        <w:footnoteReference w:id="28"/>
      </w:r>
      <w:r w:rsidRPr="00275EDE">
        <w:rPr>
          <w:rFonts w:ascii="Verdana" w:hAnsi="Verdana"/>
          <w:sz w:val="20"/>
          <w:szCs w:val="20"/>
        </w:rPr>
        <w:t>. En dicha norma, en su artículo 23 se estableció que la Comunidad Industrial era</w:t>
      </w:r>
      <w:r w:rsidR="00446E9C">
        <w:rPr>
          <w:rFonts w:ascii="Verdana" w:hAnsi="Verdana"/>
          <w:sz w:val="20"/>
          <w:szCs w:val="20"/>
        </w:rPr>
        <w:t xml:space="preserve"> una</w:t>
      </w:r>
      <w:r w:rsidRPr="00275EDE">
        <w:rPr>
          <w:rFonts w:ascii="Verdana" w:hAnsi="Verdana"/>
          <w:sz w:val="20"/>
          <w:szCs w:val="20"/>
        </w:rPr>
        <w:t xml:space="preserve"> persona jurídica que nacía en una empresa industrial, como representación del conjunto de los trabajadores que a tiempo completo laboraban en ella, y cuyos objetivos se establecieron a partir del Decreto Ley 18384</w:t>
      </w:r>
      <w:r w:rsidRPr="005D0ACD">
        <w:rPr>
          <w:rFonts w:ascii="Verdana" w:hAnsi="Verdana"/>
          <w:sz w:val="20"/>
          <w:szCs w:val="20"/>
          <w:vertAlign w:val="superscript"/>
        </w:rPr>
        <w:footnoteReference w:id="29"/>
      </w:r>
      <w:r w:rsidRPr="00275EDE">
        <w:rPr>
          <w:rFonts w:ascii="Verdana" w:hAnsi="Verdana"/>
          <w:sz w:val="20"/>
          <w:szCs w:val="20"/>
        </w:rPr>
        <w:t>.</w:t>
      </w:r>
      <w:r w:rsidRPr="00275EDE">
        <w:rPr>
          <w:rFonts w:ascii="Verdana" w:hAnsi="Verdana"/>
          <w:b/>
          <w:sz w:val="20"/>
          <w:szCs w:val="20"/>
        </w:rPr>
        <w:t xml:space="preserve"> </w:t>
      </w:r>
    </w:p>
    <w:p w14:paraId="3A11ADD8" w14:textId="77777777" w:rsidR="007912F7" w:rsidRDefault="007912F7" w:rsidP="00557859">
      <w:pPr>
        <w:pStyle w:val="ListParagraph"/>
        <w:ind w:left="0"/>
        <w:jc w:val="both"/>
        <w:rPr>
          <w:rFonts w:ascii="Verdana" w:hAnsi="Verdana"/>
          <w:b/>
          <w:sz w:val="20"/>
          <w:szCs w:val="20"/>
        </w:rPr>
      </w:pPr>
    </w:p>
    <w:p w14:paraId="3A205016" w14:textId="4BB74A28" w:rsidR="00275EDE" w:rsidRPr="00275EDE" w:rsidRDefault="00446E9C" w:rsidP="00E66DD7">
      <w:pPr>
        <w:pStyle w:val="ListParagraph"/>
        <w:numPr>
          <w:ilvl w:val="0"/>
          <w:numId w:val="1"/>
        </w:numPr>
        <w:ind w:left="0" w:hanging="11"/>
        <w:jc w:val="both"/>
        <w:rPr>
          <w:rFonts w:ascii="Verdana" w:hAnsi="Verdana"/>
          <w:b/>
          <w:sz w:val="20"/>
          <w:szCs w:val="20"/>
        </w:rPr>
      </w:pPr>
      <w:r>
        <w:rPr>
          <w:rFonts w:ascii="Verdana" w:hAnsi="Verdana"/>
          <w:sz w:val="20"/>
          <w:szCs w:val="20"/>
        </w:rPr>
        <w:t>E</w:t>
      </w:r>
      <w:r w:rsidR="00275EDE" w:rsidRPr="00275EDE">
        <w:rPr>
          <w:rFonts w:ascii="Verdana" w:hAnsi="Verdana"/>
          <w:sz w:val="20"/>
          <w:szCs w:val="20"/>
        </w:rPr>
        <w:t>n febrero 1977 se promulgó la Ley de la Comunidad Industrial ("Decreto-Ley 21789”), mediante la cual se reform</w:t>
      </w:r>
      <w:r w:rsidR="00A451D6">
        <w:rPr>
          <w:rFonts w:ascii="Verdana" w:hAnsi="Verdana"/>
          <w:sz w:val="20"/>
          <w:szCs w:val="20"/>
        </w:rPr>
        <w:t>ó la normatividad previamente existente</w:t>
      </w:r>
      <w:r w:rsidR="00275EDE" w:rsidRPr="005D0ACD">
        <w:rPr>
          <w:rFonts w:ascii="Verdana" w:hAnsi="Verdana"/>
          <w:sz w:val="20"/>
          <w:szCs w:val="20"/>
          <w:vertAlign w:val="superscript"/>
        </w:rPr>
        <w:footnoteReference w:id="30"/>
      </w:r>
      <w:r w:rsidR="00275EDE" w:rsidRPr="00275EDE">
        <w:rPr>
          <w:rFonts w:ascii="Verdana" w:hAnsi="Verdana"/>
          <w:sz w:val="20"/>
          <w:szCs w:val="20"/>
        </w:rPr>
        <w:t xml:space="preserve">. Según </w:t>
      </w:r>
      <w:r w:rsidR="007912F7">
        <w:rPr>
          <w:rFonts w:ascii="Verdana" w:hAnsi="Verdana"/>
          <w:sz w:val="20"/>
          <w:szCs w:val="20"/>
        </w:rPr>
        <w:t>dicha ley</w:t>
      </w:r>
      <w:r w:rsidR="00275EDE" w:rsidRPr="00275EDE">
        <w:rPr>
          <w:rFonts w:ascii="Verdana" w:hAnsi="Verdana"/>
          <w:sz w:val="20"/>
          <w:szCs w:val="20"/>
        </w:rPr>
        <w:t>, "</w:t>
      </w:r>
      <w:r w:rsidR="00F969B2">
        <w:rPr>
          <w:rFonts w:ascii="Verdana" w:hAnsi="Verdana"/>
          <w:sz w:val="20"/>
          <w:szCs w:val="20"/>
        </w:rPr>
        <w:t>[</w:t>
      </w:r>
      <w:r w:rsidR="00275EDE" w:rsidRPr="00275EDE">
        <w:rPr>
          <w:rFonts w:ascii="Verdana" w:hAnsi="Verdana"/>
          <w:sz w:val="20"/>
          <w:szCs w:val="20"/>
        </w:rPr>
        <w:t>l</w:t>
      </w:r>
      <w:r w:rsidR="00F969B2">
        <w:rPr>
          <w:rFonts w:ascii="Verdana" w:hAnsi="Verdana"/>
          <w:sz w:val="20"/>
          <w:szCs w:val="20"/>
        </w:rPr>
        <w:t>]</w:t>
      </w:r>
      <w:r w:rsidR="00275EDE" w:rsidRPr="00275EDE">
        <w:rPr>
          <w:rFonts w:ascii="Verdana" w:hAnsi="Verdana"/>
          <w:sz w:val="20"/>
          <w:szCs w:val="20"/>
        </w:rPr>
        <w:t xml:space="preserve">a Comunidad Industrial de una empresa industrial del Sector Privado Reformado, </w:t>
      </w:r>
      <w:proofErr w:type="gramStart"/>
      <w:r w:rsidR="00275EDE" w:rsidRPr="00275EDE">
        <w:rPr>
          <w:rFonts w:ascii="Verdana" w:hAnsi="Verdana"/>
          <w:sz w:val="20"/>
          <w:szCs w:val="20"/>
        </w:rPr>
        <w:t>esta</w:t>
      </w:r>
      <w:r w:rsidR="00F969B2">
        <w:rPr>
          <w:rFonts w:ascii="Verdana" w:hAnsi="Verdana"/>
          <w:sz w:val="20"/>
          <w:szCs w:val="20"/>
        </w:rPr>
        <w:t>[</w:t>
      </w:r>
      <w:proofErr w:type="spellStart"/>
      <w:proofErr w:type="gramEnd"/>
      <w:r w:rsidR="00275EDE" w:rsidRPr="00275EDE">
        <w:rPr>
          <w:rFonts w:ascii="Verdana" w:hAnsi="Verdana"/>
          <w:sz w:val="20"/>
          <w:szCs w:val="20"/>
        </w:rPr>
        <w:t>ba</w:t>
      </w:r>
      <w:proofErr w:type="spellEnd"/>
      <w:r w:rsidR="00F969B2">
        <w:rPr>
          <w:rFonts w:ascii="Verdana" w:hAnsi="Verdana"/>
          <w:sz w:val="20"/>
          <w:szCs w:val="20"/>
        </w:rPr>
        <w:t>]</w:t>
      </w:r>
      <w:r w:rsidR="00275EDE" w:rsidRPr="00275EDE">
        <w:rPr>
          <w:rFonts w:ascii="Verdana" w:hAnsi="Verdana"/>
          <w:sz w:val="20"/>
          <w:szCs w:val="20"/>
        </w:rPr>
        <w:t xml:space="preserve"> conformada por todos los trabajadores estables que laboraban en ella, los que participan en su propiedad, gestión y utilidades”</w:t>
      </w:r>
      <w:r w:rsidR="00275EDE" w:rsidRPr="005D0ACD">
        <w:rPr>
          <w:rFonts w:ascii="Verdana" w:hAnsi="Verdana"/>
          <w:sz w:val="20"/>
          <w:szCs w:val="20"/>
          <w:vertAlign w:val="superscript"/>
        </w:rPr>
        <w:footnoteReference w:id="31"/>
      </w:r>
      <w:r w:rsidR="00275EDE" w:rsidRPr="00275EDE">
        <w:rPr>
          <w:rFonts w:ascii="Verdana" w:hAnsi="Verdana"/>
          <w:sz w:val="20"/>
          <w:szCs w:val="20"/>
        </w:rPr>
        <w:t xml:space="preserve">. Se constituyó como una persona jurídica de derecho privado cuyos fines eran: </w:t>
      </w:r>
      <w:r w:rsidR="00275EDE" w:rsidRPr="00275EDE">
        <w:rPr>
          <w:rFonts w:ascii="Verdana" w:hAnsi="Verdana"/>
          <w:sz w:val="20"/>
          <w:szCs w:val="20"/>
          <w:lang w:val="es-MX" w:eastAsia="es-MX"/>
        </w:rPr>
        <w:t>a) contribuir al establecimiento de formas constructivas de interrelación en la empresa industrial; b) fortalecer la empresa industrial, mediante la acción unitaria de sus miembros en la gestión y proceso productivo, y su participación en la propiedad del patrimonio empresarial</w:t>
      </w:r>
      <w:r w:rsidR="00275EDE" w:rsidRPr="005D0ACD">
        <w:rPr>
          <w:rFonts w:ascii="Verdana" w:hAnsi="Verdana"/>
          <w:sz w:val="20"/>
          <w:szCs w:val="20"/>
          <w:vertAlign w:val="superscript"/>
          <w:lang w:val="es-MX" w:eastAsia="es-MX"/>
        </w:rPr>
        <w:footnoteReference w:id="32"/>
      </w:r>
      <w:r w:rsidR="00275EDE" w:rsidRPr="00275EDE">
        <w:rPr>
          <w:rFonts w:ascii="Verdana" w:hAnsi="Verdana"/>
          <w:sz w:val="20"/>
          <w:szCs w:val="20"/>
          <w:lang w:val="es-MX" w:eastAsia="es-MX"/>
        </w:rPr>
        <w:t xml:space="preserve">; c) establecer una adecuada y racional distribución de los beneficios entre los </w:t>
      </w:r>
      <w:r w:rsidR="00275EDE" w:rsidRPr="00275EDE">
        <w:rPr>
          <w:rFonts w:ascii="Verdana" w:hAnsi="Verdana"/>
          <w:sz w:val="20"/>
          <w:szCs w:val="20"/>
          <w:lang w:val="es-MX" w:eastAsia="es-MX"/>
        </w:rPr>
        <w:lastRenderedPageBreak/>
        <w:t>inversionistas y trabajadores estables de una empresa industrial; y d) promover la capacitación permanente y el estímulo a la creatividad de los trabajadores de la empresa</w:t>
      </w:r>
      <w:r w:rsidR="00275EDE" w:rsidRPr="005D0ACD">
        <w:rPr>
          <w:rFonts w:ascii="Verdana" w:hAnsi="Verdana"/>
          <w:sz w:val="20"/>
          <w:szCs w:val="20"/>
          <w:vertAlign w:val="superscript"/>
          <w:lang w:val="es-MX" w:eastAsia="es-MX"/>
        </w:rPr>
        <w:footnoteReference w:id="33"/>
      </w:r>
      <w:r w:rsidR="00275EDE" w:rsidRPr="00275EDE">
        <w:rPr>
          <w:rFonts w:ascii="Verdana" w:hAnsi="Verdana"/>
          <w:sz w:val="20"/>
          <w:szCs w:val="20"/>
          <w:lang w:val="es-MX" w:eastAsia="es-MX"/>
        </w:rPr>
        <w:t>.</w:t>
      </w:r>
    </w:p>
    <w:p w14:paraId="04AD29EC" w14:textId="77777777" w:rsidR="00275EDE" w:rsidRPr="00275EDE" w:rsidRDefault="00275EDE" w:rsidP="005D0ACD">
      <w:pPr>
        <w:jc w:val="both"/>
        <w:rPr>
          <w:rFonts w:ascii="Verdana" w:hAnsi="Verdana"/>
          <w:sz w:val="20"/>
          <w:szCs w:val="20"/>
          <w:lang w:val="es-MX" w:eastAsia="es-MX"/>
        </w:rPr>
      </w:pPr>
    </w:p>
    <w:p w14:paraId="022DF29E" w14:textId="6CB9E988" w:rsidR="00275EDE" w:rsidRPr="00275EDE" w:rsidRDefault="007912F7" w:rsidP="00E66DD7">
      <w:pPr>
        <w:pStyle w:val="ListParagraph"/>
        <w:numPr>
          <w:ilvl w:val="0"/>
          <w:numId w:val="1"/>
        </w:numPr>
        <w:ind w:left="0" w:hanging="11"/>
        <w:jc w:val="both"/>
        <w:rPr>
          <w:rFonts w:ascii="Verdana" w:hAnsi="Verdana"/>
          <w:b/>
          <w:sz w:val="20"/>
          <w:szCs w:val="20"/>
        </w:rPr>
      </w:pPr>
      <w:r>
        <w:rPr>
          <w:rFonts w:ascii="Verdana" w:hAnsi="Verdana"/>
          <w:sz w:val="20"/>
          <w:szCs w:val="20"/>
          <w:lang w:val="es-MX" w:eastAsia="es-MX"/>
        </w:rPr>
        <w:t>Asimismo, l</w:t>
      </w:r>
      <w:r w:rsidR="00275EDE" w:rsidRPr="00275EDE">
        <w:rPr>
          <w:rFonts w:ascii="Verdana" w:hAnsi="Verdana"/>
          <w:sz w:val="20"/>
          <w:szCs w:val="20"/>
          <w:lang w:val="es-MX" w:eastAsia="es-MX"/>
        </w:rPr>
        <w:t xml:space="preserve">a Comunidad Industrial constituía un régimen de promoción industrial y laboral </w:t>
      </w:r>
      <w:r w:rsidR="00275EDE" w:rsidRPr="00275EDE">
        <w:rPr>
          <w:rFonts w:ascii="Verdana" w:hAnsi="Verdana"/>
          <w:i/>
          <w:sz w:val="20"/>
          <w:szCs w:val="20"/>
          <w:lang w:val="es-MX" w:eastAsia="es-MX"/>
        </w:rPr>
        <w:t>sui generis</w:t>
      </w:r>
      <w:r w:rsidR="00275EDE" w:rsidRPr="00275EDE">
        <w:rPr>
          <w:rFonts w:ascii="Verdana" w:hAnsi="Verdana"/>
          <w:sz w:val="20"/>
          <w:szCs w:val="20"/>
          <w:lang w:val="es-MX" w:eastAsia="es-MX"/>
        </w:rPr>
        <w:t xml:space="preserve">, aplicable a </w:t>
      </w:r>
      <w:r>
        <w:rPr>
          <w:rFonts w:ascii="Verdana" w:hAnsi="Verdana"/>
          <w:sz w:val="20"/>
          <w:szCs w:val="20"/>
        </w:rPr>
        <w:t>“</w:t>
      </w:r>
      <w:r w:rsidR="00275EDE" w:rsidRPr="00275EDE">
        <w:rPr>
          <w:rFonts w:ascii="Verdana" w:hAnsi="Verdana"/>
          <w:sz w:val="20"/>
          <w:szCs w:val="20"/>
          <w:lang w:val="es-MX" w:eastAsia="es-MX"/>
        </w:rPr>
        <w:t>todas las empresas industriales manufactureras del Sector Privado Reformado, que se regían por la Ley General de Industrias, Decreto-Ley 18350, cualquiera fuera el ámbito administrativo bajo el cual se encontraran comprendidas</w:t>
      </w:r>
      <w:r w:rsidR="00275EDE" w:rsidRPr="00275EDE">
        <w:rPr>
          <w:rFonts w:ascii="Verdana" w:hAnsi="Verdana"/>
          <w:sz w:val="20"/>
          <w:szCs w:val="20"/>
        </w:rPr>
        <w:t>”</w:t>
      </w:r>
      <w:r w:rsidR="00275EDE" w:rsidRPr="005D0ACD">
        <w:rPr>
          <w:rFonts w:ascii="Verdana" w:hAnsi="Verdana"/>
          <w:sz w:val="20"/>
          <w:szCs w:val="20"/>
          <w:vertAlign w:val="superscript"/>
        </w:rPr>
        <w:footnoteReference w:id="34"/>
      </w:r>
      <w:r w:rsidR="00275EDE" w:rsidRPr="00275EDE">
        <w:rPr>
          <w:rFonts w:ascii="Verdana" w:hAnsi="Verdana"/>
          <w:sz w:val="20"/>
          <w:szCs w:val="20"/>
        </w:rPr>
        <w:t xml:space="preserve">. Así, las empresas parte de dicho Sector Privado Reformado tenían la obligación de constituir una Comunidad Industrial. </w:t>
      </w:r>
    </w:p>
    <w:p w14:paraId="37C14D7F" w14:textId="77777777" w:rsidR="00275EDE" w:rsidRPr="00275EDE" w:rsidRDefault="00275EDE" w:rsidP="005D0ACD">
      <w:pPr>
        <w:jc w:val="both"/>
        <w:rPr>
          <w:rFonts w:ascii="Verdana" w:hAnsi="Verdana"/>
          <w:sz w:val="20"/>
          <w:szCs w:val="20"/>
          <w:lang w:val="es-MX" w:eastAsia="es-MX"/>
        </w:rPr>
      </w:pPr>
    </w:p>
    <w:p w14:paraId="0DC6E087" w14:textId="1757272E" w:rsidR="00275EDE" w:rsidRDefault="00A451D6" w:rsidP="00E66DD7">
      <w:pPr>
        <w:pStyle w:val="ListParagraph"/>
        <w:numPr>
          <w:ilvl w:val="0"/>
          <w:numId w:val="1"/>
        </w:numPr>
        <w:ind w:left="0" w:hanging="11"/>
        <w:jc w:val="both"/>
        <w:rPr>
          <w:rFonts w:ascii="Verdana" w:hAnsi="Verdana"/>
          <w:sz w:val="20"/>
          <w:szCs w:val="20"/>
        </w:rPr>
      </w:pPr>
      <w:r>
        <w:rPr>
          <w:rFonts w:ascii="Verdana" w:hAnsi="Verdana"/>
          <w:sz w:val="20"/>
          <w:szCs w:val="20"/>
          <w:lang w:val="es-MX" w:eastAsia="es-MX"/>
        </w:rPr>
        <w:t>Mediante esta figura l</w:t>
      </w:r>
      <w:r w:rsidR="00275EDE" w:rsidRPr="00275EDE">
        <w:rPr>
          <w:rFonts w:ascii="Verdana" w:hAnsi="Verdana"/>
          <w:sz w:val="20"/>
          <w:szCs w:val="20"/>
          <w:lang w:val="es-MX" w:eastAsia="es-MX"/>
        </w:rPr>
        <w:t xml:space="preserve">os trabajadores participaban en la propiedad, gestión y utilidades de la empresa. La dirección y administración de la Comunidad Industrial se encontraba a cargo de la Asamblea General y el Consejo de la Comunidad. </w:t>
      </w:r>
      <w:r w:rsidR="00275EDE" w:rsidRPr="00275EDE">
        <w:rPr>
          <w:rFonts w:ascii="Verdana" w:hAnsi="Verdana"/>
          <w:sz w:val="20"/>
          <w:szCs w:val="20"/>
        </w:rPr>
        <w:t>La Asamblea General se constituía como la autoridad suprema de la Comunidad y estaba conformada por todos los trabajadores</w:t>
      </w:r>
      <w:r w:rsidR="00275EDE" w:rsidRPr="005D0ACD">
        <w:rPr>
          <w:rFonts w:ascii="Verdana" w:hAnsi="Verdana"/>
          <w:sz w:val="20"/>
          <w:szCs w:val="20"/>
          <w:vertAlign w:val="superscript"/>
        </w:rPr>
        <w:footnoteReference w:id="35"/>
      </w:r>
      <w:r w:rsidR="00275EDE" w:rsidRPr="00275EDE">
        <w:rPr>
          <w:rFonts w:ascii="Verdana" w:hAnsi="Verdana"/>
          <w:sz w:val="20"/>
          <w:szCs w:val="20"/>
        </w:rPr>
        <w:t xml:space="preserve">. </w:t>
      </w:r>
    </w:p>
    <w:p w14:paraId="316DD286" w14:textId="77777777" w:rsidR="005D0ACD" w:rsidRPr="00275EDE" w:rsidRDefault="005D0ACD" w:rsidP="005D0ACD">
      <w:pPr>
        <w:pStyle w:val="ListParagraph"/>
        <w:ind w:left="0"/>
        <w:jc w:val="both"/>
        <w:rPr>
          <w:rFonts w:ascii="Verdana" w:hAnsi="Verdana"/>
          <w:sz w:val="20"/>
          <w:szCs w:val="20"/>
        </w:rPr>
      </w:pPr>
    </w:p>
    <w:p w14:paraId="21A047ED" w14:textId="133B023A" w:rsidR="00275EDE" w:rsidRDefault="00275EDE" w:rsidP="00E66DD7">
      <w:pPr>
        <w:pStyle w:val="ListParagraph"/>
        <w:numPr>
          <w:ilvl w:val="0"/>
          <w:numId w:val="1"/>
        </w:numPr>
        <w:ind w:left="0" w:hanging="11"/>
        <w:jc w:val="both"/>
        <w:rPr>
          <w:rFonts w:ascii="Verdana" w:hAnsi="Verdana"/>
          <w:sz w:val="20"/>
          <w:szCs w:val="20"/>
        </w:rPr>
      </w:pPr>
      <w:r w:rsidRPr="00275EDE">
        <w:rPr>
          <w:rFonts w:ascii="Verdana" w:hAnsi="Verdana"/>
          <w:sz w:val="20"/>
          <w:szCs w:val="20"/>
        </w:rPr>
        <w:t>Por su parte, el Consejo de la Comunidad, era el órgano ejecutivo de la Comunidad Industrial</w:t>
      </w:r>
      <w:r w:rsidRPr="005D0ACD">
        <w:rPr>
          <w:rFonts w:ascii="Verdana" w:hAnsi="Verdana"/>
          <w:sz w:val="20"/>
          <w:szCs w:val="20"/>
          <w:vertAlign w:val="superscript"/>
        </w:rPr>
        <w:footnoteReference w:id="36"/>
      </w:r>
      <w:r w:rsidRPr="00275EDE">
        <w:rPr>
          <w:rFonts w:ascii="Verdana" w:hAnsi="Verdana"/>
          <w:sz w:val="20"/>
          <w:szCs w:val="20"/>
        </w:rPr>
        <w:t>. Tenía, entre otras funcion</w:t>
      </w:r>
      <w:r w:rsidR="00E02AC4">
        <w:rPr>
          <w:rFonts w:ascii="Verdana" w:hAnsi="Verdana"/>
          <w:sz w:val="20"/>
          <w:szCs w:val="20"/>
        </w:rPr>
        <w:t>e</w:t>
      </w:r>
      <w:r w:rsidRPr="00275EDE">
        <w:rPr>
          <w:rFonts w:ascii="Verdana" w:hAnsi="Verdana"/>
          <w:sz w:val="20"/>
          <w:szCs w:val="20"/>
        </w:rPr>
        <w:t>s, la de administrar su patrimonio; ejecutar las decisiones de la Asamblea General y velar por el cumplimiento del Estatuto de la Comunidad; asesorar a los representantes de los trabajadores en el Directorio de la empresa y pronunciarse sobre los asuntos que éstos les sometían, debiendo consultarlos a la Asamblea General de ser necesario, y convocar a la Asamblea General. Los miembros del Consejo de la Comunidad no podían desempeñar ni postular a cargo sindical de cualquier naturaleza, mientras durará su mandato</w:t>
      </w:r>
      <w:r w:rsidRPr="005D0ACD">
        <w:rPr>
          <w:rFonts w:ascii="Verdana" w:hAnsi="Verdana"/>
          <w:sz w:val="20"/>
          <w:szCs w:val="20"/>
          <w:vertAlign w:val="superscript"/>
        </w:rPr>
        <w:footnoteReference w:id="37"/>
      </w:r>
      <w:r w:rsidRPr="00275EDE">
        <w:rPr>
          <w:rFonts w:ascii="Verdana" w:hAnsi="Verdana"/>
          <w:sz w:val="20"/>
          <w:szCs w:val="20"/>
        </w:rPr>
        <w:t xml:space="preserve">. </w:t>
      </w:r>
    </w:p>
    <w:p w14:paraId="5C2C33C6" w14:textId="77777777" w:rsidR="005D0ACD" w:rsidRPr="00275EDE" w:rsidRDefault="005D0ACD" w:rsidP="005D0ACD">
      <w:pPr>
        <w:pStyle w:val="ListParagraph"/>
        <w:ind w:left="0"/>
        <w:jc w:val="both"/>
        <w:rPr>
          <w:rFonts w:ascii="Verdana" w:hAnsi="Verdana"/>
          <w:sz w:val="20"/>
          <w:szCs w:val="20"/>
        </w:rPr>
      </w:pPr>
    </w:p>
    <w:p w14:paraId="1CF4215F" w14:textId="6F727FB5" w:rsidR="00275EDE" w:rsidRPr="00275EDE" w:rsidRDefault="00275EDE" w:rsidP="00E66DD7">
      <w:pPr>
        <w:pStyle w:val="ListParagraph"/>
        <w:numPr>
          <w:ilvl w:val="0"/>
          <w:numId w:val="1"/>
        </w:numPr>
        <w:ind w:left="0" w:hanging="11"/>
        <w:jc w:val="both"/>
        <w:rPr>
          <w:rFonts w:ascii="Verdana" w:hAnsi="Verdana"/>
          <w:b/>
          <w:color w:val="000000"/>
          <w:sz w:val="20"/>
          <w:szCs w:val="20"/>
        </w:rPr>
      </w:pPr>
      <w:r w:rsidRPr="00275EDE">
        <w:rPr>
          <w:rFonts w:ascii="Verdana" w:hAnsi="Verdana"/>
          <w:color w:val="000000"/>
          <w:sz w:val="20"/>
          <w:szCs w:val="20"/>
        </w:rPr>
        <w:t xml:space="preserve">Los trabajadores participaban en la gestión empresarial al designar sus representantes para constituir el Directorio de la empresa, compuesto por </w:t>
      </w:r>
      <w:r w:rsidR="000B0E4B">
        <w:rPr>
          <w:rFonts w:ascii="Verdana" w:hAnsi="Verdana"/>
          <w:color w:val="000000"/>
          <w:sz w:val="20"/>
          <w:szCs w:val="20"/>
        </w:rPr>
        <w:t>é</w:t>
      </w:r>
      <w:r w:rsidRPr="00275EDE">
        <w:rPr>
          <w:rFonts w:ascii="Verdana" w:hAnsi="Verdana"/>
          <w:color w:val="000000"/>
          <w:sz w:val="20"/>
          <w:szCs w:val="20"/>
        </w:rPr>
        <w:t>stos y por Directores designados por los titulares de las acciones integrantes del Capital Social. Los Directores que representaban a los trabajadores eran elegidos por el periodo de un año, y podían ser reelegidos por un periodo adicional.</w:t>
      </w:r>
      <w:r w:rsidRPr="00275EDE">
        <w:rPr>
          <w:rFonts w:ascii="Verdana" w:eastAsia="Times New Roman" w:hAnsi="Verdana" w:cs="Arial"/>
          <w:iCs/>
          <w:color w:val="000000"/>
          <w:sz w:val="16"/>
          <w:szCs w:val="16"/>
          <w:lang w:val="es-MX" w:eastAsia="es-CR"/>
        </w:rPr>
        <w:t xml:space="preserve"> </w:t>
      </w:r>
      <w:r w:rsidRPr="00275EDE">
        <w:rPr>
          <w:rFonts w:ascii="Verdana" w:eastAsia="Times New Roman" w:hAnsi="Verdana" w:cs="Arial"/>
          <w:iCs/>
          <w:color w:val="000000"/>
          <w:sz w:val="20"/>
          <w:szCs w:val="20"/>
          <w:lang w:val="es-MX" w:eastAsia="es-CR"/>
        </w:rPr>
        <w:t>Correspondía a los Directores que representaban a los trabajadores igual responsabilidad e iguales derechos que a los demás Directores de la empresa</w:t>
      </w:r>
      <w:r w:rsidRPr="005D0ACD">
        <w:rPr>
          <w:rFonts w:ascii="Verdana" w:hAnsi="Verdana"/>
          <w:color w:val="000000"/>
          <w:sz w:val="20"/>
          <w:szCs w:val="20"/>
          <w:vertAlign w:val="superscript"/>
        </w:rPr>
        <w:footnoteReference w:id="38"/>
      </w:r>
      <w:r w:rsidRPr="00275EDE">
        <w:rPr>
          <w:rFonts w:ascii="Verdana" w:hAnsi="Verdana"/>
          <w:color w:val="000000"/>
          <w:sz w:val="20"/>
          <w:szCs w:val="20"/>
        </w:rPr>
        <w:t xml:space="preserve">.  </w:t>
      </w:r>
    </w:p>
    <w:p w14:paraId="5CB0FDEB" w14:textId="77777777" w:rsidR="00275EDE" w:rsidRPr="00275EDE" w:rsidRDefault="00275EDE" w:rsidP="005D0ACD">
      <w:pPr>
        <w:jc w:val="both"/>
        <w:rPr>
          <w:rFonts w:ascii="Verdana" w:hAnsi="Verdana"/>
          <w:sz w:val="20"/>
          <w:szCs w:val="20"/>
        </w:rPr>
      </w:pPr>
    </w:p>
    <w:p w14:paraId="0D0A1A5C" w14:textId="5E9A455F" w:rsidR="00275EDE" w:rsidRPr="00275EDE" w:rsidRDefault="00275EDE"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t>Según lo dispuesto, los miembros de la Comunidad Industrial tenían derecho a elegir a los representantes de los trabajadores en dicho Directorio</w:t>
      </w:r>
      <w:r w:rsidRPr="005D0ACD">
        <w:rPr>
          <w:rFonts w:ascii="Verdana" w:hAnsi="Verdana"/>
          <w:sz w:val="20"/>
          <w:szCs w:val="20"/>
          <w:vertAlign w:val="superscript"/>
        </w:rPr>
        <w:footnoteReference w:id="39"/>
      </w:r>
      <w:r w:rsidRPr="00275EDE">
        <w:rPr>
          <w:rFonts w:ascii="Verdana" w:hAnsi="Verdana"/>
          <w:sz w:val="20"/>
          <w:szCs w:val="20"/>
        </w:rPr>
        <w:t>, así como a los miembros del Consejo de la Comunidad</w:t>
      </w:r>
      <w:r w:rsidRPr="005D0ACD">
        <w:rPr>
          <w:rFonts w:ascii="Verdana" w:hAnsi="Verdana"/>
          <w:sz w:val="20"/>
          <w:szCs w:val="20"/>
          <w:vertAlign w:val="superscript"/>
        </w:rPr>
        <w:footnoteReference w:id="40"/>
      </w:r>
      <w:r w:rsidRPr="00275EDE">
        <w:rPr>
          <w:rFonts w:ascii="Verdana" w:hAnsi="Verdana"/>
          <w:sz w:val="20"/>
          <w:szCs w:val="20"/>
        </w:rPr>
        <w:t>. Para estos fines, la Asamblea General designaba anualmente un Comité Electoral</w:t>
      </w:r>
      <w:r w:rsidRPr="005D0ACD">
        <w:rPr>
          <w:rFonts w:ascii="Verdana" w:hAnsi="Verdana"/>
          <w:sz w:val="20"/>
          <w:szCs w:val="20"/>
          <w:vertAlign w:val="superscript"/>
        </w:rPr>
        <w:footnoteReference w:id="41"/>
      </w:r>
      <w:r w:rsidRPr="00275EDE">
        <w:rPr>
          <w:rFonts w:ascii="Verdana" w:hAnsi="Verdana"/>
          <w:sz w:val="20"/>
          <w:szCs w:val="20"/>
        </w:rPr>
        <w:t>, el cual se encargaba de llevar a cabo las elecciones de los miembros del Consejo de la Comunidad y de los representantes ante el Directorio de la empresa, para cada periodo</w:t>
      </w:r>
      <w:r w:rsidRPr="005D0ACD">
        <w:rPr>
          <w:rFonts w:ascii="Verdana" w:hAnsi="Verdana"/>
          <w:sz w:val="20"/>
          <w:szCs w:val="20"/>
          <w:vertAlign w:val="superscript"/>
        </w:rPr>
        <w:footnoteReference w:id="42"/>
      </w:r>
      <w:r w:rsidR="00F41D30">
        <w:rPr>
          <w:rFonts w:ascii="Verdana" w:hAnsi="Verdana" w:cs="Arial"/>
          <w:sz w:val="20"/>
          <w:szCs w:val="20"/>
        </w:rPr>
        <w:t>.</w:t>
      </w:r>
      <w:r w:rsidRPr="00275EDE">
        <w:rPr>
          <w:rFonts w:ascii="Verdana" w:hAnsi="Verdana" w:cs="Arial"/>
          <w:b/>
          <w:sz w:val="20"/>
          <w:szCs w:val="20"/>
        </w:rPr>
        <w:t xml:space="preserve"> </w:t>
      </w:r>
      <w:r w:rsidRPr="00275EDE">
        <w:rPr>
          <w:rFonts w:ascii="Verdana" w:hAnsi="Verdana" w:cs="Arial"/>
          <w:sz w:val="20"/>
          <w:szCs w:val="20"/>
        </w:rPr>
        <w:t xml:space="preserve">El Comité también tenía a su cargo llevar a cabo todas aquellas elecciones que fueran </w:t>
      </w:r>
      <w:r w:rsidRPr="00275EDE">
        <w:rPr>
          <w:rFonts w:ascii="Verdana" w:hAnsi="Verdana" w:cs="Arial"/>
          <w:sz w:val="20"/>
          <w:szCs w:val="20"/>
        </w:rPr>
        <w:lastRenderedPageBreak/>
        <w:t>necesarias para elegir a reemplazantes, en casos de renuncia, vacancia o remoción. El Comité estaba compuesto por trabajadores empleados y obreros en proporción a su número total en la empresa</w:t>
      </w:r>
      <w:r w:rsidRPr="005D0ACD">
        <w:rPr>
          <w:rFonts w:ascii="Verdana" w:hAnsi="Verdana"/>
          <w:sz w:val="20"/>
          <w:szCs w:val="20"/>
          <w:vertAlign w:val="superscript"/>
        </w:rPr>
        <w:footnoteReference w:id="43"/>
      </w:r>
      <w:r w:rsidRPr="00275EDE">
        <w:rPr>
          <w:rFonts w:ascii="Verdana" w:hAnsi="Verdana" w:cs="Arial"/>
          <w:sz w:val="20"/>
          <w:szCs w:val="20"/>
        </w:rPr>
        <w:t>.</w:t>
      </w:r>
    </w:p>
    <w:p w14:paraId="57A1E3CF" w14:textId="77777777" w:rsidR="00275EDE" w:rsidRPr="00275EDE" w:rsidRDefault="00275EDE" w:rsidP="005D0ACD">
      <w:pPr>
        <w:jc w:val="both"/>
        <w:rPr>
          <w:rFonts w:ascii="Verdana" w:hAnsi="Verdana" w:cs="Arial"/>
          <w:sz w:val="20"/>
          <w:szCs w:val="20"/>
        </w:rPr>
      </w:pPr>
    </w:p>
    <w:p w14:paraId="78AD525D" w14:textId="227E6390" w:rsidR="00275EDE" w:rsidRPr="00275EDE" w:rsidRDefault="00275EDE" w:rsidP="00E66DD7">
      <w:pPr>
        <w:pStyle w:val="ListParagraph"/>
        <w:numPr>
          <w:ilvl w:val="0"/>
          <w:numId w:val="1"/>
        </w:numPr>
        <w:ind w:left="0" w:hanging="11"/>
        <w:jc w:val="both"/>
        <w:rPr>
          <w:rFonts w:ascii="Verdana" w:hAnsi="Verdana"/>
          <w:b/>
          <w:sz w:val="20"/>
          <w:szCs w:val="20"/>
        </w:rPr>
      </w:pPr>
      <w:r w:rsidRPr="00275EDE">
        <w:rPr>
          <w:rFonts w:ascii="Verdana" w:hAnsi="Verdana" w:cs="Arial"/>
          <w:sz w:val="20"/>
          <w:szCs w:val="20"/>
        </w:rPr>
        <w:t xml:space="preserve">En el caso particular de </w:t>
      </w:r>
      <w:proofErr w:type="spellStart"/>
      <w:r w:rsidRPr="00275EDE">
        <w:rPr>
          <w:rFonts w:ascii="Verdana" w:hAnsi="Verdana" w:cs="Arial"/>
          <w:sz w:val="20"/>
          <w:szCs w:val="20"/>
        </w:rPr>
        <w:t>Ceper-Pirelli</w:t>
      </w:r>
      <w:proofErr w:type="spellEnd"/>
      <w:r w:rsidRPr="00275EDE">
        <w:rPr>
          <w:rFonts w:ascii="Verdana" w:hAnsi="Verdana" w:cs="Arial"/>
          <w:sz w:val="20"/>
          <w:szCs w:val="20"/>
        </w:rPr>
        <w:t xml:space="preserve"> S.A., el Comité Electoral para el periodo de 1988-1989 se encontraba integrado por cinco personas, dos de ellas eran </w:t>
      </w:r>
      <w:r w:rsidRPr="00787FF6">
        <w:rPr>
          <w:rFonts w:ascii="Verdana" w:hAnsi="Verdana" w:cs="Arial"/>
          <w:sz w:val="20"/>
          <w:szCs w:val="20"/>
        </w:rPr>
        <w:t>empleadas y ocupaban los cargos de Secretaria y 1</w:t>
      </w:r>
      <w:r w:rsidR="002C7E4F">
        <w:rPr>
          <w:rFonts w:ascii="Verdana" w:hAnsi="Verdana" w:cs="Arial"/>
          <w:sz w:val="20"/>
          <w:szCs w:val="20"/>
        </w:rPr>
        <w:t>er</w:t>
      </w:r>
      <w:r w:rsidRPr="00787FF6">
        <w:rPr>
          <w:rFonts w:ascii="Verdana" w:hAnsi="Verdana" w:cs="Arial"/>
          <w:sz w:val="20"/>
          <w:szCs w:val="20"/>
        </w:rPr>
        <w:t xml:space="preserve"> Vocal</w:t>
      </w:r>
      <w:r w:rsidRPr="00787FF6">
        <w:rPr>
          <w:rFonts w:ascii="Verdana" w:hAnsi="Verdana"/>
          <w:sz w:val="20"/>
          <w:szCs w:val="20"/>
          <w:vertAlign w:val="superscript"/>
        </w:rPr>
        <w:footnoteReference w:id="44"/>
      </w:r>
      <w:r w:rsidRPr="00787FF6">
        <w:rPr>
          <w:rFonts w:ascii="Verdana" w:hAnsi="Verdana" w:cs="Arial"/>
          <w:sz w:val="20"/>
          <w:szCs w:val="20"/>
        </w:rPr>
        <w:t>, y tres obreros</w:t>
      </w:r>
      <w:r w:rsidRPr="00787FF6">
        <w:rPr>
          <w:rFonts w:ascii="Verdana" w:hAnsi="Verdana"/>
          <w:sz w:val="20"/>
          <w:szCs w:val="20"/>
          <w:vertAlign w:val="superscript"/>
        </w:rPr>
        <w:footnoteReference w:id="45"/>
      </w:r>
      <w:r w:rsidR="002C7E4F">
        <w:rPr>
          <w:rFonts w:ascii="Verdana" w:hAnsi="Verdana" w:cs="Arial"/>
          <w:sz w:val="20"/>
          <w:szCs w:val="20"/>
        </w:rPr>
        <w:t>. Como representante obrero</w:t>
      </w:r>
      <w:r w:rsidR="002C7E4F" w:rsidRPr="002C7E4F">
        <w:rPr>
          <w:rFonts w:ascii="Verdana" w:hAnsi="Verdana" w:cs="Arial"/>
          <w:sz w:val="20"/>
          <w:szCs w:val="20"/>
        </w:rPr>
        <w:t>,</w:t>
      </w:r>
      <w:r w:rsidRPr="00CB5A95">
        <w:rPr>
          <w:rFonts w:ascii="Verdana" w:hAnsi="Verdana"/>
          <w:sz w:val="20"/>
        </w:rPr>
        <w:t xml:space="preserve"> </w:t>
      </w:r>
      <w:r w:rsidR="002C7E4F" w:rsidRPr="00CB5A95">
        <w:rPr>
          <w:rFonts w:ascii="Verdana" w:hAnsi="Verdana" w:cs="Arial"/>
          <w:sz w:val="20"/>
          <w:szCs w:val="20"/>
        </w:rPr>
        <w:t xml:space="preserve">se encontraba </w:t>
      </w:r>
      <w:r w:rsidRPr="00CB5A95">
        <w:rPr>
          <w:rFonts w:ascii="Verdana" w:hAnsi="Verdana"/>
          <w:sz w:val="20"/>
        </w:rPr>
        <w:t>el señor Lagos del Campo</w:t>
      </w:r>
      <w:r w:rsidR="002C7E4F" w:rsidRPr="00CB5A95">
        <w:rPr>
          <w:rFonts w:ascii="Verdana" w:hAnsi="Verdana"/>
          <w:sz w:val="20"/>
          <w:szCs w:val="20"/>
        </w:rPr>
        <w:t>, quien además</w:t>
      </w:r>
      <w:r w:rsidRPr="00CB5A95">
        <w:rPr>
          <w:rFonts w:ascii="Verdana" w:hAnsi="Verdana"/>
          <w:sz w:val="20"/>
        </w:rPr>
        <w:t xml:space="preserve"> ocupaba el cargo de Presidente del Comité Electoral.</w:t>
      </w:r>
      <w:r w:rsidRPr="00275EDE">
        <w:rPr>
          <w:rFonts w:ascii="Verdana" w:hAnsi="Verdana"/>
          <w:sz w:val="20"/>
          <w:szCs w:val="20"/>
        </w:rPr>
        <w:t xml:space="preserve"> Las elecciones para designar a los miembros del Comité Electoral se realizaban en un solo día, sin afectar las horas de trabajo, siguiendo el procedimiento señalado en el reglamento, es decir, mediante voto personal, secreto, universal y obligatorio</w:t>
      </w:r>
      <w:r w:rsidRPr="005D0ACD">
        <w:rPr>
          <w:rFonts w:ascii="Verdana" w:hAnsi="Verdana"/>
          <w:sz w:val="20"/>
          <w:szCs w:val="20"/>
          <w:vertAlign w:val="superscript"/>
        </w:rPr>
        <w:footnoteReference w:id="46"/>
      </w:r>
      <w:r w:rsidRPr="00275EDE">
        <w:rPr>
          <w:rFonts w:ascii="Verdana" w:hAnsi="Verdana"/>
          <w:sz w:val="20"/>
          <w:szCs w:val="20"/>
        </w:rPr>
        <w:t xml:space="preserve">. </w:t>
      </w:r>
    </w:p>
    <w:p w14:paraId="2C3DB5A5" w14:textId="77777777" w:rsidR="00275EDE" w:rsidRPr="00275EDE" w:rsidRDefault="00275EDE" w:rsidP="005D0ACD">
      <w:pPr>
        <w:jc w:val="both"/>
        <w:rPr>
          <w:rFonts w:ascii="Verdana" w:hAnsi="Verdana"/>
          <w:b/>
          <w:sz w:val="20"/>
          <w:szCs w:val="20"/>
        </w:rPr>
      </w:pPr>
    </w:p>
    <w:p w14:paraId="7FFBA36B" w14:textId="16DEDB44" w:rsidR="0073406A" w:rsidRPr="0073406A" w:rsidRDefault="0073406A" w:rsidP="00E66DD7">
      <w:pPr>
        <w:pStyle w:val="ListParagraph"/>
        <w:numPr>
          <w:ilvl w:val="0"/>
          <w:numId w:val="1"/>
        </w:numPr>
        <w:ind w:left="0" w:hanging="11"/>
        <w:jc w:val="both"/>
        <w:rPr>
          <w:rFonts w:ascii="Verdana" w:hAnsi="Verdana"/>
          <w:b/>
          <w:sz w:val="20"/>
          <w:szCs w:val="20"/>
        </w:rPr>
      </w:pPr>
      <w:r w:rsidRPr="0073406A">
        <w:rPr>
          <w:rFonts w:ascii="Verdana" w:hAnsi="Verdana"/>
          <w:sz w:val="20"/>
          <w:szCs w:val="20"/>
          <w:lang w:val="es-MX"/>
        </w:rPr>
        <w:t>En la época de los hechos, las Comunidades Industriales y los sindicatos se regían por regímenes distintos. En particular, por mandato expreso de la ley, en la Comunidad Industrial la permanencia del trabajador dependía de la existencia de la empresa industrial y su estabilidad laboral, mientras que en el caso de los sindicatos, su constitución era más bien voluntaria y sujeta a la decisión de los trabajadores que quisieran defender sus intereses ante el empleador. Además, la composición, el financiamiento, y las formalidades de creación de esos dos regímenes eran diferentes. En particular, tenían objetivos diferentes. Por una parte, la Comunidad Industrial tenía por objetivo permitir la participación de los trabajadores en la propiedad, gestión y utilidades de la empresa industrial</w:t>
      </w:r>
      <w:r w:rsidRPr="0073406A">
        <w:rPr>
          <w:rFonts w:ascii="Verdana" w:hAnsi="Verdana"/>
          <w:sz w:val="20"/>
          <w:szCs w:val="20"/>
          <w:vertAlign w:val="superscript"/>
          <w:lang w:val="es-MX"/>
        </w:rPr>
        <w:footnoteReference w:id="47"/>
      </w:r>
      <w:r w:rsidRPr="0073406A">
        <w:rPr>
          <w:rFonts w:ascii="Verdana" w:hAnsi="Verdana"/>
          <w:sz w:val="20"/>
          <w:szCs w:val="20"/>
          <w:lang w:val="es-MX"/>
        </w:rPr>
        <w:t>. Por su parte, el sindicato tenía por objetivo la defensa de los derechos e interés socioeconómicos y profesionales de los trabajadores</w:t>
      </w:r>
      <w:r w:rsidRPr="0073406A">
        <w:rPr>
          <w:rFonts w:ascii="Verdana" w:hAnsi="Verdana"/>
          <w:sz w:val="20"/>
          <w:szCs w:val="20"/>
          <w:vertAlign w:val="superscript"/>
          <w:lang w:val="es-MX"/>
        </w:rPr>
        <w:footnoteReference w:id="48"/>
      </w:r>
      <w:r w:rsidRPr="0073406A">
        <w:rPr>
          <w:rFonts w:ascii="Verdana" w:hAnsi="Verdana"/>
          <w:sz w:val="20"/>
          <w:szCs w:val="20"/>
          <w:lang w:val="es-MX"/>
        </w:rPr>
        <w:t xml:space="preserve">. No obstante, acorde con los peritajes del caso, en ambos supuestos los </w:t>
      </w:r>
      <w:r w:rsidRPr="0073406A">
        <w:rPr>
          <w:rFonts w:ascii="Verdana" w:hAnsi="Verdana"/>
          <w:sz w:val="20"/>
          <w:szCs w:val="20"/>
          <w:lang w:val="es-MX"/>
        </w:rPr>
        <w:lastRenderedPageBreak/>
        <w:t>representantes de los trabajadores figuraban el interés sectorial de éste grupo frente al empleador</w:t>
      </w:r>
      <w:r w:rsidRPr="0073406A">
        <w:rPr>
          <w:rFonts w:ascii="Verdana" w:hAnsi="Verdana"/>
          <w:sz w:val="20"/>
          <w:szCs w:val="20"/>
          <w:vertAlign w:val="superscript"/>
          <w:lang w:val="es-MX"/>
        </w:rPr>
        <w:footnoteReference w:id="49"/>
      </w:r>
      <w:r w:rsidRPr="0073406A">
        <w:rPr>
          <w:rFonts w:ascii="Verdana" w:hAnsi="Verdana"/>
          <w:sz w:val="20"/>
          <w:szCs w:val="20"/>
          <w:lang w:val="es-MX"/>
        </w:rPr>
        <w:t xml:space="preserve">. </w:t>
      </w:r>
    </w:p>
    <w:p w14:paraId="0D89760E" w14:textId="31D24687" w:rsidR="00275EDE" w:rsidRPr="00275EDE" w:rsidRDefault="00275EDE">
      <w:pPr>
        <w:jc w:val="both"/>
        <w:rPr>
          <w:rFonts w:ascii="Verdana" w:hAnsi="Verdana"/>
          <w:b/>
          <w:sz w:val="20"/>
          <w:szCs w:val="20"/>
        </w:rPr>
      </w:pPr>
    </w:p>
    <w:p w14:paraId="6D829F05" w14:textId="7D1EE449" w:rsidR="00275EDE" w:rsidRPr="00275EDE" w:rsidRDefault="00275EDE" w:rsidP="00E66DD7">
      <w:pPr>
        <w:pStyle w:val="Heading2"/>
        <w:numPr>
          <w:ilvl w:val="0"/>
          <w:numId w:val="12"/>
        </w:numPr>
        <w:jc w:val="both"/>
        <w:rPr>
          <w:rFonts w:eastAsia="MS Gothic"/>
          <w:i/>
          <w:iCs/>
          <w:szCs w:val="20"/>
        </w:rPr>
      </w:pPr>
      <w:bookmarkStart w:id="19" w:name="_Toc498333484"/>
      <w:r w:rsidRPr="00275EDE">
        <w:rPr>
          <w:rFonts w:eastAsia="MS Gothic"/>
          <w:i/>
          <w:iCs/>
          <w:szCs w:val="20"/>
        </w:rPr>
        <w:t>Antecedentes, funciones y competencias del señor Lagos del Campo como</w:t>
      </w:r>
      <w:r w:rsidR="00717715">
        <w:rPr>
          <w:rFonts w:eastAsia="MS Gothic"/>
          <w:i/>
          <w:iCs/>
          <w:szCs w:val="20"/>
        </w:rPr>
        <w:t xml:space="preserve"> </w:t>
      </w:r>
      <w:r w:rsidR="00D9489E">
        <w:rPr>
          <w:rFonts w:eastAsia="MS Gothic"/>
          <w:i/>
          <w:iCs/>
          <w:szCs w:val="20"/>
        </w:rPr>
        <w:t>Presidente del Comité Electoral de la Comunidad Industrial</w:t>
      </w:r>
      <w:bookmarkEnd w:id="19"/>
      <w:r w:rsidR="00D9489E">
        <w:rPr>
          <w:rFonts w:eastAsia="MS Gothic"/>
          <w:i/>
          <w:iCs/>
          <w:szCs w:val="20"/>
        </w:rPr>
        <w:t xml:space="preserve"> </w:t>
      </w:r>
    </w:p>
    <w:p w14:paraId="471B7BE7" w14:textId="77777777" w:rsidR="00275EDE" w:rsidRPr="00275EDE" w:rsidRDefault="00275EDE" w:rsidP="00275EDE">
      <w:pPr>
        <w:jc w:val="both"/>
        <w:rPr>
          <w:rFonts w:ascii="Verdana" w:hAnsi="Verdana"/>
          <w:b/>
          <w:sz w:val="20"/>
          <w:szCs w:val="20"/>
        </w:rPr>
      </w:pPr>
    </w:p>
    <w:p w14:paraId="3D870195" w14:textId="4250AAE4" w:rsidR="005D0F69" w:rsidRPr="0073406A" w:rsidRDefault="005D0F69" w:rsidP="00E66DD7">
      <w:pPr>
        <w:pStyle w:val="ListParagraph"/>
        <w:numPr>
          <w:ilvl w:val="0"/>
          <w:numId w:val="1"/>
        </w:numPr>
        <w:ind w:left="0" w:hanging="11"/>
        <w:jc w:val="both"/>
        <w:rPr>
          <w:rFonts w:ascii="Verdana" w:hAnsi="Verdana"/>
          <w:b/>
          <w:sz w:val="20"/>
          <w:szCs w:val="20"/>
        </w:rPr>
      </w:pPr>
      <w:r w:rsidRPr="0073406A">
        <w:rPr>
          <w:rFonts w:ascii="Verdana" w:hAnsi="Verdana"/>
          <w:sz w:val="20"/>
          <w:szCs w:val="20"/>
        </w:rPr>
        <w:t>El señor Lagos del Campo nació el 21 de febrero de 1939. Es padre de 14 hijos junto con su esposa Teresa Gonzáles Cornejo</w:t>
      </w:r>
      <w:r w:rsidRPr="0073406A">
        <w:rPr>
          <w:rStyle w:val="FootnoteReference"/>
          <w:szCs w:val="20"/>
        </w:rPr>
        <w:footnoteReference w:id="50"/>
      </w:r>
      <w:r w:rsidRPr="0073406A">
        <w:rPr>
          <w:rFonts w:ascii="Verdana" w:hAnsi="Verdana"/>
          <w:sz w:val="20"/>
          <w:szCs w:val="20"/>
        </w:rPr>
        <w:t>. El 12 de julio de 1976 el señor Lagos del Campo empezó a trabajar en calidad de obrero,</w:t>
      </w:r>
      <w:r w:rsidR="00F41D30">
        <w:rPr>
          <w:rFonts w:ascii="Verdana" w:hAnsi="Verdana"/>
          <w:sz w:val="20"/>
          <w:szCs w:val="20"/>
        </w:rPr>
        <w:t xml:space="preserve"> </w:t>
      </w:r>
      <w:r w:rsidRPr="0073406A">
        <w:rPr>
          <w:rFonts w:ascii="Verdana" w:hAnsi="Verdana"/>
          <w:sz w:val="20"/>
          <w:szCs w:val="20"/>
        </w:rPr>
        <w:t xml:space="preserve">como operario electricista en el departamento de mantenimiento de la empresa Conductores Eléctricos Peruanos </w:t>
      </w:r>
      <w:proofErr w:type="spellStart"/>
      <w:r w:rsidRPr="0073406A">
        <w:rPr>
          <w:rFonts w:ascii="Verdana" w:hAnsi="Verdana"/>
          <w:sz w:val="20"/>
          <w:szCs w:val="20"/>
        </w:rPr>
        <w:t>Ceper-Pirelli</w:t>
      </w:r>
      <w:proofErr w:type="spellEnd"/>
      <w:r w:rsidRPr="0073406A">
        <w:rPr>
          <w:rFonts w:ascii="Verdana" w:hAnsi="Verdana"/>
          <w:sz w:val="20"/>
          <w:szCs w:val="20"/>
        </w:rPr>
        <w:t xml:space="preserve"> S.A.</w:t>
      </w:r>
      <w:r w:rsidRPr="0073406A">
        <w:rPr>
          <w:rFonts w:ascii="Verdana" w:hAnsi="Verdana"/>
          <w:sz w:val="20"/>
          <w:szCs w:val="20"/>
          <w:vertAlign w:val="superscript"/>
        </w:rPr>
        <w:footnoteReference w:id="51"/>
      </w:r>
      <w:r w:rsidRPr="0073406A">
        <w:rPr>
          <w:rFonts w:ascii="Verdana" w:hAnsi="Verdana"/>
          <w:sz w:val="20"/>
          <w:szCs w:val="20"/>
        </w:rPr>
        <w:t xml:space="preserve">.  </w:t>
      </w:r>
    </w:p>
    <w:p w14:paraId="67C2D12F" w14:textId="77777777" w:rsidR="00275EDE" w:rsidRPr="00275EDE" w:rsidRDefault="00275EDE" w:rsidP="009C6F8E">
      <w:pPr>
        <w:jc w:val="both"/>
        <w:rPr>
          <w:rFonts w:ascii="Verdana" w:hAnsi="Verdana"/>
          <w:b/>
          <w:sz w:val="20"/>
          <w:szCs w:val="20"/>
        </w:rPr>
      </w:pPr>
    </w:p>
    <w:p w14:paraId="37DFEF70" w14:textId="60269557" w:rsidR="00275EDE" w:rsidRPr="00CB5A95" w:rsidRDefault="00275EDE"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t>El señor Lagos del Campo se desempeñó como dirigente sindical y como dirigente laboral de la empresa</w:t>
      </w:r>
      <w:r w:rsidR="004F3EAC">
        <w:rPr>
          <w:rFonts w:ascii="Verdana" w:hAnsi="Verdana"/>
          <w:sz w:val="20"/>
          <w:szCs w:val="20"/>
        </w:rPr>
        <w:t xml:space="preserve"> </w:t>
      </w:r>
      <w:proofErr w:type="spellStart"/>
      <w:r w:rsidR="004F3EAC">
        <w:rPr>
          <w:rFonts w:ascii="Verdana" w:hAnsi="Verdana"/>
          <w:sz w:val="20"/>
          <w:szCs w:val="20"/>
        </w:rPr>
        <w:t>Ceper-Pirelli</w:t>
      </w:r>
      <w:proofErr w:type="spellEnd"/>
      <w:r w:rsidR="004F3EAC">
        <w:rPr>
          <w:rFonts w:ascii="Verdana" w:hAnsi="Verdana"/>
          <w:sz w:val="20"/>
          <w:szCs w:val="20"/>
        </w:rPr>
        <w:t xml:space="preserve"> S.A.</w:t>
      </w:r>
      <w:r w:rsidRPr="00275EDE">
        <w:rPr>
          <w:rFonts w:ascii="Verdana" w:hAnsi="Verdana"/>
          <w:sz w:val="20"/>
          <w:szCs w:val="20"/>
        </w:rPr>
        <w:t xml:space="preserve"> Ocupó diversos cargos de dirección dentro del Sindicato de Trabajadores </w:t>
      </w:r>
      <w:proofErr w:type="spellStart"/>
      <w:r w:rsidRPr="00275EDE">
        <w:rPr>
          <w:rFonts w:ascii="Verdana" w:hAnsi="Verdana"/>
          <w:sz w:val="20"/>
          <w:szCs w:val="20"/>
        </w:rPr>
        <w:t>Ceper-Pirelli</w:t>
      </w:r>
      <w:proofErr w:type="spellEnd"/>
      <w:r w:rsidRPr="00275EDE">
        <w:rPr>
          <w:rFonts w:ascii="Verdana" w:hAnsi="Verdana"/>
          <w:sz w:val="20"/>
          <w:szCs w:val="20"/>
        </w:rPr>
        <w:t>, fungió como Secretario de Defensa en dos períodos (1982-1983 y 1985-1986), y como Secretario General en uno (1983-1984)</w:t>
      </w:r>
      <w:r w:rsidRPr="00275EDE">
        <w:rPr>
          <w:rFonts w:ascii="Verdana" w:hAnsi="Verdana"/>
          <w:sz w:val="20"/>
          <w:szCs w:val="20"/>
          <w:vertAlign w:val="superscript"/>
        </w:rPr>
        <w:footnoteReference w:id="52"/>
      </w:r>
      <w:r w:rsidRPr="00275EDE">
        <w:rPr>
          <w:rFonts w:ascii="Verdana" w:hAnsi="Verdana" w:cs="Arial"/>
          <w:sz w:val="20"/>
          <w:szCs w:val="20"/>
        </w:rPr>
        <w:t>.</w:t>
      </w:r>
      <w:r w:rsidR="00F41D30">
        <w:rPr>
          <w:rFonts w:ascii="Verdana" w:hAnsi="Verdana" w:cs="Arial"/>
          <w:sz w:val="20"/>
          <w:szCs w:val="20"/>
        </w:rPr>
        <w:t xml:space="preserve"> </w:t>
      </w:r>
      <w:r w:rsidRPr="00275EDE">
        <w:rPr>
          <w:rFonts w:ascii="Verdana" w:hAnsi="Verdana"/>
          <w:sz w:val="20"/>
          <w:szCs w:val="20"/>
        </w:rPr>
        <w:t xml:space="preserve">Como trabajador estable de la empresa y de conformidad con el </w:t>
      </w:r>
      <w:r w:rsidRPr="00275EDE">
        <w:rPr>
          <w:rFonts w:ascii="Verdana" w:hAnsi="Verdana"/>
          <w:color w:val="000000"/>
          <w:sz w:val="20"/>
          <w:szCs w:val="20"/>
        </w:rPr>
        <w:t xml:space="preserve">Decreto-Ley 21789, el señor Lagos del Campo también formaba parte de la Comunidad Industrial de la empresa, donde </w:t>
      </w:r>
      <w:r w:rsidR="00C86725">
        <w:rPr>
          <w:rFonts w:ascii="Verdana" w:hAnsi="Verdana"/>
          <w:color w:val="000000"/>
          <w:sz w:val="20"/>
          <w:szCs w:val="20"/>
        </w:rPr>
        <w:t>fue elegido por la Asamblea General como miembro del Comité Electoral</w:t>
      </w:r>
      <w:r w:rsidRPr="00275EDE">
        <w:rPr>
          <w:rFonts w:ascii="Verdana" w:hAnsi="Verdana"/>
          <w:color w:val="000000"/>
          <w:sz w:val="20"/>
          <w:szCs w:val="20"/>
        </w:rPr>
        <w:t>. En el per</w:t>
      </w:r>
      <w:r w:rsidR="00E72D85">
        <w:rPr>
          <w:rFonts w:ascii="Verdana" w:hAnsi="Verdana"/>
          <w:color w:val="000000"/>
          <w:sz w:val="20"/>
          <w:szCs w:val="20"/>
        </w:rPr>
        <w:t>í</w:t>
      </w:r>
      <w:r w:rsidRPr="00275EDE">
        <w:rPr>
          <w:rFonts w:ascii="Verdana" w:hAnsi="Verdana"/>
          <w:color w:val="000000"/>
          <w:sz w:val="20"/>
          <w:szCs w:val="20"/>
        </w:rPr>
        <w:t>odo 1988-1989 ocupó el cargo de Presidente del Comité Electoral de la Comunidad Industrial</w:t>
      </w:r>
      <w:r w:rsidRPr="00275EDE">
        <w:rPr>
          <w:rFonts w:ascii="Verdana" w:hAnsi="Verdana"/>
          <w:color w:val="000000"/>
          <w:sz w:val="20"/>
          <w:szCs w:val="20"/>
          <w:vertAlign w:val="superscript"/>
        </w:rPr>
        <w:footnoteReference w:id="53"/>
      </w:r>
      <w:r w:rsidRPr="00275EDE">
        <w:rPr>
          <w:rFonts w:ascii="Verdana" w:hAnsi="Verdana"/>
          <w:color w:val="000000"/>
          <w:sz w:val="20"/>
          <w:szCs w:val="20"/>
        </w:rPr>
        <w:t>, entidad encargada de llevar a cabo las elecciones de los miembros del</w:t>
      </w:r>
      <w:r w:rsidRPr="00275EDE">
        <w:rPr>
          <w:rFonts w:ascii="Verdana" w:hAnsi="Verdana"/>
          <w:sz w:val="20"/>
          <w:szCs w:val="20"/>
        </w:rPr>
        <w:t xml:space="preserve"> Consejo </w:t>
      </w:r>
      <w:r w:rsidRPr="00EB7A3B">
        <w:rPr>
          <w:rFonts w:ascii="Verdana" w:hAnsi="Verdana"/>
          <w:sz w:val="20"/>
          <w:szCs w:val="20"/>
        </w:rPr>
        <w:t>de la Comunidad y de los Representantes ante el Directorio de la empresa (</w:t>
      </w:r>
      <w:r w:rsidR="00224537" w:rsidRPr="00224537">
        <w:rPr>
          <w:rFonts w:ascii="Verdana" w:hAnsi="Verdana"/>
          <w:i/>
          <w:sz w:val="20"/>
          <w:szCs w:val="20"/>
        </w:rPr>
        <w:t>supra</w:t>
      </w:r>
      <w:r w:rsidR="00CC7C1E">
        <w:rPr>
          <w:rFonts w:ascii="Verdana" w:hAnsi="Verdana"/>
          <w:i/>
          <w:sz w:val="20"/>
          <w:szCs w:val="20"/>
        </w:rPr>
        <w:t xml:space="preserve"> </w:t>
      </w:r>
      <w:r w:rsidR="00CC7C1E" w:rsidRPr="00333304">
        <w:rPr>
          <w:rFonts w:ascii="Verdana" w:hAnsi="Verdana"/>
          <w:sz w:val="20"/>
          <w:szCs w:val="20"/>
        </w:rPr>
        <w:t>párr.</w:t>
      </w:r>
      <w:r w:rsidRPr="00333304">
        <w:rPr>
          <w:rFonts w:ascii="Verdana" w:hAnsi="Verdana"/>
          <w:sz w:val="20"/>
          <w:szCs w:val="20"/>
        </w:rPr>
        <w:t xml:space="preserve"> </w:t>
      </w:r>
      <w:r w:rsidR="00D02C92" w:rsidRPr="00333304">
        <w:rPr>
          <w:rFonts w:ascii="Verdana" w:hAnsi="Verdana"/>
          <w:sz w:val="20"/>
          <w:szCs w:val="20"/>
        </w:rPr>
        <w:t>43</w:t>
      </w:r>
      <w:r w:rsidRPr="00CB5A95">
        <w:rPr>
          <w:rFonts w:ascii="Verdana" w:hAnsi="Verdana"/>
          <w:sz w:val="20"/>
          <w:szCs w:val="20"/>
        </w:rPr>
        <w:t>).</w:t>
      </w:r>
    </w:p>
    <w:p w14:paraId="24F15CBA" w14:textId="77777777" w:rsidR="00275EDE" w:rsidRPr="00CB5A95" w:rsidRDefault="00275EDE" w:rsidP="009C6F8E">
      <w:pPr>
        <w:jc w:val="both"/>
        <w:rPr>
          <w:rFonts w:ascii="Verdana" w:hAnsi="Verdana"/>
          <w:b/>
          <w:sz w:val="20"/>
          <w:szCs w:val="20"/>
        </w:rPr>
      </w:pPr>
    </w:p>
    <w:p w14:paraId="5A7F1885" w14:textId="4B5A8A81" w:rsidR="00275EDE" w:rsidRPr="00CB5A95" w:rsidRDefault="00275EDE" w:rsidP="00E66DD7">
      <w:pPr>
        <w:pStyle w:val="ListParagraph"/>
        <w:numPr>
          <w:ilvl w:val="0"/>
          <w:numId w:val="1"/>
        </w:numPr>
        <w:ind w:left="0" w:hanging="11"/>
        <w:jc w:val="both"/>
        <w:rPr>
          <w:rFonts w:eastAsiaTheme="minorHAnsi"/>
          <w:b/>
          <w:sz w:val="20"/>
          <w:szCs w:val="20"/>
          <w:lang w:val="es-EC"/>
        </w:rPr>
      </w:pPr>
      <w:r w:rsidRPr="00CB5A95">
        <w:rPr>
          <w:rFonts w:ascii="Verdana" w:hAnsi="Verdana"/>
          <w:color w:val="000000"/>
          <w:sz w:val="20"/>
          <w:szCs w:val="20"/>
        </w:rPr>
        <w:t xml:space="preserve">El 26 de abril de 1989 Alfredo Lagos del Campo, en su condición de Presidente del Comité Electoral de la Comunidad Industrial y delegado pleno ante la </w:t>
      </w:r>
      <w:r w:rsidR="00C86725" w:rsidRPr="00CB5A95">
        <w:rPr>
          <w:rFonts w:ascii="Verdana" w:hAnsi="Verdana"/>
          <w:sz w:val="20"/>
          <w:szCs w:val="20"/>
          <w:lang w:val="es-CR"/>
        </w:rPr>
        <w:t>Confederación Nacional de Comunidades Industriales</w:t>
      </w:r>
      <w:r w:rsidR="00C86725" w:rsidRPr="00CB5A95" w:rsidDel="00C86725">
        <w:rPr>
          <w:rFonts w:ascii="Verdana" w:hAnsi="Verdana"/>
          <w:color w:val="000000"/>
          <w:sz w:val="20"/>
          <w:szCs w:val="20"/>
        </w:rPr>
        <w:t xml:space="preserve"> </w:t>
      </w:r>
      <w:r w:rsidRPr="00CB5A95">
        <w:rPr>
          <w:rFonts w:ascii="Verdana" w:hAnsi="Verdana"/>
          <w:color w:val="000000"/>
          <w:sz w:val="20"/>
          <w:szCs w:val="20"/>
        </w:rPr>
        <w:t>(</w:t>
      </w:r>
      <w:r w:rsidR="00C86725" w:rsidRPr="00CB5A95">
        <w:rPr>
          <w:rFonts w:ascii="Verdana" w:hAnsi="Verdana"/>
          <w:color w:val="000000"/>
          <w:sz w:val="20"/>
          <w:szCs w:val="20"/>
        </w:rPr>
        <w:t xml:space="preserve">en adelante </w:t>
      </w:r>
      <w:r w:rsidRPr="00CB5A95">
        <w:rPr>
          <w:rFonts w:ascii="Verdana" w:hAnsi="Verdana"/>
          <w:color w:val="000000"/>
          <w:sz w:val="20"/>
          <w:szCs w:val="20"/>
        </w:rPr>
        <w:t>CONACI) denunció ante la Dirección General de Participación del Ministerio de Industria irregularidades en la convocatoria a elecciones de los miembros del Consejo de la Comunidad Industrial y de los represen</w:t>
      </w:r>
      <w:r w:rsidRPr="00CB5A95">
        <w:rPr>
          <w:rFonts w:ascii="Verdana" w:hAnsi="Verdana"/>
          <w:sz w:val="20"/>
          <w:szCs w:val="20"/>
        </w:rPr>
        <w:t>tantes de los trabajadores en el Directorio de la empresa</w:t>
      </w:r>
      <w:r w:rsidR="000D6F59">
        <w:rPr>
          <w:rFonts w:ascii="Verdana" w:hAnsi="Verdana"/>
          <w:sz w:val="20"/>
          <w:szCs w:val="20"/>
        </w:rPr>
        <w:t>,</w:t>
      </w:r>
      <w:r w:rsidRPr="00CB5A95">
        <w:rPr>
          <w:rFonts w:ascii="Verdana" w:hAnsi="Verdana"/>
          <w:color w:val="000000"/>
          <w:sz w:val="20"/>
          <w:szCs w:val="20"/>
        </w:rPr>
        <w:t xml:space="preserve"> a celebrarse el 28 de abril</w:t>
      </w:r>
      <w:r w:rsidR="00C86725" w:rsidRPr="00CB5A95">
        <w:rPr>
          <w:rFonts w:ascii="Verdana" w:hAnsi="Verdana"/>
          <w:color w:val="000000"/>
          <w:sz w:val="20"/>
          <w:szCs w:val="20"/>
        </w:rPr>
        <w:t xml:space="preserve"> de ese año</w:t>
      </w:r>
      <w:r w:rsidRPr="00CB5A95">
        <w:rPr>
          <w:rFonts w:ascii="Verdana" w:hAnsi="Verdana"/>
          <w:color w:val="000000"/>
          <w:sz w:val="20"/>
          <w:szCs w:val="20"/>
        </w:rPr>
        <w:t xml:space="preserve">. </w:t>
      </w:r>
      <w:r w:rsidR="00C86725" w:rsidRPr="00CB5A95">
        <w:rPr>
          <w:rFonts w:ascii="Verdana" w:hAnsi="Verdana"/>
          <w:color w:val="000000"/>
          <w:sz w:val="20"/>
          <w:szCs w:val="20"/>
        </w:rPr>
        <w:t>Según lo alegado, tales</w:t>
      </w:r>
      <w:r w:rsidRPr="00CB5A95">
        <w:rPr>
          <w:rFonts w:ascii="Verdana" w:hAnsi="Verdana"/>
          <w:color w:val="000000"/>
          <w:sz w:val="20"/>
          <w:szCs w:val="20"/>
        </w:rPr>
        <w:t xml:space="preserve"> irregularidades se debían a que </w:t>
      </w:r>
      <w:r w:rsidR="00C86725" w:rsidRPr="00CB5A95">
        <w:rPr>
          <w:rFonts w:ascii="Verdana" w:hAnsi="Verdana"/>
          <w:color w:val="000000"/>
          <w:sz w:val="20"/>
          <w:szCs w:val="20"/>
        </w:rPr>
        <w:t xml:space="preserve">presuntamente </w:t>
      </w:r>
      <w:r w:rsidRPr="00CB5A95">
        <w:rPr>
          <w:rFonts w:ascii="Verdana" w:hAnsi="Verdana"/>
          <w:color w:val="000000"/>
          <w:sz w:val="20"/>
          <w:szCs w:val="20"/>
        </w:rPr>
        <w:t>tres miembros</w:t>
      </w:r>
      <w:r w:rsidRPr="00CB5A95">
        <w:rPr>
          <w:color w:val="000000"/>
          <w:sz w:val="20"/>
          <w:szCs w:val="20"/>
          <w:vertAlign w:val="superscript"/>
        </w:rPr>
        <w:footnoteReference w:id="54"/>
      </w:r>
      <w:r w:rsidRPr="00CB5A95">
        <w:rPr>
          <w:rFonts w:ascii="Verdana" w:hAnsi="Verdana"/>
          <w:color w:val="000000"/>
          <w:sz w:val="20"/>
          <w:szCs w:val="20"/>
        </w:rPr>
        <w:t xml:space="preserve"> del Comité Electoral, que representaban a los </w:t>
      </w:r>
      <w:r w:rsidR="00C86725" w:rsidRPr="00CB5A95">
        <w:rPr>
          <w:rFonts w:ascii="Verdana" w:hAnsi="Verdana"/>
          <w:color w:val="000000"/>
          <w:sz w:val="20"/>
          <w:szCs w:val="20"/>
        </w:rPr>
        <w:t xml:space="preserve">intereses de los </w:t>
      </w:r>
      <w:r w:rsidRPr="00CB5A95">
        <w:rPr>
          <w:rFonts w:ascii="Verdana" w:hAnsi="Verdana"/>
          <w:color w:val="000000"/>
          <w:sz w:val="20"/>
          <w:szCs w:val="20"/>
        </w:rPr>
        <w:t>patron</w:t>
      </w:r>
      <w:r w:rsidR="0019166C" w:rsidRPr="00CB5A95">
        <w:rPr>
          <w:rFonts w:ascii="Verdana" w:hAnsi="Verdana"/>
          <w:color w:val="000000"/>
          <w:sz w:val="20"/>
          <w:szCs w:val="20"/>
        </w:rPr>
        <w:t>o</w:t>
      </w:r>
      <w:r w:rsidRPr="00CB5A95">
        <w:rPr>
          <w:rFonts w:ascii="Verdana" w:hAnsi="Verdana"/>
          <w:color w:val="000000"/>
          <w:sz w:val="20"/>
          <w:szCs w:val="20"/>
        </w:rPr>
        <w:t>s</w:t>
      </w:r>
      <w:r w:rsidR="00C86725" w:rsidRPr="00CB5A95">
        <w:rPr>
          <w:rFonts w:ascii="Verdana" w:hAnsi="Verdana"/>
          <w:color w:val="000000"/>
          <w:sz w:val="20"/>
          <w:szCs w:val="20"/>
        </w:rPr>
        <w:t>,</w:t>
      </w:r>
      <w:r w:rsidRPr="00CB5A95">
        <w:rPr>
          <w:rFonts w:ascii="Verdana" w:hAnsi="Verdana"/>
          <w:color w:val="000000"/>
          <w:sz w:val="20"/>
          <w:szCs w:val="20"/>
        </w:rPr>
        <w:t xml:space="preserve"> convocaron</w:t>
      </w:r>
      <w:r w:rsidRPr="00CB5A95">
        <w:rPr>
          <w:rFonts w:ascii="Verdana" w:hAnsi="Verdana"/>
          <w:sz w:val="20"/>
          <w:szCs w:val="20"/>
        </w:rPr>
        <w:t xml:space="preserve"> a elecciones sin contar con la participación de los miembros de la representación de los trabajadores (Lagos del Campo</w:t>
      </w:r>
      <w:r w:rsidR="00C86725" w:rsidRPr="00CB5A95">
        <w:rPr>
          <w:rFonts w:ascii="Verdana" w:hAnsi="Verdana"/>
          <w:sz w:val="20"/>
          <w:szCs w:val="20"/>
        </w:rPr>
        <w:t xml:space="preserve"> y </w:t>
      </w:r>
      <w:proofErr w:type="spellStart"/>
      <w:r w:rsidR="00787FF6" w:rsidRPr="00EB7A3B">
        <w:rPr>
          <w:rFonts w:ascii="Verdana" w:hAnsi="Verdana"/>
          <w:sz w:val="20"/>
          <w:szCs w:val="20"/>
        </w:rPr>
        <w:t>Aristedes</w:t>
      </w:r>
      <w:proofErr w:type="spellEnd"/>
      <w:r w:rsidR="00787FF6" w:rsidRPr="00EB7A3B">
        <w:rPr>
          <w:rFonts w:ascii="Verdana" w:hAnsi="Verdana"/>
          <w:sz w:val="20"/>
          <w:szCs w:val="20"/>
        </w:rPr>
        <w:t xml:space="preserve"> Quispe Altamirano</w:t>
      </w:r>
      <w:r w:rsidRPr="00CB5A95">
        <w:rPr>
          <w:rFonts w:ascii="Verdana" w:hAnsi="Verdana"/>
          <w:sz w:val="20"/>
          <w:szCs w:val="20"/>
        </w:rPr>
        <w:t>), con la finalidad de favorecer la elección de una lista promovid</w:t>
      </w:r>
      <w:r w:rsidR="00E72D85">
        <w:rPr>
          <w:rFonts w:ascii="Verdana" w:hAnsi="Verdana"/>
          <w:sz w:val="20"/>
          <w:szCs w:val="20"/>
        </w:rPr>
        <w:t>a</w:t>
      </w:r>
      <w:r w:rsidRPr="00CB5A95">
        <w:rPr>
          <w:rFonts w:ascii="Verdana" w:hAnsi="Verdana"/>
          <w:sz w:val="20"/>
          <w:szCs w:val="20"/>
        </w:rPr>
        <w:t xml:space="preserve"> por los patron</w:t>
      </w:r>
      <w:r w:rsidR="0019166C" w:rsidRPr="00CB5A95">
        <w:rPr>
          <w:rFonts w:ascii="Verdana" w:hAnsi="Verdana"/>
          <w:sz w:val="20"/>
          <w:szCs w:val="20"/>
        </w:rPr>
        <w:t>o</w:t>
      </w:r>
      <w:r w:rsidRPr="00CB5A95">
        <w:rPr>
          <w:rFonts w:ascii="Verdana" w:hAnsi="Verdana"/>
          <w:sz w:val="20"/>
          <w:szCs w:val="20"/>
        </w:rPr>
        <w:t>s de la empresa</w:t>
      </w:r>
      <w:r w:rsidRPr="00333304">
        <w:rPr>
          <w:sz w:val="20"/>
          <w:szCs w:val="20"/>
          <w:vertAlign w:val="superscript"/>
        </w:rPr>
        <w:footnoteReference w:id="55"/>
      </w:r>
      <w:r w:rsidRPr="00CC7C1E">
        <w:rPr>
          <w:rFonts w:ascii="Verdana" w:hAnsi="Verdana"/>
          <w:sz w:val="20"/>
          <w:szCs w:val="20"/>
        </w:rPr>
        <w:t>.</w:t>
      </w:r>
      <w:r w:rsidRPr="00CB5A95">
        <w:rPr>
          <w:rFonts w:ascii="Verdana" w:hAnsi="Verdana"/>
          <w:sz w:val="20"/>
          <w:szCs w:val="20"/>
        </w:rPr>
        <w:t xml:space="preserve"> </w:t>
      </w:r>
    </w:p>
    <w:p w14:paraId="58DC950F" w14:textId="15656FDD" w:rsidR="00275EDE" w:rsidRPr="00EB7A3B" w:rsidRDefault="00275EDE" w:rsidP="009C6F8E">
      <w:pPr>
        <w:jc w:val="both"/>
        <w:rPr>
          <w:rFonts w:ascii="Verdana" w:hAnsi="Verdana"/>
          <w:b/>
          <w:sz w:val="20"/>
          <w:szCs w:val="20"/>
          <w:lang w:val="es-EC"/>
        </w:rPr>
      </w:pPr>
    </w:p>
    <w:p w14:paraId="214F4C20" w14:textId="659EEFFD" w:rsidR="00275EDE" w:rsidRPr="00275EDE" w:rsidRDefault="00275EDE" w:rsidP="00E66DD7">
      <w:pPr>
        <w:pStyle w:val="ListParagraph"/>
        <w:numPr>
          <w:ilvl w:val="0"/>
          <w:numId w:val="1"/>
        </w:numPr>
        <w:ind w:left="0" w:hanging="11"/>
        <w:jc w:val="both"/>
        <w:rPr>
          <w:rFonts w:ascii="Verdana" w:hAnsi="Verdana"/>
          <w:b/>
          <w:sz w:val="20"/>
          <w:szCs w:val="20"/>
        </w:rPr>
      </w:pPr>
      <w:r w:rsidRPr="00CB5A95">
        <w:rPr>
          <w:rFonts w:ascii="Verdana" w:hAnsi="Verdana"/>
          <w:sz w:val="20"/>
          <w:szCs w:val="20"/>
        </w:rPr>
        <w:t>Realizadas</w:t>
      </w:r>
      <w:r w:rsidRPr="00275EDE">
        <w:rPr>
          <w:rFonts w:ascii="Verdana" w:hAnsi="Verdana"/>
          <w:sz w:val="20"/>
          <w:szCs w:val="20"/>
        </w:rPr>
        <w:t xml:space="preserve"> las elecciones, el 28 de abril de 1989 un grupo de trabajadores presentaron ante la Dirección General de Participación del Ministerio de Industria un escrito </w:t>
      </w:r>
      <w:r w:rsidRPr="00CB5A95">
        <w:rPr>
          <w:rFonts w:ascii="Verdana" w:hAnsi="Verdana"/>
          <w:sz w:val="20"/>
        </w:rPr>
        <w:t>impugnando dichas elecciones</w:t>
      </w:r>
      <w:r w:rsidR="00E362E6" w:rsidRPr="00275EDE">
        <w:rPr>
          <w:rFonts w:ascii="Verdana" w:hAnsi="Verdana"/>
          <w:sz w:val="20"/>
          <w:szCs w:val="20"/>
          <w:vertAlign w:val="superscript"/>
        </w:rPr>
        <w:footnoteReference w:id="56"/>
      </w:r>
      <w:r w:rsidRPr="00EB5530">
        <w:rPr>
          <w:rFonts w:ascii="Verdana" w:hAnsi="Verdana"/>
          <w:sz w:val="20"/>
        </w:rPr>
        <w:t>.</w:t>
      </w:r>
      <w:r w:rsidR="00E02AC4">
        <w:rPr>
          <w:rFonts w:ascii="Verdana" w:hAnsi="Verdana"/>
          <w:b/>
          <w:sz w:val="20"/>
        </w:rPr>
        <w:t xml:space="preserve"> </w:t>
      </w:r>
      <w:r w:rsidR="0008093F">
        <w:rPr>
          <w:rFonts w:ascii="Verdana" w:hAnsi="Verdana"/>
          <w:sz w:val="20"/>
          <w:szCs w:val="20"/>
        </w:rPr>
        <w:t>Al respecto</w:t>
      </w:r>
      <w:r w:rsidR="00787FF6">
        <w:rPr>
          <w:rFonts w:ascii="Verdana" w:hAnsi="Verdana"/>
          <w:sz w:val="20"/>
          <w:szCs w:val="20"/>
        </w:rPr>
        <w:t>, e</w:t>
      </w:r>
      <w:r w:rsidRPr="00275EDE">
        <w:rPr>
          <w:rFonts w:ascii="Verdana" w:hAnsi="Verdana"/>
          <w:sz w:val="20"/>
          <w:szCs w:val="20"/>
        </w:rPr>
        <w:t xml:space="preserve">l 9 de junio de 1989 la Dirección General de Participación del Ministerio de Industria </w:t>
      </w:r>
      <w:r w:rsidR="0008093F" w:rsidRPr="00CB5A95">
        <w:rPr>
          <w:rFonts w:ascii="Verdana" w:hAnsi="Verdana"/>
          <w:sz w:val="20"/>
          <w:szCs w:val="20"/>
        </w:rPr>
        <w:t>constató que el número de votos fue inferior al 75% del número de miembros de la Comunidad Industrial, por lo que se declaró fundado el recurso y se instruyó convocar a un nuevo proceso electoral</w:t>
      </w:r>
      <w:r w:rsidRPr="00275EDE">
        <w:rPr>
          <w:rFonts w:ascii="Verdana" w:hAnsi="Verdana"/>
          <w:sz w:val="20"/>
          <w:szCs w:val="20"/>
          <w:vertAlign w:val="superscript"/>
        </w:rPr>
        <w:footnoteReference w:id="57"/>
      </w:r>
      <w:r w:rsidRPr="00275EDE">
        <w:rPr>
          <w:rFonts w:ascii="Verdana" w:hAnsi="Verdana" w:cs="Arial"/>
          <w:sz w:val="20"/>
          <w:szCs w:val="20"/>
        </w:rPr>
        <w:t xml:space="preserve">. </w:t>
      </w:r>
      <w:r w:rsidR="00E362E6">
        <w:rPr>
          <w:rFonts w:ascii="Verdana" w:hAnsi="Verdana" w:cs="Arial"/>
          <w:sz w:val="20"/>
          <w:szCs w:val="20"/>
        </w:rPr>
        <w:t>E</w:t>
      </w:r>
      <w:r w:rsidRPr="00275EDE">
        <w:rPr>
          <w:rFonts w:ascii="Verdana" w:hAnsi="Verdana" w:cs="Arial"/>
          <w:sz w:val="20"/>
          <w:szCs w:val="20"/>
        </w:rPr>
        <w:t>l 22 de junio de 1989 el Comité Electoral</w:t>
      </w:r>
      <w:r w:rsidR="000D6F59">
        <w:rPr>
          <w:rFonts w:ascii="Verdana" w:hAnsi="Verdana" w:cs="Arial"/>
          <w:sz w:val="20"/>
          <w:szCs w:val="20"/>
        </w:rPr>
        <w:t>,</w:t>
      </w:r>
      <w:r w:rsidRPr="00275EDE">
        <w:rPr>
          <w:rFonts w:ascii="Verdana" w:hAnsi="Verdana" w:cs="Arial"/>
          <w:sz w:val="20"/>
          <w:szCs w:val="20"/>
        </w:rPr>
        <w:t xml:space="preserve"> presidido por el señor Lagos del Campo</w:t>
      </w:r>
      <w:r w:rsidR="000D6F59">
        <w:rPr>
          <w:rFonts w:ascii="Verdana" w:hAnsi="Verdana" w:cs="Arial"/>
          <w:sz w:val="20"/>
          <w:szCs w:val="20"/>
        </w:rPr>
        <w:t>,</w:t>
      </w:r>
      <w:r w:rsidRPr="00275EDE">
        <w:rPr>
          <w:rFonts w:ascii="Verdana" w:hAnsi="Verdana" w:cs="Arial"/>
          <w:sz w:val="20"/>
          <w:szCs w:val="20"/>
        </w:rPr>
        <w:t xml:space="preserve"> llevó a cabo una citación para el 27 de junio de 1989, con la finalidad de coordinar la realización de la nueva elección, de acuerdo a lo dispuesto por la </w:t>
      </w:r>
      <w:r w:rsidRPr="00275EDE">
        <w:rPr>
          <w:rFonts w:ascii="Verdana" w:hAnsi="Verdana"/>
          <w:sz w:val="20"/>
          <w:szCs w:val="20"/>
        </w:rPr>
        <w:t>Dirección General de Participación del Ministerio de Industria</w:t>
      </w:r>
      <w:r w:rsidRPr="00275EDE">
        <w:rPr>
          <w:sz w:val="20"/>
          <w:szCs w:val="20"/>
          <w:vertAlign w:val="superscript"/>
        </w:rPr>
        <w:footnoteReference w:id="58"/>
      </w:r>
      <w:r w:rsidRPr="00275EDE">
        <w:rPr>
          <w:rFonts w:ascii="Verdana" w:hAnsi="Verdana"/>
          <w:sz w:val="20"/>
          <w:szCs w:val="20"/>
        </w:rPr>
        <w:t>.</w:t>
      </w:r>
    </w:p>
    <w:p w14:paraId="7A281BC6" w14:textId="77777777" w:rsidR="00275EDE" w:rsidRPr="00275EDE" w:rsidRDefault="00275EDE" w:rsidP="005D0ACD">
      <w:pPr>
        <w:jc w:val="both"/>
        <w:rPr>
          <w:rFonts w:ascii="Verdana" w:hAnsi="Verdana"/>
          <w:b/>
          <w:sz w:val="20"/>
          <w:szCs w:val="20"/>
        </w:rPr>
      </w:pPr>
    </w:p>
    <w:p w14:paraId="6FBE64F3" w14:textId="77777777" w:rsidR="00275EDE" w:rsidRPr="00275EDE" w:rsidRDefault="00275EDE" w:rsidP="00E66DD7">
      <w:pPr>
        <w:pStyle w:val="Heading2"/>
        <w:numPr>
          <w:ilvl w:val="0"/>
          <w:numId w:val="12"/>
        </w:numPr>
        <w:rPr>
          <w:rFonts w:eastAsia="MS Gothic"/>
          <w:i/>
          <w:iCs/>
          <w:szCs w:val="20"/>
        </w:rPr>
      </w:pPr>
      <w:bookmarkStart w:id="20" w:name="_Toc498333485"/>
      <w:r w:rsidRPr="00275EDE">
        <w:rPr>
          <w:rFonts w:eastAsia="MS Gothic"/>
          <w:i/>
          <w:iCs/>
          <w:szCs w:val="20"/>
        </w:rPr>
        <w:t>El despido del señor Lagos del Campo y el marco legal aplicable</w:t>
      </w:r>
      <w:bookmarkEnd w:id="20"/>
    </w:p>
    <w:p w14:paraId="7633BF60" w14:textId="77777777" w:rsidR="00275EDE" w:rsidRPr="00275EDE" w:rsidRDefault="00275EDE" w:rsidP="00275EDE">
      <w:pPr>
        <w:autoSpaceDE w:val="0"/>
        <w:autoSpaceDN w:val="0"/>
        <w:adjustRightInd w:val="0"/>
        <w:ind w:left="720"/>
        <w:jc w:val="both"/>
        <w:rPr>
          <w:rFonts w:ascii="Verdana" w:hAnsi="Verdana"/>
          <w:b/>
          <w:sz w:val="20"/>
          <w:szCs w:val="20"/>
        </w:rPr>
      </w:pPr>
      <w:r w:rsidRPr="00275EDE">
        <w:rPr>
          <w:rFonts w:ascii="Verdana" w:hAnsi="Verdana"/>
          <w:b/>
          <w:sz w:val="20"/>
          <w:szCs w:val="20"/>
        </w:rPr>
        <w:t xml:space="preserve"> </w:t>
      </w:r>
    </w:p>
    <w:p w14:paraId="3A41C4E1" w14:textId="2709664B" w:rsidR="00275EDE" w:rsidRPr="00275EDE" w:rsidRDefault="00275EDE"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t>En dicho contexto, durante su gestión como Presidente del Comité Electoral, el señor Lagos del Campo dio una entrevista</w:t>
      </w:r>
      <w:r w:rsidRPr="00275EDE">
        <w:rPr>
          <w:rFonts w:ascii="Verdana" w:hAnsi="Verdana"/>
          <w:b/>
          <w:sz w:val="20"/>
          <w:szCs w:val="20"/>
        </w:rPr>
        <w:t xml:space="preserve"> </w:t>
      </w:r>
      <w:r w:rsidRPr="00275EDE">
        <w:rPr>
          <w:rFonts w:ascii="Verdana" w:hAnsi="Verdana"/>
          <w:sz w:val="20"/>
          <w:szCs w:val="20"/>
        </w:rPr>
        <w:t>a un periodista de la revista "La Razón"</w:t>
      </w:r>
      <w:r w:rsidRPr="009C6F8E">
        <w:rPr>
          <w:rFonts w:ascii="Verdana" w:hAnsi="Verdana"/>
          <w:sz w:val="20"/>
          <w:szCs w:val="20"/>
          <w:vertAlign w:val="superscript"/>
        </w:rPr>
        <w:footnoteReference w:id="59"/>
      </w:r>
      <w:r w:rsidRPr="00275EDE">
        <w:rPr>
          <w:rFonts w:ascii="Verdana" w:hAnsi="Verdana"/>
          <w:sz w:val="20"/>
          <w:szCs w:val="20"/>
        </w:rPr>
        <w:t xml:space="preserve"> en junio de 1989. En el artículo publicado dos semanas después, se indicó que "el Presidente del Comité Electoral de la Comunidad Industrial de la empresa, Lagos del Campo, delegado pleno ante la CONACI</w:t>
      </w:r>
      <w:r w:rsidR="00E72D85">
        <w:rPr>
          <w:rFonts w:ascii="Verdana" w:hAnsi="Verdana"/>
          <w:sz w:val="20"/>
          <w:szCs w:val="20"/>
        </w:rPr>
        <w:t>,</w:t>
      </w:r>
      <w:r w:rsidRPr="00275EDE">
        <w:rPr>
          <w:rFonts w:ascii="Verdana" w:hAnsi="Verdana"/>
          <w:sz w:val="20"/>
          <w:szCs w:val="20"/>
        </w:rPr>
        <w:t xml:space="preserve"> denunció ante la opinión pública y autoridades competentes las maniobras liquidadoras de la patronal, quienes utilizando la vacilación de algunos trabajadores llevaron a cabo fraudulentas elecciones al margen del Comité Electoral y sin la participación mayoritaria de los comuneros"</w:t>
      </w:r>
      <w:r w:rsidRPr="00A532BE">
        <w:rPr>
          <w:rFonts w:ascii="Verdana" w:hAnsi="Verdana"/>
          <w:sz w:val="20"/>
          <w:szCs w:val="20"/>
          <w:vertAlign w:val="superscript"/>
        </w:rPr>
        <w:footnoteReference w:id="60"/>
      </w:r>
      <w:r w:rsidRPr="00275EDE">
        <w:rPr>
          <w:rFonts w:ascii="Verdana" w:hAnsi="Verdana" w:cs="Arial"/>
          <w:sz w:val="20"/>
          <w:szCs w:val="20"/>
        </w:rPr>
        <w:t xml:space="preserve">. </w:t>
      </w:r>
    </w:p>
    <w:p w14:paraId="082AC116" w14:textId="77777777" w:rsidR="00275EDE" w:rsidRPr="00275EDE" w:rsidRDefault="00275EDE" w:rsidP="00275EDE">
      <w:pPr>
        <w:jc w:val="both"/>
        <w:rPr>
          <w:rFonts w:ascii="Verdana" w:hAnsi="Verdana"/>
          <w:b/>
          <w:sz w:val="20"/>
          <w:szCs w:val="20"/>
        </w:rPr>
      </w:pPr>
    </w:p>
    <w:p w14:paraId="6B3E1832" w14:textId="3448DF34" w:rsidR="00275EDE" w:rsidRPr="00275EDE" w:rsidRDefault="00275EDE" w:rsidP="00E66DD7">
      <w:pPr>
        <w:pStyle w:val="ListParagraph"/>
        <w:numPr>
          <w:ilvl w:val="0"/>
          <w:numId w:val="1"/>
        </w:numPr>
        <w:ind w:left="0" w:hanging="11"/>
        <w:jc w:val="both"/>
        <w:rPr>
          <w:rFonts w:ascii="Verdana" w:hAnsi="Verdana"/>
          <w:b/>
          <w:sz w:val="20"/>
          <w:szCs w:val="20"/>
        </w:rPr>
      </w:pPr>
      <w:r w:rsidRPr="00275EDE">
        <w:rPr>
          <w:rFonts w:ascii="Verdana" w:hAnsi="Verdana" w:cs="Arial"/>
          <w:sz w:val="20"/>
          <w:szCs w:val="20"/>
        </w:rPr>
        <w:t>En particular, la entrevista señal</w:t>
      </w:r>
      <w:r w:rsidR="00E02AC4">
        <w:rPr>
          <w:rFonts w:ascii="Verdana" w:hAnsi="Verdana" w:cs="Arial"/>
          <w:sz w:val="20"/>
          <w:szCs w:val="20"/>
        </w:rPr>
        <w:t>ó</w:t>
      </w:r>
      <w:r w:rsidRPr="00275EDE">
        <w:rPr>
          <w:rFonts w:ascii="Verdana" w:hAnsi="Verdana" w:cs="Arial"/>
          <w:sz w:val="20"/>
          <w:szCs w:val="20"/>
        </w:rPr>
        <w:t xml:space="preserve"> lo siguiente</w:t>
      </w:r>
      <w:r w:rsidRPr="009C6F8E">
        <w:rPr>
          <w:rFonts w:ascii="Verdana" w:hAnsi="Verdana"/>
          <w:sz w:val="20"/>
          <w:szCs w:val="20"/>
          <w:vertAlign w:val="superscript"/>
        </w:rPr>
        <w:footnoteReference w:id="61"/>
      </w:r>
      <w:r w:rsidRPr="00275EDE">
        <w:rPr>
          <w:rFonts w:ascii="Verdana" w:hAnsi="Verdana" w:cs="Arial"/>
          <w:sz w:val="20"/>
          <w:szCs w:val="20"/>
        </w:rPr>
        <w:t xml:space="preserve"> </w:t>
      </w:r>
    </w:p>
    <w:p w14:paraId="483320A3" w14:textId="77777777" w:rsidR="00275EDE" w:rsidRPr="00275EDE" w:rsidRDefault="00275EDE" w:rsidP="009C6F8E">
      <w:pPr>
        <w:jc w:val="both"/>
        <w:rPr>
          <w:rFonts w:ascii="Verdana" w:hAnsi="Verdana" w:cs="Arial"/>
          <w:sz w:val="20"/>
          <w:szCs w:val="20"/>
        </w:rPr>
      </w:pPr>
    </w:p>
    <w:p w14:paraId="6C77EB66" w14:textId="77777777" w:rsidR="00275EDE" w:rsidRPr="00275EDE" w:rsidRDefault="00275EDE" w:rsidP="009C6F8E">
      <w:pPr>
        <w:ind w:left="862" w:right="713" w:firstLine="578"/>
        <w:contextualSpacing/>
        <w:jc w:val="both"/>
        <w:rPr>
          <w:rFonts w:ascii="Verdana" w:eastAsia="Times New Roman" w:hAnsi="Verdana"/>
          <w:bCs/>
          <w:i/>
          <w:iCs/>
          <w:sz w:val="18"/>
          <w:szCs w:val="18"/>
          <w:lang w:val="es-CR"/>
        </w:rPr>
      </w:pPr>
      <w:r w:rsidRPr="00275EDE">
        <w:rPr>
          <w:rFonts w:ascii="Verdana" w:eastAsia="Times New Roman" w:hAnsi="Verdana"/>
          <w:sz w:val="18"/>
          <w:szCs w:val="18"/>
          <w:lang w:val="es-CR"/>
        </w:rPr>
        <w:t>“</w:t>
      </w:r>
      <w:r w:rsidRPr="00275EDE">
        <w:rPr>
          <w:rFonts w:ascii="Verdana" w:eastAsia="Times New Roman" w:hAnsi="Verdana"/>
          <w:bCs/>
          <w:i/>
          <w:iCs/>
          <w:sz w:val="18"/>
          <w:szCs w:val="18"/>
          <w:lang w:val="es-CR"/>
        </w:rPr>
        <w:t xml:space="preserve">¿Señor Lagos, estuvo de acuerdo con la convocatoria a elecciones? </w:t>
      </w:r>
    </w:p>
    <w:p w14:paraId="4F8E8E42" w14:textId="63F21F10" w:rsidR="00275EDE" w:rsidRPr="00510F96" w:rsidRDefault="00275EDE" w:rsidP="009C6F8E">
      <w:pPr>
        <w:ind w:left="1440" w:right="713"/>
        <w:contextualSpacing/>
        <w:jc w:val="both"/>
        <w:rPr>
          <w:rFonts w:ascii="Verdana" w:eastAsia="Times New Roman" w:hAnsi="Verdana"/>
          <w:i/>
          <w:iCs/>
          <w:sz w:val="18"/>
          <w:szCs w:val="18"/>
          <w:lang w:val="es-CR"/>
        </w:rPr>
      </w:pPr>
      <w:r w:rsidRPr="00275EDE">
        <w:rPr>
          <w:rFonts w:ascii="Verdana" w:eastAsia="Times New Roman" w:hAnsi="Verdana"/>
          <w:i/>
          <w:iCs/>
          <w:sz w:val="18"/>
          <w:szCs w:val="18"/>
          <w:lang w:val="es-CR"/>
        </w:rPr>
        <w:t xml:space="preserve">No estuve de acuerdo porque el Directorio de </w:t>
      </w:r>
      <w:r w:rsidRPr="00333304">
        <w:rPr>
          <w:rFonts w:ascii="Verdana" w:eastAsia="Times New Roman" w:hAnsi="Verdana"/>
          <w:i/>
          <w:iCs/>
          <w:sz w:val="18"/>
          <w:szCs w:val="18"/>
          <w:lang w:val="es-CR"/>
        </w:rPr>
        <w:t xml:space="preserve">la empresa ha utilizado y utiliza el chantaje y la </w:t>
      </w:r>
      <w:r w:rsidR="00E362E6" w:rsidRPr="00333304">
        <w:rPr>
          <w:rFonts w:ascii="Verdana" w:eastAsia="Times New Roman" w:hAnsi="Verdana"/>
          <w:i/>
          <w:iCs/>
          <w:sz w:val="18"/>
          <w:szCs w:val="18"/>
          <w:lang w:val="es-CR"/>
        </w:rPr>
        <w:t>coerción</w:t>
      </w:r>
      <w:r w:rsidRPr="00333304">
        <w:rPr>
          <w:rFonts w:ascii="Verdana" w:eastAsia="Times New Roman" w:hAnsi="Verdana"/>
          <w:i/>
          <w:iCs/>
          <w:sz w:val="18"/>
          <w:szCs w:val="18"/>
          <w:lang w:val="es-CR"/>
        </w:rPr>
        <w:t xml:space="preserve"> (sic) sobre los comuneros, llegando a presionar a un grupo determinado de trabajadores para que participen en las elecciones, bajo la amenaza de despido</w:t>
      </w:r>
      <w:r w:rsidRPr="00510F96">
        <w:rPr>
          <w:rFonts w:ascii="Verdana" w:eastAsia="Times New Roman" w:hAnsi="Verdana"/>
          <w:i/>
          <w:iCs/>
          <w:sz w:val="18"/>
          <w:szCs w:val="18"/>
          <w:lang w:val="es-CR"/>
        </w:rPr>
        <w:t>.</w:t>
      </w:r>
    </w:p>
    <w:p w14:paraId="2AF44A87" w14:textId="77777777" w:rsidR="00275EDE" w:rsidRPr="00275EDE" w:rsidRDefault="00275EDE" w:rsidP="009C6F8E">
      <w:pPr>
        <w:ind w:left="142" w:right="713"/>
        <w:contextualSpacing/>
        <w:jc w:val="both"/>
        <w:rPr>
          <w:rFonts w:ascii="Verdana" w:eastAsia="Times New Roman" w:hAnsi="Verdana"/>
          <w:bCs/>
          <w:i/>
          <w:iCs/>
          <w:sz w:val="18"/>
          <w:szCs w:val="18"/>
          <w:lang w:val="es-CR"/>
        </w:rPr>
      </w:pPr>
    </w:p>
    <w:p w14:paraId="78DBDAA2" w14:textId="77777777" w:rsidR="00275EDE" w:rsidRPr="00275EDE" w:rsidRDefault="00275EDE" w:rsidP="009C6F8E">
      <w:pPr>
        <w:ind w:left="862" w:right="713" w:firstLine="578"/>
        <w:contextualSpacing/>
        <w:jc w:val="both"/>
        <w:rPr>
          <w:rFonts w:ascii="Verdana" w:eastAsia="Times New Roman" w:hAnsi="Verdana"/>
          <w:bCs/>
          <w:i/>
          <w:iCs/>
          <w:sz w:val="18"/>
          <w:szCs w:val="18"/>
          <w:lang w:val="es-CR"/>
        </w:rPr>
      </w:pPr>
      <w:r w:rsidRPr="00275EDE">
        <w:rPr>
          <w:rFonts w:ascii="Verdana" w:eastAsia="Times New Roman" w:hAnsi="Verdana"/>
          <w:bCs/>
          <w:i/>
          <w:iCs/>
          <w:sz w:val="18"/>
          <w:szCs w:val="18"/>
          <w:lang w:val="es-CR"/>
        </w:rPr>
        <w:t xml:space="preserve">¿Usted considera que las elecciones son legales? </w:t>
      </w:r>
    </w:p>
    <w:p w14:paraId="255F5E88" w14:textId="77777777" w:rsidR="00275EDE" w:rsidRPr="00275EDE" w:rsidRDefault="00275EDE" w:rsidP="009C6F8E">
      <w:pPr>
        <w:ind w:left="1440" w:right="713"/>
        <w:contextualSpacing/>
        <w:jc w:val="both"/>
        <w:rPr>
          <w:rFonts w:ascii="Verdana" w:eastAsia="Times New Roman" w:hAnsi="Verdana"/>
          <w:i/>
          <w:iCs/>
          <w:sz w:val="18"/>
          <w:szCs w:val="18"/>
          <w:lang w:val="es-CR"/>
        </w:rPr>
      </w:pPr>
      <w:r w:rsidRPr="00275EDE">
        <w:rPr>
          <w:rFonts w:ascii="Verdana" w:eastAsia="Times New Roman" w:hAnsi="Verdana"/>
          <w:i/>
          <w:iCs/>
          <w:sz w:val="18"/>
          <w:szCs w:val="18"/>
          <w:lang w:val="es-CR"/>
        </w:rPr>
        <w:t>No, no son legales</w:t>
      </w:r>
      <w:r w:rsidRPr="00275EDE">
        <w:rPr>
          <w:rFonts w:ascii="Verdana" w:eastAsia="Times New Roman" w:hAnsi="Verdana"/>
          <w:sz w:val="20"/>
          <w:szCs w:val="20"/>
          <w:lang w:val="es-EC"/>
        </w:rPr>
        <w:t xml:space="preserve"> </w:t>
      </w:r>
      <w:r w:rsidRPr="00275EDE">
        <w:rPr>
          <w:rFonts w:ascii="Verdana" w:eastAsia="Times New Roman" w:hAnsi="Verdana"/>
          <w:i/>
          <w:iCs/>
          <w:sz w:val="18"/>
          <w:szCs w:val="18"/>
          <w:lang w:val="es-CR"/>
        </w:rPr>
        <w:t xml:space="preserve">De acuerdo al Artículo 61 numeral 15 del D.S. Nº 002-77-IT/DS sostienen que las elecciones sean válidas deben sufragar el 75% de los miembros de la comunidad. En estas fraudulentas elecciones sufragaron 148 comuneros de un total de 210, es decir que no votaron 62 comuneros, lo que resulta siendo menor del 75% estipulado por la Ley. En mi calidad de presidente del Comité Electoral me correspondía convocarlos, sin embargo la gerencia de la empresa convocó a 3 miembros, y en el despacho de relaciones industriales, fíjese en el despacho de la patronal convocaron a las elecciones para la comunidad, </w:t>
      </w:r>
      <w:r w:rsidRPr="00275EDE">
        <w:rPr>
          <w:rFonts w:ascii="Verdana" w:eastAsia="Times New Roman" w:hAnsi="Verdana"/>
          <w:i/>
          <w:iCs/>
          <w:sz w:val="18"/>
          <w:szCs w:val="18"/>
          <w:u w:val="single"/>
          <w:lang w:val="es-CR"/>
        </w:rPr>
        <w:t xml:space="preserve">burlando </w:t>
      </w:r>
      <w:r w:rsidRPr="00333304">
        <w:rPr>
          <w:rFonts w:ascii="Verdana" w:eastAsia="Times New Roman" w:hAnsi="Verdana"/>
          <w:i/>
          <w:iCs/>
          <w:sz w:val="18"/>
          <w:szCs w:val="18"/>
          <w:lang w:val="es-CR"/>
        </w:rPr>
        <w:t>el dispositivo lega</w:t>
      </w:r>
      <w:r w:rsidRPr="00510F96">
        <w:rPr>
          <w:rFonts w:ascii="Verdana" w:eastAsia="Times New Roman" w:hAnsi="Verdana"/>
          <w:i/>
          <w:iCs/>
          <w:sz w:val="18"/>
          <w:szCs w:val="18"/>
          <w:lang w:val="es-CR"/>
        </w:rPr>
        <w:t xml:space="preserve">l. Utilizando para tal efecto </w:t>
      </w:r>
      <w:r w:rsidRPr="00333304">
        <w:rPr>
          <w:rFonts w:ascii="Verdana" w:eastAsia="Times New Roman" w:hAnsi="Verdana"/>
          <w:i/>
          <w:iCs/>
          <w:sz w:val="18"/>
          <w:szCs w:val="18"/>
          <w:lang w:val="es-CR"/>
        </w:rPr>
        <w:t xml:space="preserve">un grupo de comuneros serviles a sus </w:t>
      </w:r>
      <w:r w:rsidRPr="00333304">
        <w:rPr>
          <w:rFonts w:ascii="Verdana" w:eastAsia="Times New Roman" w:hAnsi="Verdana"/>
          <w:i/>
          <w:iCs/>
          <w:sz w:val="18"/>
          <w:szCs w:val="18"/>
          <w:lang w:val="es-CR"/>
        </w:rPr>
        <w:lastRenderedPageBreak/>
        <w:t>intereses</w:t>
      </w:r>
      <w:r w:rsidRPr="00510F96">
        <w:rPr>
          <w:rFonts w:ascii="Verdana" w:eastAsia="Times New Roman" w:hAnsi="Verdana"/>
          <w:i/>
          <w:iCs/>
          <w:sz w:val="18"/>
          <w:szCs w:val="18"/>
          <w:lang w:val="es-CR"/>
        </w:rPr>
        <w:t>, con</w:t>
      </w:r>
      <w:r w:rsidRPr="00275EDE">
        <w:rPr>
          <w:rFonts w:ascii="Verdana" w:eastAsia="Times New Roman" w:hAnsi="Verdana"/>
          <w:i/>
          <w:iCs/>
          <w:sz w:val="18"/>
          <w:szCs w:val="18"/>
          <w:lang w:val="es-CR"/>
        </w:rPr>
        <w:t xml:space="preserve"> esta gente ha armado una lista que ha sido la única que se ha presentado a elecciones.</w:t>
      </w:r>
    </w:p>
    <w:p w14:paraId="56BA4D9D" w14:textId="77777777" w:rsidR="00275EDE" w:rsidRPr="00275EDE" w:rsidRDefault="00275EDE" w:rsidP="009C6F8E">
      <w:pPr>
        <w:ind w:left="1440" w:right="713"/>
        <w:contextualSpacing/>
        <w:jc w:val="both"/>
        <w:rPr>
          <w:rFonts w:ascii="Verdana" w:eastAsia="Times New Roman" w:hAnsi="Verdana"/>
          <w:i/>
          <w:iCs/>
          <w:sz w:val="18"/>
          <w:szCs w:val="18"/>
          <w:lang w:val="es-CR"/>
        </w:rPr>
      </w:pPr>
    </w:p>
    <w:p w14:paraId="44406171" w14:textId="77777777" w:rsidR="00275EDE" w:rsidRPr="00275EDE" w:rsidRDefault="00275EDE" w:rsidP="009C6F8E">
      <w:pPr>
        <w:ind w:left="1440" w:right="713"/>
        <w:contextualSpacing/>
        <w:jc w:val="both"/>
        <w:rPr>
          <w:rFonts w:ascii="Verdana" w:eastAsia="Times New Roman" w:hAnsi="Verdana"/>
          <w:i/>
          <w:iCs/>
          <w:sz w:val="18"/>
          <w:szCs w:val="18"/>
          <w:lang w:val="es-CR"/>
        </w:rPr>
      </w:pPr>
      <w:r w:rsidRPr="00275EDE">
        <w:rPr>
          <w:rFonts w:ascii="Verdana" w:eastAsia="Times New Roman" w:hAnsi="Verdana"/>
          <w:i/>
          <w:iCs/>
          <w:sz w:val="18"/>
          <w:szCs w:val="18"/>
          <w:lang w:val="es-CR"/>
        </w:rPr>
        <w:t>¿Por qué los comuneros no presentaron otra lista?</w:t>
      </w:r>
    </w:p>
    <w:p w14:paraId="74E70AFB" w14:textId="77777777" w:rsidR="00275EDE" w:rsidRPr="00706ED3" w:rsidRDefault="00275EDE" w:rsidP="009C6F8E">
      <w:pPr>
        <w:ind w:left="1440" w:right="713"/>
        <w:contextualSpacing/>
        <w:jc w:val="both"/>
        <w:rPr>
          <w:rFonts w:ascii="Verdana" w:eastAsia="Times New Roman" w:hAnsi="Verdana"/>
          <w:i/>
          <w:iCs/>
          <w:sz w:val="18"/>
          <w:szCs w:val="18"/>
          <w:lang w:val="es-CR"/>
        </w:rPr>
      </w:pPr>
      <w:r w:rsidRPr="00275EDE">
        <w:rPr>
          <w:rFonts w:ascii="Verdana" w:eastAsia="Times New Roman" w:hAnsi="Verdana"/>
          <w:i/>
          <w:iCs/>
          <w:sz w:val="18"/>
          <w:szCs w:val="18"/>
          <w:lang w:val="es-CR"/>
        </w:rPr>
        <w:t xml:space="preserve">Por una sencilla razón, la Ley sobre elecciones de comunidad industrial establece que toda lista debe estar conformada por comuneros obreros y empleados. Quisiera aclarar esclarecer algo importante; los obreros tienen sindicato, esto es un factor de defensa y relativa independencia. Los empleados no tienen sindicato (tuvieron antes y fue disuelto por la patronal, los propios empleados no supieron defender sus derechos). Estos empleados están a merced de la patronal, y viven amenazados por el chantaje de la gerencia, por eso tienen miedo formar parte de una lista que este conformada por obreros que no gozan de la simpatía de los </w:t>
      </w:r>
      <w:r w:rsidRPr="00706ED3">
        <w:rPr>
          <w:rFonts w:ascii="Verdana" w:eastAsia="Times New Roman" w:hAnsi="Verdana"/>
          <w:i/>
          <w:iCs/>
          <w:sz w:val="18"/>
          <w:szCs w:val="18"/>
          <w:lang w:val="es-CR"/>
        </w:rPr>
        <w:t>empresarios, pienso que este fue el factor fundamental por el que no se presentó otra lista</w:t>
      </w:r>
    </w:p>
    <w:p w14:paraId="5E9D44B4" w14:textId="77777777" w:rsidR="00275EDE" w:rsidRPr="00E75160" w:rsidRDefault="00275EDE" w:rsidP="009C6F8E">
      <w:pPr>
        <w:ind w:left="1440" w:right="713"/>
        <w:contextualSpacing/>
        <w:jc w:val="both"/>
        <w:rPr>
          <w:rFonts w:ascii="Verdana" w:eastAsia="Times New Roman" w:hAnsi="Verdana"/>
          <w:i/>
          <w:iCs/>
          <w:sz w:val="18"/>
          <w:szCs w:val="18"/>
          <w:lang w:val="es-CR"/>
        </w:rPr>
      </w:pPr>
    </w:p>
    <w:p w14:paraId="5261A174" w14:textId="77777777" w:rsidR="00275EDE" w:rsidRPr="00333304" w:rsidRDefault="00275EDE" w:rsidP="009C6F8E">
      <w:pPr>
        <w:ind w:left="1440" w:right="713"/>
        <w:contextualSpacing/>
        <w:jc w:val="both"/>
        <w:rPr>
          <w:rFonts w:ascii="Verdana" w:eastAsia="Times New Roman" w:hAnsi="Verdana"/>
          <w:bCs/>
          <w:iCs/>
          <w:sz w:val="18"/>
          <w:szCs w:val="18"/>
          <w:lang w:val="es-CR"/>
        </w:rPr>
      </w:pPr>
      <w:r w:rsidRPr="00333304">
        <w:rPr>
          <w:rFonts w:ascii="Verdana" w:eastAsia="Times New Roman" w:hAnsi="Verdana"/>
          <w:iCs/>
          <w:sz w:val="18"/>
          <w:szCs w:val="18"/>
          <w:lang w:val="es-CR"/>
        </w:rPr>
        <w:t xml:space="preserve">Ante estos atropellos de la patronal, </w:t>
      </w:r>
      <w:r w:rsidRPr="00333304">
        <w:rPr>
          <w:rFonts w:ascii="Verdana" w:eastAsia="Times New Roman" w:hAnsi="Verdana"/>
          <w:bCs/>
          <w:iCs/>
          <w:sz w:val="18"/>
          <w:szCs w:val="18"/>
          <w:lang w:val="es-CR"/>
        </w:rPr>
        <w:t xml:space="preserve">¿Cuáles son las medidas que ha tomado usted en su calidad de Presidente del Comité Electoral? </w:t>
      </w:r>
    </w:p>
    <w:p w14:paraId="067BC6D8" w14:textId="77777777" w:rsidR="00275EDE" w:rsidRPr="00275EDE" w:rsidRDefault="00275EDE" w:rsidP="009C6F8E">
      <w:pPr>
        <w:ind w:left="1440" w:right="713"/>
        <w:contextualSpacing/>
        <w:jc w:val="both"/>
        <w:rPr>
          <w:rFonts w:ascii="Verdana" w:eastAsia="Times New Roman" w:hAnsi="Verdana"/>
          <w:i/>
          <w:iCs/>
          <w:sz w:val="18"/>
          <w:szCs w:val="18"/>
          <w:lang w:val="es-CR"/>
        </w:rPr>
      </w:pPr>
      <w:r w:rsidRPr="00333304">
        <w:rPr>
          <w:rFonts w:ascii="Verdana" w:eastAsia="Times New Roman" w:hAnsi="Verdana"/>
          <w:iCs/>
          <w:sz w:val="18"/>
          <w:szCs w:val="18"/>
          <w:lang w:val="es-CR"/>
        </w:rPr>
        <w:t>En primer lugar he denunciado las irregularidades que</w:t>
      </w:r>
      <w:r w:rsidRPr="00275EDE">
        <w:rPr>
          <w:rFonts w:ascii="Verdana" w:eastAsia="Times New Roman" w:hAnsi="Verdana"/>
          <w:i/>
          <w:iCs/>
          <w:sz w:val="18"/>
          <w:szCs w:val="18"/>
          <w:lang w:val="es-CR"/>
        </w:rPr>
        <w:t xml:space="preserve"> se han venido cometiendo impulsadas y manejadas por la patronal. Esta denuncia la he formalizado a través de un oficio No. 05824 a la oficina de participación del Ministerio de Industria y Comercio.</w:t>
      </w:r>
    </w:p>
    <w:p w14:paraId="55880EEE" w14:textId="77777777" w:rsidR="00275EDE" w:rsidRPr="00275EDE" w:rsidRDefault="00275EDE" w:rsidP="009C6F8E">
      <w:pPr>
        <w:ind w:left="142" w:right="713"/>
        <w:contextualSpacing/>
        <w:jc w:val="both"/>
        <w:rPr>
          <w:rFonts w:ascii="Verdana" w:eastAsia="Times New Roman" w:hAnsi="Verdana"/>
          <w:bCs/>
          <w:i/>
          <w:iCs/>
          <w:sz w:val="18"/>
          <w:szCs w:val="18"/>
          <w:lang w:val="es-CR"/>
        </w:rPr>
      </w:pPr>
    </w:p>
    <w:p w14:paraId="5FB19EB8" w14:textId="77777777" w:rsidR="00275EDE" w:rsidRPr="00275EDE" w:rsidRDefault="00275EDE" w:rsidP="009C6F8E">
      <w:pPr>
        <w:ind w:left="862" w:right="713" w:firstLine="578"/>
        <w:contextualSpacing/>
        <w:jc w:val="both"/>
        <w:rPr>
          <w:rFonts w:ascii="Verdana" w:eastAsia="Times New Roman" w:hAnsi="Verdana"/>
          <w:bCs/>
          <w:i/>
          <w:iCs/>
          <w:sz w:val="18"/>
          <w:szCs w:val="18"/>
          <w:lang w:val="es-CR"/>
        </w:rPr>
      </w:pPr>
      <w:r w:rsidRPr="00275EDE">
        <w:rPr>
          <w:rFonts w:ascii="Verdana" w:eastAsia="Times New Roman" w:hAnsi="Verdana"/>
          <w:bCs/>
          <w:i/>
          <w:iCs/>
          <w:sz w:val="18"/>
          <w:szCs w:val="18"/>
          <w:lang w:val="es-CR"/>
        </w:rPr>
        <w:t xml:space="preserve">¿Qué ha respondido el Ministerio? </w:t>
      </w:r>
    </w:p>
    <w:p w14:paraId="3C22E604" w14:textId="77777777" w:rsidR="00275EDE" w:rsidRPr="00510F96" w:rsidRDefault="00275EDE" w:rsidP="009C6F8E">
      <w:pPr>
        <w:ind w:left="1440" w:right="713"/>
        <w:contextualSpacing/>
        <w:jc w:val="both"/>
        <w:rPr>
          <w:rFonts w:ascii="Verdana" w:eastAsia="Times New Roman" w:hAnsi="Verdana"/>
          <w:bCs/>
          <w:i/>
          <w:iCs/>
          <w:sz w:val="18"/>
          <w:szCs w:val="18"/>
          <w:lang w:val="es-CR"/>
        </w:rPr>
      </w:pPr>
      <w:r w:rsidRPr="00275EDE">
        <w:rPr>
          <w:rFonts w:ascii="Verdana" w:eastAsia="Times New Roman" w:hAnsi="Verdana"/>
          <w:i/>
          <w:iCs/>
          <w:sz w:val="18"/>
          <w:szCs w:val="18"/>
          <w:lang w:val="es-CR"/>
        </w:rPr>
        <w:t xml:space="preserve">Acá debo denunciar que la burocracia del Ministerio respondió de una manera vaga, sin determinar nada, concluyendo que el oficio era extemporáneo. Habiendo presentado dicho escrito antes de las elecciones, </w:t>
      </w:r>
      <w:r w:rsidRPr="00333304">
        <w:rPr>
          <w:rFonts w:ascii="Verdana" w:eastAsia="Times New Roman" w:hAnsi="Verdana"/>
          <w:i/>
          <w:iCs/>
          <w:sz w:val="18"/>
          <w:szCs w:val="18"/>
          <w:lang w:val="es-CR"/>
        </w:rPr>
        <w:t>lo que demuestra que existe un entendimiento entre la Dirección de la Oficina General de participación que lo (sic) conduce la doctora Alicia Liñán Núñez y la patronal</w:t>
      </w:r>
      <w:r w:rsidRPr="00510F96">
        <w:rPr>
          <w:rFonts w:ascii="Verdana" w:eastAsia="Times New Roman" w:hAnsi="Verdana"/>
          <w:i/>
          <w:iCs/>
          <w:sz w:val="18"/>
          <w:szCs w:val="18"/>
          <w:lang w:val="es-CR"/>
        </w:rPr>
        <w:t>.</w:t>
      </w:r>
    </w:p>
    <w:p w14:paraId="21DEF3E2" w14:textId="77777777" w:rsidR="00275EDE" w:rsidRPr="00275EDE" w:rsidRDefault="00275EDE" w:rsidP="009C6F8E">
      <w:pPr>
        <w:ind w:right="720"/>
        <w:contextualSpacing/>
        <w:jc w:val="both"/>
        <w:rPr>
          <w:rFonts w:ascii="Verdana" w:eastAsia="Times New Roman" w:hAnsi="Verdana"/>
          <w:bCs/>
          <w:i/>
          <w:iCs/>
          <w:color w:val="000000"/>
          <w:sz w:val="18"/>
          <w:szCs w:val="18"/>
          <w:lang w:val="es-MX"/>
        </w:rPr>
      </w:pPr>
    </w:p>
    <w:p w14:paraId="013EE312" w14:textId="77777777" w:rsidR="00275EDE" w:rsidRPr="00275EDE" w:rsidRDefault="00275EDE" w:rsidP="009C6F8E">
      <w:pPr>
        <w:ind w:left="720" w:firstLine="720"/>
        <w:jc w:val="both"/>
        <w:rPr>
          <w:rFonts w:ascii="Verdana" w:hAnsi="Verdana"/>
          <w:bCs/>
          <w:i/>
          <w:iCs/>
          <w:color w:val="000000"/>
          <w:sz w:val="18"/>
          <w:szCs w:val="18"/>
          <w:lang w:val="es-MX"/>
        </w:rPr>
      </w:pPr>
      <w:r w:rsidRPr="00275EDE">
        <w:rPr>
          <w:rFonts w:ascii="Verdana" w:hAnsi="Verdana"/>
          <w:bCs/>
          <w:i/>
          <w:iCs/>
          <w:color w:val="000000"/>
          <w:sz w:val="18"/>
          <w:szCs w:val="18"/>
          <w:lang w:val="es-MX"/>
        </w:rPr>
        <w:t xml:space="preserve">¿Qué medidas piensa tomar? </w:t>
      </w:r>
    </w:p>
    <w:p w14:paraId="6499E554" w14:textId="1A014C73" w:rsidR="00275EDE" w:rsidRPr="00275EDE" w:rsidRDefault="00275EDE" w:rsidP="009C6F8E">
      <w:pPr>
        <w:ind w:left="1440" w:right="630"/>
        <w:jc w:val="both"/>
        <w:rPr>
          <w:rFonts w:ascii="Verdana" w:hAnsi="Verdana"/>
          <w:b/>
          <w:i/>
          <w:sz w:val="18"/>
          <w:szCs w:val="18"/>
        </w:rPr>
      </w:pPr>
      <w:r w:rsidRPr="00275EDE">
        <w:rPr>
          <w:rFonts w:ascii="Verdana" w:hAnsi="Verdana"/>
          <w:i/>
          <w:iCs/>
          <w:color w:val="000000"/>
          <w:sz w:val="18"/>
          <w:szCs w:val="18"/>
          <w:lang w:val="es-MX"/>
        </w:rPr>
        <w:t xml:space="preserve">Continuaré luchando contra el fraude denunciando a la opinión pública, a las esferas del gobierno y demás autoridades competentes el intento que tiene la Empresa </w:t>
      </w:r>
      <w:proofErr w:type="spellStart"/>
      <w:r w:rsidRPr="00275EDE">
        <w:rPr>
          <w:rFonts w:ascii="Verdana" w:hAnsi="Verdana"/>
          <w:i/>
          <w:iCs/>
          <w:color w:val="000000"/>
          <w:sz w:val="18"/>
          <w:szCs w:val="18"/>
          <w:lang w:val="es-MX"/>
        </w:rPr>
        <w:t>Ceper-Pirelli</w:t>
      </w:r>
      <w:proofErr w:type="spellEnd"/>
      <w:r w:rsidRPr="00275EDE">
        <w:rPr>
          <w:rFonts w:ascii="Verdana" w:hAnsi="Verdana"/>
          <w:i/>
          <w:iCs/>
          <w:color w:val="000000"/>
          <w:sz w:val="18"/>
          <w:szCs w:val="18"/>
          <w:lang w:val="es-MX"/>
        </w:rPr>
        <w:t xml:space="preserve"> de liquidar la comunidad industrial sobre todo ahora que la empresa viene obteniendo gra</w:t>
      </w:r>
      <w:r w:rsidR="00740C5A">
        <w:rPr>
          <w:rFonts w:ascii="Verdana" w:hAnsi="Verdana"/>
          <w:i/>
          <w:iCs/>
          <w:color w:val="000000"/>
          <w:sz w:val="18"/>
          <w:szCs w:val="18"/>
          <w:lang w:val="es-MX"/>
        </w:rPr>
        <w:t>n</w:t>
      </w:r>
      <w:r w:rsidRPr="00275EDE">
        <w:rPr>
          <w:rFonts w:ascii="Verdana" w:hAnsi="Verdana"/>
          <w:i/>
          <w:iCs/>
          <w:color w:val="000000"/>
          <w:sz w:val="18"/>
          <w:szCs w:val="18"/>
          <w:lang w:val="es-MX"/>
        </w:rPr>
        <w:t>des utilidades y que parte de ellas corresponde a los trabajadores por la comunidad industrial.</w:t>
      </w:r>
      <w:r w:rsidRPr="00275EDE">
        <w:rPr>
          <w:rFonts w:ascii="Verdana" w:hAnsi="Verdana"/>
          <w:bCs/>
          <w:i/>
          <w:iCs/>
          <w:color w:val="000000"/>
          <w:sz w:val="18"/>
          <w:szCs w:val="18"/>
          <w:lang w:val="es-MX"/>
        </w:rPr>
        <w:t xml:space="preserve"> </w:t>
      </w:r>
      <w:r w:rsidRPr="00275EDE">
        <w:rPr>
          <w:rFonts w:ascii="Verdana" w:hAnsi="Verdana"/>
          <w:i/>
          <w:iCs/>
          <w:color w:val="000000"/>
          <w:sz w:val="18"/>
          <w:szCs w:val="18"/>
          <w:lang w:val="es-MX"/>
        </w:rPr>
        <w:t xml:space="preserve">Hago un llamado a todos los trabajadores de </w:t>
      </w:r>
      <w:proofErr w:type="spellStart"/>
      <w:r w:rsidRPr="00275EDE">
        <w:rPr>
          <w:rFonts w:ascii="Verdana" w:hAnsi="Verdana"/>
          <w:i/>
          <w:iCs/>
          <w:color w:val="000000"/>
          <w:sz w:val="18"/>
          <w:szCs w:val="18"/>
          <w:lang w:val="es-MX"/>
        </w:rPr>
        <w:t>Ceper-Pirelli</w:t>
      </w:r>
      <w:proofErr w:type="spellEnd"/>
      <w:r w:rsidRPr="00275EDE">
        <w:rPr>
          <w:rFonts w:ascii="Verdana" w:hAnsi="Verdana"/>
          <w:i/>
          <w:iCs/>
          <w:color w:val="000000"/>
          <w:sz w:val="18"/>
          <w:szCs w:val="18"/>
          <w:lang w:val="es-MX"/>
        </w:rPr>
        <w:t xml:space="preserve"> a cerrar filas </w:t>
      </w:r>
      <w:r w:rsidRPr="00333304">
        <w:rPr>
          <w:rFonts w:ascii="Verdana" w:hAnsi="Verdana"/>
          <w:i/>
          <w:iCs/>
          <w:color w:val="000000"/>
          <w:sz w:val="18"/>
          <w:szCs w:val="18"/>
          <w:lang w:val="es-MX"/>
        </w:rPr>
        <w:t>contra el fraude</w:t>
      </w:r>
      <w:r w:rsidRPr="00275EDE">
        <w:rPr>
          <w:rFonts w:ascii="Verdana" w:hAnsi="Verdana"/>
          <w:i/>
          <w:iCs/>
          <w:color w:val="000000"/>
          <w:sz w:val="18"/>
          <w:szCs w:val="18"/>
          <w:lang w:val="es-MX"/>
        </w:rPr>
        <w:t xml:space="preserve">, haciendo respetar nuestros derechos y obligaciones que nos confiere la Ley. Pido la solidaridad de todas las organizaciones comuneras y laborales del país a expresar su rechazo al intento </w:t>
      </w:r>
      <w:proofErr w:type="spellStart"/>
      <w:r w:rsidRPr="00275EDE">
        <w:rPr>
          <w:rFonts w:ascii="Verdana" w:hAnsi="Verdana"/>
          <w:i/>
          <w:iCs/>
          <w:color w:val="000000"/>
          <w:sz w:val="18"/>
          <w:szCs w:val="18"/>
          <w:lang w:val="es-MX"/>
        </w:rPr>
        <w:t>liquidacionista</w:t>
      </w:r>
      <w:proofErr w:type="spellEnd"/>
      <w:r w:rsidRPr="00275EDE">
        <w:rPr>
          <w:rFonts w:ascii="Verdana" w:hAnsi="Verdana"/>
          <w:i/>
          <w:iCs/>
          <w:color w:val="000000"/>
          <w:sz w:val="18"/>
          <w:szCs w:val="18"/>
          <w:lang w:val="es-MX"/>
        </w:rPr>
        <w:t xml:space="preserve"> de las comunidades industriales”.</w:t>
      </w:r>
    </w:p>
    <w:p w14:paraId="7EFFC5C4" w14:textId="77777777" w:rsidR="00275EDE" w:rsidRPr="00275EDE" w:rsidRDefault="00275EDE" w:rsidP="00275EDE">
      <w:pPr>
        <w:jc w:val="both"/>
        <w:rPr>
          <w:rFonts w:ascii="Verdana" w:hAnsi="Verdana"/>
          <w:b/>
          <w:sz w:val="20"/>
          <w:szCs w:val="20"/>
        </w:rPr>
      </w:pPr>
    </w:p>
    <w:p w14:paraId="3552FE58" w14:textId="690773B6" w:rsidR="00275EDE" w:rsidRPr="00275EDE" w:rsidRDefault="00275EDE" w:rsidP="00E66DD7">
      <w:pPr>
        <w:pStyle w:val="ListParagraph"/>
        <w:numPr>
          <w:ilvl w:val="0"/>
          <w:numId w:val="1"/>
        </w:numPr>
        <w:ind w:left="0" w:hanging="11"/>
        <w:jc w:val="both"/>
        <w:rPr>
          <w:rFonts w:ascii="Verdana" w:hAnsi="Verdana"/>
          <w:color w:val="000000"/>
          <w:sz w:val="20"/>
          <w:szCs w:val="20"/>
        </w:rPr>
      </w:pPr>
      <w:r w:rsidRPr="00275EDE">
        <w:rPr>
          <w:rFonts w:ascii="Verdana" w:hAnsi="Verdana"/>
          <w:color w:val="000000"/>
          <w:sz w:val="20"/>
          <w:szCs w:val="20"/>
        </w:rPr>
        <w:t xml:space="preserve">En razón de la entrevista otorgada por el señor Lagos del Campo, el Gerente General de la empresa </w:t>
      </w:r>
      <w:proofErr w:type="spellStart"/>
      <w:r w:rsidRPr="00275EDE">
        <w:rPr>
          <w:rFonts w:ascii="Verdana" w:hAnsi="Verdana"/>
          <w:color w:val="000000"/>
          <w:sz w:val="20"/>
          <w:szCs w:val="20"/>
        </w:rPr>
        <w:t>Ceper-Pirelli</w:t>
      </w:r>
      <w:proofErr w:type="spellEnd"/>
      <w:r w:rsidR="000D6F59">
        <w:rPr>
          <w:rFonts w:ascii="Verdana" w:hAnsi="Verdana"/>
          <w:color w:val="000000"/>
          <w:sz w:val="20"/>
          <w:szCs w:val="20"/>
        </w:rPr>
        <w:t>,</w:t>
      </w:r>
      <w:r w:rsidRPr="00275EDE">
        <w:rPr>
          <w:rFonts w:ascii="Verdana" w:hAnsi="Verdana"/>
          <w:color w:val="000000"/>
          <w:sz w:val="20"/>
          <w:szCs w:val="20"/>
        </w:rPr>
        <w:t xml:space="preserve"> por medio de carta notarial de 26 de junio de 1989</w:t>
      </w:r>
      <w:r w:rsidRPr="009C6F8E">
        <w:rPr>
          <w:rFonts w:ascii="Verdana" w:hAnsi="Verdana"/>
          <w:color w:val="000000"/>
          <w:sz w:val="20"/>
          <w:szCs w:val="20"/>
          <w:vertAlign w:val="superscript"/>
        </w:rPr>
        <w:footnoteReference w:id="62"/>
      </w:r>
      <w:r w:rsidRPr="00275EDE">
        <w:rPr>
          <w:rFonts w:ascii="Verdana" w:hAnsi="Verdana"/>
          <w:color w:val="000000"/>
          <w:sz w:val="20"/>
          <w:szCs w:val="20"/>
        </w:rPr>
        <w:t xml:space="preserve"> </w:t>
      </w:r>
      <w:r w:rsidRPr="00275EDE">
        <w:rPr>
          <w:rFonts w:ascii="Verdana" w:hAnsi="Verdana"/>
          <w:sz w:val="20"/>
          <w:szCs w:val="20"/>
        </w:rPr>
        <w:t>“</w:t>
      </w:r>
      <w:r w:rsidRPr="00275EDE">
        <w:rPr>
          <w:rFonts w:ascii="Verdana" w:hAnsi="Verdana"/>
          <w:color w:val="000000"/>
          <w:sz w:val="20"/>
          <w:szCs w:val="20"/>
        </w:rPr>
        <w:t>formuló cargos</w:t>
      </w:r>
      <w:r w:rsidRPr="00275EDE">
        <w:rPr>
          <w:rFonts w:ascii="Verdana" w:hAnsi="Verdana"/>
          <w:sz w:val="20"/>
          <w:szCs w:val="20"/>
        </w:rPr>
        <w:t>”</w:t>
      </w:r>
      <w:r w:rsidRPr="00275EDE">
        <w:rPr>
          <w:rFonts w:ascii="Verdana" w:hAnsi="Verdana"/>
          <w:color w:val="000000"/>
          <w:sz w:val="20"/>
          <w:szCs w:val="20"/>
        </w:rPr>
        <w:t xml:space="preserve"> en contra del mismo por falta laboral. En particular, el Gerente General consideró que</w:t>
      </w:r>
      <w:r w:rsidR="000D6F59">
        <w:rPr>
          <w:rFonts w:ascii="Verdana" w:hAnsi="Verdana"/>
          <w:color w:val="000000"/>
          <w:sz w:val="20"/>
          <w:szCs w:val="20"/>
        </w:rPr>
        <w:t xml:space="preserve"> no podía continuar el vínculo laboral con</w:t>
      </w:r>
      <w:r w:rsidRPr="00275EDE">
        <w:rPr>
          <w:rFonts w:ascii="Verdana" w:hAnsi="Verdana"/>
          <w:color w:val="000000"/>
          <w:sz w:val="20"/>
          <w:szCs w:val="20"/>
        </w:rPr>
        <w:t xml:space="preserve"> el señor Lagos del Campo</w:t>
      </w:r>
      <w:r w:rsidR="000D6F59">
        <w:rPr>
          <w:rFonts w:ascii="Verdana" w:hAnsi="Verdana"/>
          <w:color w:val="000000"/>
          <w:sz w:val="20"/>
          <w:szCs w:val="20"/>
        </w:rPr>
        <w:t xml:space="preserve"> en aplicación de</w:t>
      </w:r>
      <w:r w:rsidRPr="00275EDE">
        <w:rPr>
          <w:rFonts w:ascii="Verdana" w:hAnsi="Verdana"/>
          <w:color w:val="000000"/>
          <w:sz w:val="20"/>
          <w:szCs w:val="20"/>
        </w:rPr>
        <w:t xml:space="preserve"> los incisos a) y h) del artículo 5 de la Ley N°24514, que consideran como </w:t>
      </w:r>
      <w:r w:rsidR="000D6F59">
        <w:rPr>
          <w:rFonts w:ascii="Verdana" w:hAnsi="Verdana"/>
          <w:color w:val="000000"/>
          <w:sz w:val="20"/>
          <w:szCs w:val="20"/>
        </w:rPr>
        <w:t>causa justificada de despido</w:t>
      </w:r>
      <w:r w:rsidRPr="00275EDE">
        <w:rPr>
          <w:rFonts w:ascii="Verdana" w:hAnsi="Verdana"/>
          <w:color w:val="000000"/>
          <w:sz w:val="20"/>
          <w:szCs w:val="20"/>
        </w:rPr>
        <w:t xml:space="preserve"> el incumplimiento injustificado de las obligaciones de trabajo, la grave indisciplina y el </w:t>
      </w:r>
      <w:r w:rsidR="005D72FB" w:rsidRPr="00275EDE">
        <w:rPr>
          <w:rFonts w:ascii="Verdana" w:hAnsi="Verdana"/>
          <w:sz w:val="20"/>
          <w:szCs w:val="20"/>
        </w:rPr>
        <w:t>“</w:t>
      </w:r>
      <w:proofErr w:type="spellStart"/>
      <w:r w:rsidRPr="00275EDE">
        <w:rPr>
          <w:rFonts w:ascii="Verdana" w:hAnsi="Verdana"/>
          <w:color w:val="000000"/>
          <w:sz w:val="20"/>
          <w:szCs w:val="20"/>
        </w:rPr>
        <w:t>faltamiento</w:t>
      </w:r>
      <w:proofErr w:type="spellEnd"/>
      <w:r w:rsidRPr="00275EDE">
        <w:rPr>
          <w:rFonts w:ascii="Verdana" w:hAnsi="Verdana"/>
          <w:color w:val="000000"/>
          <w:sz w:val="20"/>
          <w:szCs w:val="20"/>
        </w:rPr>
        <w:t xml:space="preserve"> grave de palabra</w:t>
      </w:r>
      <w:r w:rsidR="005D72FB" w:rsidRPr="00275EDE">
        <w:rPr>
          <w:rFonts w:ascii="Verdana" w:hAnsi="Verdana"/>
          <w:sz w:val="20"/>
          <w:szCs w:val="20"/>
        </w:rPr>
        <w:t>”</w:t>
      </w:r>
      <w:r w:rsidRPr="00275EDE">
        <w:rPr>
          <w:rFonts w:ascii="Verdana" w:hAnsi="Verdana"/>
          <w:color w:val="000000"/>
          <w:sz w:val="20"/>
          <w:szCs w:val="20"/>
        </w:rPr>
        <w:t xml:space="preserve"> en agravio del empleador. Conforme a lo expresado en la misiva, Alfredo Lagos del Campo habrían incurrido en dichas causales. El Gerente General de la empresa consideró </w:t>
      </w:r>
      <w:r w:rsidR="007E0ADF">
        <w:rPr>
          <w:rFonts w:ascii="Verdana" w:hAnsi="Verdana"/>
          <w:sz w:val="20"/>
          <w:szCs w:val="20"/>
        </w:rPr>
        <w:t>“</w:t>
      </w:r>
      <w:r w:rsidRPr="00275EDE">
        <w:rPr>
          <w:rFonts w:ascii="Verdana" w:hAnsi="Verdana"/>
          <w:sz w:val="20"/>
          <w:szCs w:val="20"/>
        </w:rPr>
        <w:t>especialmente graves</w:t>
      </w:r>
      <w:r w:rsidR="007E0ADF">
        <w:rPr>
          <w:rFonts w:ascii="Verdana" w:hAnsi="Verdana"/>
          <w:sz w:val="20"/>
          <w:szCs w:val="20"/>
        </w:rPr>
        <w:t>”</w:t>
      </w:r>
      <w:r w:rsidRPr="00275EDE">
        <w:rPr>
          <w:rFonts w:ascii="Verdana" w:hAnsi="Verdana"/>
          <w:sz w:val="20"/>
          <w:szCs w:val="20"/>
        </w:rPr>
        <w:t xml:space="preserve"> las afirmaciones del señor Lagos del Campo sobre el "entendimiento ilícito y deshonesto" y "complicidad" entre la Gerencia y la Directora de la Oficina General de Participación</w:t>
      </w:r>
      <w:r w:rsidRPr="00333304">
        <w:rPr>
          <w:rFonts w:ascii="Verdana" w:hAnsi="Verdana"/>
          <w:sz w:val="20"/>
          <w:szCs w:val="20"/>
          <w:vertAlign w:val="superscript"/>
        </w:rPr>
        <w:footnoteReference w:id="63"/>
      </w:r>
      <w:r w:rsidRPr="00333304">
        <w:rPr>
          <w:rFonts w:ascii="Verdana" w:hAnsi="Verdana"/>
          <w:sz w:val="20"/>
          <w:szCs w:val="20"/>
        </w:rPr>
        <w:t>.</w:t>
      </w:r>
      <w:r w:rsidRPr="00275EDE">
        <w:rPr>
          <w:rFonts w:ascii="Verdana" w:hAnsi="Verdana"/>
          <w:b/>
          <w:color w:val="000000"/>
          <w:sz w:val="20"/>
          <w:szCs w:val="20"/>
        </w:rPr>
        <w:t xml:space="preserve"> </w:t>
      </w:r>
    </w:p>
    <w:p w14:paraId="4BF43F79" w14:textId="77777777" w:rsidR="00275EDE" w:rsidRPr="00275EDE" w:rsidRDefault="00275EDE" w:rsidP="009C6F8E">
      <w:pPr>
        <w:jc w:val="both"/>
        <w:rPr>
          <w:rFonts w:ascii="Verdana" w:hAnsi="Verdana"/>
          <w:color w:val="000000"/>
          <w:sz w:val="20"/>
          <w:szCs w:val="20"/>
        </w:rPr>
      </w:pPr>
    </w:p>
    <w:p w14:paraId="788EFFEB" w14:textId="5DEEE9CD" w:rsidR="007C5857" w:rsidRPr="007C5857" w:rsidRDefault="007C5857" w:rsidP="00E66DD7">
      <w:pPr>
        <w:pStyle w:val="ListParagraph"/>
        <w:numPr>
          <w:ilvl w:val="0"/>
          <w:numId w:val="1"/>
        </w:numPr>
        <w:ind w:left="0" w:hanging="11"/>
        <w:jc w:val="both"/>
        <w:rPr>
          <w:rFonts w:ascii="Verdana" w:hAnsi="Verdana"/>
          <w:color w:val="000000"/>
          <w:sz w:val="20"/>
          <w:szCs w:val="20"/>
          <w:lang w:val="es-CR"/>
        </w:rPr>
      </w:pPr>
      <w:r>
        <w:rPr>
          <w:rFonts w:ascii="Verdana" w:hAnsi="Verdana"/>
          <w:color w:val="000000"/>
          <w:sz w:val="20"/>
          <w:szCs w:val="20"/>
          <w:lang w:val="es-CR"/>
        </w:rPr>
        <w:lastRenderedPageBreak/>
        <w:t>La empresa señaló que l</w:t>
      </w:r>
      <w:r w:rsidRPr="00944AD0">
        <w:rPr>
          <w:rFonts w:ascii="Verdana" w:hAnsi="Verdana"/>
          <w:color w:val="000000"/>
          <w:sz w:val="20"/>
          <w:szCs w:val="20"/>
          <w:lang w:val="es-CR"/>
        </w:rPr>
        <w:t xml:space="preserve">o expresado </w:t>
      </w:r>
      <w:r>
        <w:rPr>
          <w:rFonts w:ascii="Verdana" w:hAnsi="Verdana"/>
          <w:color w:val="000000"/>
          <w:sz w:val="20"/>
          <w:szCs w:val="20"/>
          <w:lang w:val="es-CR"/>
        </w:rPr>
        <w:t>a la revista</w:t>
      </w:r>
      <w:r w:rsidR="00E72D85">
        <w:rPr>
          <w:rFonts w:ascii="Verdana" w:hAnsi="Verdana"/>
          <w:color w:val="000000"/>
          <w:sz w:val="20"/>
          <w:szCs w:val="20"/>
          <w:lang w:val="es-CR"/>
        </w:rPr>
        <w:t>,</w:t>
      </w:r>
      <w:r>
        <w:rPr>
          <w:rFonts w:ascii="Verdana" w:hAnsi="Verdana"/>
          <w:color w:val="000000"/>
          <w:sz w:val="20"/>
          <w:szCs w:val="20"/>
          <w:lang w:val="es-CR"/>
        </w:rPr>
        <w:t xml:space="preserve"> </w:t>
      </w:r>
      <w:r w:rsidRPr="00944AD0">
        <w:rPr>
          <w:rFonts w:ascii="Verdana" w:hAnsi="Verdana"/>
          <w:color w:val="000000"/>
          <w:sz w:val="20"/>
          <w:szCs w:val="20"/>
          <w:lang w:val="es-CR"/>
        </w:rPr>
        <w:t>“además de constituir grave falta laboral, configur</w:t>
      </w:r>
      <w:r w:rsidR="008168A7">
        <w:rPr>
          <w:rFonts w:ascii="Verdana" w:hAnsi="Verdana"/>
          <w:color w:val="000000"/>
          <w:sz w:val="20"/>
          <w:szCs w:val="20"/>
          <w:lang w:val="es-CR"/>
        </w:rPr>
        <w:t>ó</w:t>
      </w:r>
      <w:r w:rsidR="0035747E">
        <w:rPr>
          <w:rFonts w:ascii="Verdana" w:hAnsi="Verdana"/>
          <w:color w:val="000000"/>
          <w:sz w:val="20"/>
          <w:szCs w:val="20"/>
          <w:lang w:val="es-CR"/>
        </w:rPr>
        <w:t xml:space="preserve"> </w:t>
      </w:r>
      <w:r w:rsidRPr="00944AD0">
        <w:rPr>
          <w:rFonts w:ascii="Verdana" w:hAnsi="Verdana"/>
          <w:color w:val="000000"/>
          <w:sz w:val="20"/>
          <w:szCs w:val="20"/>
          <w:lang w:val="es-CR"/>
        </w:rPr>
        <w:t>delito</w:t>
      </w:r>
      <w:r>
        <w:rPr>
          <w:rFonts w:ascii="Verdana" w:hAnsi="Verdana"/>
          <w:color w:val="000000"/>
          <w:sz w:val="20"/>
          <w:szCs w:val="20"/>
          <w:lang w:val="es-CR"/>
        </w:rPr>
        <w:t xml:space="preserve"> de injuria”. </w:t>
      </w:r>
      <w:r w:rsidR="000E46C0">
        <w:rPr>
          <w:rFonts w:ascii="Verdana" w:hAnsi="Verdana"/>
          <w:color w:val="000000"/>
          <w:sz w:val="20"/>
          <w:szCs w:val="20"/>
          <w:lang w:val="es-CR"/>
        </w:rPr>
        <w:t>De igual forma</w:t>
      </w:r>
      <w:r>
        <w:rPr>
          <w:rFonts w:ascii="Verdana" w:hAnsi="Verdana"/>
          <w:color w:val="000000"/>
          <w:sz w:val="20"/>
          <w:szCs w:val="20"/>
          <w:lang w:val="es-CR"/>
        </w:rPr>
        <w:t xml:space="preserve">, </w:t>
      </w:r>
      <w:r w:rsidR="000E46C0">
        <w:rPr>
          <w:rFonts w:ascii="Verdana" w:hAnsi="Verdana"/>
          <w:color w:val="000000"/>
          <w:sz w:val="20"/>
          <w:szCs w:val="20"/>
          <w:lang w:val="es-CR"/>
        </w:rPr>
        <w:t>la empresa le informó al señor Lagos del Campo que debía responder los cargos que se le formularon</w:t>
      </w:r>
      <w:r>
        <w:rPr>
          <w:rFonts w:ascii="Verdana" w:hAnsi="Verdana"/>
          <w:color w:val="000000"/>
          <w:sz w:val="20"/>
          <w:szCs w:val="20"/>
          <w:lang w:val="es-CR"/>
        </w:rPr>
        <w:t xml:space="preserve">. </w:t>
      </w:r>
      <w:r w:rsidR="000E46C0">
        <w:rPr>
          <w:rFonts w:ascii="Verdana" w:hAnsi="Verdana"/>
          <w:sz w:val="20"/>
          <w:szCs w:val="20"/>
          <w:lang w:val="es-CR"/>
        </w:rPr>
        <w:t>Durante ese proceso, la empresa “exoneró” al señor Lagos del Campo de asistir al centro de trabajo, “con pago de remuneraciones y demás derechos que pudieran corresponderle”</w:t>
      </w:r>
      <w:r w:rsidR="00275EDE" w:rsidRPr="007C5857">
        <w:rPr>
          <w:rFonts w:ascii="Verdana" w:hAnsi="Verdana"/>
          <w:color w:val="000000"/>
          <w:sz w:val="20"/>
          <w:szCs w:val="20"/>
          <w:vertAlign w:val="superscript"/>
        </w:rPr>
        <w:footnoteReference w:id="64"/>
      </w:r>
      <w:r w:rsidR="00275EDE" w:rsidRPr="007C5857">
        <w:rPr>
          <w:rFonts w:ascii="Verdana" w:hAnsi="Verdana"/>
          <w:color w:val="000000"/>
          <w:sz w:val="20"/>
          <w:szCs w:val="20"/>
        </w:rPr>
        <w:t>.</w:t>
      </w:r>
      <w:r w:rsidR="00275EDE" w:rsidRPr="00275EDE">
        <w:rPr>
          <w:rFonts w:ascii="Verdana" w:hAnsi="Verdana"/>
          <w:color w:val="000000"/>
          <w:sz w:val="20"/>
          <w:szCs w:val="20"/>
        </w:rPr>
        <w:t xml:space="preserve"> Esto tuvo como consecuencia que al señor Lagos del Campo le fuera prohibido el ingreso a la empresa el 27 de junio de 1989 </w:t>
      </w:r>
      <w:r w:rsidR="00787FF6">
        <w:rPr>
          <w:rFonts w:ascii="Verdana" w:hAnsi="Verdana"/>
          <w:color w:val="000000"/>
          <w:sz w:val="20"/>
          <w:szCs w:val="20"/>
        </w:rPr>
        <w:t xml:space="preserve">lo cual le impidió </w:t>
      </w:r>
      <w:r w:rsidR="00275EDE" w:rsidRPr="00275EDE">
        <w:rPr>
          <w:rFonts w:ascii="Verdana" w:hAnsi="Verdana"/>
          <w:color w:val="000000"/>
          <w:sz w:val="20"/>
          <w:szCs w:val="20"/>
        </w:rPr>
        <w:t xml:space="preserve">asistir a la reunión que él mismo había citado, en su calidad de Presidente del Comité Electoral, con el resto del Comité para tratar el tema de una nueva elección. </w:t>
      </w:r>
    </w:p>
    <w:p w14:paraId="0CE086E0" w14:textId="77777777" w:rsidR="007C5857" w:rsidRPr="00275EDE" w:rsidRDefault="007C5857" w:rsidP="009C6F8E">
      <w:pPr>
        <w:jc w:val="both"/>
        <w:rPr>
          <w:rFonts w:ascii="Verdana" w:hAnsi="Verdana"/>
          <w:b/>
          <w:color w:val="000000"/>
          <w:sz w:val="20"/>
          <w:szCs w:val="20"/>
        </w:rPr>
      </w:pPr>
    </w:p>
    <w:p w14:paraId="5CED3683" w14:textId="318C51C3" w:rsidR="00275EDE" w:rsidRPr="00275EDE" w:rsidRDefault="00275EDE" w:rsidP="00E66DD7">
      <w:pPr>
        <w:pStyle w:val="ListParagraph"/>
        <w:numPr>
          <w:ilvl w:val="0"/>
          <w:numId w:val="1"/>
        </w:numPr>
        <w:ind w:left="0" w:hanging="11"/>
        <w:jc w:val="both"/>
        <w:rPr>
          <w:rFonts w:ascii="Verdana" w:hAnsi="Verdana"/>
          <w:sz w:val="20"/>
          <w:szCs w:val="20"/>
        </w:rPr>
      </w:pPr>
      <w:r w:rsidRPr="00275EDE">
        <w:rPr>
          <w:rFonts w:ascii="Verdana" w:hAnsi="Verdana"/>
          <w:sz w:val="20"/>
          <w:szCs w:val="20"/>
          <w:lang w:val="es-MX"/>
        </w:rPr>
        <w:t>Por medio de carta de 30 de junio de 1989</w:t>
      </w:r>
      <w:r w:rsidR="00AA1F88">
        <w:rPr>
          <w:rFonts w:ascii="Verdana" w:hAnsi="Verdana"/>
          <w:sz w:val="20"/>
          <w:szCs w:val="20"/>
          <w:lang w:val="es-MX"/>
        </w:rPr>
        <w:t xml:space="preserve"> dirigida al Gerente General</w:t>
      </w:r>
      <w:r w:rsidRPr="00275EDE">
        <w:rPr>
          <w:rFonts w:ascii="Verdana" w:hAnsi="Verdana"/>
          <w:sz w:val="20"/>
          <w:szCs w:val="20"/>
          <w:lang w:val="es-MX"/>
        </w:rPr>
        <w:t xml:space="preserve">, el señor Lagos del Campo buscó desvirtuar los cargos que se le habían formulado a través de la carta notarial. En particular, el señor Lagos del Campo manifestó </w:t>
      </w:r>
      <w:r w:rsidR="00D73A3B">
        <w:rPr>
          <w:rFonts w:ascii="Verdana" w:hAnsi="Verdana"/>
          <w:sz w:val="20"/>
          <w:szCs w:val="20"/>
          <w:lang w:val="es-MX"/>
        </w:rPr>
        <w:t>que</w:t>
      </w:r>
      <w:r w:rsidRPr="00275EDE">
        <w:rPr>
          <w:rFonts w:ascii="Verdana" w:hAnsi="Verdana"/>
          <w:sz w:val="20"/>
          <w:szCs w:val="20"/>
          <w:lang w:val="es-MX"/>
        </w:rPr>
        <w:t xml:space="preserve">: a) no era cierto que él había incurrido incumplimiento de sus obligaciones de trabajo o que haya incurrido en grave indisciplina, puesto que siempre había ejecutado escrupulosamente las labores que le habían asignado; b) no era cierto que había incurrido en </w:t>
      </w:r>
      <w:r w:rsidR="005D72FB">
        <w:rPr>
          <w:rFonts w:ascii="Verdana" w:hAnsi="Verdana"/>
          <w:sz w:val="20"/>
          <w:szCs w:val="20"/>
        </w:rPr>
        <w:t>“</w:t>
      </w:r>
      <w:proofErr w:type="spellStart"/>
      <w:r w:rsidRPr="00275EDE">
        <w:rPr>
          <w:rFonts w:ascii="Verdana" w:hAnsi="Verdana"/>
          <w:sz w:val="20"/>
          <w:szCs w:val="20"/>
          <w:lang w:val="es-MX"/>
        </w:rPr>
        <w:t>faltamiento</w:t>
      </w:r>
      <w:proofErr w:type="spellEnd"/>
      <w:r w:rsidRPr="00275EDE">
        <w:rPr>
          <w:rFonts w:ascii="Verdana" w:hAnsi="Verdana"/>
          <w:sz w:val="20"/>
          <w:szCs w:val="20"/>
          <w:lang w:val="es-MX"/>
        </w:rPr>
        <w:t xml:space="preserve"> grave de palabra</w:t>
      </w:r>
      <w:r w:rsidR="005D72FB" w:rsidRPr="00275EDE">
        <w:rPr>
          <w:rFonts w:ascii="Verdana" w:hAnsi="Verdana"/>
          <w:sz w:val="20"/>
          <w:szCs w:val="20"/>
        </w:rPr>
        <w:t>”</w:t>
      </w:r>
      <w:r w:rsidRPr="00275EDE">
        <w:rPr>
          <w:rFonts w:ascii="Verdana" w:hAnsi="Verdana"/>
          <w:sz w:val="20"/>
          <w:szCs w:val="20"/>
          <w:lang w:val="es-MX"/>
        </w:rPr>
        <w:t xml:space="preserve"> en agravio del empleador o sus representantes, puesto que no se hizo de manera directa hacia el afectado ni con intención ofensiva por parte de él; c) dado que no existía reiteración ni sanción disciplinaria anterior por faltas similares, la empresa debió haber procedido de acuerdo a lo establecido en el Reglamento Interno de Trabajo, aplicando primero las sanciones leves que proveía dicho Reglamento; d) no era cierto que había afirmado que existía un </w:t>
      </w:r>
      <w:r w:rsidRPr="00275EDE">
        <w:rPr>
          <w:rFonts w:ascii="Verdana" w:hAnsi="Verdana"/>
          <w:sz w:val="20"/>
          <w:szCs w:val="20"/>
        </w:rPr>
        <w:t>entendimiento "ilícito y deshonesto" con la directora de la Oficina General de Participación</w:t>
      </w:r>
      <w:r w:rsidR="00452C95">
        <w:rPr>
          <w:rFonts w:ascii="Verdana" w:hAnsi="Verdana"/>
          <w:sz w:val="20"/>
          <w:szCs w:val="20"/>
        </w:rPr>
        <w:t xml:space="preserve">; </w:t>
      </w:r>
      <w:r w:rsidRPr="00275EDE">
        <w:rPr>
          <w:rFonts w:ascii="Verdana" w:hAnsi="Verdana"/>
          <w:sz w:val="20"/>
          <w:szCs w:val="20"/>
        </w:rPr>
        <w:t>e) era evidente que existía una deformación de sus afirmaciones</w:t>
      </w:r>
      <w:r w:rsidR="00452C95">
        <w:rPr>
          <w:rFonts w:ascii="Verdana" w:hAnsi="Verdana"/>
          <w:sz w:val="20"/>
          <w:szCs w:val="20"/>
        </w:rPr>
        <w:t>;</w:t>
      </w:r>
      <w:r w:rsidRPr="00275EDE">
        <w:rPr>
          <w:rFonts w:ascii="Verdana" w:hAnsi="Verdana"/>
          <w:sz w:val="20"/>
          <w:szCs w:val="20"/>
        </w:rPr>
        <w:t xml:space="preserve"> f) por otra parte en la carta notarial se pretendía atribuir sanciones disciplinarias en el </w:t>
      </w:r>
      <w:r w:rsidR="00452C95" w:rsidRPr="00275EDE">
        <w:rPr>
          <w:rFonts w:ascii="Verdana" w:hAnsi="Verdana"/>
          <w:sz w:val="20"/>
          <w:szCs w:val="20"/>
        </w:rPr>
        <w:t>ej</w:t>
      </w:r>
      <w:r w:rsidR="00452C95">
        <w:rPr>
          <w:rFonts w:ascii="Verdana" w:hAnsi="Verdana"/>
          <w:sz w:val="20"/>
          <w:szCs w:val="20"/>
        </w:rPr>
        <w:t>e</w:t>
      </w:r>
      <w:r w:rsidR="00452C95" w:rsidRPr="00275EDE">
        <w:rPr>
          <w:rFonts w:ascii="Verdana" w:hAnsi="Verdana"/>
          <w:sz w:val="20"/>
          <w:szCs w:val="20"/>
        </w:rPr>
        <w:t>rcicio</w:t>
      </w:r>
      <w:r w:rsidRPr="00275EDE">
        <w:rPr>
          <w:rFonts w:ascii="Verdana" w:hAnsi="Verdana"/>
          <w:sz w:val="20"/>
          <w:szCs w:val="20"/>
        </w:rPr>
        <w:t xml:space="preserve"> de sus funciones, siendo notorio un acto de interferencia en las actividades internas de la Comunidad Industrial</w:t>
      </w:r>
      <w:r w:rsidR="00452C95">
        <w:rPr>
          <w:rFonts w:ascii="Verdana" w:hAnsi="Verdana"/>
          <w:sz w:val="20"/>
          <w:szCs w:val="20"/>
        </w:rPr>
        <w:t>,</w:t>
      </w:r>
      <w:r w:rsidRPr="00275EDE">
        <w:rPr>
          <w:rFonts w:ascii="Verdana" w:hAnsi="Verdana"/>
          <w:sz w:val="20"/>
          <w:szCs w:val="20"/>
        </w:rPr>
        <w:t xml:space="preserve"> y g)</w:t>
      </w:r>
      <w:r w:rsidR="007E0ADF">
        <w:rPr>
          <w:rFonts w:ascii="Verdana" w:hAnsi="Verdana"/>
          <w:sz w:val="20"/>
          <w:szCs w:val="20"/>
        </w:rPr>
        <w:t xml:space="preserve"> </w:t>
      </w:r>
      <w:r w:rsidRPr="00275EDE">
        <w:rPr>
          <w:rFonts w:ascii="Verdana" w:hAnsi="Verdana"/>
          <w:sz w:val="20"/>
          <w:szCs w:val="20"/>
        </w:rPr>
        <w:t>las acusaciones que se le formularon atentaban contra su derecho a la libertad de expresión y difusión del pensamiento</w:t>
      </w:r>
      <w:r w:rsidRPr="00557859">
        <w:rPr>
          <w:rFonts w:ascii="Verdana" w:hAnsi="Verdana"/>
          <w:color w:val="000000"/>
          <w:sz w:val="20"/>
          <w:szCs w:val="20"/>
          <w:vertAlign w:val="superscript"/>
        </w:rPr>
        <w:footnoteReference w:id="65"/>
      </w:r>
      <w:r w:rsidRPr="00275EDE">
        <w:rPr>
          <w:rFonts w:ascii="Verdana" w:hAnsi="Verdana"/>
          <w:sz w:val="20"/>
          <w:szCs w:val="20"/>
        </w:rPr>
        <w:t xml:space="preserve">. </w:t>
      </w:r>
    </w:p>
    <w:p w14:paraId="13513920" w14:textId="77777777" w:rsidR="00275EDE" w:rsidRPr="00275EDE" w:rsidRDefault="00275EDE" w:rsidP="009C6F8E">
      <w:pPr>
        <w:jc w:val="both"/>
        <w:rPr>
          <w:rFonts w:ascii="Verdana" w:hAnsi="Verdana"/>
          <w:b/>
          <w:sz w:val="20"/>
          <w:szCs w:val="20"/>
        </w:rPr>
      </w:pPr>
    </w:p>
    <w:p w14:paraId="35B2B1FE" w14:textId="011E4C14" w:rsidR="00275EDE" w:rsidRPr="00787FF6" w:rsidRDefault="00275EDE" w:rsidP="00E66DD7">
      <w:pPr>
        <w:pStyle w:val="ListParagraph"/>
        <w:numPr>
          <w:ilvl w:val="0"/>
          <w:numId w:val="1"/>
        </w:numPr>
        <w:ind w:left="0" w:hanging="11"/>
        <w:jc w:val="both"/>
        <w:rPr>
          <w:rFonts w:ascii="Verdana" w:hAnsi="Verdana"/>
          <w:b/>
          <w:sz w:val="20"/>
          <w:szCs w:val="20"/>
        </w:rPr>
      </w:pPr>
      <w:r w:rsidRPr="00452C95">
        <w:rPr>
          <w:rFonts w:ascii="Verdana" w:hAnsi="Verdana"/>
          <w:sz w:val="20"/>
          <w:szCs w:val="20"/>
        </w:rPr>
        <w:t>Mediante nota de 1 de julio de 1989</w:t>
      </w:r>
      <w:r w:rsidRPr="009C6F8E">
        <w:rPr>
          <w:rFonts w:ascii="Verdana" w:hAnsi="Verdana"/>
          <w:sz w:val="20"/>
          <w:szCs w:val="20"/>
          <w:vertAlign w:val="superscript"/>
        </w:rPr>
        <w:footnoteReference w:id="66"/>
      </w:r>
      <w:r w:rsidRPr="00452C95">
        <w:rPr>
          <w:rFonts w:ascii="Verdana" w:hAnsi="Verdana"/>
          <w:sz w:val="20"/>
          <w:szCs w:val="20"/>
        </w:rPr>
        <w:t xml:space="preserve"> la empresa comunicó al señor Lagos del Campo la decisión de despedirlo de su empleo</w:t>
      </w:r>
      <w:r w:rsidR="000D6F59">
        <w:rPr>
          <w:rFonts w:ascii="Verdana" w:hAnsi="Verdana"/>
          <w:sz w:val="20"/>
          <w:szCs w:val="20"/>
        </w:rPr>
        <w:t>,</w:t>
      </w:r>
      <w:r w:rsidRPr="008168A7">
        <w:rPr>
          <w:rFonts w:ascii="Verdana" w:hAnsi="Verdana"/>
          <w:sz w:val="20"/>
          <w:szCs w:val="20"/>
        </w:rPr>
        <w:t xml:space="preserve"> </w:t>
      </w:r>
      <w:r w:rsidR="001B481A" w:rsidRPr="00333304">
        <w:rPr>
          <w:rFonts w:ascii="Verdana" w:hAnsi="Verdana"/>
          <w:sz w:val="20"/>
          <w:szCs w:val="20"/>
        </w:rPr>
        <w:t>puesto</w:t>
      </w:r>
      <w:r w:rsidR="001B481A" w:rsidRPr="00452C95">
        <w:rPr>
          <w:rFonts w:ascii="Verdana" w:hAnsi="Verdana"/>
          <w:sz w:val="20"/>
          <w:szCs w:val="20"/>
        </w:rPr>
        <w:t xml:space="preserve"> </w:t>
      </w:r>
      <w:r w:rsidRPr="00452C95">
        <w:rPr>
          <w:rFonts w:ascii="Verdana" w:hAnsi="Verdana"/>
          <w:sz w:val="20"/>
          <w:szCs w:val="20"/>
        </w:rPr>
        <w:t xml:space="preserve">que </w:t>
      </w:r>
      <w:r w:rsidR="00452C95" w:rsidRPr="00452C95">
        <w:rPr>
          <w:rFonts w:ascii="Verdana" w:hAnsi="Verdana"/>
          <w:sz w:val="20"/>
          <w:szCs w:val="20"/>
        </w:rPr>
        <w:t>“</w:t>
      </w:r>
      <w:r w:rsidRPr="00452C95">
        <w:rPr>
          <w:rFonts w:ascii="Verdana" w:hAnsi="Verdana"/>
          <w:sz w:val="20"/>
          <w:szCs w:val="20"/>
        </w:rPr>
        <w:t xml:space="preserve">[…] no </w:t>
      </w:r>
      <w:r w:rsidRPr="00452C95">
        <w:rPr>
          <w:rFonts w:ascii="Verdana" w:hAnsi="Verdana"/>
          <w:sz w:val="20"/>
          <w:szCs w:val="20"/>
          <w:lang w:val="es-MX"/>
        </w:rPr>
        <w:t>había logrado desvirtuar los cargos que le habían formulado a través de la carta notarial de 26 de junio</w:t>
      </w:r>
      <w:r w:rsidR="00452C95" w:rsidRPr="00452C95">
        <w:rPr>
          <w:rFonts w:ascii="Verdana" w:hAnsi="Verdana"/>
          <w:sz w:val="20"/>
          <w:szCs w:val="20"/>
          <w:lang w:val="es-MX"/>
        </w:rPr>
        <w:t xml:space="preserve"> [</w:t>
      </w:r>
      <w:r w:rsidRPr="00452C95">
        <w:rPr>
          <w:rFonts w:ascii="Verdana" w:hAnsi="Verdana"/>
          <w:sz w:val="20"/>
          <w:szCs w:val="20"/>
          <w:lang w:val="es-MX"/>
        </w:rPr>
        <w:t>…</w:t>
      </w:r>
      <w:r w:rsidR="00452C95" w:rsidRPr="00452C95">
        <w:rPr>
          <w:rFonts w:ascii="Verdana" w:hAnsi="Verdana"/>
          <w:sz w:val="20"/>
          <w:szCs w:val="20"/>
          <w:lang w:val="es-MX"/>
        </w:rPr>
        <w:t>]”</w:t>
      </w:r>
      <w:r w:rsidRPr="00A21E28">
        <w:rPr>
          <w:rFonts w:ascii="Verdana" w:hAnsi="Verdana"/>
          <w:sz w:val="20"/>
          <w:szCs w:val="20"/>
          <w:lang w:val="es-MX"/>
        </w:rPr>
        <w:t>.</w:t>
      </w:r>
      <w:r w:rsidRPr="002F59B2">
        <w:rPr>
          <w:rFonts w:ascii="Verdana" w:hAnsi="Verdana"/>
          <w:b/>
          <w:sz w:val="20"/>
          <w:szCs w:val="20"/>
        </w:rPr>
        <w:t xml:space="preserve"> </w:t>
      </w:r>
      <w:r w:rsidRPr="002F59B2">
        <w:rPr>
          <w:rFonts w:ascii="Verdana" w:hAnsi="Verdana"/>
          <w:sz w:val="20"/>
          <w:szCs w:val="20"/>
        </w:rPr>
        <w:t xml:space="preserve">Consideró el despido justificado en particular por haber incurrido en las causales de falta grave calificadas en los incisos a) y h) del artículo 5 de la </w:t>
      </w:r>
      <w:r w:rsidRPr="00333304">
        <w:rPr>
          <w:rFonts w:ascii="Verdana" w:hAnsi="Verdana"/>
          <w:sz w:val="20"/>
          <w:szCs w:val="20"/>
        </w:rPr>
        <w:t>Ley 24514</w:t>
      </w:r>
      <w:r w:rsidRPr="00A21E28">
        <w:rPr>
          <w:rFonts w:ascii="Verdana" w:hAnsi="Verdana"/>
          <w:sz w:val="20"/>
          <w:szCs w:val="20"/>
        </w:rPr>
        <w:t xml:space="preserve"> de 1986, </w:t>
      </w:r>
      <w:r w:rsidR="007E0ADF" w:rsidRPr="002F59B2">
        <w:rPr>
          <w:rFonts w:ascii="Verdana" w:hAnsi="Verdana"/>
          <w:sz w:val="20"/>
          <w:szCs w:val="20"/>
        </w:rPr>
        <w:t>misma que</w:t>
      </w:r>
      <w:r w:rsidRPr="002F59B2">
        <w:rPr>
          <w:rFonts w:ascii="Verdana" w:hAnsi="Verdana"/>
          <w:sz w:val="20"/>
          <w:szCs w:val="20"/>
        </w:rPr>
        <w:t xml:space="preserve"> regula</w:t>
      </w:r>
      <w:r w:rsidR="007E0ADF" w:rsidRPr="002F59B2">
        <w:rPr>
          <w:rFonts w:ascii="Verdana" w:hAnsi="Verdana"/>
          <w:sz w:val="20"/>
          <w:szCs w:val="20"/>
        </w:rPr>
        <w:t>ba</w:t>
      </w:r>
      <w:r w:rsidRPr="00205207">
        <w:rPr>
          <w:rFonts w:ascii="Verdana" w:hAnsi="Verdana"/>
          <w:sz w:val="20"/>
          <w:szCs w:val="20"/>
        </w:rPr>
        <w:t xml:space="preserve"> el derecho de estabilidad en el trabajo, que considera como tales, </w:t>
      </w:r>
      <w:r w:rsidR="0019166C" w:rsidRPr="008168A7">
        <w:rPr>
          <w:rFonts w:ascii="Verdana" w:hAnsi="Verdana"/>
          <w:sz w:val="20"/>
          <w:szCs w:val="20"/>
        </w:rPr>
        <w:t>“</w:t>
      </w:r>
      <w:r w:rsidRPr="00333304">
        <w:rPr>
          <w:rFonts w:ascii="Verdana" w:hAnsi="Verdana"/>
          <w:sz w:val="20"/>
          <w:szCs w:val="20"/>
        </w:rPr>
        <w:t xml:space="preserve">el </w:t>
      </w:r>
      <w:proofErr w:type="spellStart"/>
      <w:r w:rsidRPr="00333304">
        <w:rPr>
          <w:rFonts w:ascii="Verdana" w:hAnsi="Verdana"/>
          <w:sz w:val="20"/>
          <w:szCs w:val="20"/>
        </w:rPr>
        <w:t>faltamiento</w:t>
      </w:r>
      <w:proofErr w:type="spellEnd"/>
      <w:r w:rsidRPr="00333304">
        <w:rPr>
          <w:rFonts w:ascii="Verdana" w:hAnsi="Verdana"/>
          <w:sz w:val="20"/>
          <w:szCs w:val="20"/>
        </w:rPr>
        <w:t xml:space="preserve"> grave de palabra</w:t>
      </w:r>
      <w:r w:rsidRPr="00205207">
        <w:rPr>
          <w:rFonts w:ascii="Verdana" w:hAnsi="Verdana"/>
          <w:sz w:val="20"/>
          <w:szCs w:val="20"/>
        </w:rPr>
        <w:t xml:space="preserve"> en agravio del empleador, de sus representantes y de sus compañeros de trabajo”, con motivo de las declaraciones que realizó al conceder la entrevista</w:t>
      </w:r>
      <w:r w:rsidRPr="009C6F8E">
        <w:rPr>
          <w:rFonts w:ascii="Verdana" w:hAnsi="Verdana"/>
          <w:sz w:val="20"/>
          <w:szCs w:val="20"/>
          <w:vertAlign w:val="superscript"/>
        </w:rPr>
        <w:footnoteReference w:id="67"/>
      </w:r>
      <w:r w:rsidRPr="00452C95">
        <w:rPr>
          <w:rFonts w:ascii="Verdana" w:hAnsi="Verdana"/>
          <w:sz w:val="20"/>
          <w:szCs w:val="20"/>
        </w:rPr>
        <w:t>. En particular, l</w:t>
      </w:r>
      <w:r w:rsidRPr="00452C95">
        <w:rPr>
          <w:rFonts w:ascii="Verdana" w:hAnsi="Verdana"/>
          <w:sz w:val="20"/>
          <w:szCs w:val="20"/>
          <w:lang w:val="es-CR"/>
        </w:rPr>
        <w:t xml:space="preserve">a empresa sostuvo que el señor Lagos incurrió en una grave infracción, al acusar a los directivos de utilizar el </w:t>
      </w:r>
      <w:r w:rsidRPr="00452C95">
        <w:rPr>
          <w:rFonts w:ascii="Verdana" w:hAnsi="Verdana"/>
          <w:sz w:val="20"/>
          <w:szCs w:val="20"/>
        </w:rPr>
        <w:t>“</w:t>
      </w:r>
      <w:r w:rsidRPr="00452C95">
        <w:rPr>
          <w:rFonts w:ascii="Verdana" w:hAnsi="Verdana"/>
          <w:iCs/>
          <w:sz w:val="20"/>
          <w:szCs w:val="20"/>
          <w:lang w:val="es-CR"/>
        </w:rPr>
        <w:t>chantaje</w:t>
      </w:r>
      <w:r w:rsidRPr="00452C95">
        <w:rPr>
          <w:rFonts w:ascii="Verdana" w:hAnsi="Verdana"/>
          <w:sz w:val="20"/>
          <w:szCs w:val="20"/>
        </w:rPr>
        <w:t>”</w:t>
      </w:r>
      <w:r w:rsidRPr="00452C95">
        <w:rPr>
          <w:rFonts w:ascii="Verdana" w:hAnsi="Verdana"/>
          <w:iCs/>
          <w:sz w:val="20"/>
          <w:szCs w:val="20"/>
          <w:lang w:val="es-CR"/>
        </w:rPr>
        <w:t xml:space="preserve"> </w:t>
      </w:r>
      <w:r w:rsidRPr="00452C95">
        <w:rPr>
          <w:rFonts w:ascii="Verdana" w:hAnsi="Verdana"/>
          <w:sz w:val="20"/>
          <w:szCs w:val="20"/>
          <w:lang w:val="es-CR"/>
        </w:rPr>
        <w:t xml:space="preserve">y la </w:t>
      </w:r>
      <w:r w:rsidRPr="00452C95">
        <w:rPr>
          <w:rFonts w:ascii="Verdana" w:hAnsi="Verdana"/>
          <w:sz w:val="20"/>
          <w:szCs w:val="20"/>
        </w:rPr>
        <w:t>“</w:t>
      </w:r>
      <w:r w:rsidRPr="00452C95">
        <w:rPr>
          <w:rFonts w:ascii="Verdana" w:hAnsi="Verdana"/>
          <w:iCs/>
          <w:sz w:val="20"/>
          <w:szCs w:val="20"/>
          <w:lang w:val="es-CR"/>
        </w:rPr>
        <w:t>coerción</w:t>
      </w:r>
      <w:r w:rsidRPr="00A21E28">
        <w:rPr>
          <w:rFonts w:ascii="Verdana" w:hAnsi="Verdana"/>
          <w:sz w:val="20"/>
          <w:szCs w:val="20"/>
        </w:rPr>
        <w:t>”</w:t>
      </w:r>
      <w:r w:rsidRPr="00A21E28">
        <w:rPr>
          <w:rFonts w:ascii="Verdana" w:hAnsi="Verdana"/>
          <w:iCs/>
          <w:sz w:val="20"/>
          <w:szCs w:val="20"/>
          <w:lang w:val="es-CR"/>
        </w:rPr>
        <w:t xml:space="preserve">, </w:t>
      </w:r>
      <w:r w:rsidRPr="002F59B2">
        <w:rPr>
          <w:rFonts w:ascii="Verdana" w:hAnsi="Verdana"/>
          <w:sz w:val="20"/>
          <w:szCs w:val="20"/>
          <w:lang w:val="es-CR"/>
        </w:rPr>
        <w:t xml:space="preserve">tener un </w:t>
      </w:r>
      <w:r w:rsidRPr="002F59B2">
        <w:rPr>
          <w:rFonts w:ascii="Verdana" w:hAnsi="Verdana"/>
          <w:sz w:val="20"/>
          <w:szCs w:val="20"/>
        </w:rPr>
        <w:t>“</w:t>
      </w:r>
      <w:r w:rsidRPr="002F59B2">
        <w:rPr>
          <w:rFonts w:ascii="Verdana" w:hAnsi="Verdana"/>
          <w:iCs/>
          <w:sz w:val="20"/>
          <w:szCs w:val="20"/>
          <w:lang w:val="es-CR"/>
        </w:rPr>
        <w:t>entendimiento</w:t>
      </w:r>
      <w:r w:rsidRPr="002F59B2">
        <w:rPr>
          <w:rFonts w:ascii="Verdana" w:hAnsi="Verdana"/>
          <w:sz w:val="20"/>
          <w:szCs w:val="20"/>
        </w:rPr>
        <w:t>”</w:t>
      </w:r>
      <w:r w:rsidRPr="00205207">
        <w:rPr>
          <w:rFonts w:ascii="Verdana" w:hAnsi="Verdana"/>
          <w:iCs/>
          <w:sz w:val="20"/>
          <w:szCs w:val="20"/>
          <w:lang w:val="es-CR"/>
        </w:rPr>
        <w:t xml:space="preserve"> </w:t>
      </w:r>
      <w:r w:rsidRPr="00205207">
        <w:rPr>
          <w:rFonts w:ascii="Verdana" w:hAnsi="Verdana"/>
          <w:sz w:val="20"/>
          <w:szCs w:val="20"/>
          <w:lang w:val="es-CR"/>
        </w:rPr>
        <w:t xml:space="preserve">con la Dirección de la Oficina General de Participación del Ministerio de Industria, Turismo y Comercio, tener la intención de </w:t>
      </w:r>
      <w:r w:rsidRPr="00205207">
        <w:rPr>
          <w:rFonts w:ascii="Verdana" w:hAnsi="Verdana"/>
          <w:sz w:val="20"/>
          <w:szCs w:val="20"/>
        </w:rPr>
        <w:t>“</w:t>
      </w:r>
      <w:r w:rsidRPr="00205207">
        <w:rPr>
          <w:rFonts w:ascii="Verdana" w:hAnsi="Verdana"/>
          <w:iCs/>
          <w:sz w:val="20"/>
          <w:szCs w:val="20"/>
          <w:lang w:val="es-CR"/>
        </w:rPr>
        <w:t>liquidar</w:t>
      </w:r>
      <w:r w:rsidRPr="00205207">
        <w:rPr>
          <w:rFonts w:ascii="Verdana" w:hAnsi="Verdana"/>
          <w:sz w:val="20"/>
          <w:szCs w:val="20"/>
        </w:rPr>
        <w:t>”</w:t>
      </w:r>
      <w:r w:rsidRPr="00205207">
        <w:rPr>
          <w:rFonts w:ascii="Verdana" w:hAnsi="Verdana"/>
          <w:iCs/>
          <w:sz w:val="20"/>
          <w:szCs w:val="20"/>
          <w:lang w:val="es-CR"/>
        </w:rPr>
        <w:t xml:space="preserve"> </w:t>
      </w:r>
      <w:r w:rsidRPr="00D24B13">
        <w:rPr>
          <w:rFonts w:ascii="Verdana" w:hAnsi="Verdana"/>
          <w:sz w:val="20"/>
          <w:szCs w:val="20"/>
          <w:lang w:val="es-CR"/>
        </w:rPr>
        <w:t xml:space="preserve">a la Comunidad Industrial, y pretender </w:t>
      </w:r>
      <w:r w:rsidRPr="00D24B13">
        <w:rPr>
          <w:rFonts w:ascii="Verdana" w:hAnsi="Verdana"/>
          <w:sz w:val="20"/>
          <w:szCs w:val="20"/>
        </w:rPr>
        <w:t>“</w:t>
      </w:r>
      <w:r w:rsidRPr="00D24B13">
        <w:rPr>
          <w:rFonts w:ascii="Verdana" w:hAnsi="Verdana"/>
          <w:iCs/>
          <w:sz w:val="20"/>
          <w:szCs w:val="20"/>
          <w:lang w:val="es-CR"/>
        </w:rPr>
        <w:t>influenciar</w:t>
      </w:r>
      <w:r w:rsidRPr="00D24B13">
        <w:rPr>
          <w:rFonts w:ascii="Verdana" w:hAnsi="Verdana"/>
          <w:sz w:val="20"/>
          <w:szCs w:val="20"/>
        </w:rPr>
        <w:t>”</w:t>
      </w:r>
      <w:r w:rsidRPr="00D24B13">
        <w:rPr>
          <w:rFonts w:ascii="Verdana" w:hAnsi="Verdana"/>
          <w:iCs/>
          <w:sz w:val="20"/>
          <w:szCs w:val="20"/>
          <w:lang w:val="es-CR"/>
        </w:rPr>
        <w:t xml:space="preserve"> </w:t>
      </w:r>
      <w:r w:rsidRPr="00D24B13">
        <w:rPr>
          <w:rFonts w:ascii="Verdana" w:hAnsi="Verdana"/>
          <w:sz w:val="20"/>
          <w:szCs w:val="20"/>
          <w:lang w:val="es-CR"/>
        </w:rPr>
        <w:t>las elecciones de la Comunidad Industrial mediante la presión a un grupo determinado de trabajadores</w:t>
      </w:r>
      <w:r w:rsidRPr="00D24B13">
        <w:rPr>
          <w:rFonts w:ascii="Verdana" w:hAnsi="Verdana"/>
          <w:sz w:val="20"/>
          <w:szCs w:val="20"/>
          <w:lang w:val="es-MX"/>
        </w:rPr>
        <w:t xml:space="preserve">. </w:t>
      </w:r>
    </w:p>
    <w:p w14:paraId="2F493097" w14:textId="77777777" w:rsidR="00275EDE" w:rsidRPr="00275EDE" w:rsidRDefault="00275EDE" w:rsidP="009C6F8E">
      <w:pPr>
        <w:jc w:val="both"/>
        <w:rPr>
          <w:rFonts w:ascii="Verdana" w:hAnsi="Verdana"/>
          <w:b/>
          <w:sz w:val="20"/>
          <w:szCs w:val="20"/>
        </w:rPr>
      </w:pPr>
    </w:p>
    <w:p w14:paraId="25D9D544" w14:textId="6F77A583" w:rsidR="00275EDE" w:rsidRPr="00275EDE" w:rsidRDefault="00275EDE"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t>En ese momento, la Ley 24514 de 1986 regulaba el derecho de estabilidad laboral y el procedimiento de despido de los trabajadores</w:t>
      </w:r>
      <w:r w:rsidRPr="009C6F8E">
        <w:rPr>
          <w:rFonts w:ascii="Verdana" w:hAnsi="Verdana"/>
          <w:sz w:val="20"/>
          <w:szCs w:val="20"/>
          <w:vertAlign w:val="superscript"/>
        </w:rPr>
        <w:footnoteReference w:id="68"/>
      </w:r>
      <w:r w:rsidRPr="00275EDE">
        <w:rPr>
          <w:rFonts w:ascii="Verdana" w:hAnsi="Verdana" w:cs="Arial"/>
          <w:sz w:val="20"/>
          <w:szCs w:val="20"/>
        </w:rPr>
        <w:t xml:space="preserve">. </w:t>
      </w:r>
      <w:r w:rsidRPr="00275EDE">
        <w:rPr>
          <w:rFonts w:ascii="Verdana" w:hAnsi="Verdana"/>
          <w:sz w:val="20"/>
          <w:szCs w:val="20"/>
        </w:rPr>
        <w:t xml:space="preserve">La normativa preveía que </w:t>
      </w:r>
      <w:r w:rsidRPr="00333304">
        <w:rPr>
          <w:rFonts w:ascii="Verdana" w:hAnsi="Verdana"/>
          <w:sz w:val="20"/>
          <w:szCs w:val="20"/>
        </w:rPr>
        <w:t>las faltas graves</w:t>
      </w:r>
      <w:r w:rsidRPr="008168A7">
        <w:rPr>
          <w:rFonts w:ascii="Verdana" w:hAnsi="Verdana"/>
          <w:sz w:val="20"/>
          <w:szCs w:val="20"/>
        </w:rPr>
        <w:t xml:space="preserve"> </w:t>
      </w:r>
      <w:r w:rsidRPr="00275EDE">
        <w:rPr>
          <w:rFonts w:ascii="Verdana" w:hAnsi="Verdana"/>
          <w:sz w:val="20"/>
          <w:szCs w:val="20"/>
        </w:rPr>
        <w:lastRenderedPageBreak/>
        <w:t>cometidas por los trabajadores eran una causa justa de despido</w:t>
      </w:r>
      <w:r w:rsidRPr="009C6F8E">
        <w:rPr>
          <w:rFonts w:ascii="Verdana" w:hAnsi="Verdana"/>
          <w:sz w:val="20"/>
          <w:szCs w:val="20"/>
          <w:vertAlign w:val="superscript"/>
        </w:rPr>
        <w:footnoteReference w:id="69"/>
      </w:r>
      <w:r w:rsidRPr="00275EDE">
        <w:rPr>
          <w:rFonts w:ascii="Verdana" w:hAnsi="Verdana"/>
          <w:sz w:val="20"/>
          <w:szCs w:val="20"/>
        </w:rPr>
        <w:t xml:space="preserve"> y consagra</w:t>
      </w:r>
      <w:r w:rsidR="007E0ADF">
        <w:rPr>
          <w:rFonts w:ascii="Verdana" w:hAnsi="Verdana"/>
          <w:sz w:val="20"/>
          <w:szCs w:val="20"/>
        </w:rPr>
        <w:t>ba</w:t>
      </w:r>
      <w:r w:rsidRPr="00275EDE">
        <w:rPr>
          <w:rFonts w:ascii="Verdana" w:hAnsi="Verdana"/>
          <w:sz w:val="20"/>
          <w:szCs w:val="20"/>
        </w:rPr>
        <w:t xml:space="preserve"> como faltas graves entre otras, la</w:t>
      </w:r>
      <w:r w:rsidR="00D20A28">
        <w:rPr>
          <w:rFonts w:ascii="Verdana" w:hAnsi="Verdana"/>
          <w:sz w:val="20"/>
          <w:szCs w:val="20"/>
        </w:rPr>
        <w:t>s</w:t>
      </w:r>
      <w:r w:rsidRPr="00275EDE">
        <w:rPr>
          <w:rFonts w:ascii="Verdana" w:hAnsi="Verdana"/>
          <w:sz w:val="20"/>
          <w:szCs w:val="20"/>
        </w:rPr>
        <w:t xml:space="preserve"> siguiente</w:t>
      </w:r>
      <w:r w:rsidR="00D20A28">
        <w:rPr>
          <w:rFonts w:ascii="Verdana" w:hAnsi="Verdana"/>
          <w:sz w:val="20"/>
          <w:szCs w:val="20"/>
        </w:rPr>
        <w:t>s</w:t>
      </w:r>
      <w:r w:rsidRPr="009C6F8E">
        <w:rPr>
          <w:rFonts w:ascii="Verdana" w:hAnsi="Verdana"/>
          <w:sz w:val="20"/>
          <w:szCs w:val="20"/>
          <w:vertAlign w:val="superscript"/>
        </w:rPr>
        <w:footnoteReference w:id="70"/>
      </w:r>
      <w:r w:rsidR="00D20A28">
        <w:rPr>
          <w:rFonts w:ascii="Verdana" w:hAnsi="Verdana"/>
          <w:sz w:val="20"/>
          <w:szCs w:val="20"/>
        </w:rPr>
        <w:t>:</w:t>
      </w:r>
      <w:r w:rsidRPr="00275EDE">
        <w:rPr>
          <w:rFonts w:ascii="Verdana" w:hAnsi="Verdana"/>
          <w:sz w:val="20"/>
          <w:szCs w:val="20"/>
        </w:rPr>
        <w:t xml:space="preserve"> </w:t>
      </w:r>
    </w:p>
    <w:p w14:paraId="30D76553" w14:textId="77777777" w:rsidR="00275EDE" w:rsidRPr="00275EDE" w:rsidRDefault="00275EDE" w:rsidP="00275EDE">
      <w:pPr>
        <w:jc w:val="both"/>
        <w:rPr>
          <w:rFonts w:ascii="Verdana" w:hAnsi="Verdana"/>
          <w:b/>
          <w:sz w:val="20"/>
          <w:szCs w:val="20"/>
        </w:rPr>
      </w:pPr>
    </w:p>
    <w:p w14:paraId="5256EFE7" w14:textId="62B96C89" w:rsidR="00275EDE" w:rsidRPr="00275EDE" w:rsidRDefault="00275EDE" w:rsidP="009C6F8E">
      <w:pPr>
        <w:autoSpaceDE w:val="0"/>
        <w:autoSpaceDN w:val="0"/>
        <w:adjustRightInd w:val="0"/>
        <w:ind w:left="1440" w:right="714"/>
        <w:jc w:val="both"/>
        <w:rPr>
          <w:rFonts w:ascii="Verdana" w:hAnsi="Verdana"/>
          <w:sz w:val="18"/>
          <w:szCs w:val="18"/>
          <w:lang w:val="es-MX" w:eastAsia="es-MX"/>
        </w:rPr>
      </w:pPr>
      <w:r w:rsidRPr="00275EDE">
        <w:rPr>
          <w:rFonts w:ascii="Verdana" w:hAnsi="Verdana"/>
          <w:sz w:val="18"/>
          <w:szCs w:val="18"/>
          <w:lang w:val="es-MX" w:eastAsia="es-MX"/>
        </w:rPr>
        <w:t xml:space="preserve">a) </w:t>
      </w:r>
      <w:r w:rsidR="008168A7">
        <w:rPr>
          <w:rFonts w:ascii="Verdana" w:hAnsi="Verdana"/>
          <w:sz w:val="18"/>
          <w:szCs w:val="18"/>
          <w:lang w:val="es-MX" w:eastAsia="es-MX"/>
        </w:rPr>
        <w:t>E</w:t>
      </w:r>
      <w:r w:rsidRPr="00275EDE">
        <w:rPr>
          <w:rFonts w:ascii="Verdana" w:hAnsi="Verdana"/>
          <w:sz w:val="18"/>
          <w:szCs w:val="18"/>
          <w:lang w:val="es-MX" w:eastAsia="es-MX"/>
        </w:rPr>
        <w:t xml:space="preserve">l incumplimiento injustificado de las obligaciones del trabajo, la reiterada resistencia a las órdenes de sus superiores relacionadas con sus labores y la inobservancia del Reglamento Interno de Trabajo y de Seguridad Industrial, debidamente aprobado por la autoridad administrativa de trabajo, que en todos los casos revistan gravedad; </w:t>
      </w:r>
      <w:r w:rsidRPr="00275EDE">
        <w:rPr>
          <w:rFonts w:ascii="Verdana" w:hAnsi="Verdana" w:cs="Arial"/>
          <w:sz w:val="18"/>
          <w:szCs w:val="18"/>
          <w:lang w:val="es-MX" w:eastAsia="es-MX"/>
        </w:rPr>
        <w:t>[...]</w:t>
      </w:r>
    </w:p>
    <w:p w14:paraId="6C3E4715" w14:textId="77777777" w:rsidR="00275EDE" w:rsidRPr="00275EDE" w:rsidRDefault="00275EDE" w:rsidP="009C6F8E">
      <w:pPr>
        <w:autoSpaceDE w:val="0"/>
        <w:autoSpaceDN w:val="0"/>
        <w:adjustRightInd w:val="0"/>
        <w:ind w:right="714"/>
        <w:jc w:val="both"/>
        <w:rPr>
          <w:rFonts w:ascii="Verdana" w:hAnsi="Verdana" w:cs="Arial"/>
          <w:sz w:val="18"/>
          <w:szCs w:val="18"/>
          <w:lang w:val="es-MX" w:eastAsia="es-MX"/>
        </w:rPr>
      </w:pPr>
    </w:p>
    <w:p w14:paraId="2C39EC7D" w14:textId="7E85BA74" w:rsidR="00275EDE" w:rsidRPr="00275EDE" w:rsidRDefault="00275EDE" w:rsidP="009C6F8E">
      <w:pPr>
        <w:autoSpaceDE w:val="0"/>
        <w:autoSpaceDN w:val="0"/>
        <w:adjustRightInd w:val="0"/>
        <w:ind w:left="1440" w:right="714"/>
        <w:jc w:val="both"/>
        <w:rPr>
          <w:rFonts w:ascii="Verdana" w:hAnsi="Verdana" w:cs="Arial"/>
          <w:sz w:val="18"/>
          <w:szCs w:val="18"/>
        </w:rPr>
      </w:pPr>
      <w:r w:rsidRPr="00275EDE">
        <w:rPr>
          <w:rFonts w:ascii="Verdana" w:hAnsi="Verdana"/>
          <w:sz w:val="18"/>
          <w:szCs w:val="18"/>
          <w:lang w:val="es-MX" w:eastAsia="es-MX"/>
        </w:rPr>
        <w:t xml:space="preserve">h) Incurrir en acto de violencia, grave indisciplina o </w:t>
      </w:r>
      <w:proofErr w:type="spellStart"/>
      <w:r w:rsidRPr="00333304">
        <w:rPr>
          <w:rFonts w:ascii="Verdana" w:hAnsi="Verdana"/>
          <w:sz w:val="18"/>
          <w:szCs w:val="18"/>
          <w:lang w:val="es-MX" w:eastAsia="es-MX"/>
        </w:rPr>
        <w:t>faltamiento</w:t>
      </w:r>
      <w:proofErr w:type="spellEnd"/>
      <w:r w:rsidRPr="00333304">
        <w:rPr>
          <w:rFonts w:ascii="Verdana" w:hAnsi="Verdana"/>
          <w:sz w:val="18"/>
          <w:szCs w:val="18"/>
          <w:lang w:val="es-MX" w:eastAsia="es-MX"/>
        </w:rPr>
        <w:t xml:space="preserve"> grave de palabra en agravio del empleador, de sus representantes, del personal jerárquico o de sus compañeros</w:t>
      </w:r>
      <w:r w:rsidRPr="008168A7">
        <w:rPr>
          <w:rFonts w:ascii="Verdana" w:hAnsi="Verdana"/>
          <w:sz w:val="18"/>
          <w:szCs w:val="18"/>
          <w:lang w:val="es-MX" w:eastAsia="es-MX"/>
        </w:rPr>
        <w:t>,</w:t>
      </w:r>
      <w:r w:rsidRPr="00275EDE">
        <w:rPr>
          <w:rFonts w:ascii="Verdana" w:hAnsi="Verdana"/>
          <w:sz w:val="18"/>
          <w:szCs w:val="18"/>
          <w:lang w:val="es-MX" w:eastAsia="es-MX"/>
        </w:rPr>
        <w:t xml:space="preserve"> dentro del centro de trabajo; o fuera de él cuando los hechos se deriven directamente de la relación laboral</w:t>
      </w:r>
      <w:r w:rsidRPr="00275EDE">
        <w:rPr>
          <w:rFonts w:ascii="Verdana" w:hAnsi="Verdana" w:cs="Arial"/>
          <w:sz w:val="18"/>
          <w:szCs w:val="18"/>
        </w:rPr>
        <w:t xml:space="preserve">. </w:t>
      </w:r>
    </w:p>
    <w:p w14:paraId="453234A0" w14:textId="77777777" w:rsidR="00275EDE" w:rsidRPr="00275EDE" w:rsidRDefault="00275EDE" w:rsidP="00275EDE">
      <w:pPr>
        <w:jc w:val="both"/>
        <w:rPr>
          <w:rFonts w:ascii="Verdana" w:hAnsi="Verdana"/>
          <w:sz w:val="20"/>
          <w:szCs w:val="20"/>
        </w:rPr>
      </w:pPr>
    </w:p>
    <w:p w14:paraId="0396123B" w14:textId="138C7C30" w:rsidR="001B2ECD" w:rsidRPr="00275EDE" w:rsidRDefault="001B2ECD" w:rsidP="00E66DD7">
      <w:pPr>
        <w:pStyle w:val="ListParagraph"/>
        <w:numPr>
          <w:ilvl w:val="0"/>
          <w:numId w:val="1"/>
        </w:numPr>
        <w:ind w:left="0" w:hanging="11"/>
        <w:jc w:val="both"/>
        <w:rPr>
          <w:rFonts w:ascii="Verdana" w:hAnsi="Verdana"/>
          <w:b/>
          <w:sz w:val="20"/>
          <w:szCs w:val="20"/>
        </w:rPr>
      </w:pPr>
      <w:r>
        <w:rPr>
          <w:rFonts w:ascii="Verdana" w:hAnsi="Verdana"/>
          <w:sz w:val="20"/>
          <w:szCs w:val="20"/>
        </w:rPr>
        <w:t xml:space="preserve">Respecto </w:t>
      </w:r>
      <w:r w:rsidRPr="00275EDE">
        <w:rPr>
          <w:rFonts w:ascii="Verdana" w:hAnsi="Verdana"/>
          <w:sz w:val="20"/>
          <w:szCs w:val="20"/>
        </w:rPr>
        <w:t>del procedimiento de despido, cuando el trabajador cometía una falta grave, el empleador debía comunicarle tales hechos</w:t>
      </w:r>
      <w:r>
        <w:rPr>
          <w:rFonts w:ascii="Verdana" w:hAnsi="Verdana"/>
          <w:sz w:val="20"/>
          <w:szCs w:val="20"/>
        </w:rPr>
        <w:t xml:space="preserve"> </w:t>
      </w:r>
      <w:r w:rsidRPr="00275EDE">
        <w:rPr>
          <w:rFonts w:ascii="Verdana" w:hAnsi="Verdana"/>
          <w:sz w:val="20"/>
          <w:szCs w:val="20"/>
        </w:rPr>
        <w:t>y el inicio de la investigación por escrito</w:t>
      </w:r>
      <w:r w:rsidRPr="00275EDE">
        <w:rPr>
          <w:rFonts w:ascii="Verdana" w:hAnsi="Verdana"/>
          <w:color w:val="000000"/>
          <w:sz w:val="20"/>
          <w:szCs w:val="20"/>
          <w:vertAlign w:val="superscript"/>
        </w:rPr>
        <w:footnoteReference w:id="71"/>
      </w:r>
      <w:r w:rsidRPr="00275EDE">
        <w:rPr>
          <w:rFonts w:ascii="Verdana" w:hAnsi="Verdana"/>
          <w:color w:val="000000"/>
          <w:sz w:val="20"/>
          <w:szCs w:val="20"/>
        </w:rPr>
        <w:t>. El trabajador, en el ejercicio de su derecho de defensa, tenía un plazo de seis días para desvirtuar o no lo hechos de los cuales se le acusaba, puesto que, de no hacerlo, el empleador le notificaría mediante carta notarial su despido y la fecha de cese de sus actividades</w:t>
      </w:r>
      <w:r w:rsidRPr="00275EDE">
        <w:rPr>
          <w:rFonts w:ascii="Verdana" w:hAnsi="Verdana"/>
          <w:sz w:val="20"/>
          <w:szCs w:val="20"/>
        </w:rPr>
        <w:t>, así como comunicaría la decisión a la autoridad administrativa del trabajo</w:t>
      </w:r>
      <w:r w:rsidRPr="00275EDE">
        <w:rPr>
          <w:rFonts w:ascii="Verdana" w:hAnsi="Verdana"/>
          <w:sz w:val="20"/>
          <w:szCs w:val="20"/>
          <w:vertAlign w:val="superscript"/>
        </w:rPr>
        <w:footnoteReference w:id="72"/>
      </w:r>
      <w:r w:rsidRPr="00275EDE">
        <w:rPr>
          <w:rFonts w:ascii="Verdana" w:hAnsi="Verdana" w:cs="Arial"/>
          <w:sz w:val="20"/>
          <w:szCs w:val="20"/>
        </w:rPr>
        <w:t xml:space="preserve">. </w:t>
      </w:r>
      <w:r w:rsidRPr="00275EDE">
        <w:rPr>
          <w:rFonts w:ascii="Verdana" w:hAnsi="Verdana"/>
          <w:sz w:val="20"/>
          <w:szCs w:val="20"/>
        </w:rPr>
        <w:t>La norma prescrib</w:t>
      </w:r>
      <w:r w:rsidR="00D20A28">
        <w:rPr>
          <w:rFonts w:ascii="Verdana" w:hAnsi="Verdana"/>
          <w:sz w:val="20"/>
          <w:szCs w:val="20"/>
        </w:rPr>
        <w:t>í</w:t>
      </w:r>
      <w:r>
        <w:rPr>
          <w:rFonts w:ascii="Verdana" w:hAnsi="Verdana"/>
          <w:sz w:val="20"/>
          <w:szCs w:val="20"/>
        </w:rPr>
        <w:t>a</w:t>
      </w:r>
      <w:r w:rsidRPr="00275EDE">
        <w:rPr>
          <w:rFonts w:ascii="Verdana" w:hAnsi="Verdana"/>
          <w:sz w:val="20"/>
          <w:szCs w:val="20"/>
        </w:rPr>
        <w:t xml:space="preserve"> que el trabajador p</w:t>
      </w:r>
      <w:r>
        <w:rPr>
          <w:rFonts w:ascii="Verdana" w:hAnsi="Verdana"/>
          <w:sz w:val="20"/>
          <w:szCs w:val="20"/>
        </w:rPr>
        <w:t>odía</w:t>
      </w:r>
      <w:r w:rsidRPr="00275EDE">
        <w:rPr>
          <w:rFonts w:ascii="Verdana" w:hAnsi="Verdana"/>
          <w:sz w:val="20"/>
          <w:szCs w:val="20"/>
        </w:rPr>
        <w:t xml:space="preserve"> acudir al fuero del trabajo si considera</w:t>
      </w:r>
      <w:r w:rsidR="005D72FB">
        <w:rPr>
          <w:rFonts w:ascii="Verdana" w:hAnsi="Verdana"/>
          <w:sz w:val="20"/>
          <w:szCs w:val="20"/>
        </w:rPr>
        <w:t>ba</w:t>
      </w:r>
      <w:r w:rsidRPr="00275EDE">
        <w:rPr>
          <w:rFonts w:ascii="Verdana" w:hAnsi="Verdana"/>
          <w:sz w:val="20"/>
          <w:szCs w:val="20"/>
        </w:rPr>
        <w:t xml:space="preserve"> que su despido </w:t>
      </w:r>
      <w:r>
        <w:rPr>
          <w:rFonts w:ascii="Verdana" w:hAnsi="Verdana"/>
          <w:sz w:val="20"/>
          <w:szCs w:val="20"/>
        </w:rPr>
        <w:t>fue</w:t>
      </w:r>
      <w:r w:rsidRPr="00275EDE">
        <w:rPr>
          <w:rFonts w:ascii="Verdana" w:hAnsi="Verdana"/>
          <w:sz w:val="20"/>
          <w:szCs w:val="20"/>
        </w:rPr>
        <w:t xml:space="preserve"> injustificado</w:t>
      </w:r>
      <w:r w:rsidRPr="00275EDE">
        <w:rPr>
          <w:rFonts w:ascii="Verdana" w:hAnsi="Verdana"/>
          <w:sz w:val="20"/>
          <w:szCs w:val="20"/>
          <w:vertAlign w:val="superscript"/>
        </w:rPr>
        <w:footnoteReference w:id="73"/>
      </w:r>
      <w:r w:rsidRPr="00275EDE">
        <w:rPr>
          <w:rFonts w:ascii="Verdana" w:hAnsi="Verdana"/>
          <w:sz w:val="20"/>
          <w:szCs w:val="20"/>
        </w:rPr>
        <w:t>. La legislación dispone expresamente que la carga de la prueba con motivo del despido correspond</w:t>
      </w:r>
      <w:r>
        <w:rPr>
          <w:rFonts w:ascii="Verdana" w:hAnsi="Verdana"/>
          <w:sz w:val="20"/>
          <w:szCs w:val="20"/>
        </w:rPr>
        <w:t>ía</w:t>
      </w:r>
      <w:r w:rsidRPr="00275EDE">
        <w:rPr>
          <w:rFonts w:ascii="Verdana" w:hAnsi="Verdana"/>
          <w:sz w:val="20"/>
          <w:szCs w:val="20"/>
        </w:rPr>
        <w:t xml:space="preserve"> al empleador</w:t>
      </w:r>
      <w:r w:rsidRPr="00275EDE">
        <w:rPr>
          <w:rFonts w:ascii="Verdana" w:hAnsi="Verdana"/>
          <w:sz w:val="20"/>
          <w:szCs w:val="20"/>
          <w:vertAlign w:val="superscript"/>
        </w:rPr>
        <w:footnoteReference w:id="74"/>
      </w:r>
      <w:r w:rsidRPr="00275EDE">
        <w:rPr>
          <w:rFonts w:ascii="Verdana" w:hAnsi="Verdana"/>
          <w:sz w:val="20"/>
          <w:szCs w:val="20"/>
        </w:rPr>
        <w:t xml:space="preserve">. En caso de que el proceso </w:t>
      </w:r>
      <w:r>
        <w:rPr>
          <w:rFonts w:ascii="Verdana" w:hAnsi="Verdana"/>
          <w:sz w:val="20"/>
          <w:szCs w:val="20"/>
        </w:rPr>
        <w:t>fuer</w:t>
      </w:r>
      <w:r w:rsidRPr="00275EDE">
        <w:rPr>
          <w:rFonts w:ascii="Verdana" w:hAnsi="Verdana"/>
          <w:sz w:val="20"/>
          <w:szCs w:val="20"/>
        </w:rPr>
        <w:t>a favorable para el trabajador, él p</w:t>
      </w:r>
      <w:r>
        <w:rPr>
          <w:rFonts w:ascii="Verdana" w:hAnsi="Verdana"/>
          <w:sz w:val="20"/>
          <w:szCs w:val="20"/>
        </w:rPr>
        <w:t>odía</w:t>
      </w:r>
      <w:r w:rsidRPr="00275EDE">
        <w:rPr>
          <w:rFonts w:ascii="Verdana" w:hAnsi="Verdana"/>
          <w:sz w:val="20"/>
          <w:szCs w:val="20"/>
        </w:rPr>
        <w:t xml:space="preserve"> optar por el reintegro o la terminación del contrato, lo cual conduciría al pago de obligaciones debidas y una indemnización especial</w:t>
      </w:r>
      <w:r w:rsidRPr="00275EDE">
        <w:rPr>
          <w:rFonts w:ascii="Verdana" w:hAnsi="Verdana"/>
          <w:sz w:val="20"/>
          <w:szCs w:val="20"/>
          <w:vertAlign w:val="superscript"/>
        </w:rPr>
        <w:footnoteReference w:id="75"/>
      </w:r>
      <w:r w:rsidRPr="00275EDE">
        <w:rPr>
          <w:rFonts w:ascii="Verdana" w:hAnsi="Verdana" w:cs="Arial"/>
          <w:sz w:val="20"/>
          <w:szCs w:val="20"/>
        </w:rPr>
        <w:t xml:space="preserve">. </w:t>
      </w:r>
    </w:p>
    <w:p w14:paraId="220095E5" w14:textId="77777777" w:rsidR="00275EDE" w:rsidRPr="00275EDE" w:rsidRDefault="00275EDE" w:rsidP="009C6F8E">
      <w:pPr>
        <w:jc w:val="both"/>
        <w:rPr>
          <w:rFonts w:ascii="Verdana" w:hAnsi="Verdana"/>
          <w:b/>
          <w:sz w:val="20"/>
          <w:szCs w:val="20"/>
        </w:rPr>
      </w:pPr>
    </w:p>
    <w:p w14:paraId="0B832466" w14:textId="1C30E56F" w:rsidR="00275EDE" w:rsidRPr="00275EDE" w:rsidRDefault="00275EDE" w:rsidP="00E66DD7">
      <w:pPr>
        <w:pStyle w:val="Heading2"/>
        <w:numPr>
          <w:ilvl w:val="0"/>
          <w:numId w:val="12"/>
        </w:numPr>
        <w:rPr>
          <w:rFonts w:eastAsia="MS Gothic"/>
          <w:i/>
          <w:iCs/>
          <w:szCs w:val="20"/>
        </w:rPr>
      </w:pPr>
      <w:bookmarkStart w:id="21" w:name="_Toc472528594"/>
      <w:bookmarkStart w:id="22" w:name="_Toc498333486"/>
      <w:r w:rsidRPr="00275EDE">
        <w:rPr>
          <w:rFonts w:eastAsia="MS Gothic"/>
          <w:i/>
          <w:iCs/>
          <w:szCs w:val="20"/>
        </w:rPr>
        <w:t xml:space="preserve">Acciones judiciales </w:t>
      </w:r>
      <w:bookmarkEnd w:id="21"/>
      <w:r w:rsidR="000E40FD" w:rsidRPr="00275EDE">
        <w:rPr>
          <w:rFonts w:eastAsia="MS Gothic"/>
          <w:i/>
          <w:iCs/>
          <w:szCs w:val="20"/>
        </w:rPr>
        <w:t>inte</w:t>
      </w:r>
      <w:r w:rsidR="000E40FD">
        <w:rPr>
          <w:rFonts w:eastAsia="MS Gothic"/>
          <w:i/>
          <w:iCs/>
          <w:szCs w:val="20"/>
        </w:rPr>
        <w:t>rpuestas</w:t>
      </w:r>
      <w:r w:rsidRPr="00275EDE">
        <w:rPr>
          <w:rFonts w:eastAsia="MS Gothic"/>
          <w:i/>
          <w:iCs/>
          <w:szCs w:val="20"/>
        </w:rPr>
        <w:t xml:space="preserve"> por el señor Lagos del Campo</w:t>
      </w:r>
      <w:bookmarkEnd w:id="22"/>
    </w:p>
    <w:p w14:paraId="411804FE" w14:textId="77777777" w:rsidR="00275EDE" w:rsidRPr="00275EDE" w:rsidRDefault="00275EDE" w:rsidP="00275EDE">
      <w:pPr>
        <w:autoSpaceDE w:val="0"/>
        <w:autoSpaceDN w:val="0"/>
        <w:adjustRightInd w:val="0"/>
        <w:jc w:val="both"/>
        <w:rPr>
          <w:rFonts w:ascii="Verdana" w:hAnsi="Verdana"/>
          <w:b/>
          <w:bCs/>
          <w:sz w:val="20"/>
          <w:szCs w:val="20"/>
        </w:rPr>
      </w:pPr>
    </w:p>
    <w:p w14:paraId="518456FE" w14:textId="77777777" w:rsidR="00275EDE" w:rsidRPr="009C5D55" w:rsidRDefault="00275EDE" w:rsidP="00E66DD7">
      <w:pPr>
        <w:pStyle w:val="Heading3"/>
        <w:numPr>
          <w:ilvl w:val="0"/>
          <w:numId w:val="9"/>
        </w:numPr>
        <w:rPr>
          <w:i/>
        </w:rPr>
      </w:pPr>
      <w:bookmarkStart w:id="23" w:name="_Toc498333487"/>
      <w:r w:rsidRPr="009C5D55">
        <w:rPr>
          <w:i/>
        </w:rPr>
        <w:t>Demanda de calificación de despido</w:t>
      </w:r>
      <w:bookmarkEnd w:id="23"/>
    </w:p>
    <w:p w14:paraId="5D0A3C7E" w14:textId="77777777" w:rsidR="00275EDE" w:rsidRPr="00275EDE" w:rsidRDefault="00275EDE" w:rsidP="00275EDE">
      <w:pPr>
        <w:jc w:val="both"/>
        <w:rPr>
          <w:rFonts w:ascii="Verdana" w:hAnsi="Verdana"/>
          <w:sz w:val="20"/>
          <w:szCs w:val="20"/>
        </w:rPr>
      </w:pPr>
    </w:p>
    <w:p w14:paraId="6CBF8F07" w14:textId="749ABBAA" w:rsidR="00275EDE" w:rsidRPr="001B2ECD" w:rsidRDefault="001B2ECD"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t xml:space="preserve">El 26 de julio de 1989 el señor Lagos del Campo </w:t>
      </w:r>
      <w:r w:rsidR="00522399">
        <w:rPr>
          <w:rFonts w:ascii="Verdana" w:hAnsi="Verdana"/>
          <w:sz w:val="20"/>
          <w:szCs w:val="20"/>
        </w:rPr>
        <w:t>Interpuso</w:t>
      </w:r>
      <w:r w:rsidR="003F5593">
        <w:rPr>
          <w:rFonts w:ascii="Verdana" w:hAnsi="Verdana"/>
          <w:sz w:val="20"/>
          <w:szCs w:val="20"/>
        </w:rPr>
        <w:t xml:space="preserve"> </w:t>
      </w:r>
      <w:r w:rsidRPr="00275EDE">
        <w:rPr>
          <w:rFonts w:ascii="Verdana" w:hAnsi="Verdana"/>
          <w:sz w:val="20"/>
          <w:szCs w:val="20"/>
        </w:rPr>
        <w:t xml:space="preserve">una demanda en contra de </w:t>
      </w:r>
      <w:proofErr w:type="spellStart"/>
      <w:r w:rsidRPr="00275EDE">
        <w:rPr>
          <w:rFonts w:ascii="Verdana" w:hAnsi="Verdana"/>
          <w:sz w:val="20"/>
          <w:szCs w:val="20"/>
        </w:rPr>
        <w:t>Ceper-Pirelli</w:t>
      </w:r>
      <w:proofErr w:type="spellEnd"/>
      <w:r w:rsidRPr="00275EDE">
        <w:rPr>
          <w:rFonts w:ascii="Verdana" w:hAnsi="Verdana"/>
          <w:sz w:val="20"/>
          <w:szCs w:val="20"/>
        </w:rPr>
        <w:t xml:space="preserve"> S.A. ante el Juzgado de Trabajo de Lima, en la cual solicitó que se califi</w:t>
      </w:r>
      <w:r>
        <w:rPr>
          <w:rFonts w:ascii="Verdana" w:hAnsi="Verdana"/>
          <w:sz w:val="20"/>
          <w:szCs w:val="20"/>
        </w:rPr>
        <w:t>cara</w:t>
      </w:r>
      <w:r w:rsidRPr="00275EDE">
        <w:rPr>
          <w:rFonts w:ascii="Verdana" w:hAnsi="Verdana"/>
          <w:sz w:val="20"/>
          <w:szCs w:val="20"/>
        </w:rPr>
        <w:t xml:space="preserve"> de </w:t>
      </w:r>
      <w:r>
        <w:rPr>
          <w:rFonts w:ascii="Verdana" w:hAnsi="Verdana"/>
          <w:sz w:val="20"/>
          <w:szCs w:val="20"/>
        </w:rPr>
        <w:t>“</w:t>
      </w:r>
      <w:r w:rsidRPr="00275EDE">
        <w:rPr>
          <w:rFonts w:ascii="Verdana" w:hAnsi="Verdana"/>
          <w:sz w:val="20"/>
          <w:szCs w:val="20"/>
        </w:rPr>
        <w:t>improcedente e injustificado</w:t>
      </w:r>
      <w:r>
        <w:rPr>
          <w:rFonts w:ascii="Verdana" w:hAnsi="Verdana"/>
          <w:sz w:val="20"/>
          <w:szCs w:val="20"/>
        </w:rPr>
        <w:t>”</w:t>
      </w:r>
      <w:r w:rsidRPr="00275EDE">
        <w:rPr>
          <w:rFonts w:ascii="Verdana" w:hAnsi="Verdana"/>
          <w:sz w:val="20"/>
          <w:szCs w:val="20"/>
        </w:rPr>
        <w:t xml:space="preserve"> el despido</w:t>
      </w:r>
      <w:r w:rsidRPr="00275EDE">
        <w:rPr>
          <w:rFonts w:ascii="Verdana" w:hAnsi="Verdana"/>
          <w:sz w:val="20"/>
          <w:szCs w:val="20"/>
          <w:vertAlign w:val="superscript"/>
        </w:rPr>
        <w:footnoteReference w:id="76"/>
      </w:r>
      <w:r w:rsidRPr="00275EDE">
        <w:rPr>
          <w:rFonts w:ascii="Verdana" w:hAnsi="Verdana"/>
          <w:sz w:val="20"/>
          <w:szCs w:val="20"/>
        </w:rPr>
        <w:t xml:space="preserve">. Él negó haber insultado a la empresa o haber utilizado las expresiones </w:t>
      </w:r>
      <w:r>
        <w:rPr>
          <w:rFonts w:ascii="Verdana" w:hAnsi="Verdana"/>
          <w:sz w:val="20"/>
          <w:szCs w:val="20"/>
        </w:rPr>
        <w:t>“</w:t>
      </w:r>
      <w:r w:rsidRPr="00275EDE">
        <w:rPr>
          <w:rFonts w:ascii="Verdana" w:hAnsi="Verdana"/>
          <w:sz w:val="20"/>
          <w:szCs w:val="20"/>
        </w:rPr>
        <w:t>chantaje</w:t>
      </w:r>
      <w:r>
        <w:rPr>
          <w:rFonts w:ascii="Verdana" w:hAnsi="Verdana"/>
          <w:sz w:val="20"/>
          <w:szCs w:val="20"/>
        </w:rPr>
        <w:t>”</w:t>
      </w:r>
      <w:r w:rsidRPr="00275EDE">
        <w:rPr>
          <w:rFonts w:ascii="Verdana" w:hAnsi="Verdana"/>
          <w:sz w:val="20"/>
          <w:szCs w:val="20"/>
        </w:rPr>
        <w:t xml:space="preserve"> y </w:t>
      </w:r>
      <w:r>
        <w:rPr>
          <w:rFonts w:ascii="Verdana" w:hAnsi="Verdana"/>
          <w:sz w:val="20"/>
          <w:szCs w:val="20"/>
        </w:rPr>
        <w:t>“</w:t>
      </w:r>
      <w:r w:rsidRPr="00275EDE">
        <w:rPr>
          <w:rFonts w:ascii="Verdana" w:hAnsi="Verdana"/>
          <w:sz w:val="20"/>
          <w:szCs w:val="20"/>
        </w:rPr>
        <w:t>coerción</w:t>
      </w:r>
      <w:r>
        <w:rPr>
          <w:rFonts w:ascii="Verdana" w:hAnsi="Verdana"/>
          <w:sz w:val="20"/>
          <w:szCs w:val="20"/>
        </w:rPr>
        <w:t>”</w:t>
      </w:r>
      <w:r w:rsidRPr="00275EDE">
        <w:rPr>
          <w:rFonts w:ascii="Verdana" w:hAnsi="Verdana"/>
          <w:sz w:val="20"/>
          <w:szCs w:val="20"/>
        </w:rPr>
        <w:t xml:space="preserve">. Destacó que, en todo caso, las manifestaciones que motivaron su despido fueron realizadas en su calidad de Presidente del Comité Electoral de la Comunidad Industrial de la empresa y se refirieron a problemas internos de dicha comunidad, específicamente a las irregularidades producidas en la elección de los integrantes del Consejo Directivo. En tal sentido, alegó que la sanción que le fue aplicada, además de improcedente, fue "una grave violación a su derecho a la libertad de opinión, expresión y difusión del pensamiento, que garantiza la Constitución, configurando asimismo una grave interferencia a las actividades de orden comunero y sindical". Sobre esto último, el señor Lagos del Campo manifestó que </w:t>
      </w:r>
      <w:r>
        <w:rPr>
          <w:rFonts w:ascii="Verdana" w:hAnsi="Verdana"/>
          <w:sz w:val="20"/>
          <w:szCs w:val="20"/>
        </w:rPr>
        <w:t>“</w:t>
      </w:r>
      <w:r w:rsidRPr="00275EDE">
        <w:rPr>
          <w:rFonts w:ascii="Verdana" w:hAnsi="Verdana"/>
          <w:sz w:val="20"/>
          <w:szCs w:val="20"/>
        </w:rPr>
        <w:t>cualquier trabajador, y en particular quienes ejercen cargos sindicales o comuneros, como en su caso, tienen no solo el derecho sino la necesidad de informarse y de pronunciarse sobre las actividades y la situación de sus centros de trabajo</w:t>
      </w:r>
      <w:r>
        <w:rPr>
          <w:rFonts w:ascii="Verdana" w:hAnsi="Verdana"/>
          <w:sz w:val="20"/>
          <w:szCs w:val="20"/>
        </w:rPr>
        <w:t>”</w:t>
      </w:r>
      <w:r w:rsidRPr="00275EDE">
        <w:rPr>
          <w:rFonts w:ascii="Verdana" w:hAnsi="Verdana"/>
          <w:sz w:val="20"/>
          <w:szCs w:val="20"/>
        </w:rPr>
        <w:t>.</w:t>
      </w:r>
      <w:r w:rsidRPr="00275EDE">
        <w:rPr>
          <w:rFonts w:ascii="Verdana" w:hAnsi="Verdana" w:cs="Arial"/>
          <w:b/>
          <w:sz w:val="16"/>
          <w:szCs w:val="16"/>
        </w:rPr>
        <w:t xml:space="preserve"> </w:t>
      </w:r>
    </w:p>
    <w:p w14:paraId="0BDEF6E8" w14:textId="77777777" w:rsidR="00275EDE" w:rsidRPr="00275EDE" w:rsidRDefault="00275EDE" w:rsidP="009C6F8E">
      <w:pPr>
        <w:jc w:val="both"/>
        <w:rPr>
          <w:rFonts w:ascii="Verdana" w:hAnsi="Verdana"/>
          <w:b/>
          <w:sz w:val="20"/>
          <w:szCs w:val="20"/>
        </w:rPr>
      </w:pPr>
    </w:p>
    <w:p w14:paraId="6FAF0DCF" w14:textId="6F297C14" w:rsidR="003F5593" w:rsidRPr="00333304" w:rsidRDefault="001B2ECD" w:rsidP="00333304">
      <w:pPr>
        <w:pStyle w:val="ListParagraph"/>
        <w:numPr>
          <w:ilvl w:val="0"/>
          <w:numId w:val="1"/>
        </w:numPr>
        <w:ind w:left="0" w:hanging="11"/>
        <w:jc w:val="both"/>
        <w:rPr>
          <w:rFonts w:ascii="Verdana" w:hAnsi="Verdana"/>
          <w:b/>
          <w:sz w:val="20"/>
          <w:szCs w:val="20"/>
        </w:rPr>
      </w:pPr>
      <w:r w:rsidRPr="00C70D0F">
        <w:rPr>
          <w:rFonts w:ascii="Verdana" w:hAnsi="Verdana"/>
          <w:sz w:val="20"/>
          <w:szCs w:val="20"/>
        </w:rPr>
        <w:t>El asunto se radicó en el expediente 4737-89 ante el Décimo Quinto Juzgado de Trabajo de Lima. Mediante sentencia 25-91 de 5 de ma</w:t>
      </w:r>
      <w:r w:rsidRPr="00A54494">
        <w:rPr>
          <w:rFonts w:ascii="Verdana" w:hAnsi="Verdana"/>
          <w:sz w:val="20"/>
          <w:szCs w:val="20"/>
        </w:rPr>
        <w:t>rzo de 199</w:t>
      </w:r>
      <w:r w:rsidR="005D72FB">
        <w:rPr>
          <w:rFonts w:ascii="Verdana" w:hAnsi="Verdana"/>
          <w:sz w:val="20"/>
          <w:szCs w:val="20"/>
        </w:rPr>
        <w:t>1</w:t>
      </w:r>
      <w:r w:rsidRPr="00A54494">
        <w:rPr>
          <w:rFonts w:ascii="Verdana" w:hAnsi="Verdana"/>
          <w:sz w:val="20"/>
          <w:szCs w:val="20"/>
        </w:rPr>
        <w:t xml:space="preserve"> el Juez determinó que el despido fue “ilegal e injustificado”</w:t>
      </w:r>
      <w:r w:rsidRPr="00275EDE">
        <w:rPr>
          <w:rFonts w:ascii="Verdana" w:hAnsi="Verdana"/>
          <w:sz w:val="20"/>
          <w:szCs w:val="20"/>
          <w:vertAlign w:val="superscript"/>
        </w:rPr>
        <w:footnoteReference w:id="77"/>
      </w:r>
      <w:r w:rsidRPr="00C70D0F">
        <w:rPr>
          <w:rFonts w:ascii="Verdana" w:hAnsi="Verdana"/>
          <w:sz w:val="20"/>
          <w:szCs w:val="20"/>
        </w:rPr>
        <w:t>, al considerar que para proceder con un despido, la ley exige que la falta grave que se imputa a un empleado debe estar debidamente comprobada. Al respecto, consideró que el despid</w:t>
      </w:r>
      <w:r w:rsidRPr="00A54494">
        <w:rPr>
          <w:rFonts w:ascii="Verdana" w:hAnsi="Verdana"/>
          <w:sz w:val="20"/>
          <w:szCs w:val="20"/>
        </w:rPr>
        <w:t>o se basó en un artículo publicado en una revista, sin que constara fehacientemente a los representantes de la empresa demandada si las “palabras injuriosas” realmente podían ser imputadas al trabajador. Asimismo, entendió que las manifestacione</w:t>
      </w:r>
      <w:r w:rsidRPr="00776947">
        <w:rPr>
          <w:rFonts w:ascii="Verdana" w:hAnsi="Verdana"/>
          <w:sz w:val="20"/>
          <w:szCs w:val="20"/>
        </w:rPr>
        <w:t>s contenidas en la nota periodística no se refirieron a personas en lo individual, de modo que no puede considerarse que existan miembros de la empresa directamente agraviados</w:t>
      </w:r>
      <w:r w:rsidRPr="0079676D">
        <w:rPr>
          <w:rFonts w:ascii="Verdana" w:hAnsi="Verdana" w:cs="Arial"/>
          <w:sz w:val="20"/>
          <w:szCs w:val="20"/>
        </w:rPr>
        <w:t>.</w:t>
      </w:r>
      <w:r w:rsidRPr="00C70D0F">
        <w:rPr>
          <w:rFonts w:ascii="Verdana" w:hAnsi="Verdana" w:cs="Arial"/>
          <w:b/>
          <w:sz w:val="16"/>
          <w:szCs w:val="16"/>
        </w:rPr>
        <w:t xml:space="preserve"> </w:t>
      </w:r>
    </w:p>
    <w:p w14:paraId="03B9D241" w14:textId="77777777" w:rsidR="00275EDE" w:rsidRPr="00C70D0F" w:rsidRDefault="00275EDE" w:rsidP="00333304">
      <w:pPr>
        <w:pStyle w:val="ListParagraph"/>
        <w:ind w:left="0"/>
        <w:jc w:val="both"/>
        <w:rPr>
          <w:rFonts w:ascii="Verdana" w:hAnsi="Verdana"/>
          <w:sz w:val="20"/>
          <w:szCs w:val="20"/>
        </w:rPr>
      </w:pPr>
    </w:p>
    <w:p w14:paraId="70DBE44B" w14:textId="3C4B67BD" w:rsidR="00275EDE" w:rsidRPr="001B2ECD" w:rsidRDefault="001B2ECD"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t>El 25 de junio de 1991 la empresa interpuso un recurso de apelación contra la resolución del Décimo Quinto Juzgado de Trabajo</w:t>
      </w:r>
      <w:r w:rsidR="00D20A28">
        <w:rPr>
          <w:rFonts w:ascii="Verdana" w:hAnsi="Verdana"/>
          <w:sz w:val="20"/>
          <w:szCs w:val="20"/>
        </w:rPr>
        <w:t>.</w:t>
      </w:r>
      <w:r w:rsidRPr="00275EDE">
        <w:rPr>
          <w:rFonts w:ascii="Verdana" w:hAnsi="Verdana"/>
          <w:sz w:val="20"/>
          <w:szCs w:val="20"/>
        </w:rPr>
        <w:t xml:space="preserve"> </w:t>
      </w:r>
      <w:r w:rsidR="00D20A28">
        <w:rPr>
          <w:rFonts w:ascii="Verdana" w:hAnsi="Verdana"/>
          <w:sz w:val="20"/>
          <w:szCs w:val="20"/>
        </w:rPr>
        <w:t>A</w:t>
      </w:r>
      <w:r>
        <w:rPr>
          <w:rFonts w:ascii="Verdana" w:hAnsi="Verdana"/>
          <w:sz w:val="20"/>
          <w:szCs w:val="20"/>
        </w:rPr>
        <w:t xml:space="preserve">nte ello Lagos del Campo presentó un </w:t>
      </w:r>
      <w:r w:rsidRPr="00275EDE">
        <w:rPr>
          <w:rFonts w:ascii="Verdana" w:hAnsi="Verdana"/>
          <w:color w:val="000000"/>
          <w:sz w:val="20"/>
          <w:szCs w:val="20"/>
        </w:rPr>
        <w:t xml:space="preserve">escrito </w:t>
      </w:r>
      <w:r>
        <w:rPr>
          <w:rFonts w:ascii="Verdana" w:hAnsi="Verdana"/>
          <w:color w:val="000000"/>
          <w:sz w:val="20"/>
          <w:szCs w:val="20"/>
        </w:rPr>
        <w:t xml:space="preserve">el </w:t>
      </w:r>
      <w:r w:rsidRPr="00275EDE">
        <w:rPr>
          <w:rFonts w:ascii="Verdana" w:hAnsi="Verdana"/>
          <w:color w:val="000000"/>
          <w:sz w:val="20"/>
          <w:szCs w:val="20"/>
        </w:rPr>
        <w:t>1 de agosto de 1991 mediante el cual</w:t>
      </w:r>
      <w:r w:rsidRPr="00275EDE">
        <w:rPr>
          <w:rFonts w:ascii="Verdana" w:hAnsi="Verdana"/>
          <w:b/>
          <w:sz w:val="20"/>
          <w:szCs w:val="20"/>
        </w:rPr>
        <w:t xml:space="preserve"> </w:t>
      </w:r>
      <w:r w:rsidRPr="00275EDE">
        <w:rPr>
          <w:rFonts w:ascii="Verdana" w:hAnsi="Verdana"/>
          <w:color w:val="000000"/>
          <w:sz w:val="20"/>
          <w:szCs w:val="20"/>
        </w:rPr>
        <w:t xml:space="preserve">se desmentía los argumentos expuestos por la empresa CEPER PIRELLI, sin embargo, dicho escrito fue proveído por el Tribunal de </w:t>
      </w:r>
      <w:r w:rsidRPr="00275EDE">
        <w:rPr>
          <w:rFonts w:ascii="Verdana" w:eastAsiaTheme="minorHAnsi" w:hAnsi="Verdana" w:cs="Arial Narrow"/>
          <w:sz w:val="20"/>
          <w:szCs w:val="20"/>
          <w:lang w:val="es-EC"/>
        </w:rPr>
        <w:t>Trabajo con posterioridad a la emisión de la sentencia</w:t>
      </w:r>
      <w:r w:rsidRPr="00275EDE">
        <w:rPr>
          <w:rFonts w:ascii="Verdana" w:hAnsi="Verdana"/>
          <w:color w:val="000000"/>
          <w:sz w:val="20"/>
          <w:szCs w:val="20"/>
          <w:vertAlign w:val="superscript"/>
        </w:rPr>
        <w:footnoteReference w:id="78"/>
      </w:r>
      <w:r w:rsidRPr="00275EDE">
        <w:rPr>
          <w:rFonts w:ascii="Verdana" w:hAnsi="Verdana"/>
          <w:color w:val="000000"/>
          <w:sz w:val="20"/>
          <w:szCs w:val="20"/>
        </w:rPr>
        <w:t>. Mediante sentencia de 8 de agosto de 1991 el Segundo Tribunal revocó la sentencia de primera instancia y, en consecuencia, calificó el despido como "legal y justificado"</w:t>
      </w:r>
      <w:r w:rsidRPr="00275EDE">
        <w:rPr>
          <w:rFonts w:ascii="Verdana" w:hAnsi="Verdana"/>
          <w:color w:val="000000"/>
          <w:sz w:val="20"/>
          <w:szCs w:val="20"/>
          <w:vertAlign w:val="superscript"/>
        </w:rPr>
        <w:footnoteReference w:id="79"/>
      </w:r>
      <w:r w:rsidRPr="00275EDE">
        <w:rPr>
          <w:rFonts w:ascii="Verdana" w:hAnsi="Verdana"/>
          <w:color w:val="000000"/>
          <w:sz w:val="20"/>
          <w:szCs w:val="20"/>
        </w:rPr>
        <w:t>. El Tribunal consideró que las expresiones emitidas por el señor Lagos del Campo constituyeron "grave indisciplina o falta grave de palabra en agravio</w:t>
      </w:r>
      <w:r w:rsidRPr="00275EDE">
        <w:rPr>
          <w:rFonts w:ascii="Verdana" w:hAnsi="Verdana"/>
          <w:sz w:val="20"/>
          <w:szCs w:val="20"/>
        </w:rPr>
        <w:t xml:space="preserve"> del empleador" y que "la Constitución Política del Estado garantiza la libertad de expresión, pero no para agraviar el honor y la dignidad del personal jerárquico de la empresa empleadora"</w:t>
      </w:r>
      <w:r w:rsidRPr="00275EDE">
        <w:rPr>
          <w:rFonts w:ascii="Verdana" w:hAnsi="Verdana"/>
          <w:sz w:val="20"/>
          <w:szCs w:val="20"/>
          <w:vertAlign w:val="superscript"/>
        </w:rPr>
        <w:footnoteReference w:id="80"/>
      </w:r>
      <w:r w:rsidRPr="00275EDE">
        <w:rPr>
          <w:rFonts w:ascii="Verdana" w:hAnsi="Verdana" w:cs="Arial"/>
          <w:sz w:val="20"/>
          <w:szCs w:val="20"/>
        </w:rPr>
        <w:t>.</w:t>
      </w:r>
      <w:r w:rsidR="00275EDE" w:rsidRPr="001B2ECD">
        <w:rPr>
          <w:rFonts w:ascii="Verdana" w:hAnsi="Verdana"/>
          <w:color w:val="000000"/>
          <w:sz w:val="20"/>
          <w:szCs w:val="20"/>
        </w:rPr>
        <w:t xml:space="preserve"> </w:t>
      </w:r>
    </w:p>
    <w:p w14:paraId="3ED1FD4B" w14:textId="77777777" w:rsidR="00275EDE" w:rsidRPr="00275EDE" w:rsidRDefault="00275EDE" w:rsidP="009C6F8E">
      <w:pPr>
        <w:jc w:val="both"/>
        <w:rPr>
          <w:rFonts w:ascii="Verdana" w:hAnsi="Verdana"/>
          <w:b/>
          <w:sz w:val="20"/>
          <w:szCs w:val="20"/>
        </w:rPr>
      </w:pPr>
    </w:p>
    <w:p w14:paraId="11005C3B" w14:textId="2D9443CE" w:rsidR="007A6FDA" w:rsidRPr="005D5A9D" w:rsidRDefault="007A6FDA"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lastRenderedPageBreak/>
        <w:t>El 26 de agosto de 1991 el señor Lagos del Campo interpuso un recurso de "revisión y reconsideración" ante el Segundo Tribunal de Trabajo de Lima, el cual fue declarado improcedente el 27 de agosto de 1991</w:t>
      </w:r>
      <w:r w:rsidRPr="00275EDE">
        <w:rPr>
          <w:rFonts w:ascii="Verdana" w:hAnsi="Verdana"/>
          <w:sz w:val="20"/>
          <w:szCs w:val="20"/>
          <w:vertAlign w:val="superscript"/>
        </w:rPr>
        <w:footnoteReference w:id="81"/>
      </w:r>
      <w:r w:rsidRPr="00275EDE">
        <w:rPr>
          <w:rFonts w:ascii="Verdana" w:hAnsi="Verdana"/>
          <w:sz w:val="20"/>
          <w:szCs w:val="20"/>
        </w:rPr>
        <w:t xml:space="preserve">. </w:t>
      </w:r>
    </w:p>
    <w:p w14:paraId="3C53B86C" w14:textId="77777777" w:rsidR="009C6F8E" w:rsidRDefault="009C6F8E" w:rsidP="009C6F8E">
      <w:pPr>
        <w:pStyle w:val="ListParagraph"/>
        <w:ind w:left="0"/>
        <w:jc w:val="both"/>
        <w:rPr>
          <w:rFonts w:ascii="Verdana" w:hAnsi="Verdana"/>
          <w:b/>
          <w:sz w:val="20"/>
          <w:szCs w:val="20"/>
        </w:rPr>
      </w:pPr>
    </w:p>
    <w:p w14:paraId="58A0DE68" w14:textId="397D2D4D" w:rsidR="00CE7987" w:rsidRPr="00CB5A95" w:rsidRDefault="00CE7987" w:rsidP="00E66DD7">
      <w:pPr>
        <w:pStyle w:val="ListParagraph"/>
        <w:numPr>
          <w:ilvl w:val="0"/>
          <w:numId w:val="1"/>
        </w:numPr>
        <w:ind w:left="0" w:hanging="11"/>
        <w:jc w:val="both"/>
        <w:rPr>
          <w:rFonts w:ascii="Verdana" w:hAnsi="Verdana"/>
          <w:sz w:val="20"/>
          <w:szCs w:val="20"/>
        </w:rPr>
      </w:pPr>
      <w:r w:rsidRPr="00CB5A95">
        <w:rPr>
          <w:rFonts w:ascii="Verdana" w:hAnsi="Verdana"/>
          <w:sz w:val="20"/>
          <w:szCs w:val="20"/>
        </w:rPr>
        <w:t>El 2 de septiembre de 1991, tras no ser aceptado su recurso de revisión y reconsideración, Lagos del Campo solicitó la nulidad</w:t>
      </w:r>
      <w:r w:rsidRPr="00A532BE">
        <w:rPr>
          <w:rFonts w:ascii="Verdana" w:hAnsi="Verdana"/>
          <w:sz w:val="20"/>
          <w:vertAlign w:val="superscript"/>
        </w:rPr>
        <w:footnoteReference w:id="82"/>
      </w:r>
      <w:r w:rsidRPr="00CB5A95">
        <w:rPr>
          <w:rFonts w:ascii="Verdana" w:hAnsi="Verdana"/>
          <w:sz w:val="20"/>
          <w:szCs w:val="20"/>
        </w:rPr>
        <w:t xml:space="preserve"> de la resolución emitida el 8 de agosto de 1991 por el mismo Tribunal de Trabajo. Al respecto, el Segundo Tribunal de Trabajo concluyó que no se incurrió en causal alguna </w:t>
      </w:r>
      <w:r>
        <w:rPr>
          <w:rFonts w:ascii="Verdana" w:hAnsi="Verdana"/>
          <w:sz w:val="20"/>
          <w:szCs w:val="20"/>
        </w:rPr>
        <w:t xml:space="preserve">de nulidad </w:t>
      </w:r>
      <w:r w:rsidRPr="00CB5A95">
        <w:rPr>
          <w:rFonts w:ascii="Verdana" w:hAnsi="Verdana"/>
          <w:sz w:val="20"/>
          <w:szCs w:val="20"/>
        </w:rPr>
        <w:t xml:space="preserve">prevista en el </w:t>
      </w:r>
      <w:r w:rsidR="00F409D7" w:rsidRPr="00333304">
        <w:rPr>
          <w:rFonts w:ascii="Verdana" w:hAnsi="Verdana"/>
          <w:sz w:val="20"/>
          <w:szCs w:val="20"/>
        </w:rPr>
        <w:t>artículo 1085 del</w:t>
      </w:r>
      <w:r w:rsidR="00F409D7">
        <w:rPr>
          <w:rFonts w:ascii="Verdana" w:hAnsi="Verdana"/>
          <w:sz w:val="20"/>
          <w:szCs w:val="20"/>
        </w:rPr>
        <w:t xml:space="preserve"> </w:t>
      </w:r>
      <w:r w:rsidRPr="00CB5A95">
        <w:rPr>
          <w:rFonts w:ascii="Verdana" w:hAnsi="Verdana"/>
          <w:sz w:val="20"/>
          <w:szCs w:val="20"/>
        </w:rPr>
        <w:t>Código de Procedimiento Civil</w:t>
      </w:r>
      <w:r w:rsidR="00F409D7" w:rsidRPr="004B6343">
        <w:rPr>
          <w:rStyle w:val="FootnoteReference"/>
          <w:color w:val="000000"/>
          <w:szCs w:val="20"/>
        </w:rPr>
        <w:footnoteReference w:id="83"/>
      </w:r>
      <w:r w:rsidRPr="00CB5A95">
        <w:rPr>
          <w:rFonts w:ascii="Verdana" w:hAnsi="Verdana"/>
          <w:sz w:val="20"/>
          <w:szCs w:val="20"/>
        </w:rPr>
        <w:t xml:space="preserve">.  </w:t>
      </w:r>
    </w:p>
    <w:p w14:paraId="7AA01D00" w14:textId="77777777" w:rsidR="00CE7987" w:rsidRPr="00275EDE" w:rsidRDefault="00CE7987" w:rsidP="009C6F8E">
      <w:pPr>
        <w:pStyle w:val="ListParagraph"/>
        <w:ind w:left="0"/>
        <w:jc w:val="both"/>
        <w:rPr>
          <w:rFonts w:ascii="Verdana" w:hAnsi="Verdana"/>
          <w:b/>
          <w:sz w:val="20"/>
          <w:szCs w:val="20"/>
        </w:rPr>
      </w:pPr>
    </w:p>
    <w:p w14:paraId="549D9725" w14:textId="612EB29A" w:rsidR="005D0ACD" w:rsidRDefault="00275EDE" w:rsidP="00E66DD7">
      <w:pPr>
        <w:pStyle w:val="Heading3"/>
        <w:numPr>
          <w:ilvl w:val="0"/>
          <w:numId w:val="9"/>
        </w:numPr>
        <w:rPr>
          <w:i/>
          <w:iCs/>
          <w:color w:val="000000"/>
          <w:szCs w:val="20"/>
        </w:rPr>
      </w:pPr>
      <w:bookmarkStart w:id="24" w:name="_Toc498333488"/>
      <w:r w:rsidRPr="00275EDE">
        <w:rPr>
          <w:i/>
          <w:iCs/>
          <w:color w:val="000000"/>
          <w:szCs w:val="20"/>
        </w:rPr>
        <w:t>Procedimiento de amparo</w:t>
      </w:r>
      <w:r w:rsidR="00E02AC4">
        <w:rPr>
          <w:i/>
          <w:iCs/>
          <w:color w:val="000000"/>
          <w:szCs w:val="20"/>
        </w:rPr>
        <w:t xml:space="preserve"> y nulidad</w:t>
      </w:r>
      <w:bookmarkEnd w:id="24"/>
    </w:p>
    <w:p w14:paraId="6AD3C2A0" w14:textId="4418F7AE" w:rsidR="00CB2CF7" w:rsidRPr="00CB2CF7" w:rsidRDefault="00CB2CF7" w:rsidP="00CB2CF7"/>
    <w:p w14:paraId="5E4D1A24" w14:textId="46492DDE" w:rsidR="007A6FDA" w:rsidRPr="005D5A9D" w:rsidRDefault="007A6FDA"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t>El 21 de octubre de 1991 el señor Lagos del Campo presentó una acción de amparo ante la Sala Civil de la Corte Superior</w:t>
      </w:r>
      <w:r w:rsidRPr="00275EDE">
        <w:rPr>
          <w:rFonts w:ascii="Verdana" w:hAnsi="Verdana"/>
          <w:sz w:val="20"/>
          <w:szCs w:val="20"/>
          <w:vertAlign w:val="superscript"/>
        </w:rPr>
        <w:footnoteReference w:id="84"/>
      </w:r>
      <w:r w:rsidR="00D20A28">
        <w:rPr>
          <w:rFonts w:ascii="Verdana" w:hAnsi="Verdana"/>
          <w:sz w:val="20"/>
          <w:szCs w:val="20"/>
        </w:rPr>
        <w:t>,</w:t>
      </w:r>
      <w:r w:rsidRPr="00275EDE">
        <w:rPr>
          <w:rFonts w:ascii="Verdana" w:hAnsi="Verdana"/>
          <w:sz w:val="20"/>
          <w:szCs w:val="20"/>
        </w:rPr>
        <w:t xml:space="preserve"> en contra de la sentencia de 8 de agosto de 1991 que resolvió el recurso de apelación en el procedimiento de calificación de despido</w:t>
      </w:r>
      <w:r>
        <w:rPr>
          <w:rFonts w:ascii="Verdana" w:hAnsi="Verdana"/>
          <w:sz w:val="20"/>
          <w:szCs w:val="20"/>
        </w:rPr>
        <w:t xml:space="preserve">. Lagos del Campo </w:t>
      </w:r>
      <w:r w:rsidRPr="00275EDE">
        <w:rPr>
          <w:rFonts w:ascii="Verdana" w:hAnsi="Verdana" w:cs="Arial"/>
          <w:sz w:val="20"/>
          <w:szCs w:val="20"/>
        </w:rPr>
        <w:t>sostuvo que:</w:t>
      </w:r>
    </w:p>
    <w:p w14:paraId="3AAC544B" w14:textId="77777777" w:rsidR="00275EDE" w:rsidRPr="00275EDE" w:rsidRDefault="00275EDE" w:rsidP="0089179B">
      <w:pPr>
        <w:ind w:left="1440"/>
        <w:jc w:val="both"/>
        <w:rPr>
          <w:rFonts w:ascii="Verdana" w:hAnsi="Verdana" w:cs="Arial"/>
          <w:sz w:val="18"/>
          <w:szCs w:val="18"/>
        </w:rPr>
      </w:pPr>
      <w:r w:rsidRPr="00275EDE">
        <w:rPr>
          <w:rFonts w:ascii="Verdana" w:hAnsi="Verdana" w:cs="Arial"/>
          <w:sz w:val="18"/>
          <w:szCs w:val="18"/>
        </w:rPr>
        <w:t>CUARTO:</w:t>
      </w:r>
    </w:p>
    <w:p w14:paraId="002A82D0" w14:textId="77777777" w:rsidR="00275EDE" w:rsidRPr="00275EDE" w:rsidRDefault="00275EDE" w:rsidP="009C6F8E">
      <w:pPr>
        <w:ind w:left="3600" w:right="720"/>
        <w:jc w:val="both"/>
        <w:rPr>
          <w:rFonts w:ascii="Verdana" w:hAnsi="Verdana" w:cs="Arial"/>
          <w:sz w:val="18"/>
          <w:szCs w:val="18"/>
        </w:rPr>
      </w:pPr>
      <w:r w:rsidRPr="00275EDE">
        <w:rPr>
          <w:rFonts w:ascii="Verdana" w:hAnsi="Verdana" w:cs="Arial"/>
          <w:sz w:val="18"/>
          <w:szCs w:val="18"/>
        </w:rPr>
        <w:t xml:space="preserve"> </w:t>
      </w:r>
    </w:p>
    <w:p w14:paraId="09B16F70" w14:textId="396A85C7" w:rsidR="00E3327C" w:rsidRDefault="00C70D0F" w:rsidP="00E3327C">
      <w:pPr>
        <w:ind w:left="1440" w:right="720"/>
        <w:jc w:val="both"/>
        <w:rPr>
          <w:rFonts w:ascii="Verdana" w:hAnsi="Verdana"/>
          <w:sz w:val="18"/>
          <w:szCs w:val="18"/>
        </w:rPr>
      </w:pPr>
      <w:r>
        <w:rPr>
          <w:rFonts w:ascii="Verdana" w:hAnsi="Verdana"/>
          <w:iCs/>
          <w:color w:val="000000"/>
          <w:sz w:val="18"/>
          <w:szCs w:val="18"/>
          <w:lang w:val="es-MX"/>
        </w:rPr>
        <w:t>E</w:t>
      </w:r>
      <w:r w:rsidR="00275EDE" w:rsidRPr="00275EDE">
        <w:rPr>
          <w:rFonts w:ascii="Verdana" w:hAnsi="Verdana"/>
          <w:sz w:val="18"/>
          <w:szCs w:val="18"/>
        </w:rPr>
        <w:t xml:space="preserve">s así que, al no haberse tomado en cuenta mi recurso (de fecha 02 de Agosto de 1991) al dictar la sentencia del 08 de Agosto </w:t>
      </w:r>
      <w:r w:rsidR="00275EDE" w:rsidRPr="00333304">
        <w:rPr>
          <w:rFonts w:ascii="Verdana" w:hAnsi="Verdana"/>
          <w:sz w:val="18"/>
          <w:szCs w:val="18"/>
        </w:rPr>
        <w:t>y si en cambio el escrito de la demanda</w:t>
      </w:r>
      <w:r w:rsidR="00275EDE" w:rsidRPr="003F5593">
        <w:rPr>
          <w:rFonts w:ascii="Verdana" w:hAnsi="Verdana"/>
          <w:sz w:val="18"/>
          <w:szCs w:val="18"/>
        </w:rPr>
        <w:t>, no sólo se ha atentado contra la igualdad de oportunidad que debe</w:t>
      </w:r>
      <w:r w:rsidR="00275EDE" w:rsidRPr="00275EDE">
        <w:rPr>
          <w:rFonts w:ascii="Verdana" w:hAnsi="Verdana"/>
          <w:sz w:val="18"/>
          <w:szCs w:val="18"/>
        </w:rPr>
        <w:t xml:space="preserve"> brindar el magistrado a las partes en litigio para ser oídas con sus respectivas argumentaciones, sino además, al mínimo derecho de defensa contra los argumentos esgrimidos por la contrapar</w:t>
      </w:r>
      <w:r w:rsidR="00E3327C">
        <w:rPr>
          <w:rFonts w:ascii="Verdana" w:hAnsi="Verdana"/>
          <w:sz w:val="18"/>
          <w:szCs w:val="18"/>
        </w:rPr>
        <w:t>te en los mencionados escritos.</w:t>
      </w:r>
    </w:p>
    <w:p w14:paraId="75BD658D" w14:textId="199B5F0D" w:rsidR="00E3327C" w:rsidRDefault="00E3327C" w:rsidP="00E3327C">
      <w:pPr>
        <w:ind w:left="1440" w:right="720"/>
        <w:jc w:val="both"/>
        <w:rPr>
          <w:rFonts w:ascii="Verdana" w:hAnsi="Verdana"/>
          <w:sz w:val="18"/>
          <w:szCs w:val="18"/>
        </w:rPr>
      </w:pPr>
      <w:r>
        <w:rPr>
          <w:rFonts w:ascii="Verdana" w:hAnsi="Verdana"/>
          <w:sz w:val="18"/>
          <w:szCs w:val="18"/>
        </w:rPr>
        <w:t>[…]</w:t>
      </w:r>
    </w:p>
    <w:p w14:paraId="45B3A922" w14:textId="0D2A7250" w:rsidR="00275EDE" w:rsidRPr="00275EDE" w:rsidRDefault="00E3327C" w:rsidP="00EB5530">
      <w:pPr>
        <w:ind w:left="1440" w:right="720"/>
        <w:jc w:val="both"/>
        <w:rPr>
          <w:rFonts w:ascii="Verdana" w:hAnsi="Verdana"/>
          <w:b/>
          <w:sz w:val="20"/>
          <w:szCs w:val="20"/>
        </w:rPr>
      </w:pPr>
      <w:r w:rsidRPr="00E3327C">
        <w:rPr>
          <w:rFonts w:ascii="Verdana" w:hAnsi="Verdana"/>
          <w:sz w:val="18"/>
          <w:szCs w:val="18"/>
        </w:rPr>
        <w:t>Al haber violado mi derecho al debido proceso se ha vulnerado el derecho a la estabilidad laboral.</w:t>
      </w:r>
      <w:r>
        <w:rPr>
          <w:rFonts w:ascii="Verdana" w:hAnsi="Verdana"/>
          <w:sz w:val="18"/>
          <w:szCs w:val="18"/>
        </w:rPr>
        <w:t xml:space="preserve"> […] </w:t>
      </w:r>
      <w:r w:rsidR="00275EDE" w:rsidRPr="00275EDE">
        <w:rPr>
          <w:rFonts w:ascii="Verdana" w:hAnsi="Verdana"/>
          <w:sz w:val="18"/>
          <w:szCs w:val="18"/>
        </w:rPr>
        <w:t xml:space="preserve">En efecto, la estabilidad laboral tiene una especial protección por nuestro ordenamiento constitucional y legal, y que en el presente caso, ha sido vulnerado por las irregularidades antes señaladas, y sin permitir </w:t>
      </w:r>
      <w:r w:rsidR="00275EDE" w:rsidRPr="00275EDE">
        <w:rPr>
          <w:rFonts w:ascii="Verdana" w:hAnsi="Verdana"/>
          <w:sz w:val="18"/>
          <w:szCs w:val="18"/>
        </w:rPr>
        <w:lastRenderedPageBreak/>
        <w:t>desvirtuar, ademases, dichos argumentos, constituyéndose así, en la violación de dos derechos constitucionales: EL DEBIDO PROCESO Y LA ESTABLIDAD LABORAL.</w:t>
      </w:r>
      <w:r w:rsidR="00275EDE" w:rsidRPr="00275EDE">
        <w:rPr>
          <w:rFonts w:ascii="Verdana" w:hAnsi="Verdana"/>
          <w:b/>
          <w:sz w:val="18"/>
          <w:szCs w:val="18"/>
        </w:rPr>
        <w:tab/>
      </w:r>
    </w:p>
    <w:p w14:paraId="70AF0BA1" w14:textId="469AF4AA" w:rsidR="007A6FDA" w:rsidRPr="00633DC9" w:rsidRDefault="007A6FDA" w:rsidP="00E66DD7">
      <w:pPr>
        <w:pStyle w:val="ListParagraph"/>
        <w:numPr>
          <w:ilvl w:val="0"/>
          <w:numId w:val="1"/>
        </w:numPr>
        <w:ind w:left="0" w:hanging="11"/>
        <w:jc w:val="both"/>
        <w:rPr>
          <w:rFonts w:ascii="Verdana" w:hAnsi="Verdana"/>
          <w:b/>
          <w:sz w:val="20"/>
          <w:szCs w:val="20"/>
        </w:rPr>
      </w:pPr>
      <w:r w:rsidRPr="00275EDE">
        <w:rPr>
          <w:rFonts w:ascii="Verdana" w:hAnsi="Verdana"/>
          <w:sz w:val="20"/>
          <w:szCs w:val="20"/>
        </w:rPr>
        <w:t>Durante el trámite del recurso ante la Sala Civil de la Corte Superior, en abril de 1992 el gobierno del Perú procedió a declarar una "reorganización" al Poder Judicial</w:t>
      </w:r>
      <w:r w:rsidRPr="00275EDE">
        <w:rPr>
          <w:rFonts w:ascii="Verdana" w:hAnsi="Verdana"/>
          <w:sz w:val="20"/>
          <w:szCs w:val="20"/>
          <w:vertAlign w:val="superscript"/>
        </w:rPr>
        <w:footnoteReference w:id="85"/>
      </w:r>
      <w:r w:rsidRPr="00275EDE">
        <w:rPr>
          <w:rFonts w:ascii="Verdana" w:hAnsi="Verdana"/>
          <w:sz w:val="20"/>
          <w:szCs w:val="20"/>
        </w:rPr>
        <w:t xml:space="preserve">. En el marco de estas reformas, el 3 de agosto de 1992 la Quinta Sala Civil de la Corte Superior de Lima </w:t>
      </w:r>
      <w:r w:rsidRPr="00633DC9">
        <w:rPr>
          <w:rFonts w:ascii="Verdana" w:hAnsi="Verdana"/>
          <w:sz w:val="20"/>
          <w:szCs w:val="20"/>
        </w:rPr>
        <w:t xml:space="preserve">resolvió declarando improcedente </w:t>
      </w:r>
      <w:r w:rsidR="00C70D0F">
        <w:rPr>
          <w:rFonts w:ascii="Verdana" w:hAnsi="Verdana"/>
          <w:sz w:val="20"/>
          <w:szCs w:val="20"/>
        </w:rPr>
        <w:t>la acción de</w:t>
      </w:r>
      <w:r w:rsidRPr="00633DC9">
        <w:rPr>
          <w:rFonts w:ascii="Verdana" w:hAnsi="Verdana"/>
          <w:sz w:val="20"/>
          <w:szCs w:val="20"/>
        </w:rPr>
        <w:t xml:space="preserve"> amparo</w:t>
      </w:r>
      <w:r w:rsidRPr="00633DC9">
        <w:rPr>
          <w:rFonts w:ascii="Verdana" w:hAnsi="Verdana"/>
          <w:sz w:val="20"/>
          <w:szCs w:val="20"/>
          <w:vertAlign w:val="superscript"/>
        </w:rPr>
        <w:footnoteReference w:id="86"/>
      </w:r>
      <w:r w:rsidRPr="00633DC9">
        <w:rPr>
          <w:rFonts w:ascii="Verdana" w:hAnsi="Verdana"/>
          <w:sz w:val="20"/>
          <w:szCs w:val="20"/>
        </w:rPr>
        <w:t xml:space="preserve">. </w:t>
      </w:r>
    </w:p>
    <w:p w14:paraId="065E016C" w14:textId="77777777" w:rsidR="007A6FDA" w:rsidRPr="00EB5530" w:rsidRDefault="007A6FDA" w:rsidP="007A6FDA">
      <w:pPr>
        <w:pStyle w:val="ListParagraph"/>
        <w:rPr>
          <w:rFonts w:ascii="Verdana" w:hAnsi="Verdana"/>
          <w:b/>
          <w:sz w:val="20"/>
          <w:szCs w:val="20"/>
        </w:rPr>
      </w:pPr>
    </w:p>
    <w:p w14:paraId="5F694F4B" w14:textId="3070210F" w:rsidR="007A6FDA" w:rsidRPr="00EB5530" w:rsidRDefault="007A6FDA" w:rsidP="00E66DD7">
      <w:pPr>
        <w:pStyle w:val="ListParagraph"/>
        <w:numPr>
          <w:ilvl w:val="0"/>
          <w:numId w:val="1"/>
        </w:numPr>
        <w:ind w:left="0" w:hanging="11"/>
        <w:jc w:val="both"/>
        <w:rPr>
          <w:rFonts w:ascii="Verdana" w:hAnsi="Verdana"/>
          <w:b/>
          <w:sz w:val="20"/>
          <w:szCs w:val="20"/>
        </w:rPr>
      </w:pPr>
      <w:r w:rsidRPr="00EB5530">
        <w:rPr>
          <w:rFonts w:ascii="Verdana" w:hAnsi="Verdana"/>
          <w:sz w:val="20"/>
          <w:szCs w:val="20"/>
        </w:rPr>
        <w:t>El 26 de agosto de 1992 Lagos del Campo interpuso un recurso de nulidad ante el Presidente de la Quinta Sala Civil de Lima, en contra de la sentencia dictada por la Quinta Sala Civil de Lima</w:t>
      </w:r>
      <w:r w:rsidR="00AD0A6C" w:rsidRPr="00EB5530">
        <w:rPr>
          <w:rStyle w:val="FootnoteReference"/>
          <w:szCs w:val="20"/>
        </w:rPr>
        <w:footnoteReference w:id="87"/>
      </w:r>
      <w:r w:rsidRPr="00EB5530">
        <w:rPr>
          <w:rFonts w:ascii="Verdana" w:hAnsi="Verdana"/>
          <w:sz w:val="20"/>
          <w:szCs w:val="20"/>
        </w:rPr>
        <w:t xml:space="preserve">, sin embargo no hubo una respuesta por parte del Presidente de la Quinta Sala Civil. </w:t>
      </w:r>
    </w:p>
    <w:p w14:paraId="6613DFE3" w14:textId="77777777" w:rsidR="007A6FDA" w:rsidRPr="00EB5530" w:rsidRDefault="007A6FDA" w:rsidP="007A6FDA">
      <w:pPr>
        <w:pStyle w:val="ListParagraph"/>
        <w:rPr>
          <w:rFonts w:ascii="Verdana" w:hAnsi="Verdana"/>
          <w:b/>
          <w:sz w:val="20"/>
          <w:szCs w:val="20"/>
        </w:rPr>
      </w:pPr>
    </w:p>
    <w:p w14:paraId="2380FA08" w14:textId="78077213" w:rsidR="007A6FDA" w:rsidRPr="00EB5530" w:rsidRDefault="007A6FDA" w:rsidP="00E66DD7">
      <w:pPr>
        <w:pStyle w:val="ListParagraph"/>
        <w:numPr>
          <w:ilvl w:val="0"/>
          <w:numId w:val="1"/>
        </w:numPr>
        <w:ind w:left="0" w:hanging="11"/>
        <w:jc w:val="both"/>
        <w:rPr>
          <w:rFonts w:ascii="Verdana" w:hAnsi="Verdana"/>
          <w:b/>
          <w:sz w:val="20"/>
          <w:szCs w:val="20"/>
        </w:rPr>
      </w:pPr>
      <w:r w:rsidRPr="00EB5530">
        <w:rPr>
          <w:rFonts w:ascii="Verdana" w:hAnsi="Verdana"/>
          <w:sz w:val="20"/>
          <w:szCs w:val="20"/>
        </w:rPr>
        <w:t>En atención a lo anterior, el 10 de marzo de 1993 Lagos del Campo presentó ante el Presidente de la Sala de Derecho Constitucional y Social de la Corte Suprema un escrito</w:t>
      </w:r>
      <w:r w:rsidR="00AD0A6C" w:rsidRPr="00EB5530">
        <w:rPr>
          <w:rFonts w:ascii="Verdana" w:hAnsi="Verdana"/>
          <w:sz w:val="20"/>
          <w:szCs w:val="20"/>
        </w:rPr>
        <w:t xml:space="preserve"> </w:t>
      </w:r>
      <w:r w:rsidR="00AD0A6C" w:rsidRPr="00333304">
        <w:rPr>
          <w:rFonts w:ascii="Verdana" w:hAnsi="Verdana"/>
          <w:sz w:val="20"/>
          <w:szCs w:val="20"/>
        </w:rPr>
        <w:t>en el que señaló “sírvase declarar haber nulidad de la sentencia, la misma que deberá ser reformada, declarando fundada la acción de amparo”</w:t>
      </w:r>
      <w:r w:rsidR="00AD0A6C" w:rsidRPr="00333304">
        <w:rPr>
          <w:rStyle w:val="FootnoteReference"/>
          <w:szCs w:val="20"/>
        </w:rPr>
        <w:footnoteReference w:id="88"/>
      </w:r>
      <w:r w:rsidR="00D20A28" w:rsidRPr="00333304">
        <w:rPr>
          <w:rFonts w:ascii="Verdana" w:hAnsi="Verdana"/>
          <w:sz w:val="20"/>
          <w:szCs w:val="20"/>
        </w:rPr>
        <w:t>.</w:t>
      </w:r>
      <w:r w:rsidR="00D20A28" w:rsidRPr="00633DC9">
        <w:rPr>
          <w:rFonts w:ascii="Verdana" w:hAnsi="Verdana"/>
          <w:sz w:val="20"/>
          <w:szCs w:val="20"/>
        </w:rPr>
        <w:t xml:space="preserve"> L</w:t>
      </w:r>
      <w:r w:rsidRPr="00633DC9">
        <w:rPr>
          <w:rFonts w:ascii="Verdana" w:hAnsi="Verdana"/>
          <w:sz w:val="20"/>
          <w:szCs w:val="20"/>
        </w:rPr>
        <w:t>a Sala de Derecho Constitucional y Social de</w:t>
      </w:r>
      <w:r w:rsidRPr="00EB5530">
        <w:rPr>
          <w:rFonts w:ascii="Verdana" w:hAnsi="Verdana"/>
          <w:sz w:val="20"/>
          <w:szCs w:val="20"/>
        </w:rPr>
        <w:t xml:space="preserve"> la Corte Suprema de Justicia</w:t>
      </w:r>
      <w:r w:rsidR="00D20A28" w:rsidRPr="00EB5530">
        <w:rPr>
          <w:rFonts w:ascii="Verdana" w:hAnsi="Verdana"/>
          <w:sz w:val="20"/>
          <w:szCs w:val="20"/>
        </w:rPr>
        <w:t>,</w:t>
      </w:r>
      <w:r w:rsidRPr="00EB5530">
        <w:rPr>
          <w:rFonts w:ascii="Verdana" w:hAnsi="Verdana"/>
          <w:sz w:val="20"/>
          <w:szCs w:val="20"/>
        </w:rPr>
        <w:t xml:space="preserve"> mediante auto de 15 de marzo de 1993</w:t>
      </w:r>
      <w:r w:rsidR="00D20A28" w:rsidRPr="00EB5530">
        <w:rPr>
          <w:rFonts w:ascii="Verdana" w:hAnsi="Verdana"/>
          <w:sz w:val="20"/>
          <w:szCs w:val="20"/>
        </w:rPr>
        <w:t>,</w:t>
      </w:r>
      <w:r w:rsidRPr="00EB5530">
        <w:rPr>
          <w:rFonts w:ascii="Verdana" w:hAnsi="Verdana"/>
          <w:sz w:val="20"/>
          <w:szCs w:val="20"/>
        </w:rPr>
        <w:t xml:space="preserve"> declaró no haber nulidad en la sentencia de 8 de agosto de 1992</w:t>
      </w:r>
      <w:r w:rsidRPr="00EB5530">
        <w:rPr>
          <w:rStyle w:val="FootnoteReference"/>
          <w:szCs w:val="20"/>
        </w:rPr>
        <w:footnoteReference w:id="89"/>
      </w:r>
      <w:r w:rsidRPr="00EB5530">
        <w:rPr>
          <w:rFonts w:ascii="Verdana" w:hAnsi="Verdana"/>
          <w:sz w:val="20"/>
          <w:szCs w:val="20"/>
        </w:rPr>
        <w:t>.</w:t>
      </w:r>
    </w:p>
    <w:p w14:paraId="2604D455" w14:textId="77777777" w:rsidR="007A6FDA" w:rsidRPr="00EB5530" w:rsidRDefault="007A6FDA" w:rsidP="007A6FDA">
      <w:pPr>
        <w:pStyle w:val="ListParagraph"/>
        <w:rPr>
          <w:rFonts w:ascii="Verdana" w:hAnsi="Verdana"/>
          <w:b/>
          <w:sz w:val="20"/>
          <w:szCs w:val="20"/>
        </w:rPr>
      </w:pPr>
    </w:p>
    <w:p w14:paraId="22528909" w14:textId="133D93E8" w:rsidR="007A6FDA" w:rsidRPr="005D5A9D" w:rsidRDefault="007A6FDA" w:rsidP="00E66DD7">
      <w:pPr>
        <w:pStyle w:val="ListParagraph"/>
        <w:numPr>
          <w:ilvl w:val="0"/>
          <w:numId w:val="1"/>
        </w:numPr>
        <w:ind w:left="0" w:hanging="11"/>
        <w:jc w:val="both"/>
        <w:rPr>
          <w:rFonts w:ascii="Verdana" w:hAnsi="Verdana"/>
          <w:b/>
          <w:sz w:val="20"/>
          <w:szCs w:val="20"/>
        </w:rPr>
      </w:pPr>
      <w:r w:rsidRPr="00EB5530">
        <w:rPr>
          <w:rFonts w:ascii="Verdana" w:hAnsi="Verdana"/>
          <w:sz w:val="20"/>
          <w:szCs w:val="20"/>
        </w:rPr>
        <w:t>El 28 de abril de 1993 Lagos del Campo presentó ante el Presidente de la Sala de la Corte Suprema</w:t>
      </w:r>
      <w:r>
        <w:rPr>
          <w:rFonts w:ascii="Verdana" w:hAnsi="Verdana"/>
          <w:sz w:val="20"/>
          <w:szCs w:val="20"/>
        </w:rPr>
        <w:t xml:space="preserve"> de Derecho Constitucional y Social un escrito en el que solicitó que la Presidencia de la Sala de la Corte Suprema revise el fallo de resolución que declara no haber nulidad</w:t>
      </w:r>
      <w:r>
        <w:rPr>
          <w:rStyle w:val="FootnoteReference"/>
          <w:szCs w:val="20"/>
        </w:rPr>
        <w:footnoteReference w:id="90"/>
      </w:r>
      <w:r w:rsidR="00E72D85">
        <w:rPr>
          <w:rFonts w:ascii="Verdana" w:hAnsi="Verdana"/>
          <w:sz w:val="20"/>
          <w:szCs w:val="20"/>
        </w:rPr>
        <w:t>.</w:t>
      </w:r>
      <w:r>
        <w:rPr>
          <w:rFonts w:ascii="Verdana" w:hAnsi="Verdana"/>
          <w:sz w:val="20"/>
          <w:szCs w:val="20"/>
        </w:rPr>
        <w:t xml:space="preserve"> </w:t>
      </w:r>
      <w:r w:rsidR="00E72D85">
        <w:rPr>
          <w:rFonts w:ascii="Verdana" w:hAnsi="Verdana"/>
          <w:sz w:val="20"/>
          <w:szCs w:val="20"/>
        </w:rPr>
        <w:t>D</w:t>
      </w:r>
      <w:r>
        <w:rPr>
          <w:rFonts w:ascii="Verdana" w:hAnsi="Verdana"/>
          <w:sz w:val="20"/>
          <w:szCs w:val="20"/>
        </w:rPr>
        <w:t>icha petición no fue atendida</w:t>
      </w:r>
      <w:r w:rsidR="00164911">
        <w:rPr>
          <w:rFonts w:ascii="Verdana" w:hAnsi="Verdana"/>
          <w:sz w:val="20"/>
          <w:szCs w:val="20"/>
        </w:rPr>
        <w:t>.</w:t>
      </w:r>
    </w:p>
    <w:p w14:paraId="679B8BD5" w14:textId="77777777" w:rsidR="00275EDE" w:rsidRPr="00275EDE" w:rsidRDefault="00275EDE" w:rsidP="009C6F8E">
      <w:pPr>
        <w:jc w:val="both"/>
        <w:rPr>
          <w:rFonts w:ascii="Verdana" w:hAnsi="Verdana"/>
          <w:b/>
          <w:sz w:val="20"/>
          <w:szCs w:val="20"/>
        </w:rPr>
      </w:pPr>
    </w:p>
    <w:p w14:paraId="5550559A" w14:textId="77777777" w:rsidR="00275EDE" w:rsidRPr="00275EDE" w:rsidRDefault="00275EDE" w:rsidP="00E66DD7">
      <w:pPr>
        <w:pStyle w:val="Heading3"/>
        <w:numPr>
          <w:ilvl w:val="0"/>
          <w:numId w:val="9"/>
        </w:numPr>
        <w:rPr>
          <w:i/>
          <w:iCs/>
          <w:szCs w:val="20"/>
        </w:rPr>
      </w:pPr>
      <w:bookmarkStart w:id="25" w:name="_Toc498333489"/>
      <w:r w:rsidRPr="00275EDE">
        <w:rPr>
          <w:i/>
          <w:iCs/>
          <w:szCs w:val="20"/>
        </w:rPr>
        <w:lastRenderedPageBreak/>
        <w:t>Recurso de amparo ante el Tribunal Constitucional</w:t>
      </w:r>
      <w:bookmarkEnd w:id="25"/>
    </w:p>
    <w:p w14:paraId="05F0CC04" w14:textId="77777777" w:rsidR="00275EDE" w:rsidRPr="00275EDE" w:rsidRDefault="00275EDE" w:rsidP="00275EDE">
      <w:pPr>
        <w:jc w:val="both"/>
        <w:rPr>
          <w:rFonts w:ascii="Verdana" w:hAnsi="Verdana"/>
          <w:sz w:val="20"/>
          <w:szCs w:val="20"/>
        </w:rPr>
      </w:pPr>
    </w:p>
    <w:p w14:paraId="0CEF7AFE" w14:textId="33D7A044" w:rsidR="003F5593" w:rsidRPr="00333304" w:rsidRDefault="007A6FDA" w:rsidP="00333304">
      <w:pPr>
        <w:pStyle w:val="ListParagraph"/>
        <w:numPr>
          <w:ilvl w:val="0"/>
          <w:numId w:val="1"/>
        </w:numPr>
        <w:ind w:left="0" w:hanging="11"/>
        <w:jc w:val="both"/>
        <w:rPr>
          <w:rFonts w:ascii="Verdana" w:hAnsi="Verdana"/>
          <w:b/>
          <w:sz w:val="20"/>
          <w:szCs w:val="20"/>
        </w:rPr>
      </w:pPr>
      <w:r w:rsidRPr="00776947">
        <w:rPr>
          <w:rFonts w:ascii="Verdana" w:hAnsi="Verdana"/>
          <w:sz w:val="20"/>
          <w:szCs w:val="20"/>
        </w:rPr>
        <w:t>El 26 de julio de 1996 y con motivo de la entrada en funciones del Tribunal Constitucional del Perú, el señor Lagos del Campo presentó un escrito ante la Quinta Sala Civi</w:t>
      </w:r>
      <w:r w:rsidRPr="0079676D">
        <w:rPr>
          <w:rFonts w:ascii="Verdana" w:hAnsi="Verdana"/>
          <w:sz w:val="20"/>
          <w:szCs w:val="20"/>
        </w:rPr>
        <w:t>l de la Corte Superior solicitando el desarchivo de su acción de amparo para que fuera elevada al Tribunal Constitucional</w:t>
      </w:r>
      <w:r w:rsidRPr="00275EDE">
        <w:rPr>
          <w:rFonts w:ascii="Verdana" w:hAnsi="Verdana"/>
          <w:sz w:val="20"/>
          <w:szCs w:val="20"/>
          <w:vertAlign w:val="superscript"/>
        </w:rPr>
        <w:footnoteReference w:id="91"/>
      </w:r>
      <w:r w:rsidRPr="00776947">
        <w:rPr>
          <w:rFonts w:ascii="Verdana" w:hAnsi="Verdana"/>
          <w:sz w:val="20"/>
          <w:szCs w:val="20"/>
        </w:rPr>
        <w:t>. El 14 de enero de 1997 el señor Lagos del Campo reiteró dicha solicitud al no tener respuesta</w:t>
      </w:r>
      <w:r w:rsidRPr="00275EDE">
        <w:rPr>
          <w:rFonts w:ascii="Verdana" w:hAnsi="Verdana"/>
          <w:sz w:val="20"/>
          <w:szCs w:val="20"/>
          <w:vertAlign w:val="superscript"/>
        </w:rPr>
        <w:footnoteReference w:id="92"/>
      </w:r>
      <w:r w:rsidRPr="00776947">
        <w:rPr>
          <w:rFonts w:ascii="Verdana" w:hAnsi="Verdana"/>
          <w:sz w:val="20"/>
          <w:szCs w:val="20"/>
        </w:rPr>
        <w:t>. El 24 de junio de 1997 la Tercera Sala Civil Especializada de la Corte Superior de Lima</w:t>
      </w:r>
      <w:r w:rsidR="005F0BEE" w:rsidRPr="00776947">
        <w:rPr>
          <w:rFonts w:ascii="Verdana" w:hAnsi="Verdana"/>
          <w:sz w:val="20"/>
          <w:szCs w:val="20"/>
        </w:rPr>
        <w:t xml:space="preserve">, </w:t>
      </w:r>
      <w:r w:rsidR="005F0BEE" w:rsidRPr="00333304">
        <w:rPr>
          <w:rFonts w:ascii="Verdana" w:hAnsi="Verdana"/>
          <w:sz w:val="20"/>
          <w:szCs w:val="20"/>
        </w:rPr>
        <w:t>conforme a lo dispuesto en el Artículo 298 de la Constitución de</w:t>
      </w:r>
      <w:r w:rsidR="005F0BEE" w:rsidRPr="00776947">
        <w:rPr>
          <w:rFonts w:ascii="Verdana" w:hAnsi="Verdana"/>
          <w:b/>
          <w:sz w:val="20"/>
          <w:szCs w:val="20"/>
        </w:rPr>
        <w:t xml:space="preserve"> </w:t>
      </w:r>
      <w:r w:rsidR="005F0BEE" w:rsidRPr="00333304">
        <w:rPr>
          <w:rFonts w:ascii="Verdana" w:hAnsi="Verdana"/>
          <w:sz w:val="20"/>
          <w:szCs w:val="20"/>
        </w:rPr>
        <w:t>1979</w:t>
      </w:r>
      <w:r w:rsidR="005F0BEE" w:rsidRPr="00333304">
        <w:rPr>
          <w:rStyle w:val="FootnoteReference"/>
          <w:szCs w:val="20"/>
        </w:rPr>
        <w:footnoteReference w:id="93"/>
      </w:r>
      <w:r w:rsidR="005F0BEE" w:rsidRPr="00333304">
        <w:rPr>
          <w:rFonts w:ascii="Verdana" w:hAnsi="Verdana"/>
          <w:sz w:val="20"/>
          <w:szCs w:val="20"/>
        </w:rPr>
        <w:t>, vigente a la fecha del recurso de amparo</w:t>
      </w:r>
      <w:r w:rsidR="005D72FB">
        <w:rPr>
          <w:rFonts w:ascii="Verdana" w:hAnsi="Verdana"/>
          <w:sz w:val="20"/>
          <w:szCs w:val="20"/>
        </w:rPr>
        <w:t>,</w:t>
      </w:r>
      <w:r w:rsidRPr="00776947">
        <w:rPr>
          <w:rFonts w:ascii="Verdana" w:hAnsi="Verdana"/>
          <w:sz w:val="20"/>
          <w:szCs w:val="20"/>
        </w:rPr>
        <w:t xml:space="preserve"> declaró la improcedencia de esta solicitud, por considerar que el señor Lagos del Campo d</w:t>
      </w:r>
      <w:r w:rsidRPr="0079676D">
        <w:rPr>
          <w:rFonts w:ascii="Verdana" w:hAnsi="Verdana"/>
          <w:sz w:val="20"/>
          <w:szCs w:val="20"/>
        </w:rPr>
        <w:t>ebió haber interpuesto el recurso de casación frente a la denegación del amparo dentro del término de 15 días a partir de la notificación de tal decisión y ante el órgano correspondiente, el Tribunal de Garantías Constitucionales</w:t>
      </w:r>
      <w:r w:rsidRPr="00275EDE">
        <w:rPr>
          <w:rFonts w:ascii="Verdana" w:hAnsi="Verdana"/>
          <w:sz w:val="20"/>
          <w:szCs w:val="20"/>
          <w:vertAlign w:val="superscript"/>
        </w:rPr>
        <w:footnoteReference w:id="94"/>
      </w:r>
      <w:r w:rsidRPr="00776947">
        <w:rPr>
          <w:rFonts w:ascii="Verdana" w:hAnsi="Verdana" w:cs="Arial"/>
          <w:sz w:val="20"/>
          <w:szCs w:val="20"/>
        </w:rPr>
        <w:t xml:space="preserve">. </w:t>
      </w:r>
    </w:p>
    <w:p w14:paraId="27548CAB" w14:textId="77777777" w:rsidR="007A6FDA" w:rsidRPr="00776947" w:rsidRDefault="007A6FDA" w:rsidP="00333304">
      <w:pPr>
        <w:pStyle w:val="ListParagraph"/>
        <w:ind w:left="0"/>
        <w:jc w:val="both"/>
        <w:rPr>
          <w:rFonts w:ascii="Verdana" w:hAnsi="Verdana"/>
          <w:b/>
          <w:sz w:val="20"/>
          <w:szCs w:val="20"/>
        </w:rPr>
      </w:pPr>
    </w:p>
    <w:p w14:paraId="7A18499C" w14:textId="560A772E" w:rsidR="007A6FDA" w:rsidRPr="000E40FD" w:rsidRDefault="007A6FDA" w:rsidP="00333304">
      <w:pPr>
        <w:pStyle w:val="ListParagraph"/>
        <w:numPr>
          <w:ilvl w:val="0"/>
          <w:numId w:val="1"/>
        </w:numPr>
        <w:ind w:left="0" w:hanging="11"/>
        <w:jc w:val="both"/>
        <w:rPr>
          <w:rFonts w:ascii="Verdana" w:hAnsi="Verdana"/>
          <w:b/>
          <w:sz w:val="20"/>
          <w:szCs w:val="20"/>
        </w:rPr>
      </w:pPr>
      <w:r w:rsidRPr="00776947">
        <w:rPr>
          <w:rFonts w:ascii="Verdana" w:hAnsi="Verdana"/>
          <w:sz w:val="20"/>
          <w:szCs w:val="20"/>
        </w:rPr>
        <w:t>El 18 de julio de 1997 el señor Lagos del Campo interpuso un recurso de apelación</w:t>
      </w:r>
      <w:r w:rsidRPr="00275EDE">
        <w:rPr>
          <w:rFonts w:ascii="Verdana" w:hAnsi="Verdana"/>
          <w:sz w:val="20"/>
          <w:szCs w:val="20"/>
          <w:vertAlign w:val="superscript"/>
        </w:rPr>
        <w:footnoteReference w:id="95"/>
      </w:r>
      <w:r w:rsidRPr="00776947">
        <w:rPr>
          <w:rFonts w:ascii="Verdana" w:hAnsi="Verdana"/>
          <w:sz w:val="20"/>
          <w:szCs w:val="20"/>
        </w:rPr>
        <w:t xml:space="preserve"> ante la Tercera Sala Civil Especializada de la Corte Superior, mediante el cual afirmó que el Tribunal de Garantías Constitucional se encontraba "recesado por el gobierno d</w:t>
      </w:r>
      <w:r w:rsidRPr="0079676D">
        <w:rPr>
          <w:rFonts w:ascii="Verdana" w:hAnsi="Verdana"/>
          <w:sz w:val="20"/>
          <w:szCs w:val="20"/>
        </w:rPr>
        <w:t>e pacificación y reconstrucción nacional"</w:t>
      </w:r>
      <w:r w:rsidR="00164911" w:rsidRPr="00776947">
        <w:rPr>
          <w:rFonts w:ascii="Verdana" w:hAnsi="Verdana"/>
          <w:sz w:val="20"/>
          <w:szCs w:val="20"/>
        </w:rPr>
        <w:t xml:space="preserve"> </w:t>
      </w:r>
      <w:r w:rsidRPr="00776947">
        <w:rPr>
          <w:rFonts w:ascii="Verdana" w:hAnsi="Verdana"/>
          <w:sz w:val="20"/>
          <w:szCs w:val="20"/>
        </w:rPr>
        <w:t>por cerca de cuatro años, por lo cual optó presentar recursos de revisión de sentencia ante la Sala Constitucional y Social de la Corte Suprema de Justicia que nunca fueron resueltos. El 25 de julio de 1997 la Tercera Sala Civil Especializada de la Corte Superior declaró el recurso de apelación improcedente</w:t>
      </w:r>
      <w:r w:rsidR="00D20A28" w:rsidRPr="00776947">
        <w:rPr>
          <w:rFonts w:ascii="Verdana" w:hAnsi="Verdana"/>
          <w:sz w:val="20"/>
          <w:szCs w:val="20"/>
        </w:rPr>
        <w:t>,</w:t>
      </w:r>
      <w:r w:rsidRPr="00776947">
        <w:rPr>
          <w:rFonts w:ascii="Verdana" w:hAnsi="Verdana"/>
          <w:sz w:val="20"/>
          <w:szCs w:val="20"/>
        </w:rPr>
        <w:t xml:space="preserve"> </w:t>
      </w:r>
      <w:r w:rsidR="001B481A" w:rsidRPr="00333304">
        <w:rPr>
          <w:rFonts w:ascii="Verdana" w:hAnsi="Verdana"/>
          <w:sz w:val="20"/>
          <w:szCs w:val="20"/>
        </w:rPr>
        <w:t>puesto</w:t>
      </w:r>
      <w:r w:rsidRPr="00776947">
        <w:rPr>
          <w:rFonts w:ascii="Verdana" w:hAnsi="Verdana"/>
          <w:sz w:val="20"/>
          <w:szCs w:val="20"/>
        </w:rPr>
        <w:t xml:space="preserve"> que la apelación contra el auto del 24 de junio de 1997 no estaba prevista en el ordenamiento jurídico del Perú</w:t>
      </w:r>
      <w:r w:rsidRPr="00275EDE">
        <w:rPr>
          <w:rFonts w:ascii="Verdana" w:hAnsi="Verdana"/>
          <w:sz w:val="20"/>
          <w:szCs w:val="20"/>
          <w:vertAlign w:val="superscript"/>
        </w:rPr>
        <w:footnoteReference w:id="96"/>
      </w:r>
      <w:r w:rsidR="000E40FD">
        <w:rPr>
          <w:rFonts w:ascii="Verdana" w:hAnsi="Verdana" w:cs="Arial"/>
          <w:sz w:val="20"/>
          <w:szCs w:val="20"/>
        </w:rPr>
        <w:t>.</w:t>
      </w:r>
    </w:p>
    <w:p w14:paraId="56844E91" w14:textId="77777777" w:rsidR="000E40FD" w:rsidRPr="00275EDE" w:rsidRDefault="000E40FD" w:rsidP="000E40FD">
      <w:pPr>
        <w:pStyle w:val="ListParagraph"/>
        <w:ind w:left="0"/>
        <w:jc w:val="both"/>
        <w:rPr>
          <w:rFonts w:ascii="Verdana" w:hAnsi="Verdana"/>
          <w:b/>
          <w:sz w:val="20"/>
          <w:szCs w:val="20"/>
        </w:rPr>
      </w:pPr>
    </w:p>
    <w:p w14:paraId="458AA4C0" w14:textId="59D91AE2" w:rsidR="00275EDE" w:rsidRPr="00627E5D" w:rsidRDefault="007A6FDA" w:rsidP="00E66DD7">
      <w:pPr>
        <w:pStyle w:val="ListParagraph"/>
        <w:numPr>
          <w:ilvl w:val="0"/>
          <w:numId w:val="1"/>
        </w:numPr>
        <w:ind w:left="0" w:hanging="11"/>
        <w:jc w:val="both"/>
        <w:rPr>
          <w:rFonts w:ascii="Verdana" w:hAnsi="Verdana"/>
          <w:b/>
          <w:sz w:val="20"/>
          <w:szCs w:val="20"/>
        </w:rPr>
      </w:pPr>
      <w:r w:rsidRPr="005D5A9D">
        <w:rPr>
          <w:rFonts w:ascii="Verdana" w:eastAsia="Batang" w:hAnsi="Verdana"/>
          <w:sz w:val="20"/>
          <w:szCs w:val="20"/>
          <w:lang w:val="es-EC" w:eastAsia="es-ES"/>
        </w:rPr>
        <w:t>El 19 de agosto de 1997 el señor Lago del Campo interpuso un recurso de queja</w:t>
      </w:r>
      <w:r w:rsidRPr="00275EDE">
        <w:rPr>
          <w:vertAlign w:val="superscript"/>
        </w:rPr>
        <w:footnoteReference w:id="97"/>
      </w:r>
      <w:r w:rsidRPr="005D5A9D">
        <w:rPr>
          <w:rFonts w:ascii="Verdana" w:eastAsia="Batang" w:hAnsi="Verdana"/>
          <w:sz w:val="20"/>
          <w:szCs w:val="20"/>
          <w:lang w:val="es-EC" w:eastAsia="es-ES"/>
        </w:rPr>
        <w:t xml:space="preserve"> ante la Tercera Sala Civil Especializada de la Corte Superior, para que fuera visto en última instancia por el Tribunal Constitucional su acción de amparo. El 2 de octubre de 1997 el señor Lagos del Campo elevó </w:t>
      </w:r>
      <w:r w:rsidRPr="00333304">
        <w:rPr>
          <w:rFonts w:ascii="Verdana" w:hAnsi="Verdana"/>
          <w:sz w:val="20"/>
          <w:szCs w:val="20"/>
          <w:lang w:val="es-EC"/>
        </w:rPr>
        <w:t>el</w:t>
      </w:r>
      <w:r w:rsidRPr="00333304">
        <w:rPr>
          <w:sz w:val="20"/>
          <w:szCs w:val="20"/>
          <w:lang w:val="es-EC"/>
        </w:rPr>
        <w:t xml:space="preserve"> </w:t>
      </w:r>
      <w:r w:rsidRPr="005D5A9D">
        <w:rPr>
          <w:rFonts w:ascii="Verdana" w:eastAsia="Batang" w:hAnsi="Verdana"/>
          <w:sz w:val="20"/>
          <w:szCs w:val="20"/>
          <w:lang w:val="es-EC" w:eastAsia="es-ES"/>
        </w:rPr>
        <w:t>recurso de queja al señor presidente del Tribunal Constitucional</w:t>
      </w:r>
      <w:r w:rsidR="00D20A28">
        <w:rPr>
          <w:lang w:val="es-EC"/>
        </w:rPr>
        <w:t>.</w:t>
      </w:r>
      <w:r w:rsidRPr="00333304">
        <w:rPr>
          <w:sz w:val="20"/>
          <w:szCs w:val="20"/>
          <w:lang w:val="es-EC"/>
        </w:rPr>
        <w:t xml:space="preserve"> </w:t>
      </w:r>
      <w:r w:rsidR="00D20A28" w:rsidRPr="00333304">
        <w:rPr>
          <w:rFonts w:ascii="Verdana" w:hAnsi="Verdana"/>
          <w:sz w:val="20"/>
          <w:szCs w:val="20"/>
          <w:lang w:val="es-EC"/>
        </w:rPr>
        <w:t>E</w:t>
      </w:r>
      <w:r w:rsidRPr="00333304">
        <w:rPr>
          <w:rFonts w:ascii="Verdana" w:hAnsi="Verdana"/>
          <w:sz w:val="20"/>
          <w:szCs w:val="20"/>
          <w:lang w:val="es-EC"/>
        </w:rPr>
        <w:t>l</w:t>
      </w:r>
      <w:r>
        <w:rPr>
          <w:lang w:val="es-EC"/>
        </w:rPr>
        <w:t xml:space="preserve"> </w:t>
      </w:r>
      <w:r w:rsidRPr="005D5A9D">
        <w:rPr>
          <w:rFonts w:ascii="Verdana" w:eastAsia="Batang" w:hAnsi="Verdana"/>
          <w:sz w:val="20"/>
          <w:szCs w:val="20"/>
          <w:lang w:val="es-EC" w:eastAsia="es-ES"/>
        </w:rPr>
        <w:t xml:space="preserve">27 de noviembre de 1997 la Sala de Derecho Constitucional y Social de la Corte Suprema de Justicia resolvió la queja 447-97, declarándola infundada, toda vez que la legislación no </w:t>
      </w:r>
      <w:r w:rsidR="0046282D" w:rsidRPr="005D5A9D">
        <w:rPr>
          <w:rFonts w:ascii="Verdana" w:eastAsia="Batang" w:hAnsi="Verdana"/>
          <w:sz w:val="20"/>
          <w:szCs w:val="20"/>
          <w:lang w:val="es-EC" w:eastAsia="es-ES"/>
        </w:rPr>
        <w:t>pre</w:t>
      </w:r>
      <w:r w:rsidR="0046282D">
        <w:rPr>
          <w:rFonts w:ascii="Verdana" w:eastAsia="Batang" w:hAnsi="Verdana"/>
          <w:sz w:val="20"/>
          <w:szCs w:val="20"/>
          <w:lang w:val="es-EC" w:eastAsia="es-ES"/>
        </w:rPr>
        <w:t>veía</w:t>
      </w:r>
      <w:r w:rsidRPr="005D5A9D">
        <w:rPr>
          <w:rFonts w:ascii="Verdana" w:eastAsia="Batang" w:hAnsi="Verdana"/>
          <w:sz w:val="20"/>
          <w:szCs w:val="20"/>
          <w:lang w:val="es-EC" w:eastAsia="es-ES"/>
        </w:rPr>
        <w:t xml:space="preserve"> el recurso de apelación, sino la nulidad contra las sentencias emitidas por la Corte Superior en </w:t>
      </w:r>
      <w:r w:rsidRPr="005D5A9D">
        <w:rPr>
          <w:rFonts w:ascii="Verdana" w:eastAsia="Batang" w:hAnsi="Verdana"/>
          <w:sz w:val="20"/>
          <w:szCs w:val="20"/>
          <w:lang w:val="es-EC" w:eastAsia="es-ES"/>
        </w:rPr>
        <w:lastRenderedPageBreak/>
        <w:t>Segunda Instancia</w:t>
      </w:r>
      <w:r w:rsidRPr="00275EDE">
        <w:rPr>
          <w:vertAlign w:val="superscript"/>
        </w:rPr>
        <w:footnoteReference w:id="98"/>
      </w:r>
      <w:r w:rsidRPr="005D5A9D">
        <w:rPr>
          <w:rFonts w:ascii="Verdana" w:eastAsia="Batang" w:hAnsi="Verdana"/>
          <w:sz w:val="20"/>
          <w:szCs w:val="20"/>
          <w:lang w:val="es-EC" w:eastAsia="es-ES"/>
        </w:rPr>
        <w:t xml:space="preserve">. </w:t>
      </w:r>
      <w:r w:rsidRPr="00627E5D">
        <w:rPr>
          <w:rFonts w:ascii="Verdana" w:hAnsi="Verdana"/>
          <w:sz w:val="20"/>
          <w:szCs w:val="20"/>
          <w:lang w:val="es-CR"/>
        </w:rPr>
        <w:t>Ante tal resolución, el señor Lagos del Campo solicitó recurso de Corrección y Aclaración al señor presidente del Tribunal Constitucional el 25 de febrero de 1998</w:t>
      </w:r>
      <w:r w:rsidR="00D20A28">
        <w:rPr>
          <w:rFonts w:ascii="Verdana" w:hAnsi="Verdana"/>
          <w:sz w:val="20"/>
          <w:szCs w:val="20"/>
          <w:lang w:val="es-CR"/>
        </w:rPr>
        <w:t>,</w:t>
      </w:r>
      <w:r w:rsidRPr="00627E5D">
        <w:rPr>
          <w:rFonts w:ascii="Verdana" w:hAnsi="Verdana"/>
          <w:sz w:val="20"/>
          <w:szCs w:val="20"/>
          <w:lang w:val="es-CR"/>
        </w:rPr>
        <w:t xml:space="preserve"> </w:t>
      </w:r>
      <w:r w:rsidRPr="00627E5D">
        <w:rPr>
          <w:rFonts w:ascii="Verdana" w:eastAsia="Batang" w:hAnsi="Verdana"/>
          <w:sz w:val="20"/>
          <w:szCs w:val="20"/>
          <w:lang w:val="es-CR" w:eastAsia="es-ES"/>
        </w:rPr>
        <w:t>que no tuvo respuesta alguna</w:t>
      </w:r>
      <w:r w:rsidRPr="00627E5D">
        <w:rPr>
          <w:rFonts w:ascii="Verdana" w:hAnsi="Verdana"/>
          <w:sz w:val="20"/>
          <w:szCs w:val="20"/>
          <w:vertAlign w:val="superscript"/>
        </w:rPr>
        <w:footnoteReference w:id="99"/>
      </w:r>
      <w:r w:rsidRPr="00627E5D">
        <w:rPr>
          <w:rFonts w:ascii="Verdana" w:hAnsi="Verdana" w:cs="Arial"/>
          <w:sz w:val="20"/>
          <w:szCs w:val="20"/>
          <w:lang w:val="es-CR"/>
        </w:rPr>
        <w:t xml:space="preserve">. </w:t>
      </w:r>
    </w:p>
    <w:p w14:paraId="72DF32B0" w14:textId="77777777" w:rsidR="00275EDE" w:rsidRPr="00275EDE" w:rsidRDefault="00275EDE" w:rsidP="00275EDE">
      <w:pPr>
        <w:jc w:val="both"/>
        <w:rPr>
          <w:rFonts w:ascii="Verdana" w:hAnsi="Verdana"/>
          <w:b/>
          <w:sz w:val="20"/>
          <w:szCs w:val="20"/>
        </w:rPr>
      </w:pPr>
    </w:p>
    <w:p w14:paraId="77A87B13" w14:textId="77777777" w:rsidR="00275EDE" w:rsidRPr="00275EDE" w:rsidRDefault="00275EDE" w:rsidP="00E66DD7">
      <w:pPr>
        <w:pStyle w:val="Heading2"/>
        <w:numPr>
          <w:ilvl w:val="0"/>
          <w:numId w:val="12"/>
        </w:numPr>
        <w:rPr>
          <w:rFonts w:eastAsia="MS Gothic"/>
          <w:i/>
          <w:iCs/>
          <w:szCs w:val="20"/>
        </w:rPr>
      </w:pPr>
      <w:bookmarkStart w:id="26" w:name="_Toc472528595"/>
      <w:bookmarkStart w:id="27" w:name="_Toc498333490"/>
      <w:r w:rsidRPr="00275EDE">
        <w:rPr>
          <w:rFonts w:eastAsia="MS Gothic"/>
          <w:i/>
          <w:iCs/>
          <w:szCs w:val="20"/>
        </w:rPr>
        <w:t>La situación de Lagos del Campo después de su despido</w:t>
      </w:r>
      <w:bookmarkEnd w:id="26"/>
      <w:bookmarkEnd w:id="27"/>
    </w:p>
    <w:p w14:paraId="158692BF" w14:textId="77777777" w:rsidR="00275EDE" w:rsidRPr="00275EDE" w:rsidRDefault="00275EDE" w:rsidP="00275EDE">
      <w:pPr>
        <w:jc w:val="both"/>
        <w:rPr>
          <w:rFonts w:ascii="Verdana" w:hAnsi="Verdana"/>
          <w:sz w:val="20"/>
          <w:szCs w:val="20"/>
        </w:rPr>
      </w:pPr>
    </w:p>
    <w:p w14:paraId="6438FB5C" w14:textId="3B1CDD16" w:rsidR="007A6FDA" w:rsidRPr="00275EDE" w:rsidRDefault="007A6FDA" w:rsidP="00E66DD7">
      <w:pPr>
        <w:pStyle w:val="ListParagraph"/>
        <w:numPr>
          <w:ilvl w:val="0"/>
          <w:numId w:val="1"/>
        </w:numPr>
        <w:ind w:left="11" w:hanging="11"/>
        <w:jc w:val="both"/>
        <w:rPr>
          <w:rFonts w:ascii="Verdana" w:hAnsi="Verdana"/>
          <w:b/>
          <w:sz w:val="20"/>
          <w:szCs w:val="20"/>
        </w:rPr>
      </w:pPr>
      <w:r w:rsidRPr="00275EDE">
        <w:rPr>
          <w:rFonts w:ascii="Verdana" w:hAnsi="Verdana"/>
          <w:color w:val="000000"/>
          <w:sz w:val="20"/>
          <w:szCs w:val="20"/>
        </w:rPr>
        <w:t>Al momento de su despido en el año 1989, Lagos del Campo tenía 50 años de edad y 14 hijos, de los cuales 6 estaban en edad escolar</w:t>
      </w:r>
      <w:r w:rsidRPr="00275EDE">
        <w:rPr>
          <w:rFonts w:ascii="Verdana" w:hAnsi="Verdana" w:cs="Arial"/>
          <w:color w:val="000000"/>
          <w:sz w:val="20"/>
          <w:szCs w:val="20"/>
        </w:rPr>
        <w:t xml:space="preserve">. </w:t>
      </w:r>
      <w:r w:rsidRPr="00275EDE">
        <w:rPr>
          <w:rFonts w:ascii="Verdana" w:hAnsi="Verdana"/>
          <w:color w:val="000000"/>
          <w:sz w:val="20"/>
          <w:szCs w:val="20"/>
        </w:rPr>
        <w:t xml:space="preserve">Según la información aportada por los </w:t>
      </w:r>
      <w:r>
        <w:rPr>
          <w:rFonts w:ascii="Verdana" w:hAnsi="Verdana"/>
          <w:color w:val="000000"/>
          <w:sz w:val="20"/>
          <w:szCs w:val="20"/>
        </w:rPr>
        <w:t>representantes</w:t>
      </w:r>
      <w:r w:rsidRPr="00275EDE">
        <w:rPr>
          <w:rFonts w:ascii="Verdana" w:hAnsi="Verdana"/>
          <w:sz w:val="20"/>
          <w:szCs w:val="20"/>
        </w:rPr>
        <w:t xml:space="preserve"> y que no fue controvertida por el Estado, con posterioridad al despido el señor Lagos del Campo se vio imposibilitado para acceder a todos los beneficios de seguridad social que dependían de su empleo. El señor Lagos resaltó por medio de su testimonio prestado en audiencia que le faltaban </w:t>
      </w:r>
      <w:r w:rsidRPr="00275EDE">
        <w:rPr>
          <w:rFonts w:ascii="Verdana" w:eastAsia="Times New Roman" w:hAnsi="Verdana"/>
          <w:sz w:val="20"/>
          <w:szCs w:val="20"/>
          <w:lang w:val="es-MX"/>
        </w:rPr>
        <w:t>“</w:t>
      </w:r>
      <w:r w:rsidRPr="00275EDE">
        <w:rPr>
          <w:rFonts w:ascii="Verdana" w:hAnsi="Verdana"/>
          <w:sz w:val="20"/>
          <w:szCs w:val="20"/>
        </w:rPr>
        <w:t>cinco años según las leyes para proceder acceder a una jubilación digna para poder sobrevivir</w:t>
      </w:r>
      <w:r w:rsidRPr="00275EDE">
        <w:rPr>
          <w:rFonts w:ascii="Verdana" w:hAnsi="Verdana"/>
          <w:sz w:val="20"/>
          <w:szCs w:val="20"/>
          <w:lang w:val="es-MX"/>
        </w:rPr>
        <w:t>”</w:t>
      </w:r>
      <w:r w:rsidRPr="00275EDE">
        <w:rPr>
          <w:rFonts w:ascii="Verdana" w:hAnsi="Verdana"/>
          <w:sz w:val="20"/>
          <w:szCs w:val="20"/>
          <w:vertAlign w:val="superscript"/>
          <w:lang w:val="es-MX"/>
        </w:rPr>
        <w:footnoteReference w:id="100"/>
      </w:r>
      <w:r w:rsidRPr="00275EDE">
        <w:rPr>
          <w:rFonts w:ascii="Verdana" w:hAnsi="Verdana"/>
          <w:sz w:val="20"/>
          <w:szCs w:val="20"/>
          <w:lang w:val="es-MX"/>
        </w:rPr>
        <w:t xml:space="preserve"> después de haber trabajado en la empresa por </w:t>
      </w:r>
      <w:r w:rsidRPr="00633DC9">
        <w:rPr>
          <w:rFonts w:ascii="Verdana" w:hAnsi="Verdana"/>
          <w:sz w:val="20"/>
          <w:szCs w:val="20"/>
          <w:lang w:val="es-MX"/>
        </w:rPr>
        <w:t xml:space="preserve">más </w:t>
      </w:r>
      <w:r w:rsidRPr="00EB5530">
        <w:rPr>
          <w:rFonts w:ascii="Verdana" w:hAnsi="Verdana"/>
          <w:sz w:val="20"/>
          <w:szCs w:val="20"/>
          <w:lang w:val="es-MX"/>
        </w:rPr>
        <w:t>de 13 años</w:t>
      </w:r>
      <w:r w:rsidRPr="00633DC9">
        <w:rPr>
          <w:rFonts w:ascii="Verdana" w:hAnsi="Verdana"/>
          <w:sz w:val="20"/>
          <w:szCs w:val="20"/>
        </w:rPr>
        <w:t>.</w:t>
      </w:r>
      <w:r w:rsidRPr="00275EDE">
        <w:rPr>
          <w:rFonts w:ascii="Verdana" w:hAnsi="Verdana" w:cs="Arial"/>
          <w:b/>
          <w:sz w:val="20"/>
          <w:szCs w:val="20"/>
        </w:rPr>
        <w:t xml:space="preserve"> </w:t>
      </w:r>
      <w:r w:rsidRPr="00275EDE">
        <w:rPr>
          <w:rFonts w:ascii="Verdana" w:hAnsi="Verdana"/>
          <w:sz w:val="20"/>
          <w:szCs w:val="20"/>
        </w:rPr>
        <w:t>Las dificultades económicas de la época, su edad y las circunstancias de su despido, le impidieron obtener un empleo estable como electricista y recibir ingresos adecuados para la manutención de su familia</w:t>
      </w:r>
      <w:r w:rsidR="003F5593">
        <w:rPr>
          <w:rFonts w:ascii="Verdana" w:hAnsi="Verdana"/>
          <w:sz w:val="20"/>
          <w:szCs w:val="20"/>
        </w:rPr>
        <w:t>.</w:t>
      </w:r>
    </w:p>
    <w:p w14:paraId="790FEE35" w14:textId="77777777" w:rsidR="007A6FDA" w:rsidRPr="00275EDE" w:rsidRDefault="007A6FDA" w:rsidP="007A6FDA">
      <w:pPr>
        <w:jc w:val="both"/>
        <w:rPr>
          <w:rFonts w:ascii="Verdana" w:hAnsi="Verdana"/>
          <w:b/>
          <w:sz w:val="20"/>
          <w:szCs w:val="20"/>
        </w:rPr>
      </w:pPr>
    </w:p>
    <w:p w14:paraId="733255C5" w14:textId="5D5A6204" w:rsidR="007A6FDA" w:rsidRPr="00327227" w:rsidRDefault="007A6FDA" w:rsidP="00E66DD7">
      <w:pPr>
        <w:pStyle w:val="ListParagraph"/>
        <w:numPr>
          <w:ilvl w:val="0"/>
          <w:numId w:val="1"/>
        </w:numPr>
        <w:ind w:left="0" w:hanging="11"/>
        <w:jc w:val="both"/>
        <w:rPr>
          <w:rFonts w:ascii="Verdana" w:hAnsi="Verdana"/>
          <w:b/>
          <w:sz w:val="20"/>
          <w:szCs w:val="20"/>
        </w:rPr>
      </w:pPr>
      <w:r w:rsidRPr="00275EDE">
        <w:rPr>
          <w:rFonts w:ascii="Verdana" w:hAnsi="Verdana"/>
          <w:color w:val="000000"/>
          <w:sz w:val="20"/>
          <w:szCs w:val="20"/>
        </w:rPr>
        <w:t>Tales</w:t>
      </w:r>
      <w:r w:rsidRPr="00275EDE">
        <w:rPr>
          <w:rFonts w:ascii="Verdana" w:hAnsi="Verdana"/>
          <w:sz w:val="20"/>
          <w:szCs w:val="20"/>
        </w:rPr>
        <w:t xml:space="preserve"> aspectos también fueron resaltados por </w:t>
      </w:r>
      <w:r w:rsidRPr="00275EDE">
        <w:rPr>
          <w:rFonts w:ascii="Verdana" w:hAnsi="Verdana" w:cs="Arial"/>
          <w:sz w:val="20"/>
          <w:szCs w:val="20"/>
        </w:rPr>
        <w:t xml:space="preserve">el señor Lagos del Campo, quien manifestó en la audiencia que su despido tuvo </w:t>
      </w:r>
      <w:r w:rsidRPr="00275EDE">
        <w:rPr>
          <w:rFonts w:ascii="Verdana" w:eastAsia="Times New Roman" w:hAnsi="Verdana"/>
          <w:sz w:val="20"/>
          <w:szCs w:val="20"/>
          <w:lang w:val="es-MX"/>
        </w:rPr>
        <w:t>“</w:t>
      </w:r>
      <w:r w:rsidRPr="00275EDE">
        <w:rPr>
          <w:rFonts w:ascii="Verdana" w:hAnsi="Verdana"/>
          <w:sz w:val="20"/>
          <w:szCs w:val="20"/>
          <w:lang w:val="es-MX"/>
        </w:rPr>
        <w:t xml:space="preserve">una consecuencia de frustración hacia </w:t>
      </w:r>
      <w:r w:rsidRPr="00275EDE">
        <w:rPr>
          <w:rFonts w:ascii="Verdana" w:hAnsi="Verdana"/>
          <w:iCs/>
          <w:color w:val="000000"/>
          <w:sz w:val="20"/>
          <w:szCs w:val="20"/>
          <w:lang w:val="es-MX"/>
        </w:rPr>
        <w:t xml:space="preserve">[sus] </w:t>
      </w:r>
      <w:r w:rsidRPr="00275EDE">
        <w:rPr>
          <w:rFonts w:ascii="Verdana" w:hAnsi="Verdana"/>
          <w:sz w:val="20"/>
          <w:szCs w:val="20"/>
          <w:lang w:val="es-MX"/>
        </w:rPr>
        <w:t xml:space="preserve">derechos, tantos laborales como humanos” y agrego que, tras su despido se encontró sin alguna opción laboral, </w:t>
      </w:r>
      <w:r w:rsidRPr="00275EDE">
        <w:rPr>
          <w:rFonts w:ascii="Verdana" w:eastAsia="Times New Roman" w:hAnsi="Verdana"/>
          <w:sz w:val="20"/>
          <w:szCs w:val="20"/>
          <w:lang w:val="es-MX"/>
        </w:rPr>
        <w:t>“</w:t>
      </w:r>
      <w:r w:rsidRPr="00275EDE">
        <w:rPr>
          <w:rFonts w:ascii="Verdana" w:hAnsi="Verdana"/>
          <w:sz w:val="20"/>
          <w:szCs w:val="20"/>
          <w:lang w:val="es-MX"/>
        </w:rPr>
        <w:t xml:space="preserve">ya </w:t>
      </w:r>
      <w:r w:rsidRPr="00275EDE">
        <w:rPr>
          <w:rFonts w:ascii="Verdana" w:hAnsi="Verdana"/>
          <w:iCs/>
          <w:color w:val="000000"/>
          <w:sz w:val="20"/>
          <w:szCs w:val="20"/>
          <w:lang w:val="es-MX"/>
        </w:rPr>
        <w:t xml:space="preserve">[que] </w:t>
      </w:r>
      <w:r w:rsidRPr="00275EDE">
        <w:rPr>
          <w:rFonts w:ascii="Verdana" w:hAnsi="Verdana"/>
          <w:sz w:val="20"/>
          <w:szCs w:val="20"/>
          <w:lang w:val="es-MX"/>
        </w:rPr>
        <w:t xml:space="preserve">no había opción para trabajadores de más de 50 años </w:t>
      </w:r>
      <w:r w:rsidRPr="00275EDE">
        <w:rPr>
          <w:rFonts w:ascii="Verdana" w:hAnsi="Verdana"/>
          <w:iCs/>
          <w:color w:val="000000"/>
          <w:sz w:val="20"/>
          <w:szCs w:val="20"/>
          <w:lang w:val="es-MX"/>
        </w:rPr>
        <w:t>[…] [p]</w:t>
      </w:r>
      <w:proofErr w:type="spellStart"/>
      <w:r w:rsidRPr="00275EDE">
        <w:rPr>
          <w:rFonts w:ascii="Verdana" w:hAnsi="Verdana"/>
          <w:sz w:val="20"/>
          <w:szCs w:val="20"/>
          <w:lang w:val="es-MX"/>
        </w:rPr>
        <w:t>or</w:t>
      </w:r>
      <w:proofErr w:type="spellEnd"/>
      <w:r w:rsidRPr="00275EDE">
        <w:rPr>
          <w:rFonts w:ascii="Verdana" w:hAnsi="Verdana"/>
          <w:sz w:val="20"/>
          <w:szCs w:val="20"/>
          <w:lang w:val="es-MX"/>
        </w:rPr>
        <w:t xml:space="preserve"> lo cual trabajos estables y rentables para mantener un hogar y una familia no existían”.</w:t>
      </w:r>
      <w:r w:rsidRPr="00275EDE">
        <w:rPr>
          <w:rFonts w:ascii="Verdana" w:hAnsi="Verdana"/>
          <w:b/>
          <w:sz w:val="20"/>
          <w:szCs w:val="20"/>
        </w:rPr>
        <w:t xml:space="preserve"> </w:t>
      </w:r>
      <w:r w:rsidRPr="00275EDE">
        <w:rPr>
          <w:rFonts w:ascii="Verdana" w:hAnsi="Verdana"/>
          <w:sz w:val="20"/>
          <w:szCs w:val="20"/>
        </w:rPr>
        <w:t>Actualmente vive, con un precario estado</w:t>
      </w:r>
      <w:r w:rsidR="008C770D">
        <w:rPr>
          <w:rFonts w:ascii="Verdana" w:hAnsi="Verdana"/>
          <w:sz w:val="20"/>
          <w:szCs w:val="20"/>
        </w:rPr>
        <w:t xml:space="preserve"> económico</w:t>
      </w:r>
      <w:r w:rsidR="008C770D" w:rsidRPr="00275EDE">
        <w:rPr>
          <w:rFonts w:ascii="Verdana" w:hAnsi="Verdana"/>
          <w:sz w:val="20"/>
          <w:szCs w:val="20"/>
          <w:vertAlign w:val="superscript"/>
        </w:rPr>
        <w:footnoteReference w:id="101"/>
      </w:r>
      <w:r w:rsidR="008C770D">
        <w:rPr>
          <w:rFonts w:ascii="Verdana" w:hAnsi="Verdana"/>
          <w:sz w:val="20"/>
          <w:szCs w:val="20"/>
        </w:rPr>
        <w:t xml:space="preserve"> y</w:t>
      </w:r>
      <w:r w:rsidRPr="00275EDE">
        <w:rPr>
          <w:rFonts w:ascii="Verdana" w:hAnsi="Verdana"/>
          <w:sz w:val="20"/>
          <w:szCs w:val="20"/>
        </w:rPr>
        <w:t xml:space="preserve"> de salud</w:t>
      </w:r>
      <w:r w:rsidRPr="00275EDE">
        <w:rPr>
          <w:rFonts w:ascii="Verdana" w:hAnsi="Verdana"/>
          <w:sz w:val="20"/>
          <w:szCs w:val="20"/>
          <w:vertAlign w:val="superscript"/>
        </w:rPr>
        <w:footnoteReference w:id="102"/>
      </w:r>
      <w:r w:rsidRPr="00275EDE">
        <w:rPr>
          <w:rFonts w:ascii="Verdana" w:hAnsi="Verdana" w:cs="Arial"/>
          <w:sz w:val="20"/>
          <w:szCs w:val="20"/>
        </w:rPr>
        <w:t xml:space="preserve">. </w:t>
      </w:r>
    </w:p>
    <w:p w14:paraId="1D501058" w14:textId="77777777" w:rsidR="00275EDE" w:rsidRPr="00275EDE" w:rsidRDefault="00275EDE" w:rsidP="0089179B">
      <w:pPr>
        <w:pStyle w:val="ListParagraph"/>
        <w:ind w:left="0"/>
        <w:jc w:val="both"/>
        <w:rPr>
          <w:lang w:val="es-MX"/>
        </w:rPr>
      </w:pPr>
    </w:p>
    <w:p w14:paraId="1B3EE87E" w14:textId="22F3E142" w:rsidR="00D33760" w:rsidRPr="00D33760" w:rsidRDefault="00374FC9" w:rsidP="00D33760">
      <w:pPr>
        <w:pStyle w:val="Heading1"/>
        <w:tabs>
          <w:tab w:val="left" w:pos="851"/>
        </w:tabs>
        <w:spacing w:before="0"/>
        <w:jc w:val="center"/>
        <w:rPr>
          <w:rFonts w:cs="Verdana"/>
          <w:caps/>
          <w:snapToGrid w:val="0"/>
          <w:szCs w:val="20"/>
        </w:rPr>
      </w:pPr>
      <w:bookmarkStart w:id="28" w:name="_Toc498333491"/>
      <w:r w:rsidRPr="00333304">
        <w:rPr>
          <w:rFonts w:cs="Verdana"/>
          <w:caps/>
          <w:snapToGrid w:val="0"/>
          <w:szCs w:val="20"/>
        </w:rPr>
        <w:t>Vi</w:t>
      </w:r>
      <w:r w:rsidR="00D33760" w:rsidRPr="00333304">
        <w:rPr>
          <w:rFonts w:cs="Verdana"/>
          <w:caps/>
          <w:snapToGrid w:val="0"/>
          <w:szCs w:val="20"/>
        </w:rPr>
        <w:t>I</w:t>
      </w:r>
      <w:r w:rsidR="00D33760" w:rsidRPr="00333304">
        <w:rPr>
          <w:rFonts w:cs="Verdana"/>
          <w:caps/>
          <w:snapToGrid w:val="0"/>
          <w:szCs w:val="20"/>
        </w:rPr>
        <w:br/>
        <w:t>Fondo</w:t>
      </w:r>
      <w:bookmarkEnd w:id="28"/>
    </w:p>
    <w:p w14:paraId="5769FAD8" w14:textId="77777777" w:rsidR="00D33760" w:rsidRPr="0089179B" w:rsidRDefault="00D33760" w:rsidP="00D33760">
      <w:pPr>
        <w:rPr>
          <w:rFonts w:ascii="Verdana" w:hAnsi="Verdana"/>
          <w:sz w:val="20"/>
          <w:szCs w:val="20"/>
        </w:rPr>
      </w:pPr>
    </w:p>
    <w:p w14:paraId="38FF1881" w14:textId="722C2C0A" w:rsidR="00E62F6C" w:rsidRDefault="00E62F6C" w:rsidP="00E66DD7">
      <w:pPr>
        <w:pStyle w:val="ListParagraph"/>
        <w:numPr>
          <w:ilvl w:val="0"/>
          <w:numId w:val="1"/>
        </w:numPr>
        <w:ind w:left="0" w:firstLine="0"/>
        <w:jc w:val="both"/>
        <w:rPr>
          <w:rFonts w:ascii="Verdana" w:hAnsi="Verdana"/>
          <w:sz w:val="20"/>
          <w:szCs w:val="20"/>
        </w:rPr>
      </w:pPr>
      <w:r w:rsidRPr="00DC2F11">
        <w:rPr>
          <w:rFonts w:ascii="Verdana" w:hAnsi="Verdana"/>
          <w:sz w:val="20"/>
          <w:szCs w:val="20"/>
        </w:rPr>
        <w:t xml:space="preserve">El presente caso se relaciona con </w:t>
      </w:r>
      <w:r>
        <w:rPr>
          <w:rFonts w:ascii="Verdana" w:hAnsi="Verdana"/>
          <w:sz w:val="20"/>
          <w:szCs w:val="20"/>
        </w:rPr>
        <w:t xml:space="preserve">el despido del señor Alfredo Lagos del Campo el 26 de junio de 1989 como consecuencia de declaraciones realizadas durante una entrevista </w:t>
      </w:r>
      <w:r w:rsidR="00EB5F60">
        <w:rPr>
          <w:rFonts w:ascii="Verdana" w:hAnsi="Verdana"/>
          <w:sz w:val="20"/>
          <w:szCs w:val="20"/>
        </w:rPr>
        <w:t xml:space="preserve">para </w:t>
      </w:r>
      <w:r>
        <w:rPr>
          <w:rFonts w:ascii="Verdana" w:hAnsi="Verdana"/>
          <w:sz w:val="20"/>
          <w:szCs w:val="20"/>
        </w:rPr>
        <w:t xml:space="preserve">la revista “La Razón”. </w:t>
      </w:r>
      <w:r w:rsidR="00EB5F60">
        <w:rPr>
          <w:rFonts w:ascii="Verdana" w:hAnsi="Verdana"/>
          <w:sz w:val="20"/>
          <w:szCs w:val="20"/>
        </w:rPr>
        <w:t>Dicha</w:t>
      </w:r>
      <w:r>
        <w:rPr>
          <w:rFonts w:ascii="Verdana" w:hAnsi="Verdana"/>
          <w:sz w:val="20"/>
          <w:szCs w:val="20"/>
        </w:rPr>
        <w:t xml:space="preserve"> entrevista fue realizada </w:t>
      </w:r>
      <w:r w:rsidR="00D37AAF">
        <w:rPr>
          <w:rFonts w:ascii="Verdana" w:hAnsi="Verdana"/>
          <w:sz w:val="20"/>
          <w:szCs w:val="20"/>
        </w:rPr>
        <w:t>cuando era</w:t>
      </w:r>
      <w:r>
        <w:rPr>
          <w:rFonts w:ascii="Verdana" w:hAnsi="Verdana"/>
          <w:sz w:val="20"/>
          <w:szCs w:val="20"/>
        </w:rPr>
        <w:t xml:space="preserve"> Presidente del Comité Electoral de la Comunidad Industrial de la empresa </w:t>
      </w:r>
      <w:proofErr w:type="spellStart"/>
      <w:r>
        <w:rPr>
          <w:rFonts w:ascii="Verdana" w:hAnsi="Verdana"/>
          <w:sz w:val="20"/>
          <w:szCs w:val="20"/>
        </w:rPr>
        <w:t>Ceper-Pirelli</w:t>
      </w:r>
      <w:proofErr w:type="spellEnd"/>
      <w:r>
        <w:rPr>
          <w:rFonts w:ascii="Verdana" w:hAnsi="Verdana"/>
          <w:sz w:val="20"/>
          <w:szCs w:val="20"/>
        </w:rPr>
        <w:t>, y en ella denunció</w:t>
      </w:r>
      <w:r w:rsidR="00004729">
        <w:rPr>
          <w:rFonts w:ascii="Verdana" w:hAnsi="Verdana"/>
          <w:sz w:val="20"/>
          <w:szCs w:val="20"/>
        </w:rPr>
        <w:t>,</w:t>
      </w:r>
      <w:r>
        <w:rPr>
          <w:rFonts w:ascii="Verdana" w:hAnsi="Verdana"/>
          <w:sz w:val="20"/>
          <w:szCs w:val="20"/>
        </w:rPr>
        <w:t xml:space="preserve"> </w:t>
      </w:r>
      <w:r w:rsidR="00004729" w:rsidRPr="00410A3C">
        <w:rPr>
          <w:rFonts w:ascii="Verdana" w:hAnsi="Verdana"/>
          <w:i/>
          <w:sz w:val="20"/>
          <w:szCs w:val="20"/>
        </w:rPr>
        <w:t xml:space="preserve">inter </w:t>
      </w:r>
      <w:proofErr w:type="spellStart"/>
      <w:r w:rsidR="00004729" w:rsidRPr="00410A3C">
        <w:rPr>
          <w:rFonts w:ascii="Verdana" w:hAnsi="Verdana"/>
          <w:i/>
          <w:sz w:val="20"/>
          <w:szCs w:val="20"/>
        </w:rPr>
        <w:t>alia</w:t>
      </w:r>
      <w:proofErr w:type="spellEnd"/>
      <w:r w:rsidR="00004729">
        <w:rPr>
          <w:rFonts w:ascii="Verdana" w:hAnsi="Verdana"/>
          <w:sz w:val="20"/>
          <w:szCs w:val="20"/>
        </w:rPr>
        <w:t xml:space="preserve">, </w:t>
      </w:r>
      <w:r>
        <w:rPr>
          <w:rFonts w:ascii="Verdana" w:hAnsi="Verdana"/>
          <w:sz w:val="20"/>
          <w:szCs w:val="20"/>
        </w:rPr>
        <w:t>que el directorio de la empresa presuntamente habría empleado</w:t>
      </w:r>
      <w:r w:rsidR="00D37AAF">
        <w:rPr>
          <w:rFonts w:ascii="Verdana" w:hAnsi="Verdana"/>
          <w:sz w:val="20"/>
          <w:szCs w:val="20"/>
        </w:rPr>
        <w:t xml:space="preserve"> </w:t>
      </w:r>
      <w:r>
        <w:rPr>
          <w:rFonts w:ascii="Verdana" w:hAnsi="Verdana"/>
          <w:sz w:val="20"/>
          <w:szCs w:val="20"/>
        </w:rPr>
        <w:t>el “chantaje y la coerción” para llevar a cabo “fraudulentas elecciones al margen del Comité Electoral” (</w:t>
      </w:r>
      <w:r w:rsidR="00224537" w:rsidRPr="00224537">
        <w:rPr>
          <w:rFonts w:ascii="Verdana" w:hAnsi="Verdana"/>
          <w:i/>
          <w:sz w:val="20"/>
          <w:szCs w:val="20"/>
        </w:rPr>
        <w:t>supra</w:t>
      </w:r>
      <w:r>
        <w:rPr>
          <w:rFonts w:ascii="Verdana" w:hAnsi="Verdana"/>
          <w:sz w:val="20"/>
          <w:szCs w:val="20"/>
        </w:rPr>
        <w:t xml:space="preserve"> </w:t>
      </w:r>
      <w:r w:rsidR="003F5593">
        <w:rPr>
          <w:rFonts w:ascii="Verdana" w:hAnsi="Verdana"/>
          <w:sz w:val="20"/>
          <w:szCs w:val="20"/>
        </w:rPr>
        <w:t>párr.</w:t>
      </w:r>
      <w:r w:rsidR="00DC1C15">
        <w:rPr>
          <w:rFonts w:ascii="Verdana" w:hAnsi="Verdana"/>
          <w:sz w:val="20"/>
          <w:szCs w:val="20"/>
        </w:rPr>
        <w:t xml:space="preserve"> 50</w:t>
      </w:r>
      <w:r>
        <w:rPr>
          <w:rFonts w:ascii="Verdana" w:hAnsi="Verdana"/>
          <w:sz w:val="20"/>
          <w:szCs w:val="20"/>
        </w:rPr>
        <w:t xml:space="preserve">). Tras su despido, el señor Lagos del Campo promovió una demanda ante el Décimo Quinto Juzgado de Trabajo de Lima, el cual calificó </w:t>
      </w:r>
      <w:r w:rsidR="00D37AAF">
        <w:rPr>
          <w:rFonts w:ascii="Verdana" w:hAnsi="Verdana"/>
          <w:sz w:val="20"/>
          <w:szCs w:val="20"/>
        </w:rPr>
        <w:t xml:space="preserve">el despido </w:t>
      </w:r>
      <w:r>
        <w:rPr>
          <w:rFonts w:ascii="Verdana" w:hAnsi="Verdana"/>
          <w:sz w:val="20"/>
          <w:szCs w:val="20"/>
        </w:rPr>
        <w:t>de “improcedente e injustificado” (</w:t>
      </w:r>
      <w:r w:rsidR="00224537" w:rsidRPr="00224537">
        <w:rPr>
          <w:rFonts w:ascii="Verdana" w:hAnsi="Verdana"/>
          <w:i/>
          <w:sz w:val="20"/>
          <w:szCs w:val="20"/>
        </w:rPr>
        <w:t>supra</w:t>
      </w:r>
      <w:r>
        <w:rPr>
          <w:rFonts w:ascii="Verdana" w:hAnsi="Verdana"/>
          <w:sz w:val="20"/>
          <w:szCs w:val="20"/>
        </w:rPr>
        <w:t xml:space="preserve"> </w:t>
      </w:r>
      <w:r w:rsidR="003F5593">
        <w:rPr>
          <w:rFonts w:ascii="Verdana" w:hAnsi="Verdana"/>
          <w:sz w:val="20"/>
          <w:szCs w:val="20"/>
        </w:rPr>
        <w:t>párr.</w:t>
      </w:r>
      <w:r w:rsidR="00DC1C15">
        <w:rPr>
          <w:rFonts w:ascii="Verdana" w:hAnsi="Verdana"/>
          <w:sz w:val="20"/>
          <w:szCs w:val="20"/>
        </w:rPr>
        <w:t xml:space="preserve"> 58</w:t>
      </w:r>
      <w:r>
        <w:rPr>
          <w:rFonts w:ascii="Verdana" w:hAnsi="Verdana"/>
          <w:sz w:val="20"/>
          <w:szCs w:val="20"/>
        </w:rPr>
        <w:t>). Sin embargo, en apelación</w:t>
      </w:r>
      <w:r w:rsidR="00897EE7">
        <w:rPr>
          <w:rFonts w:ascii="Verdana" w:hAnsi="Verdana"/>
          <w:sz w:val="20"/>
          <w:szCs w:val="20"/>
        </w:rPr>
        <w:t xml:space="preserve"> interpuesta por el empleador</w:t>
      </w:r>
      <w:r>
        <w:rPr>
          <w:rFonts w:ascii="Verdana" w:hAnsi="Verdana"/>
          <w:sz w:val="20"/>
          <w:szCs w:val="20"/>
        </w:rPr>
        <w:t xml:space="preserve">, el Segundo Tribunal del Trabajo de Lima revocó la sentencia de primera instancia y calificó el despido como “legal y justificado” </w:t>
      </w:r>
      <w:r>
        <w:rPr>
          <w:rFonts w:ascii="Verdana" w:hAnsi="Verdana"/>
          <w:sz w:val="20"/>
          <w:szCs w:val="20"/>
        </w:rPr>
        <w:lastRenderedPageBreak/>
        <w:t>(</w:t>
      </w:r>
      <w:r w:rsidR="00224537" w:rsidRPr="00224537">
        <w:rPr>
          <w:rFonts w:ascii="Verdana" w:hAnsi="Verdana"/>
          <w:i/>
          <w:sz w:val="20"/>
          <w:szCs w:val="20"/>
        </w:rPr>
        <w:t>supra</w:t>
      </w:r>
      <w:r>
        <w:rPr>
          <w:rFonts w:ascii="Verdana" w:hAnsi="Verdana"/>
          <w:sz w:val="20"/>
          <w:szCs w:val="20"/>
        </w:rPr>
        <w:t xml:space="preserve"> </w:t>
      </w:r>
      <w:r w:rsidR="003F5593">
        <w:rPr>
          <w:rFonts w:ascii="Verdana" w:hAnsi="Verdana"/>
          <w:sz w:val="20"/>
          <w:szCs w:val="20"/>
        </w:rPr>
        <w:t>párr.</w:t>
      </w:r>
      <w:r w:rsidR="00DC1C15">
        <w:rPr>
          <w:rFonts w:ascii="Verdana" w:hAnsi="Verdana"/>
          <w:sz w:val="20"/>
          <w:szCs w:val="20"/>
        </w:rPr>
        <w:t xml:space="preserve"> 60</w:t>
      </w:r>
      <w:r>
        <w:rPr>
          <w:rFonts w:ascii="Verdana" w:hAnsi="Verdana"/>
          <w:sz w:val="20"/>
          <w:szCs w:val="20"/>
        </w:rPr>
        <w:t xml:space="preserve">). </w:t>
      </w:r>
      <w:r w:rsidR="00D37AAF">
        <w:rPr>
          <w:rFonts w:ascii="Verdana" w:hAnsi="Verdana"/>
          <w:sz w:val="20"/>
          <w:szCs w:val="20"/>
        </w:rPr>
        <w:t>Posteriormente, e</w:t>
      </w:r>
      <w:r>
        <w:rPr>
          <w:rFonts w:ascii="Verdana" w:hAnsi="Verdana"/>
          <w:sz w:val="20"/>
          <w:szCs w:val="20"/>
        </w:rPr>
        <w:t xml:space="preserve">l señor Lagos del Campo interpuso diversos recursos los cuales fueron declarados </w:t>
      </w:r>
      <w:r w:rsidRPr="00333304">
        <w:rPr>
          <w:rFonts w:ascii="Verdana" w:hAnsi="Verdana"/>
          <w:sz w:val="20"/>
          <w:szCs w:val="20"/>
        </w:rPr>
        <w:t>improcedente</w:t>
      </w:r>
      <w:r w:rsidR="002C289A" w:rsidRPr="00333304">
        <w:rPr>
          <w:rFonts w:ascii="Verdana" w:hAnsi="Verdana"/>
          <w:sz w:val="20"/>
          <w:szCs w:val="20"/>
        </w:rPr>
        <w:t>s</w:t>
      </w:r>
      <w:r w:rsidRPr="00333304">
        <w:rPr>
          <w:rFonts w:ascii="Verdana" w:hAnsi="Verdana"/>
          <w:sz w:val="20"/>
          <w:szCs w:val="20"/>
        </w:rPr>
        <w:t xml:space="preserve"> </w:t>
      </w:r>
      <w:r>
        <w:rPr>
          <w:rFonts w:ascii="Verdana" w:hAnsi="Verdana"/>
          <w:sz w:val="20"/>
          <w:szCs w:val="20"/>
        </w:rPr>
        <w:t>(</w:t>
      </w:r>
      <w:r w:rsidR="00224537" w:rsidRPr="00224537">
        <w:rPr>
          <w:rFonts w:ascii="Verdana" w:hAnsi="Verdana"/>
          <w:i/>
          <w:sz w:val="20"/>
          <w:szCs w:val="20"/>
        </w:rPr>
        <w:t>supra</w:t>
      </w:r>
      <w:r>
        <w:rPr>
          <w:rFonts w:ascii="Verdana" w:hAnsi="Verdana"/>
          <w:sz w:val="20"/>
          <w:szCs w:val="20"/>
        </w:rPr>
        <w:t xml:space="preserve"> </w:t>
      </w:r>
      <w:proofErr w:type="spellStart"/>
      <w:r w:rsidR="00DC1C15">
        <w:rPr>
          <w:rFonts w:ascii="Verdana" w:hAnsi="Verdana"/>
          <w:sz w:val="20"/>
          <w:szCs w:val="20"/>
        </w:rPr>
        <w:t>párr</w:t>
      </w:r>
      <w:r w:rsidR="003F5593">
        <w:rPr>
          <w:rFonts w:ascii="Verdana" w:hAnsi="Verdana"/>
          <w:sz w:val="20"/>
          <w:szCs w:val="20"/>
        </w:rPr>
        <w:t>s</w:t>
      </w:r>
      <w:proofErr w:type="spellEnd"/>
      <w:r w:rsidR="003F5593">
        <w:rPr>
          <w:rFonts w:ascii="Verdana" w:hAnsi="Verdana"/>
          <w:sz w:val="20"/>
          <w:szCs w:val="20"/>
        </w:rPr>
        <w:t>.</w:t>
      </w:r>
      <w:r w:rsidR="00DC1C15">
        <w:rPr>
          <w:rFonts w:ascii="Verdana" w:hAnsi="Verdana"/>
          <w:sz w:val="20"/>
          <w:szCs w:val="20"/>
        </w:rPr>
        <w:t xml:space="preserve"> 61</w:t>
      </w:r>
      <w:r w:rsidR="003F5593">
        <w:rPr>
          <w:rFonts w:ascii="Verdana" w:hAnsi="Verdana"/>
          <w:sz w:val="20"/>
          <w:szCs w:val="20"/>
        </w:rPr>
        <w:t xml:space="preserve"> a 70</w:t>
      </w:r>
      <w:r>
        <w:rPr>
          <w:rFonts w:ascii="Verdana" w:hAnsi="Verdana"/>
          <w:sz w:val="20"/>
          <w:szCs w:val="20"/>
        </w:rPr>
        <w:t>).</w:t>
      </w:r>
    </w:p>
    <w:p w14:paraId="2D5BDB77" w14:textId="77777777" w:rsidR="00E62F6C" w:rsidRDefault="00E62F6C" w:rsidP="00E62F6C">
      <w:pPr>
        <w:pStyle w:val="ListParagraph"/>
        <w:ind w:left="0"/>
        <w:jc w:val="both"/>
        <w:rPr>
          <w:rFonts w:ascii="Verdana" w:hAnsi="Verdana"/>
          <w:sz w:val="20"/>
          <w:szCs w:val="20"/>
        </w:rPr>
      </w:pPr>
    </w:p>
    <w:p w14:paraId="37FF2C76" w14:textId="1307901E" w:rsidR="00E62F6C" w:rsidRPr="00DC2F11" w:rsidRDefault="00E62F6C" w:rsidP="00E66DD7">
      <w:pPr>
        <w:pStyle w:val="ListParagraph"/>
        <w:numPr>
          <w:ilvl w:val="0"/>
          <w:numId w:val="1"/>
        </w:numPr>
        <w:ind w:left="0" w:firstLine="0"/>
        <w:jc w:val="both"/>
        <w:rPr>
          <w:rFonts w:ascii="Verdana" w:hAnsi="Verdana"/>
          <w:sz w:val="20"/>
          <w:szCs w:val="20"/>
        </w:rPr>
      </w:pPr>
      <w:r w:rsidRPr="005D0F69">
        <w:rPr>
          <w:rFonts w:ascii="Verdana" w:hAnsi="Verdana"/>
          <w:sz w:val="20"/>
        </w:rPr>
        <w:t xml:space="preserve">En atención a lo anterior, corresponde a la Corte analizar si la sentencia del </w:t>
      </w:r>
      <w:r w:rsidR="00004729" w:rsidRPr="00261A99">
        <w:rPr>
          <w:rFonts w:ascii="Verdana" w:hAnsi="Verdana"/>
          <w:sz w:val="20"/>
          <w:szCs w:val="20"/>
        </w:rPr>
        <w:t>Segundo Tribunal del Trabajo</w:t>
      </w:r>
      <w:r w:rsidRPr="005D0F69">
        <w:rPr>
          <w:rFonts w:ascii="Verdana" w:hAnsi="Verdana"/>
          <w:sz w:val="20"/>
        </w:rPr>
        <w:t xml:space="preserve">, que calificó el despido del señor Lagos del Campo como “legal y justificado”, </w:t>
      </w:r>
      <w:r w:rsidR="00004729" w:rsidRPr="005D0F69">
        <w:rPr>
          <w:rFonts w:ascii="Verdana" w:hAnsi="Verdana"/>
          <w:sz w:val="20"/>
        </w:rPr>
        <w:t xml:space="preserve">atendió lo dispuesto en los artículos 13.2 y 8 de la Convención, al valorar </w:t>
      </w:r>
      <w:r w:rsidR="00584602" w:rsidRPr="005D0F69">
        <w:rPr>
          <w:rFonts w:ascii="Verdana" w:hAnsi="Verdana"/>
          <w:sz w:val="20"/>
        </w:rPr>
        <w:t>la necesidad de la restricción</w:t>
      </w:r>
      <w:r w:rsidR="00004729" w:rsidRPr="005D0F69">
        <w:rPr>
          <w:rFonts w:ascii="Verdana" w:hAnsi="Verdana"/>
          <w:sz w:val="20"/>
        </w:rPr>
        <w:t xml:space="preserve"> impuesta por parte de un particular</w:t>
      </w:r>
      <w:r w:rsidR="00584602" w:rsidRPr="005D0F69">
        <w:rPr>
          <w:rFonts w:ascii="Verdana" w:hAnsi="Verdana"/>
          <w:sz w:val="20"/>
        </w:rPr>
        <w:t xml:space="preserve">, </w:t>
      </w:r>
      <w:r w:rsidRPr="005D0F69">
        <w:rPr>
          <w:rFonts w:ascii="Verdana" w:hAnsi="Verdana"/>
          <w:sz w:val="20"/>
        </w:rPr>
        <w:t>a través de una debida motivación.</w:t>
      </w:r>
      <w:r>
        <w:rPr>
          <w:rFonts w:ascii="Verdana" w:hAnsi="Verdana"/>
          <w:sz w:val="20"/>
          <w:szCs w:val="20"/>
        </w:rPr>
        <w:t xml:space="preserve"> Particularmente, </w:t>
      </w:r>
      <w:r w:rsidR="0065727E">
        <w:rPr>
          <w:rFonts w:ascii="Verdana" w:hAnsi="Verdana"/>
          <w:sz w:val="20"/>
          <w:szCs w:val="20"/>
        </w:rPr>
        <w:t xml:space="preserve">la Corte analizará </w:t>
      </w:r>
      <w:r>
        <w:rPr>
          <w:rFonts w:ascii="Verdana" w:hAnsi="Verdana"/>
          <w:sz w:val="20"/>
          <w:szCs w:val="20"/>
        </w:rPr>
        <w:t xml:space="preserve">si </w:t>
      </w:r>
      <w:r w:rsidR="00584602">
        <w:rPr>
          <w:rFonts w:ascii="Verdana" w:hAnsi="Verdana"/>
          <w:sz w:val="20"/>
          <w:szCs w:val="20"/>
        </w:rPr>
        <w:t xml:space="preserve">las declaraciones expuestas por el señor </w:t>
      </w:r>
      <w:r w:rsidR="00584602" w:rsidRPr="00633DC9">
        <w:rPr>
          <w:rFonts w:ascii="Verdana" w:hAnsi="Verdana"/>
          <w:sz w:val="20"/>
          <w:szCs w:val="20"/>
        </w:rPr>
        <w:t>Lagos del Campo contaban con</w:t>
      </w:r>
      <w:r w:rsidRPr="00633DC9">
        <w:rPr>
          <w:rFonts w:ascii="Verdana" w:hAnsi="Verdana"/>
          <w:sz w:val="20"/>
          <w:szCs w:val="20"/>
        </w:rPr>
        <w:t xml:space="preserve"> una protección reforzada en virtud de</w:t>
      </w:r>
      <w:r w:rsidR="00584602" w:rsidRPr="00633DC9">
        <w:rPr>
          <w:rFonts w:ascii="Verdana" w:hAnsi="Verdana"/>
          <w:sz w:val="20"/>
          <w:szCs w:val="20"/>
        </w:rPr>
        <w:t>l contexto de las mismas y su calidad de representante</w:t>
      </w:r>
      <w:r w:rsidRPr="00EB5530">
        <w:rPr>
          <w:rFonts w:ascii="Verdana" w:hAnsi="Verdana"/>
          <w:sz w:val="20"/>
          <w:szCs w:val="20"/>
        </w:rPr>
        <w:t xml:space="preserve">, </w:t>
      </w:r>
      <w:r w:rsidR="00584602" w:rsidRPr="00EB5530">
        <w:rPr>
          <w:rFonts w:ascii="Verdana" w:hAnsi="Verdana"/>
          <w:sz w:val="20"/>
          <w:szCs w:val="20"/>
        </w:rPr>
        <w:t xml:space="preserve">así como </w:t>
      </w:r>
      <w:r w:rsidRPr="00EB5530">
        <w:rPr>
          <w:rFonts w:ascii="Verdana" w:hAnsi="Verdana"/>
          <w:sz w:val="20"/>
          <w:szCs w:val="20"/>
        </w:rPr>
        <w:t xml:space="preserve">si el juez </w:t>
      </w:r>
      <w:r w:rsidR="00004729" w:rsidRPr="00EB5530">
        <w:rPr>
          <w:rFonts w:ascii="Verdana" w:hAnsi="Verdana"/>
          <w:sz w:val="20"/>
          <w:szCs w:val="20"/>
        </w:rPr>
        <w:t xml:space="preserve">que avaló dicha restricción </w:t>
      </w:r>
      <w:r w:rsidRPr="00EB5530">
        <w:rPr>
          <w:rFonts w:ascii="Verdana" w:hAnsi="Verdana"/>
          <w:sz w:val="20"/>
          <w:szCs w:val="20"/>
        </w:rPr>
        <w:t xml:space="preserve">tomó debida consideración de estas condiciones al momento de calificar la legalidad de la restricción. Adicionalmente, </w:t>
      </w:r>
      <w:r w:rsidR="00261A99" w:rsidRPr="00EB5530">
        <w:rPr>
          <w:rFonts w:ascii="Verdana" w:hAnsi="Verdana"/>
          <w:sz w:val="20"/>
          <w:szCs w:val="20"/>
        </w:rPr>
        <w:t xml:space="preserve">la Corte debe determinar si </w:t>
      </w:r>
      <w:r w:rsidR="00584602" w:rsidRPr="00EB5530">
        <w:rPr>
          <w:rFonts w:ascii="Verdana" w:hAnsi="Verdana"/>
          <w:sz w:val="20"/>
          <w:szCs w:val="20"/>
        </w:rPr>
        <w:t>la sanción impuesta</w:t>
      </w:r>
      <w:r w:rsidR="00261A99" w:rsidRPr="00EB5530">
        <w:rPr>
          <w:rFonts w:ascii="Verdana" w:hAnsi="Verdana"/>
          <w:sz w:val="20"/>
          <w:szCs w:val="20"/>
        </w:rPr>
        <w:t>, avalada por el juez,</w:t>
      </w:r>
      <w:r w:rsidR="00584602" w:rsidRPr="00EB5530">
        <w:rPr>
          <w:rFonts w:ascii="Verdana" w:hAnsi="Verdana"/>
          <w:sz w:val="20"/>
          <w:szCs w:val="20"/>
        </w:rPr>
        <w:t xml:space="preserve"> </w:t>
      </w:r>
      <w:r w:rsidR="00897EE7" w:rsidRPr="00EB5530">
        <w:rPr>
          <w:rFonts w:ascii="Verdana" w:hAnsi="Verdana"/>
          <w:sz w:val="20"/>
          <w:szCs w:val="20"/>
        </w:rPr>
        <w:t>impactó en el</w:t>
      </w:r>
      <w:r w:rsidR="00584602" w:rsidRPr="00EB5530">
        <w:rPr>
          <w:rFonts w:ascii="Verdana" w:hAnsi="Verdana"/>
          <w:sz w:val="20"/>
          <w:szCs w:val="20"/>
        </w:rPr>
        <w:t xml:space="preserve"> </w:t>
      </w:r>
      <w:r w:rsidRPr="00EB5530">
        <w:rPr>
          <w:rFonts w:ascii="Verdana" w:hAnsi="Verdana"/>
          <w:sz w:val="20"/>
          <w:szCs w:val="20"/>
        </w:rPr>
        <w:t xml:space="preserve">deber de garantía </w:t>
      </w:r>
      <w:r w:rsidR="00897EE7" w:rsidRPr="00EB5530">
        <w:rPr>
          <w:rFonts w:ascii="Verdana" w:hAnsi="Verdana"/>
          <w:sz w:val="20"/>
          <w:szCs w:val="20"/>
        </w:rPr>
        <w:t xml:space="preserve">por parte del Estado </w:t>
      </w:r>
      <w:r w:rsidRPr="00EB5530">
        <w:rPr>
          <w:rFonts w:ascii="Verdana" w:hAnsi="Verdana"/>
          <w:sz w:val="20"/>
          <w:szCs w:val="20"/>
        </w:rPr>
        <w:t xml:space="preserve">del derecho a la libertad de asociación </w:t>
      </w:r>
      <w:r w:rsidR="00261A99" w:rsidRPr="00EB5530">
        <w:rPr>
          <w:rFonts w:ascii="Verdana" w:hAnsi="Verdana"/>
          <w:sz w:val="20"/>
          <w:szCs w:val="20"/>
        </w:rPr>
        <w:t>en su dimensión individual y colectiva</w:t>
      </w:r>
      <w:r w:rsidRPr="000E40FD">
        <w:rPr>
          <w:rFonts w:ascii="Verdana" w:hAnsi="Verdana"/>
          <w:sz w:val="20"/>
          <w:szCs w:val="20"/>
        </w:rPr>
        <w:t>.</w:t>
      </w:r>
      <w:r w:rsidRPr="00801513">
        <w:rPr>
          <w:rFonts w:ascii="Verdana" w:hAnsi="Verdana"/>
          <w:b/>
          <w:sz w:val="20"/>
          <w:szCs w:val="20"/>
        </w:rPr>
        <w:t xml:space="preserve"> </w:t>
      </w:r>
      <w:r w:rsidR="00115071" w:rsidRPr="00801513">
        <w:rPr>
          <w:rFonts w:ascii="Verdana" w:hAnsi="Verdana"/>
          <w:sz w:val="20"/>
          <w:szCs w:val="20"/>
        </w:rPr>
        <w:t>Asimismo, si el despido vulneró la estabilidad en el empleo de la presunta víctim</w:t>
      </w:r>
      <w:r w:rsidR="00115071" w:rsidRPr="00DC1C15">
        <w:rPr>
          <w:rFonts w:ascii="Verdana" w:hAnsi="Verdana"/>
          <w:sz w:val="20"/>
          <w:szCs w:val="20"/>
        </w:rPr>
        <w:t>a</w:t>
      </w:r>
      <w:r w:rsidR="00363DED" w:rsidRPr="00333304">
        <w:rPr>
          <w:rFonts w:ascii="Verdana" w:hAnsi="Verdana"/>
          <w:sz w:val="20"/>
          <w:szCs w:val="20"/>
        </w:rPr>
        <w:t>,</w:t>
      </w:r>
      <w:r w:rsidR="00363DED">
        <w:rPr>
          <w:rFonts w:ascii="Verdana" w:hAnsi="Verdana"/>
          <w:b/>
          <w:sz w:val="20"/>
          <w:szCs w:val="20"/>
        </w:rPr>
        <w:t xml:space="preserve"> </w:t>
      </w:r>
      <w:r w:rsidR="00363DED" w:rsidRPr="00333304">
        <w:rPr>
          <w:rFonts w:ascii="Verdana" w:hAnsi="Verdana"/>
          <w:sz w:val="20"/>
          <w:szCs w:val="20"/>
        </w:rPr>
        <w:t xml:space="preserve">así como </w:t>
      </w:r>
      <w:r w:rsidR="002F34A4" w:rsidRPr="00333304">
        <w:rPr>
          <w:rFonts w:ascii="Verdana" w:hAnsi="Verdana"/>
          <w:sz w:val="20"/>
          <w:szCs w:val="20"/>
        </w:rPr>
        <w:t>si contó con una tutela judicial</w:t>
      </w:r>
      <w:r w:rsidR="00363DED" w:rsidRPr="00333304">
        <w:rPr>
          <w:rFonts w:ascii="Verdana" w:hAnsi="Verdana"/>
          <w:sz w:val="20"/>
          <w:szCs w:val="20"/>
        </w:rPr>
        <w:t xml:space="preserve"> efectiva de sus derechos</w:t>
      </w:r>
      <w:r w:rsidR="00115071" w:rsidRPr="00333304">
        <w:rPr>
          <w:rFonts w:ascii="Verdana" w:hAnsi="Verdana"/>
          <w:sz w:val="20"/>
          <w:szCs w:val="20"/>
        </w:rPr>
        <w:t>.</w:t>
      </w:r>
      <w:r w:rsidR="00115071" w:rsidRPr="003303DB">
        <w:rPr>
          <w:rFonts w:ascii="Verdana" w:hAnsi="Verdana"/>
          <w:sz w:val="20"/>
          <w:szCs w:val="20"/>
        </w:rPr>
        <w:t xml:space="preserve"> </w:t>
      </w:r>
      <w:r w:rsidRPr="00115071">
        <w:rPr>
          <w:rFonts w:ascii="Verdana" w:hAnsi="Verdana"/>
          <w:sz w:val="20"/>
          <w:szCs w:val="20"/>
        </w:rPr>
        <w:t xml:space="preserve">Finalmente, corresponde a la Corte determinar si la norma que sirvió como base para el despido del señor Lagos </w:t>
      </w:r>
      <w:r w:rsidR="00004729" w:rsidRPr="00115071">
        <w:rPr>
          <w:rFonts w:ascii="Verdana" w:hAnsi="Verdana"/>
          <w:sz w:val="20"/>
          <w:szCs w:val="20"/>
        </w:rPr>
        <w:t>contravino el</w:t>
      </w:r>
      <w:r w:rsidRPr="00115071">
        <w:rPr>
          <w:rFonts w:ascii="Verdana" w:hAnsi="Verdana"/>
          <w:sz w:val="20"/>
          <w:szCs w:val="20"/>
        </w:rPr>
        <w:t xml:space="preserve"> artículo 2 de la Convención</w:t>
      </w:r>
      <w:r w:rsidR="00995EA7">
        <w:rPr>
          <w:rFonts w:ascii="Verdana" w:hAnsi="Verdana"/>
          <w:sz w:val="20"/>
          <w:szCs w:val="20"/>
        </w:rPr>
        <w:t xml:space="preserve">. </w:t>
      </w:r>
    </w:p>
    <w:p w14:paraId="514A1204" w14:textId="77777777" w:rsidR="00E62F6C" w:rsidRPr="0089179B" w:rsidRDefault="00E62F6C" w:rsidP="00D33760">
      <w:pPr>
        <w:rPr>
          <w:rFonts w:ascii="Verdana" w:hAnsi="Verdana"/>
          <w:sz w:val="20"/>
          <w:szCs w:val="20"/>
        </w:rPr>
      </w:pPr>
    </w:p>
    <w:p w14:paraId="17C91ED7" w14:textId="484C8DC0" w:rsidR="00D33760" w:rsidRPr="00E535D8" w:rsidRDefault="00E62F6C" w:rsidP="00E66DD7">
      <w:pPr>
        <w:numPr>
          <w:ilvl w:val="0"/>
          <w:numId w:val="1"/>
        </w:numPr>
        <w:ind w:left="11" w:hanging="11"/>
        <w:contextualSpacing/>
        <w:jc w:val="both"/>
        <w:rPr>
          <w:rFonts w:ascii="Verdana" w:hAnsi="Verdana"/>
          <w:sz w:val="20"/>
          <w:szCs w:val="20"/>
        </w:rPr>
      </w:pPr>
      <w:r w:rsidRPr="00E535D8">
        <w:rPr>
          <w:rFonts w:ascii="Verdana" w:hAnsi="Verdana" w:cs="Arial"/>
          <w:sz w:val="20"/>
          <w:szCs w:val="20"/>
          <w:lang w:val="es-CO"/>
        </w:rPr>
        <w:t xml:space="preserve">Para ello, </w:t>
      </w:r>
      <w:r w:rsidR="00D33760" w:rsidRPr="00E535D8">
        <w:rPr>
          <w:rFonts w:ascii="Verdana" w:hAnsi="Verdana" w:cs="Arial"/>
          <w:sz w:val="20"/>
          <w:szCs w:val="20"/>
          <w:lang w:val="es-CO"/>
        </w:rPr>
        <w:t>la Corte procederá a analizar los argumentos presentados</w:t>
      </w:r>
      <w:r w:rsidR="00D33760" w:rsidRPr="00E535D8">
        <w:rPr>
          <w:rFonts w:ascii="Verdana" w:hAnsi="Verdana"/>
          <w:sz w:val="20"/>
          <w:szCs w:val="20"/>
        </w:rPr>
        <w:t xml:space="preserve"> por las partes y la Comisión, y desarrollará las consideraciones de derecho pertinentes relacionadas con las alegadas vulneraciones a </w:t>
      </w:r>
      <w:r w:rsidR="00D37AAF" w:rsidRPr="00E535D8">
        <w:rPr>
          <w:rFonts w:ascii="Verdana" w:hAnsi="Verdana"/>
          <w:sz w:val="20"/>
          <w:szCs w:val="20"/>
        </w:rPr>
        <w:t xml:space="preserve">libertad de </w:t>
      </w:r>
      <w:r w:rsidR="00D33760" w:rsidRPr="00E535D8">
        <w:rPr>
          <w:rFonts w:ascii="Verdana" w:hAnsi="Verdana"/>
          <w:sz w:val="20"/>
          <w:szCs w:val="20"/>
        </w:rPr>
        <w:t>pensamiento y de expresión</w:t>
      </w:r>
      <w:r w:rsidR="00897EE7" w:rsidRPr="00E535D8">
        <w:rPr>
          <w:rFonts w:ascii="Verdana" w:hAnsi="Verdana"/>
          <w:sz w:val="20"/>
          <w:szCs w:val="20"/>
        </w:rPr>
        <w:t xml:space="preserve"> (artículo 13)</w:t>
      </w:r>
      <w:r w:rsidR="00D37AAF" w:rsidRPr="00E535D8">
        <w:rPr>
          <w:rFonts w:ascii="Verdana" w:hAnsi="Verdana"/>
          <w:sz w:val="20"/>
          <w:szCs w:val="20"/>
          <w:vertAlign w:val="superscript"/>
        </w:rPr>
        <w:footnoteReference w:id="103"/>
      </w:r>
      <w:r w:rsidR="00D37AAF" w:rsidRPr="00E535D8">
        <w:rPr>
          <w:rFonts w:ascii="Verdana" w:hAnsi="Verdana"/>
          <w:sz w:val="20"/>
          <w:szCs w:val="20"/>
        </w:rPr>
        <w:t xml:space="preserve">, </w:t>
      </w:r>
      <w:r w:rsidR="00D33760" w:rsidRPr="00E535D8">
        <w:rPr>
          <w:rFonts w:ascii="Verdana" w:hAnsi="Verdana"/>
          <w:sz w:val="20"/>
          <w:szCs w:val="20"/>
        </w:rPr>
        <w:t>garantías judiciales</w:t>
      </w:r>
      <w:r w:rsidR="00897EE7" w:rsidRPr="00E535D8">
        <w:rPr>
          <w:rFonts w:ascii="Verdana" w:hAnsi="Verdana"/>
          <w:sz w:val="20"/>
          <w:szCs w:val="20"/>
        </w:rPr>
        <w:t xml:space="preserve"> (artículo 8)</w:t>
      </w:r>
      <w:r w:rsidR="00D37AAF" w:rsidRPr="00E535D8">
        <w:rPr>
          <w:rFonts w:ascii="Verdana" w:hAnsi="Verdana"/>
          <w:sz w:val="20"/>
          <w:szCs w:val="20"/>
          <w:vertAlign w:val="superscript"/>
        </w:rPr>
        <w:footnoteReference w:id="104"/>
      </w:r>
      <w:r w:rsidR="00115071" w:rsidRPr="00E535D8">
        <w:rPr>
          <w:rFonts w:ascii="Verdana" w:hAnsi="Verdana"/>
          <w:sz w:val="20"/>
          <w:szCs w:val="20"/>
        </w:rPr>
        <w:t xml:space="preserve">, </w:t>
      </w:r>
      <w:r w:rsidR="00D33760" w:rsidRPr="00E535D8">
        <w:rPr>
          <w:rFonts w:ascii="Verdana" w:hAnsi="Verdana"/>
          <w:sz w:val="20"/>
          <w:szCs w:val="20"/>
        </w:rPr>
        <w:t>libertad de asociación</w:t>
      </w:r>
      <w:r w:rsidR="00897EE7" w:rsidRPr="00E535D8">
        <w:rPr>
          <w:rFonts w:ascii="Verdana" w:hAnsi="Verdana"/>
          <w:sz w:val="20"/>
          <w:szCs w:val="20"/>
        </w:rPr>
        <w:t xml:space="preserve"> (artículo 16)</w:t>
      </w:r>
      <w:r w:rsidR="00D37AAF" w:rsidRPr="00E535D8">
        <w:rPr>
          <w:rFonts w:ascii="Verdana" w:hAnsi="Verdana"/>
          <w:sz w:val="20"/>
          <w:szCs w:val="20"/>
          <w:vertAlign w:val="superscript"/>
        </w:rPr>
        <w:footnoteReference w:id="105"/>
      </w:r>
      <w:r w:rsidR="00D37AAF" w:rsidRPr="00E535D8">
        <w:rPr>
          <w:rFonts w:ascii="Verdana" w:hAnsi="Verdana"/>
          <w:sz w:val="20"/>
          <w:szCs w:val="20"/>
        </w:rPr>
        <w:t xml:space="preserve">, </w:t>
      </w:r>
      <w:r w:rsidR="00115071" w:rsidRPr="00801513">
        <w:rPr>
          <w:rFonts w:ascii="Verdana" w:hAnsi="Verdana"/>
          <w:sz w:val="20"/>
          <w:szCs w:val="20"/>
        </w:rPr>
        <w:t>estabilidad laboral (</w:t>
      </w:r>
      <w:r w:rsidR="00115071" w:rsidRPr="00A532BE">
        <w:rPr>
          <w:rFonts w:ascii="Verdana" w:hAnsi="Verdana"/>
          <w:sz w:val="20"/>
          <w:szCs w:val="20"/>
        </w:rPr>
        <w:t>artículo 26</w:t>
      </w:r>
      <w:r w:rsidR="00334B6C" w:rsidRPr="00A532BE">
        <w:rPr>
          <w:rStyle w:val="FootnoteReference"/>
          <w:szCs w:val="20"/>
        </w:rPr>
        <w:footnoteReference w:id="106"/>
      </w:r>
      <w:r w:rsidR="00115071" w:rsidRPr="00446B52">
        <w:rPr>
          <w:rFonts w:ascii="Verdana" w:hAnsi="Verdana"/>
          <w:sz w:val="20"/>
          <w:szCs w:val="20"/>
        </w:rPr>
        <w:t>)</w:t>
      </w:r>
      <w:r w:rsidR="00115071" w:rsidRPr="005D72FB">
        <w:rPr>
          <w:rFonts w:ascii="Verdana" w:hAnsi="Verdana"/>
          <w:sz w:val="20"/>
          <w:szCs w:val="20"/>
        </w:rPr>
        <w:t>,</w:t>
      </w:r>
      <w:r w:rsidR="00115071" w:rsidRPr="00E535D8">
        <w:rPr>
          <w:rFonts w:ascii="Verdana" w:hAnsi="Verdana"/>
          <w:sz w:val="20"/>
          <w:szCs w:val="20"/>
        </w:rPr>
        <w:t xml:space="preserve"> </w:t>
      </w:r>
      <w:r w:rsidR="00D37AAF" w:rsidRPr="00E535D8">
        <w:rPr>
          <w:rFonts w:ascii="Verdana" w:hAnsi="Verdana"/>
          <w:sz w:val="20"/>
          <w:szCs w:val="20"/>
        </w:rPr>
        <w:t>en relación con el artículo 1.1</w:t>
      </w:r>
      <w:r w:rsidR="00363DED" w:rsidRPr="00E535D8">
        <w:rPr>
          <w:rFonts w:ascii="Verdana" w:hAnsi="Verdana" w:cs="Verdana"/>
          <w:caps/>
          <w:snapToGrid w:val="0"/>
          <w:sz w:val="20"/>
          <w:szCs w:val="20"/>
          <w:vertAlign w:val="superscript"/>
        </w:rPr>
        <w:footnoteReference w:id="107"/>
      </w:r>
      <w:r w:rsidR="00363DED">
        <w:rPr>
          <w:rFonts w:ascii="Verdana" w:hAnsi="Verdana"/>
          <w:sz w:val="20"/>
          <w:szCs w:val="20"/>
        </w:rPr>
        <w:t>,</w:t>
      </w:r>
      <w:r w:rsidR="00363DED" w:rsidRPr="00363DED">
        <w:rPr>
          <w:rFonts w:ascii="Verdana" w:hAnsi="Verdana"/>
          <w:sz w:val="20"/>
          <w:szCs w:val="20"/>
        </w:rPr>
        <w:t xml:space="preserve"> </w:t>
      </w:r>
      <w:r w:rsidR="00363DED" w:rsidRPr="00E535D8">
        <w:rPr>
          <w:rFonts w:ascii="Verdana" w:hAnsi="Verdana"/>
          <w:sz w:val="20"/>
          <w:szCs w:val="20"/>
        </w:rPr>
        <w:t>así como la alegada vulneración de</w:t>
      </w:r>
      <w:r w:rsidR="00363DED">
        <w:rPr>
          <w:rFonts w:ascii="Verdana" w:hAnsi="Verdana"/>
          <w:sz w:val="20"/>
          <w:szCs w:val="20"/>
        </w:rPr>
        <w:t>l</w:t>
      </w:r>
      <w:r w:rsidR="00363DED" w:rsidRPr="00E535D8">
        <w:rPr>
          <w:rFonts w:ascii="Verdana" w:hAnsi="Verdana"/>
          <w:sz w:val="20"/>
          <w:szCs w:val="20"/>
        </w:rPr>
        <w:t xml:space="preserve"> artículo 2</w:t>
      </w:r>
      <w:r w:rsidR="00363DED" w:rsidRPr="00333304">
        <w:rPr>
          <w:rStyle w:val="FootnoteReference"/>
          <w:szCs w:val="20"/>
        </w:rPr>
        <w:footnoteReference w:id="108"/>
      </w:r>
      <w:r w:rsidR="00D37AAF" w:rsidRPr="00E535D8">
        <w:rPr>
          <w:rFonts w:ascii="Verdana" w:hAnsi="Verdana"/>
          <w:sz w:val="20"/>
          <w:szCs w:val="20"/>
        </w:rPr>
        <w:t xml:space="preserve">, </w:t>
      </w:r>
      <w:r w:rsidR="00004729" w:rsidRPr="00333304">
        <w:rPr>
          <w:rFonts w:ascii="Verdana" w:hAnsi="Verdana"/>
          <w:sz w:val="20"/>
          <w:szCs w:val="20"/>
        </w:rPr>
        <w:t xml:space="preserve">y </w:t>
      </w:r>
      <w:r w:rsidR="00363DED" w:rsidRPr="00333304">
        <w:rPr>
          <w:rFonts w:ascii="Verdana" w:hAnsi="Verdana"/>
          <w:sz w:val="20"/>
          <w:szCs w:val="20"/>
        </w:rPr>
        <w:t xml:space="preserve">los artículos </w:t>
      </w:r>
      <w:r w:rsidR="00004729" w:rsidRPr="00333304">
        <w:rPr>
          <w:rFonts w:ascii="Verdana" w:hAnsi="Verdana"/>
          <w:sz w:val="20"/>
          <w:szCs w:val="20"/>
        </w:rPr>
        <w:t>8</w:t>
      </w:r>
      <w:r w:rsidR="00363DED" w:rsidRPr="00333304">
        <w:rPr>
          <w:rFonts w:ascii="Verdana" w:hAnsi="Verdana"/>
          <w:sz w:val="20"/>
          <w:szCs w:val="20"/>
        </w:rPr>
        <w:t xml:space="preserve"> y 25</w:t>
      </w:r>
      <w:r w:rsidR="00363DED" w:rsidRPr="00333304">
        <w:rPr>
          <w:rStyle w:val="FootnoteReference"/>
          <w:szCs w:val="20"/>
        </w:rPr>
        <w:footnoteReference w:id="109"/>
      </w:r>
      <w:r w:rsidR="00CD0D18" w:rsidRPr="00E535D8">
        <w:rPr>
          <w:rFonts w:ascii="Verdana" w:hAnsi="Verdana"/>
          <w:sz w:val="20"/>
          <w:szCs w:val="20"/>
        </w:rPr>
        <w:t>, todos ellos de la Convención Americana sobre Derechos Humanos.</w:t>
      </w:r>
    </w:p>
    <w:p w14:paraId="5DDF4D2C" w14:textId="77777777" w:rsidR="00A4549D" w:rsidRDefault="00A4549D" w:rsidP="00A4549D">
      <w:pPr>
        <w:contextualSpacing/>
        <w:jc w:val="both"/>
        <w:rPr>
          <w:rFonts w:ascii="Verdana" w:hAnsi="Verdana"/>
          <w:sz w:val="20"/>
          <w:szCs w:val="20"/>
        </w:rPr>
      </w:pPr>
    </w:p>
    <w:p w14:paraId="6D018C52" w14:textId="10871581" w:rsidR="00C01305" w:rsidRPr="00C01305" w:rsidRDefault="00374FC9" w:rsidP="00C01305">
      <w:pPr>
        <w:pStyle w:val="Heading1"/>
        <w:tabs>
          <w:tab w:val="left" w:pos="851"/>
        </w:tabs>
        <w:spacing w:before="0"/>
        <w:jc w:val="center"/>
        <w:rPr>
          <w:rFonts w:cs="Verdana"/>
          <w:caps/>
          <w:snapToGrid w:val="0"/>
          <w:szCs w:val="20"/>
        </w:rPr>
      </w:pPr>
      <w:bookmarkStart w:id="29" w:name="_Toc482355927"/>
      <w:bookmarkStart w:id="30" w:name="_Toc498333492"/>
      <w:r>
        <w:rPr>
          <w:rFonts w:cs="Verdana"/>
          <w:caps/>
          <w:snapToGrid w:val="0"/>
          <w:szCs w:val="20"/>
        </w:rPr>
        <w:t>VII</w:t>
      </w:r>
      <w:r w:rsidR="00C01305">
        <w:rPr>
          <w:rFonts w:cs="Verdana"/>
          <w:caps/>
          <w:snapToGrid w:val="0"/>
          <w:szCs w:val="20"/>
        </w:rPr>
        <w:t>-</w:t>
      </w:r>
      <w:bookmarkEnd w:id="29"/>
      <w:r>
        <w:rPr>
          <w:rFonts w:cs="Verdana"/>
          <w:caps/>
          <w:snapToGrid w:val="0"/>
          <w:szCs w:val="20"/>
        </w:rPr>
        <w:t>1</w:t>
      </w:r>
      <w:bookmarkEnd w:id="30"/>
    </w:p>
    <w:p w14:paraId="6F711E32" w14:textId="0D25CB26" w:rsidR="00C01305" w:rsidRPr="00C01305" w:rsidRDefault="00C01305" w:rsidP="00CC31D1">
      <w:pPr>
        <w:pStyle w:val="Heading1"/>
        <w:tabs>
          <w:tab w:val="left" w:pos="851"/>
        </w:tabs>
        <w:spacing w:before="0"/>
        <w:jc w:val="center"/>
        <w:rPr>
          <w:rFonts w:cs="Verdana"/>
          <w:caps/>
          <w:snapToGrid w:val="0"/>
          <w:szCs w:val="20"/>
        </w:rPr>
      </w:pPr>
      <w:bookmarkStart w:id="31" w:name="_Toc462239155"/>
      <w:bookmarkStart w:id="32" w:name="_Toc498333493"/>
      <w:r w:rsidRPr="00C01305">
        <w:rPr>
          <w:rFonts w:cs="Verdana"/>
          <w:caps/>
          <w:snapToGrid w:val="0"/>
          <w:szCs w:val="20"/>
        </w:rPr>
        <w:t>libertad de pensamiento y de expresión</w:t>
      </w:r>
      <w:bookmarkEnd w:id="31"/>
      <w:r w:rsidR="00CC31D1">
        <w:rPr>
          <w:rFonts w:cs="Verdana"/>
          <w:caps/>
          <w:snapToGrid w:val="0"/>
          <w:szCs w:val="20"/>
        </w:rPr>
        <w:t>,</w:t>
      </w:r>
      <w:r w:rsidRPr="00C01305">
        <w:rPr>
          <w:rFonts w:cs="Verdana"/>
          <w:caps/>
          <w:snapToGrid w:val="0"/>
          <w:szCs w:val="20"/>
        </w:rPr>
        <w:t xml:space="preserve"> GARANTÍAS JUDICIALES</w:t>
      </w:r>
      <w:r w:rsidR="00430EA0">
        <w:rPr>
          <w:rFonts w:cs="Verdana"/>
          <w:caps/>
          <w:snapToGrid w:val="0"/>
          <w:szCs w:val="20"/>
        </w:rPr>
        <w:t xml:space="preserve">, </w:t>
      </w:r>
      <w:r w:rsidR="00DC2D17">
        <w:rPr>
          <w:rFonts w:cs="Verdana"/>
          <w:caps/>
          <w:snapToGrid w:val="0"/>
          <w:szCs w:val="20"/>
        </w:rPr>
        <w:t>Estabilidad laboral</w:t>
      </w:r>
      <w:r w:rsidR="00F20967">
        <w:rPr>
          <w:rFonts w:cs="Verdana"/>
          <w:caps/>
          <w:snapToGrid w:val="0"/>
          <w:szCs w:val="20"/>
        </w:rPr>
        <w:t xml:space="preserve">, </w:t>
      </w:r>
      <w:r w:rsidR="00430EA0">
        <w:rPr>
          <w:rFonts w:cs="Verdana"/>
          <w:caps/>
          <w:snapToGrid w:val="0"/>
          <w:szCs w:val="20"/>
        </w:rPr>
        <w:t>libertad de asociación,</w:t>
      </w:r>
      <w:r w:rsidR="0088700B">
        <w:rPr>
          <w:rFonts w:cs="Verdana"/>
          <w:caps/>
          <w:snapToGrid w:val="0"/>
          <w:szCs w:val="20"/>
        </w:rPr>
        <w:t xml:space="preserve"> </w:t>
      </w:r>
      <w:r w:rsidR="006448F1">
        <w:rPr>
          <w:rFonts w:cs="Verdana"/>
          <w:caps/>
          <w:snapToGrid w:val="0"/>
          <w:szCs w:val="20"/>
        </w:rPr>
        <w:t>de</w:t>
      </w:r>
      <w:r w:rsidR="00897EE7">
        <w:rPr>
          <w:rFonts w:cs="Verdana"/>
          <w:caps/>
          <w:snapToGrid w:val="0"/>
          <w:szCs w:val="20"/>
        </w:rPr>
        <w:t>BER DE</w:t>
      </w:r>
      <w:r w:rsidR="0052581B">
        <w:rPr>
          <w:rFonts w:cs="Verdana"/>
          <w:caps/>
          <w:snapToGrid w:val="0"/>
          <w:szCs w:val="20"/>
        </w:rPr>
        <w:t xml:space="preserve"> </w:t>
      </w:r>
      <w:r w:rsidR="00CC31D1" w:rsidRPr="00557859">
        <w:rPr>
          <w:rFonts w:cs="Verdana"/>
          <w:caps/>
          <w:snapToGrid w:val="0"/>
          <w:szCs w:val="20"/>
        </w:rPr>
        <w:t>ADOPTAR DISPOSICIONES DE DERECHO INTERNO</w:t>
      </w:r>
      <w:bookmarkEnd w:id="32"/>
    </w:p>
    <w:p w14:paraId="61A06078" w14:textId="6245E03B" w:rsidR="00C01305" w:rsidRDefault="00C01305" w:rsidP="00C01305">
      <w:pPr>
        <w:pStyle w:val="Heading1"/>
        <w:tabs>
          <w:tab w:val="left" w:pos="851"/>
        </w:tabs>
        <w:spacing w:before="0"/>
        <w:jc w:val="center"/>
        <w:rPr>
          <w:rFonts w:cs="Verdana"/>
          <w:caps/>
          <w:snapToGrid w:val="0"/>
          <w:szCs w:val="20"/>
        </w:rPr>
      </w:pPr>
      <w:bookmarkStart w:id="33" w:name="_Toc482355929"/>
      <w:bookmarkStart w:id="34" w:name="_Toc498333494"/>
      <w:r w:rsidRPr="00C01305">
        <w:rPr>
          <w:rFonts w:cs="Verdana"/>
          <w:caps/>
          <w:snapToGrid w:val="0"/>
          <w:szCs w:val="20"/>
        </w:rPr>
        <w:t>(ARTÍCULOS 13</w:t>
      </w:r>
      <w:r w:rsidR="00CC31D1">
        <w:rPr>
          <w:rFonts w:cs="Verdana"/>
          <w:caps/>
          <w:snapToGrid w:val="0"/>
          <w:szCs w:val="20"/>
        </w:rPr>
        <w:t xml:space="preserve">, </w:t>
      </w:r>
      <w:r w:rsidRPr="00C01305">
        <w:rPr>
          <w:rFonts w:cs="Verdana"/>
          <w:caps/>
          <w:snapToGrid w:val="0"/>
          <w:szCs w:val="20"/>
        </w:rPr>
        <w:t>8</w:t>
      </w:r>
      <w:r w:rsidR="00CC31D1">
        <w:rPr>
          <w:rFonts w:cs="Verdana"/>
          <w:caps/>
          <w:snapToGrid w:val="0"/>
          <w:szCs w:val="20"/>
        </w:rPr>
        <w:t>,</w:t>
      </w:r>
      <w:r w:rsidR="00430EA0">
        <w:rPr>
          <w:rFonts w:cs="Verdana"/>
          <w:caps/>
          <w:snapToGrid w:val="0"/>
          <w:szCs w:val="20"/>
        </w:rPr>
        <w:t xml:space="preserve"> </w:t>
      </w:r>
      <w:r w:rsidR="00F20967">
        <w:rPr>
          <w:rFonts w:cs="Verdana"/>
          <w:caps/>
          <w:snapToGrid w:val="0"/>
          <w:szCs w:val="20"/>
        </w:rPr>
        <w:t>26, 16</w:t>
      </w:r>
      <w:r w:rsidR="0088700B">
        <w:rPr>
          <w:rFonts w:cs="Verdana"/>
          <w:caps/>
          <w:snapToGrid w:val="0"/>
          <w:szCs w:val="20"/>
        </w:rPr>
        <w:t xml:space="preserve">, </w:t>
      </w:r>
      <w:r w:rsidR="00CC31D1">
        <w:rPr>
          <w:rFonts w:cs="Verdana"/>
          <w:caps/>
          <w:snapToGrid w:val="0"/>
          <w:szCs w:val="20"/>
        </w:rPr>
        <w:t>1.1</w:t>
      </w:r>
      <w:r w:rsidRPr="00C01305">
        <w:rPr>
          <w:rFonts w:cs="Verdana"/>
          <w:caps/>
          <w:snapToGrid w:val="0"/>
          <w:szCs w:val="20"/>
        </w:rPr>
        <w:t xml:space="preserve"> </w:t>
      </w:r>
      <w:r w:rsidR="00CC31D1">
        <w:rPr>
          <w:rFonts w:cs="Verdana"/>
          <w:caps/>
          <w:snapToGrid w:val="0"/>
          <w:szCs w:val="20"/>
        </w:rPr>
        <w:t xml:space="preserve">y 2 </w:t>
      </w:r>
      <w:r w:rsidRPr="00C01305">
        <w:rPr>
          <w:rFonts w:cs="Verdana"/>
          <w:caps/>
          <w:snapToGrid w:val="0"/>
          <w:szCs w:val="20"/>
        </w:rPr>
        <w:t>DE LA CONVENCIÓN AMERICANA)</w:t>
      </w:r>
      <w:bookmarkEnd w:id="33"/>
      <w:bookmarkEnd w:id="34"/>
    </w:p>
    <w:p w14:paraId="09CCEE2C" w14:textId="77777777" w:rsidR="00C01305" w:rsidRDefault="00C01305" w:rsidP="00C01305"/>
    <w:p w14:paraId="60A1C29E" w14:textId="77777777" w:rsidR="00C01305" w:rsidRPr="00C01305" w:rsidRDefault="00C01305" w:rsidP="00E66DD7">
      <w:pPr>
        <w:pStyle w:val="Heading2"/>
        <w:numPr>
          <w:ilvl w:val="0"/>
          <w:numId w:val="10"/>
        </w:numPr>
        <w:rPr>
          <w:i/>
          <w:szCs w:val="20"/>
        </w:rPr>
      </w:pPr>
      <w:bookmarkStart w:id="35" w:name="_Toc447112135"/>
      <w:bookmarkStart w:id="36" w:name="_Toc498333495"/>
      <w:r w:rsidRPr="00C01305">
        <w:rPr>
          <w:i/>
          <w:szCs w:val="20"/>
        </w:rPr>
        <w:t>Argumentos de las partes</w:t>
      </w:r>
      <w:bookmarkEnd w:id="35"/>
      <w:r w:rsidRPr="00C01305">
        <w:rPr>
          <w:i/>
          <w:szCs w:val="20"/>
        </w:rPr>
        <w:t xml:space="preserve"> y de la Comisión</w:t>
      </w:r>
      <w:bookmarkEnd w:id="36"/>
    </w:p>
    <w:p w14:paraId="19404AC6" w14:textId="77777777" w:rsidR="004D6B60" w:rsidRPr="00604459" w:rsidRDefault="004D6B60" w:rsidP="005D0F69">
      <w:pPr>
        <w:keepNext/>
        <w:keepLines/>
        <w:jc w:val="both"/>
        <w:outlineLvl w:val="1"/>
        <w:rPr>
          <w:rFonts w:ascii="Verdana" w:eastAsia="Times New Roman" w:hAnsi="Verdana"/>
          <w:b/>
          <w:bCs/>
          <w:i/>
          <w:sz w:val="20"/>
          <w:szCs w:val="20"/>
          <w:lang w:val="es-ES"/>
        </w:rPr>
      </w:pPr>
    </w:p>
    <w:p w14:paraId="38B41E3C" w14:textId="3A031F99" w:rsidR="00C01305" w:rsidRPr="005B3D37" w:rsidRDefault="004D6B60" w:rsidP="00E66DD7">
      <w:pPr>
        <w:pStyle w:val="Heading3"/>
        <w:numPr>
          <w:ilvl w:val="0"/>
          <w:numId w:val="18"/>
        </w:numPr>
        <w:rPr>
          <w:b w:val="0"/>
          <w:bCs w:val="0"/>
          <w:i/>
          <w:iCs/>
          <w:szCs w:val="20"/>
        </w:rPr>
      </w:pPr>
      <w:bookmarkStart w:id="37" w:name="_Toc498333496"/>
      <w:r w:rsidRPr="005B3D37">
        <w:rPr>
          <w:i/>
          <w:iCs/>
          <w:szCs w:val="20"/>
        </w:rPr>
        <w:t>Relativos a la libertad de expresión y a las garantías judiciales</w:t>
      </w:r>
      <w:bookmarkEnd w:id="37"/>
    </w:p>
    <w:p w14:paraId="30000091" w14:textId="77777777" w:rsidR="004D6B60" w:rsidRPr="00C01305" w:rsidRDefault="004D6B60" w:rsidP="005D0F69">
      <w:pPr>
        <w:keepNext/>
        <w:keepLines/>
        <w:jc w:val="both"/>
        <w:outlineLvl w:val="1"/>
        <w:rPr>
          <w:rFonts w:ascii="Verdana" w:eastAsia="Times New Roman" w:hAnsi="Verdana"/>
          <w:b/>
          <w:bCs/>
          <w:i/>
          <w:sz w:val="20"/>
          <w:szCs w:val="20"/>
          <w:lang w:val="es-ES"/>
        </w:rPr>
      </w:pPr>
    </w:p>
    <w:p w14:paraId="70F8C0C8" w14:textId="4AF6412A" w:rsidR="00C01305" w:rsidRPr="00557859" w:rsidRDefault="00C01305" w:rsidP="00E66DD7">
      <w:pPr>
        <w:numPr>
          <w:ilvl w:val="0"/>
          <w:numId w:val="1"/>
        </w:numPr>
        <w:autoSpaceDE w:val="0"/>
        <w:autoSpaceDN w:val="0"/>
        <w:adjustRightInd w:val="0"/>
        <w:ind w:left="0" w:firstLine="0"/>
        <w:contextualSpacing/>
        <w:jc w:val="both"/>
        <w:rPr>
          <w:sz w:val="20"/>
          <w:szCs w:val="20"/>
        </w:rPr>
      </w:pPr>
      <w:r w:rsidRPr="00C01305">
        <w:rPr>
          <w:rFonts w:ascii="Verdana" w:hAnsi="Verdana"/>
          <w:sz w:val="20"/>
          <w:szCs w:val="20"/>
          <w:lang w:val="es-ES"/>
        </w:rPr>
        <w:t>Respecto de la libertad de expresión,</w:t>
      </w:r>
      <w:r w:rsidRPr="00C01305">
        <w:rPr>
          <w:rFonts w:ascii="Verdana" w:hAnsi="Verdana"/>
          <w:sz w:val="20"/>
          <w:szCs w:val="20"/>
          <w:lang w:val="es-MX"/>
        </w:rPr>
        <w:t xml:space="preserve"> la </w:t>
      </w:r>
      <w:r w:rsidRPr="00C01305">
        <w:rPr>
          <w:rFonts w:ascii="Verdana" w:hAnsi="Verdana"/>
          <w:b/>
          <w:i/>
          <w:sz w:val="20"/>
          <w:szCs w:val="20"/>
          <w:lang w:val="es-MX"/>
        </w:rPr>
        <w:t>Comisión</w:t>
      </w:r>
      <w:r w:rsidRPr="00C01305">
        <w:rPr>
          <w:rFonts w:ascii="Verdana" w:hAnsi="Verdana"/>
          <w:sz w:val="20"/>
          <w:szCs w:val="20"/>
          <w:lang w:val="es-MX"/>
        </w:rPr>
        <w:t xml:space="preserve"> alegó</w:t>
      </w:r>
      <w:r w:rsidR="000F0E92">
        <w:rPr>
          <w:rFonts w:ascii="Verdana" w:hAnsi="Verdana"/>
          <w:sz w:val="20"/>
          <w:szCs w:val="20"/>
          <w:lang w:val="es-MX"/>
        </w:rPr>
        <w:t xml:space="preserve"> </w:t>
      </w:r>
      <w:r w:rsidRPr="00C01305">
        <w:rPr>
          <w:rFonts w:ascii="Verdana" w:hAnsi="Verdana"/>
          <w:sz w:val="20"/>
          <w:szCs w:val="20"/>
          <w:lang w:val="es-MX"/>
        </w:rPr>
        <w:t xml:space="preserve">que </w:t>
      </w:r>
      <w:r w:rsidRPr="00C01305">
        <w:rPr>
          <w:rFonts w:ascii="Verdana" w:hAnsi="Verdana"/>
          <w:sz w:val="20"/>
          <w:szCs w:val="20"/>
          <w:lang w:val="es-ES" w:eastAsia="es-ES"/>
        </w:rPr>
        <w:t>las manifestaciones del señor Lagos del Campo deben entenderse como parte de su labor como representante de una colectividad de trabajadores, los cuales gozan de una mayor protección bajo la Convención Americana.</w:t>
      </w:r>
      <w:r w:rsidRPr="00C01305">
        <w:rPr>
          <w:rFonts w:ascii="Verdana" w:hAnsi="Verdana"/>
          <w:sz w:val="20"/>
          <w:szCs w:val="20"/>
          <w:lang w:val="es-MX"/>
        </w:rPr>
        <w:t xml:space="preserve"> De</w:t>
      </w:r>
      <w:r w:rsidRPr="00C01305">
        <w:rPr>
          <w:rFonts w:ascii="Verdana" w:hAnsi="Verdana"/>
          <w:sz w:val="20"/>
          <w:szCs w:val="20"/>
          <w:lang w:val="es-ES" w:eastAsia="es-ES"/>
        </w:rPr>
        <w:t xml:space="preserve"> la lectura integral de la entrevista publicada en la revista “La Razón” es evidente que el objeto de las declaraciones fue denunciar y llamar la atención sobre actos de injerencia indebida de los empleadores en la vida de las organizaciones representativas de los trabajadores y en la realización de elecciones internas de la Comunidad Industrial,</w:t>
      </w:r>
      <w:r w:rsidR="00F41D30">
        <w:rPr>
          <w:rFonts w:ascii="Verdana" w:hAnsi="Verdana"/>
          <w:b/>
          <w:sz w:val="20"/>
          <w:szCs w:val="20"/>
          <w:lang w:val="es-ES"/>
        </w:rPr>
        <w:t xml:space="preserve"> </w:t>
      </w:r>
      <w:r w:rsidR="001B481A" w:rsidRPr="00333304">
        <w:rPr>
          <w:rFonts w:ascii="Verdana" w:hAnsi="Verdana"/>
          <w:sz w:val="20"/>
          <w:szCs w:val="20"/>
          <w:lang w:val="es-MX" w:eastAsia="es-ES"/>
        </w:rPr>
        <w:t>puesto</w:t>
      </w:r>
      <w:r w:rsidRPr="00C01305">
        <w:rPr>
          <w:rFonts w:ascii="Verdana" w:hAnsi="Verdana"/>
          <w:sz w:val="20"/>
          <w:szCs w:val="20"/>
          <w:lang w:val="es-ES" w:eastAsia="es-ES"/>
        </w:rPr>
        <w:t xml:space="preserve"> que se trataba de elecciones que impactaban el ejercicio de los derechos de los trabajadores.</w:t>
      </w:r>
      <w:r w:rsidRPr="00C01305">
        <w:rPr>
          <w:rFonts w:ascii="Verdana" w:hAnsi="Verdana"/>
          <w:sz w:val="20"/>
          <w:szCs w:val="20"/>
          <w:lang w:val="es-MX"/>
        </w:rPr>
        <w:t xml:space="preserve"> Por ello, no resulta probado que la sanción fuera verdaderamente necesaria en una sociedad democrática, pues involucra un evidente interés público.</w:t>
      </w:r>
      <w:r w:rsidR="00F41D30">
        <w:rPr>
          <w:rFonts w:ascii="Verdana" w:hAnsi="Verdana"/>
          <w:b/>
          <w:sz w:val="20"/>
          <w:szCs w:val="20"/>
          <w:lang w:val="es-MX"/>
        </w:rPr>
        <w:t xml:space="preserve"> </w:t>
      </w:r>
      <w:r w:rsidR="002E04A3" w:rsidRPr="00557859">
        <w:rPr>
          <w:rFonts w:ascii="Verdana" w:hAnsi="Verdana"/>
          <w:sz w:val="20"/>
          <w:szCs w:val="20"/>
          <w:lang w:val="es-MX"/>
        </w:rPr>
        <w:t>Agregó</w:t>
      </w:r>
      <w:r w:rsidR="002E04A3">
        <w:rPr>
          <w:rFonts w:ascii="Verdana" w:hAnsi="Verdana"/>
          <w:sz w:val="20"/>
          <w:szCs w:val="20"/>
          <w:lang w:val="es-MX"/>
        </w:rPr>
        <w:t>,</w:t>
      </w:r>
      <w:r w:rsidR="002E04A3" w:rsidRPr="00557859">
        <w:rPr>
          <w:rFonts w:ascii="Verdana" w:hAnsi="Verdana"/>
          <w:sz w:val="20"/>
          <w:szCs w:val="20"/>
          <w:lang w:val="es-MX"/>
        </w:rPr>
        <w:t xml:space="preserve"> que</w:t>
      </w:r>
      <w:r w:rsidR="002E04A3">
        <w:rPr>
          <w:rFonts w:ascii="Verdana" w:hAnsi="Verdana"/>
          <w:b/>
          <w:sz w:val="20"/>
          <w:szCs w:val="20"/>
          <w:lang w:val="es-MX"/>
        </w:rPr>
        <w:t xml:space="preserve"> </w:t>
      </w:r>
      <w:r w:rsidR="002E04A3">
        <w:rPr>
          <w:rFonts w:ascii="Verdana" w:hAnsi="Verdana"/>
          <w:sz w:val="20"/>
          <w:szCs w:val="20"/>
          <w:lang w:val="es-MX"/>
        </w:rPr>
        <w:t>e</w:t>
      </w:r>
      <w:r w:rsidRPr="00C01305">
        <w:rPr>
          <w:rFonts w:ascii="Verdana" w:hAnsi="Verdana"/>
          <w:sz w:val="20"/>
          <w:szCs w:val="20"/>
          <w:lang w:val="es-MX"/>
        </w:rPr>
        <w:t>l Estado no demostró que el despido responda a una necesidad social imperiosa, ni se puede sostener que sea proporcionada al fin que se persigue</w:t>
      </w:r>
      <w:r w:rsidRPr="00557859">
        <w:rPr>
          <w:rFonts w:ascii="Verdana" w:hAnsi="Verdana"/>
          <w:sz w:val="20"/>
          <w:szCs w:val="20"/>
          <w:vertAlign w:val="superscript"/>
          <w:lang w:val="es-MX"/>
        </w:rPr>
        <w:footnoteReference w:id="110"/>
      </w:r>
      <w:r w:rsidRPr="00557859">
        <w:rPr>
          <w:rFonts w:ascii="Verdana" w:hAnsi="Verdana"/>
          <w:sz w:val="20"/>
          <w:szCs w:val="20"/>
          <w:lang w:val="es-MX"/>
        </w:rPr>
        <w:t>.</w:t>
      </w:r>
      <w:r w:rsidRPr="00C01305">
        <w:rPr>
          <w:rFonts w:ascii="Verdana" w:hAnsi="Verdana"/>
          <w:b/>
          <w:sz w:val="20"/>
          <w:szCs w:val="20"/>
          <w:lang w:val="es-MX"/>
        </w:rPr>
        <w:t xml:space="preserve"> </w:t>
      </w:r>
      <w:r w:rsidR="00EA03AE" w:rsidRPr="00557859">
        <w:rPr>
          <w:rFonts w:ascii="Verdana" w:hAnsi="Verdana"/>
          <w:sz w:val="20"/>
          <w:szCs w:val="20"/>
        </w:rPr>
        <w:t xml:space="preserve">Adicionalmente, </w:t>
      </w:r>
      <w:r w:rsidR="00EA03AE" w:rsidRPr="00557859">
        <w:rPr>
          <w:rFonts w:ascii="Verdana" w:hAnsi="Verdana"/>
          <w:sz w:val="20"/>
          <w:szCs w:val="20"/>
          <w:lang w:val="es-ES" w:eastAsia="es-ES"/>
        </w:rPr>
        <w:t>la Comisión también alegó que las afirmaciones del señor Lagos del Campo pudieron ser investigadas, rectificadas o aclaradas por la empresa y que existían otros medios menos lesivos que el despido, mediante los cuales la empresa pudo aclarar la información y haber defendido el honor de quienes se sintieron afectados. Aunado a que la aplicación de restricciones a la libertad de expresión para la protección de fines legítimos, no puede conducir a la imposición de un deber de lealtad absoluta hacia los empleadores ni a la sujeción del trabajador</w:t>
      </w:r>
      <w:r w:rsidR="00022E85">
        <w:rPr>
          <w:rFonts w:ascii="Verdana" w:hAnsi="Verdana"/>
          <w:sz w:val="20"/>
          <w:szCs w:val="20"/>
          <w:lang w:val="es-ES" w:eastAsia="es-ES"/>
        </w:rPr>
        <w:t xml:space="preserve"> </w:t>
      </w:r>
      <w:r w:rsidR="00022E85" w:rsidRPr="00333304">
        <w:rPr>
          <w:rFonts w:ascii="Verdana" w:hAnsi="Verdana" w:cs="Arial"/>
          <w:sz w:val="20"/>
          <w:szCs w:val="20"/>
          <w:shd w:val="clear" w:color="auto" w:fill="FFFFFF"/>
        </w:rPr>
        <w:t>—</w:t>
      </w:r>
      <w:r w:rsidR="00EA03AE" w:rsidRPr="003304E1">
        <w:rPr>
          <w:rFonts w:ascii="Verdana" w:hAnsi="Verdana"/>
          <w:sz w:val="20"/>
          <w:szCs w:val="20"/>
          <w:lang w:val="es-ES" w:eastAsia="es-ES"/>
        </w:rPr>
        <w:t>e</w:t>
      </w:r>
      <w:r w:rsidR="00EA03AE" w:rsidRPr="00557859">
        <w:rPr>
          <w:rFonts w:ascii="Verdana" w:hAnsi="Verdana"/>
          <w:sz w:val="20"/>
          <w:szCs w:val="20"/>
          <w:lang w:val="es-ES" w:eastAsia="es-ES"/>
        </w:rPr>
        <w:t>specialmente si se trata de un dirigente de trabajadores</w:t>
      </w:r>
      <w:r w:rsidR="00F41D30" w:rsidRPr="006A2648">
        <w:rPr>
          <w:rFonts w:ascii="Verdana" w:hAnsi="Verdana" w:cs="Arial"/>
          <w:sz w:val="20"/>
          <w:szCs w:val="20"/>
          <w:shd w:val="clear" w:color="auto" w:fill="FFFFFF"/>
        </w:rPr>
        <w:t>—</w:t>
      </w:r>
      <w:r w:rsidR="00022E85" w:rsidRPr="00557859" w:rsidDel="00022E85">
        <w:rPr>
          <w:rFonts w:ascii="Verdana" w:hAnsi="Verdana"/>
          <w:sz w:val="20"/>
          <w:szCs w:val="20"/>
          <w:lang w:val="es-ES" w:eastAsia="es-ES"/>
        </w:rPr>
        <w:t xml:space="preserve"> </w:t>
      </w:r>
      <w:r w:rsidR="00EA03AE" w:rsidRPr="00557859">
        <w:rPr>
          <w:rFonts w:ascii="Verdana" w:hAnsi="Verdana"/>
          <w:sz w:val="20"/>
          <w:szCs w:val="20"/>
          <w:lang w:val="es-ES" w:eastAsia="es-ES"/>
        </w:rPr>
        <w:t>a los intereses del patrono.</w:t>
      </w:r>
    </w:p>
    <w:p w14:paraId="6945F76D" w14:textId="77777777" w:rsidR="0052581B" w:rsidRPr="00C01305" w:rsidRDefault="0052581B" w:rsidP="00262F28">
      <w:pPr>
        <w:autoSpaceDE w:val="0"/>
        <w:autoSpaceDN w:val="0"/>
        <w:adjustRightInd w:val="0"/>
        <w:contextualSpacing/>
        <w:jc w:val="both"/>
      </w:pPr>
    </w:p>
    <w:p w14:paraId="1870BB3C" w14:textId="1D966FEC" w:rsidR="0099759B" w:rsidRPr="00333304" w:rsidRDefault="00C01305" w:rsidP="00333304">
      <w:pPr>
        <w:numPr>
          <w:ilvl w:val="0"/>
          <w:numId w:val="1"/>
        </w:numPr>
        <w:autoSpaceDE w:val="0"/>
        <w:autoSpaceDN w:val="0"/>
        <w:adjustRightInd w:val="0"/>
        <w:ind w:left="0" w:firstLine="0"/>
        <w:contextualSpacing/>
        <w:jc w:val="both"/>
        <w:rPr>
          <w:rFonts w:ascii="Verdana" w:hAnsi="Verdana"/>
          <w:b/>
          <w:sz w:val="20"/>
          <w:szCs w:val="20"/>
          <w:lang w:val="es-MX"/>
        </w:rPr>
      </w:pPr>
      <w:r w:rsidRPr="003304E1">
        <w:rPr>
          <w:rFonts w:ascii="Verdana" w:eastAsia="MS Mincho" w:hAnsi="Verdana" w:cs="Verdana"/>
          <w:sz w:val="20"/>
          <w:szCs w:val="20"/>
          <w:lang w:val="es-ES" w:eastAsia="es-ES"/>
        </w:rPr>
        <w:t xml:space="preserve">Por lo que hace a las garantías judiciales, la </w:t>
      </w:r>
      <w:r w:rsidRPr="003304E1">
        <w:rPr>
          <w:rFonts w:ascii="Verdana" w:eastAsia="MS Mincho" w:hAnsi="Verdana" w:cs="Verdana"/>
          <w:bCs/>
          <w:iCs/>
          <w:sz w:val="20"/>
          <w:szCs w:val="20"/>
          <w:lang w:val="es-ES" w:eastAsia="es-ES"/>
        </w:rPr>
        <w:t xml:space="preserve">Comisión </w:t>
      </w:r>
      <w:r w:rsidRPr="003304E1">
        <w:rPr>
          <w:rFonts w:ascii="Verdana" w:hAnsi="Verdana"/>
          <w:sz w:val="20"/>
          <w:szCs w:val="20"/>
          <w:lang w:val="es-MX"/>
        </w:rPr>
        <w:t>ale</w:t>
      </w:r>
      <w:r w:rsidRPr="006C2E34">
        <w:rPr>
          <w:rFonts w:ascii="Verdana" w:hAnsi="Verdana"/>
          <w:sz w:val="20"/>
          <w:szCs w:val="20"/>
          <w:lang w:val="es-MX"/>
        </w:rPr>
        <w:t xml:space="preserve">gó que los tribunales peruanos violaron el artículo 8.1 de la Convención Americana en relación </w:t>
      </w:r>
      <w:r w:rsidR="002E04A3" w:rsidRPr="00691B72">
        <w:rPr>
          <w:rFonts w:ascii="Verdana" w:hAnsi="Verdana"/>
          <w:sz w:val="20"/>
          <w:szCs w:val="20"/>
          <w:lang w:val="es-MX"/>
        </w:rPr>
        <w:t>con el</w:t>
      </w:r>
      <w:r w:rsidRPr="00DE6464">
        <w:rPr>
          <w:rFonts w:ascii="Verdana" w:hAnsi="Verdana"/>
          <w:sz w:val="20"/>
          <w:szCs w:val="20"/>
          <w:lang w:val="es-MX"/>
        </w:rPr>
        <w:t xml:space="preserve"> deber de motivación, </w:t>
      </w:r>
      <w:r w:rsidR="00753933" w:rsidRPr="00333304">
        <w:rPr>
          <w:rFonts w:ascii="Verdana" w:hAnsi="Verdana"/>
          <w:sz w:val="20"/>
          <w:szCs w:val="20"/>
          <w:lang w:val="es-MX"/>
        </w:rPr>
        <w:t>debido a</w:t>
      </w:r>
      <w:r w:rsidR="001B481A" w:rsidRPr="003304E1">
        <w:rPr>
          <w:rFonts w:ascii="Verdana" w:hAnsi="Verdana"/>
          <w:sz w:val="20"/>
          <w:szCs w:val="20"/>
          <w:lang w:val="es-MX"/>
        </w:rPr>
        <w:t xml:space="preserve"> </w:t>
      </w:r>
      <w:r w:rsidRPr="003304E1">
        <w:rPr>
          <w:rFonts w:ascii="Verdana" w:hAnsi="Verdana"/>
          <w:sz w:val="20"/>
          <w:szCs w:val="20"/>
          <w:lang w:val="es-MX"/>
        </w:rPr>
        <w:t>que la sentencia que confirmó el despido</w:t>
      </w:r>
      <w:r w:rsidR="002E04A3" w:rsidRPr="003304E1">
        <w:rPr>
          <w:rFonts w:ascii="Verdana" w:hAnsi="Verdana"/>
          <w:sz w:val="20"/>
          <w:szCs w:val="20"/>
          <w:lang w:val="es-MX"/>
        </w:rPr>
        <w:t xml:space="preserve"> </w:t>
      </w:r>
      <w:r w:rsidRPr="006C2E34">
        <w:rPr>
          <w:rFonts w:ascii="Verdana" w:hAnsi="Verdana"/>
          <w:sz w:val="20"/>
          <w:szCs w:val="20"/>
          <w:lang w:val="es-MX"/>
        </w:rPr>
        <w:t>fue “equivalente a una providencia de mero trámite</w:t>
      </w:r>
      <w:r w:rsidR="0099759B" w:rsidRPr="00DE6464">
        <w:rPr>
          <w:rFonts w:ascii="Verdana" w:hAnsi="Verdana"/>
          <w:sz w:val="20"/>
          <w:szCs w:val="20"/>
          <w:lang w:val="es-MX"/>
        </w:rPr>
        <w:t xml:space="preserve"> </w:t>
      </w:r>
      <w:r w:rsidRPr="00315E10">
        <w:rPr>
          <w:rFonts w:ascii="Verdana" w:hAnsi="Verdana"/>
          <w:sz w:val="20"/>
          <w:szCs w:val="20"/>
          <w:lang w:val="es-MX"/>
        </w:rPr>
        <w:t>que se limitó a dar visto bueno a la medida adoptada por el empleador</w:t>
      </w:r>
      <w:r w:rsidR="0099759B" w:rsidRPr="00315E10">
        <w:rPr>
          <w:rFonts w:ascii="Verdana" w:hAnsi="Verdana"/>
          <w:sz w:val="20"/>
          <w:szCs w:val="20"/>
          <w:lang w:val="es-MX"/>
        </w:rPr>
        <w:t>”.</w:t>
      </w:r>
      <w:r w:rsidRPr="00315E10">
        <w:rPr>
          <w:rFonts w:ascii="Verdana" w:hAnsi="Verdana"/>
          <w:sz w:val="20"/>
          <w:szCs w:val="20"/>
          <w:lang w:val="es-MX"/>
        </w:rPr>
        <w:t xml:space="preserve"> Esta falta de motivación resulta más gravosa si se toma en cuenta que el fallo revirtió la sentencia de primera instancia que le había otorgado la razón al trabajador</w:t>
      </w:r>
      <w:r w:rsidR="0099759B">
        <w:rPr>
          <w:rFonts w:ascii="Verdana" w:hAnsi="Verdana"/>
          <w:sz w:val="20"/>
          <w:szCs w:val="20"/>
          <w:lang w:val="es-MX"/>
        </w:rPr>
        <w:t>.</w:t>
      </w:r>
    </w:p>
    <w:p w14:paraId="14F5CCCC" w14:textId="77777777" w:rsidR="004D6B60" w:rsidRPr="003304E1" w:rsidRDefault="004D6B60" w:rsidP="00333304">
      <w:pPr>
        <w:autoSpaceDE w:val="0"/>
        <w:autoSpaceDN w:val="0"/>
        <w:adjustRightInd w:val="0"/>
        <w:contextualSpacing/>
        <w:jc w:val="both"/>
        <w:rPr>
          <w:rFonts w:ascii="Verdana" w:hAnsi="Verdana"/>
          <w:b/>
          <w:sz w:val="20"/>
          <w:szCs w:val="20"/>
          <w:lang w:val="es-MX"/>
        </w:rPr>
      </w:pPr>
    </w:p>
    <w:p w14:paraId="5A61A9FE" w14:textId="2370716E" w:rsidR="004D6B60" w:rsidRPr="005D0F69" w:rsidRDefault="004D6B60" w:rsidP="00E66DD7">
      <w:pPr>
        <w:numPr>
          <w:ilvl w:val="0"/>
          <w:numId w:val="1"/>
        </w:numPr>
        <w:ind w:left="0" w:firstLine="0"/>
        <w:contextualSpacing/>
        <w:jc w:val="both"/>
        <w:rPr>
          <w:rFonts w:ascii="Verdana" w:hAnsi="Verdana"/>
          <w:sz w:val="20"/>
          <w:szCs w:val="20"/>
          <w:lang w:val="es-ES"/>
        </w:rPr>
      </w:pPr>
      <w:r w:rsidRPr="00C01305">
        <w:rPr>
          <w:rFonts w:ascii="Verdana" w:hAnsi="Verdana"/>
          <w:sz w:val="20"/>
          <w:szCs w:val="20"/>
          <w:lang w:val="es-MX"/>
        </w:rPr>
        <w:t xml:space="preserve">Respecto de la libertad de expresión, los </w:t>
      </w:r>
      <w:r w:rsidRPr="00C01305">
        <w:rPr>
          <w:rFonts w:ascii="Verdana" w:hAnsi="Verdana"/>
          <w:b/>
          <w:i/>
          <w:sz w:val="20"/>
          <w:szCs w:val="20"/>
          <w:lang w:val="es-MX"/>
        </w:rPr>
        <w:t xml:space="preserve">representantes, </w:t>
      </w:r>
      <w:r w:rsidRPr="00C01305">
        <w:rPr>
          <w:rFonts w:ascii="Verdana" w:hAnsi="Verdana"/>
          <w:sz w:val="20"/>
          <w:szCs w:val="20"/>
          <w:lang w:val="es-MX"/>
        </w:rPr>
        <w:t xml:space="preserve">coincidieron en líneas generales con la Comisión y </w:t>
      </w:r>
      <w:r>
        <w:rPr>
          <w:rFonts w:ascii="Verdana" w:hAnsi="Verdana"/>
          <w:sz w:val="20"/>
          <w:szCs w:val="20"/>
          <w:lang w:val="es-MX"/>
        </w:rPr>
        <w:t>enfatizaron</w:t>
      </w:r>
      <w:r w:rsidRPr="00C01305">
        <w:rPr>
          <w:rFonts w:ascii="Verdana" w:hAnsi="Verdana"/>
          <w:sz w:val="20"/>
          <w:szCs w:val="20"/>
          <w:lang w:val="es-MX"/>
        </w:rPr>
        <w:t xml:space="preserve"> que las declaraciones del señor Lagos del Campo fueron </w:t>
      </w:r>
      <w:r w:rsidRPr="00C01305">
        <w:rPr>
          <w:rFonts w:ascii="Verdana" w:hAnsi="Verdana"/>
          <w:sz w:val="20"/>
          <w:szCs w:val="20"/>
          <w:lang w:val="es-MX"/>
        </w:rPr>
        <w:lastRenderedPageBreak/>
        <w:t>publicadas con base a su posición como representante, para que los trabajadores integrantes de la Comunidad Industrial y la opinión pública, en general, pudiera</w:t>
      </w:r>
      <w:r w:rsidR="0099759B">
        <w:rPr>
          <w:rFonts w:ascii="Verdana" w:hAnsi="Verdana"/>
          <w:sz w:val="20"/>
          <w:szCs w:val="20"/>
          <w:lang w:val="es-MX"/>
        </w:rPr>
        <w:t>n</w:t>
      </w:r>
      <w:r w:rsidRPr="00C01305">
        <w:rPr>
          <w:rFonts w:ascii="Verdana" w:hAnsi="Verdana"/>
          <w:sz w:val="20"/>
          <w:szCs w:val="20"/>
          <w:lang w:val="es-MX"/>
        </w:rPr>
        <w:t xml:space="preserve"> conocer el manejo de las elecciones, dentro del conflictivo ámbito laboral</w:t>
      </w:r>
      <w:r>
        <w:rPr>
          <w:rFonts w:ascii="Verdana" w:hAnsi="Verdana"/>
          <w:sz w:val="20"/>
          <w:szCs w:val="20"/>
          <w:lang w:val="es-MX"/>
        </w:rPr>
        <w:t xml:space="preserve"> </w:t>
      </w:r>
      <w:r w:rsidRPr="006B6319">
        <w:rPr>
          <w:rFonts w:ascii="Verdana" w:hAnsi="Verdana"/>
          <w:sz w:val="20"/>
          <w:szCs w:val="20"/>
          <w:lang w:val="es-MX"/>
        </w:rPr>
        <w:t>y</w:t>
      </w:r>
      <w:r w:rsidRPr="00557859">
        <w:rPr>
          <w:rFonts w:ascii="Verdana" w:hAnsi="Verdana"/>
          <w:sz w:val="20"/>
          <w:szCs w:val="20"/>
          <w:lang w:val="es-ES"/>
        </w:rPr>
        <w:t xml:space="preserve"> dado el contexto de conflicto que rodeaba a las Comunidades Industriales, la información sobre irregularidades al interior de estas era de interés público. </w:t>
      </w:r>
      <w:r w:rsidRPr="00C01305">
        <w:rPr>
          <w:rFonts w:ascii="Verdana" w:hAnsi="Verdana"/>
          <w:sz w:val="20"/>
          <w:szCs w:val="20"/>
          <w:lang w:val="es-ES"/>
        </w:rPr>
        <w:t xml:space="preserve">Los representantes manifestaron que dicha información era importante para el debate abierto de una sociedad democrática y para los 220 empleados y obreros que trabajaban para </w:t>
      </w:r>
      <w:proofErr w:type="spellStart"/>
      <w:r w:rsidRPr="006A2D03">
        <w:rPr>
          <w:rFonts w:ascii="Verdana" w:hAnsi="Verdana"/>
          <w:i/>
          <w:sz w:val="20"/>
          <w:szCs w:val="20"/>
          <w:lang w:val="es-ES"/>
        </w:rPr>
        <w:t>Ceper-Pirelli</w:t>
      </w:r>
      <w:proofErr w:type="spellEnd"/>
      <w:r w:rsidRPr="00C01305">
        <w:rPr>
          <w:rFonts w:ascii="Verdana" w:hAnsi="Verdana"/>
          <w:sz w:val="20"/>
          <w:szCs w:val="20"/>
          <w:lang w:val="es-ES"/>
        </w:rPr>
        <w:t xml:space="preserve"> en ese momento</w:t>
      </w:r>
      <w:r w:rsidRPr="000E40FD">
        <w:rPr>
          <w:rFonts w:ascii="Verdana" w:hAnsi="Verdana"/>
          <w:sz w:val="20"/>
          <w:szCs w:val="20"/>
          <w:lang w:val="es-ES"/>
        </w:rPr>
        <w:t xml:space="preserve">. </w:t>
      </w:r>
      <w:r>
        <w:rPr>
          <w:rFonts w:ascii="Verdana" w:hAnsi="Verdana"/>
          <w:sz w:val="20"/>
          <w:szCs w:val="20"/>
          <w:lang w:val="es-ES"/>
        </w:rPr>
        <w:t>R</w:t>
      </w:r>
      <w:r w:rsidRPr="00C01305">
        <w:rPr>
          <w:rFonts w:ascii="Verdana" w:hAnsi="Verdana"/>
          <w:sz w:val="20"/>
          <w:szCs w:val="20"/>
          <w:lang w:val="es-ES"/>
        </w:rPr>
        <w:t>efirieron que si bien el Segundo Tribunal del Trabajo realizó una interpretación conforme a la Ley N° 24514, al tratarse de una limitación a la libertad de expresión debió ponderar entre éste y el derecho a la reputación, los cuales se encontraban en conflict</w:t>
      </w:r>
      <w:r w:rsidR="00AD5EEE" w:rsidRPr="00333304">
        <w:rPr>
          <w:rFonts w:ascii="Verdana" w:hAnsi="Verdana"/>
          <w:sz w:val="20"/>
          <w:szCs w:val="20"/>
          <w:lang w:val="es-ES"/>
        </w:rPr>
        <w:t>o.</w:t>
      </w:r>
      <w:r w:rsidRPr="00C01305">
        <w:rPr>
          <w:rFonts w:ascii="Verdana" w:hAnsi="Verdana"/>
          <w:b/>
          <w:sz w:val="20"/>
          <w:szCs w:val="20"/>
          <w:lang w:val="es-MX"/>
        </w:rPr>
        <w:t xml:space="preserve"> </w:t>
      </w:r>
      <w:r w:rsidRPr="00C01305">
        <w:rPr>
          <w:rFonts w:ascii="Verdana" w:hAnsi="Verdana"/>
          <w:sz w:val="20"/>
          <w:szCs w:val="20"/>
        </w:rPr>
        <w:t xml:space="preserve">Además, manifestaron que la sanción </w:t>
      </w:r>
      <w:r w:rsidRPr="00C01305">
        <w:rPr>
          <w:rFonts w:ascii="Verdana" w:hAnsi="Verdana"/>
          <w:sz w:val="20"/>
          <w:szCs w:val="20"/>
          <w:lang w:val="es-MX"/>
        </w:rPr>
        <w:t>no fue necesaria en una sociedad democrática y tampoco era proporcional en relación con la alegada afectación del derecho a la honra de la empresa y del personal.</w:t>
      </w:r>
      <w:r w:rsidRPr="00C01305">
        <w:rPr>
          <w:rFonts w:ascii="Verdana" w:hAnsi="Verdana"/>
          <w:b/>
          <w:sz w:val="20"/>
          <w:szCs w:val="20"/>
          <w:lang w:val="es-MX"/>
        </w:rPr>
        <w:t xml:space="preserve"> </w:t>
      </w:r>
      <w:r>
        <w:rPr>
          <w:rFonts w:ascii="Verdana" w:hAnsi="Verdana"/>
          <w:sz w:val="20"/>
          <w:szCs w:val="20"/>
          <w:lang w:val="es-ES"/>
        </w:rPr>
        <w:t>Estimaron que</w:t>
      </w:r>
      <w:r w:rsidRPr="00C01305">
        <w:rPr>
          <w:rFonts w:ascii="Verdana" w:hAnsi="Verdana"/>
          <w:sz w:val="20"/>
          <w:szCs w:val="20"/>
          <w:lang w:val="es-ES"/>
        </w:rPr>
        <w:t xml:space="preserve"> una sanción civil como un despido puede ser más intimidante que una sanción penal, en tanto tiene la potencialidad de comprometer la vida personal y familiar.</w:t>
      </w:r>
      <w:r w:rsidR="00AD5EEE">
        <w:rPr>
          <w:rFonts w:ascii="Verdana" w:hAnsi="Verdana"/>
          <w:sz w:val="20"/>
          <w:szCs w:val="20"/>
          <w:lang w:val="es-ES"/>
        </w:rPr>
        <w:t xml:space="preserve"> </w:t>
      </w:r>
      <w:r w:rsidRPr="00557859">
        <w:rPr>
          <w:rFonts w:ascii="Verdana" w:hAnsi="Verdana"/>
          <w:sz w:val="20"/>
          <w:szCs w:val="20"/>
          <w:lang w:val="es-ES"/>
        </w:rPr>
        <w:t>Sin perjuicio de lo anterior</w:t>
      </w:r>
      <w:r w:rsidRPr="006B6319">
        <w:rPr>
          <w:rFonts w:ascii="Verdana" w:hAnsi="Verdana"/>
          <w:sz w:val="20"/>
          <w:szCs w:val="20"/>
          <w:lang w:val="es-ES"/>
        </w:rPr>
        <w:t xml:space="preserve">, los representantes estimaron que ante la existencia de un conflicto entre los derechos presuntamente vulnerados, las personas que se sentían injuriadas o </w:t>
      </w:r>
      <w:r w:rsidRPr="00B84DB1">
        <w:rPr>
          <w:rFonts w:ascii="Verdana" w:hAnsi="Verdana"/>
          <w:sz w:val="20"/>
          <w:szCs w:val="20"/>
          <w:lang w:val="es-ES"/>
        </w:rPr>
        <w:t>difamadas podían iniciar una denuncia penal en contra del señor Lagos de Campo por los delitos contra el honor o, en su caso, solicitar una rectificación de conformidad con el Estatuto de Libertad de Prensa.</w:t>
      </w:r>
    </w:p>
    <w:p w14:paraId="44E13C1A" w14:textId="77777777" w:rsidR="004D6B60" w:rsidRDefault="004D6B60" w:rsidP="005D0F69">
      <w:pPr>
        <w:contextualSpacing/>
        <w:jc w:val="both"/>
        <w:rPr>
          <w:rFonts w:ascii="Verdana" w:hAnsi="Verdana"/>
          <w:sz w:val="20"/>
          <w:szCs w:val="20"/>
          <w:lang w:val="es-ES"/>
        </w:rPr>
      </w:pPr>
    </w:p>
    <w:p w14:paraId="5D9B87B6" w14:textId="6BA607A4" w:rsidR="004D6B60" w:rsidRPr="00557859" w:rsidRDefault="004D6B60" w:rsidP="00E66DD7">
      <w:pPr>
        <w:numPr>
          <w:ilvl w:val="0"/>
          <w:numId w:val="1"/>
        </w:numPr>
        <w:ind w:left="0" w:hanging="11"/>
        <w:contextualSpacing/>
        <w:jc w:val="both"/>
        <w:rPr>
          <w:rFonts w:ascii="Verdana" w:hAnsi="Verdana"/>
          <w:strike/>
          <w:sz w:val="20"/>
          <w:lang w:val="es-CR"/>
        </w:rPr>
      </w:pPr>
      <w:r w:rsidRPr="00557859">
        <w:rPr>
          <w:rFonts w:ascii="Verdana" w:eastAsia="MS Mincho" w:hAnsi="Verdana" w:cs="Verdana"/>
          <w:sz w:val="20"/>
          <w:szCs w:val="20"/>
          <w:lang w:val="es-ES" w:eastAsia="es-ES"/>
        </w:rPr>
        <w:t>R</w:t>
      </w:r>
      <w:r w:rsidRPr="00B84DB1">
        <w:rPr>
          <w:rFonts w:ascii="Verdana" w:eastAsia="MS Mincho" w:hAnsi="Verdana" w:cs="Verdana"/>
          <w:sz w:val="20"/>
          <w:szCs w:val="20"/>
          <w:lang w:val="es-ES" w:eastAsia="es-ES"/>
        </w:rPr>
        <w:t>especto de las garantías judiciales</w:t>
      </w:r>
      <w:r w:rsidRPr="00557859">
        <w:rPr>
          <w:rFonts w:ascii="Verdana" w:eastAsia="MS Mincho" w:hAnsi="Verdana" w:cs="Verdana"/>
          <w:sz w:val="20"/>
          <w:szCs w:val="20"/>
          <w:lang w:val="es-ES" w:eastAsia="es-ES"/>
        </w:rPr>
        <w:t>,</w:t>
      </w:r>
      <w:r w:rsidRPr="00B84DB1">
        <w:rPr>
          <w:rFonts w:ascii="Verdana" w:eastAsia="MS Mincho" w:hAnsi="Verdana" w:cs="Verdana"/>
          <w:sz w:val="20"/>
          <w:szCs w:val="20"/>
          <w:lang w:val="es-ES" w:eastAsia="es-ES"/>
        </w:rPr>
        <w:t xml:space="preserve"> </w:t>
      </w:r>
      <w:r w:rsidRPr="00557859">
        <w:rPr>
          <w:rFonts w:ascii="Verdana" w:eastAsia="MS Mincho" w:hAnsi="Verdana" w:cs="Verdana"/>
          <w:sz w:val="20"/>
          <w:szCs w:val="20"/>
          <w:lang w:val="es-ES" w:eastAsia="es-ES"/>
        </w:rPr>
        <w:t xml:space="preserve">los </w:t>
      </w:r>
      <w:r w:rsidRPr="00557859">
        <w:rPr>
          <w:rFonts w:ascii="Verdana" w:eastAsia="MS Mincho" w:hAnsi="Verdana" w:cs="Verdana"/>
          <w:bCs/>
          <w:iCs/>
          <w:sz w:val="20"/>
          <w:szCs w:val="20"/>
          <w:lang w:val="es-ES" w:eastAsia="es-ES"/>
        </w:rPr>
        <w:t>representantes</w:t>
      </w:r>
      <w:r w:rsidRPr="00557859">
        <w:rPr>
          <w:rFonts w:ascii="Verdana" w:eastAsia="MS Mincho" w:hAnsi="Verdana" w:cs="Verdana"/>
          <w:sz w:val="20"/>
          <w:szCs w:val="20"/>
          <w:lang w:val="es-ES" w:eastAsia="es-ES"/>
        </w:rPr>
        <w:t xml:space="preserve"> afirmaron </w:t>
      </w:r>
      <w:r>
        <w:rPr>
          <w:rFonts w:ascii="Verdana" w:eastAsia="MS Mincho" w:hAnsi="Verdana" w:cs="Verdana"/>
          <w:sz w:val="20"/>
          <w:szCs w:val="20"/>
          <w:lang w:val="es-ES" w:eastAsia="es-ES"/>
        </w:rPr>
        <w:t xml:space="preserve">que </w:t>
      </w:r>
      <w:r w:rsidRPr="00557859">
        <w:rPr>
          <w:rFonts w:ascii="Verdana" w:eastAsia="MS Mincho" w:hAnsi="Verdana" w:cs="Verdana"/>
          <w:sz w:val="20"/>
          <w:szCs w:val="20"/>
          <w:lang w:val="es-ES" w:eastAsia="es-ES"/>
        </w:rPr>
        <w:t xml:space="preserve">se violó </w:t>
      </w:r>
      <w:r w:rsidRPr="00B84DB1">
        <w:rPr>
          <w:rFonts w:ascii="Verdana" w:eastAsia="MS Mincho" w:hAnsi="Verdana" w:cs="Verdana"/>
          <w:sz w:val="20"/>
          <w:szCs w:val="20"/>
          <w:lang w:val="es-ES" w:eastAsia="es-ES"/>
        </w:rPr>
        <w:t xml:space="preserve">el deber de motivación tanto en el proceso laboral como en el proceso de amparo. </w:t>
      </w:r>
      <w:r w:rsidRPr="00B84DB1">
        <w:rPr>
          <w:rFonts w:ascii="Verdana" w:hAnsi="Verdana"/>
          <w:sz w:val="20"/>
          <w:szCs w:val="20"/>
          <w:lang w:val="es-MX"/>
        </w:rPr>
        <w:t>Adicionalmente, sostuvieron que se violó el derecho a ser oído por un juez o tribunal toda vez que el Segundo Tribunal de Trabajo no brindó trámite correspondiente a las observaciones y alegaciones del señor Lagos del Campo hasta después de haber emitido sentencia. Expresaron que el derecho a ser oído incluye no sólo la posibilidad de conocer la prueba sino también analizar los argumentos de las partes.</w:t>
      </w:r>
      <w:r w:rsidR="00AD5EEE">
        <w:rPr>
          <w:rFonts w:ascii="Verdana" w:hAnsi="Verdana"/>
          <w:b/>
          <w:sz w:val="20"/>
          <w:szCs w:val="20"/>
          <w:lang w:val="es-MX"/>
        </w:rPr>
        <w:t xml:space="preserve"> </w:t>
      </w:r>
      <w:r w:rsidRPr="00B84DB1">
        <w:rPr>
          <w:rFonts w:ascii="Verdana" w:hAnsi="Verdana"/>
          <w:sz w:val="20"/>
          <w:szCs w:val="20"/>
          <w:lang w:val="es-MX"/>
        </w:rPr>
        <w:t>Lo cual, constituyó una limitación al derecho a contradecir las afirmaciones y argumentos realizados por la empresa.</w:t>
      </w:r>
    </w:p>
    <w:p w14:paraId="40E0ECD3" w14:textId="77777777" w:rsidR="004D6B60" w:rsidRPr="00B84DB1" w:rsidRDefault="004D6B60" w:rsidP="005D0F69">
      <w:pPr>
        <w:contextualSpacing/>
        <w:jc w:val="both"/>
        <w:rPr>
          <w:rFonts w:ascii="Verdana" w:hAnsi="Verdana"/>
          <w:sz w:val="20"/>
          <w:szCs w:val="20"/>
          <w:lang w:val="es-ES"/>
        </w:rPr>
      </w:pPr>
    </w:p>
    <w:p w14:paraId="64013D73" w14:textId="362EED70" w:rsidR="004D6B60" w:rsidRPr="00C01305" w:rsidRDefault="004D6B60" w:rsidP="00E66DD7">
      <w:pPr>
        <w:numPr>
          <w:ilvl w:val="0"/>
          <w:numId w:val="1"/>
        </w:numPr>
        <w:ind w:left="0" w:hanging="11"/>
        <w:contextualSpacing/>
        <w:jc w:val="both"/>
        <w:rPr>
          <w:rFonts w:ascii="Verdana" w:hAnsi="Verdana"/>
          <w:b/>
          <w:sz w:val="20"/>
          <w:szCs w:val="20"/>
          <w:lang w:val="es-MX"/>
        </w:rPr>
      </w:pPr>
      <w:r w:rsidRPr="00B84DB1">
        <w:rPr>
          <w:rFonts w:ascii="Verdana" w:hAnsi="Verdana"/>
          <w:sz w:val="20"/>
          <w:szCs w:val="20"/>
          <w:lang w:val="es-MX"/>
        </w:rPr>
        <w:t xml:space="preserve">El </w:t>
      </w:r>
      <w:r w:rsidRPr="00B84DB1">
        <w:rPr>
          <w:rFonts w:ascii="Verdana" w:hAnsi="Verdana"/>
          <w:b/>
          <w:i/>
          <w:sz w:val="20"/>
          <w:szCs w:val="20"/>
          <w:lang w:val="es-MX"/>
        </w:rPr>
        <w:t xml:space="preserve">Estado </w:t>
      </w:r>
      <w:r>
        <w:rPr>
          <w:rFonts w:ascii="Verdana" w:hAnsi="Verdana"/>
          <w:sz w:val="20"/>
          <w:szCs w:val="20"/>
          <w:lang w:val="es-MX"/>
        </w:rPr>
        <w:t>señaló</w:t>
      </w:r>
      <w:r w:rsidRPr="00B84DB1">
        <w:rPr>
          <w:rFonts w:ascii="Verdana" w:hAnsi="Verdana"/>
          <w:sz w:val="20"/>
          <w:szCs w:val="20"/>
          <w:lang w:val="es-MX"/>
        </w:rPr>
        <w:t xml:space="preserve"> que el señor Lagos del Campo al no ser dirigente sindical, no le correspondía</w:t>
      </w:r>
      <w:r w:rsidRPr="00C01305">
        <w:rPr>
          <w:rFonts w:ascii="Verdana" w:hAnsi="Verdana"/>
          <w:sz w:val="20"/>
          <w:szCs w:val="20"/>
          <w:lang w:val="es-MX"/>
        </w:rPr>
        <w:t xml:space="preserve"> una “mayor protección” y sus declaraciones </w:t>
      </w:r>
      <w:r>
        <w:rPr>
          <w:rFonts w:ascii="Verdana" w:hAnsi="Verdana"/>
          <w:sz w:val="20"/>
          <w:szCs w:val="20"/>
          <w:lang w:val="es-MX"/>
        </w:rPr>
        <w:t xml:space="preserve">no revestían </w:t>
      </w:r>
      <w:r w:rsidRPr="00C01305">
        <w:rPr>
          <w:rFonts w:ascii="Verdana" w:hAnsi="Verdana"/>
          <w:sz w:val="20"/>
          <w:szCs w:val="20"/>
          <w:lang w:val="es-MX"/>
        </w:rPr>
        <w:t xml:space="preserve">un interés público. Afirmó que el hecho de que la información fuera relevante para que los trabajadores formaran una opinión sobre la situación de las elecciones hace aún más importante que dicha información no fuera falsa o tergiversada. Asimismo, el Estado señaló que la Comisión dejó de lado la importancia de generar un debate respetuoso de opiniones e información. En este sentido, indicó que </w:t>
      </w:r>
      <w:r w:rsidR="00AD5EEE">
        <w:rPr>
          <w:rFonts w:ascii="Verdana" w:hAnsi="Verdana"/>
          <w:sz w:val="20"/>
          <w:szCs w:val="20"/>
          <w:lang w:val="es-MX"/>
        </w:rPr>
        <w:t xml:space="preserve">el Comité de Libertad Sindical del Consejo de Administración de la </w:t>
      </w:r>
      <w:r w:rsidRPr="00C01305">
        <w:rPr>
          <w:rFonts w:ascii="Verdana" w:hAnsi="Verdana"/>
          <w:sz w:val="20"/>
          <w:szCs w:val="20"/>
          <w:lang w:val="es-MX"/>
        </w:rPr>
        <w:t>OIT señaló que “las organizaciones sindicales no deberían sobrepasar los límites admisibles de la polémica y deberían abstenerse de excesos en el lenguaje”.</w:t>
      </w:r>
      <w:r w:rsidRPr="00C01305">
        <w:rPr>
          <w:rFonts w:ascii="Verdana" w:hAnsi="Verdana"/>
          <w:b/>
          <w:sz w:val="20"/>
          <w:szCs w:val="20"/>
          <w:lang w:val="es-MX"/>
        </w:rPr>
        <w:t xml:space="preserve"> </w:t>
      </w:r>
      <w:r w:rsidRPr="00C01305">
        <w:rPr>
          <w:rFonts w:ascii="Verdana" w:hAnsi="Verdana"/>
          <w:sz w:val="20"/>
          <w:szCs w:val="20"/>
          <w:lang w:val="es-MX"/>
        </w:rPr>
        <w:t xml:space="preserve">Alegó que la Comisión no analizó los límites a la utilización de ciertas formas, obviando que es necesario ponderar dicho derecho con el derecho al honor. </w:t>
      </w:r>
      <w:r>
        <w:rPr>
          <w:rFonts w:ascii="Verdana" w:hAnsi="Verdana"/>
          <w:sz w:val="20"/>
          <w:szCs w:val="20"/>
          <w:lang w:val="es-MX"/>
        </w:rPr>
        <w:t xml:space="preserve">Además, </w:t>
      </w:r>
      <w:r w:rsidRPr="00C01305">
        <w:rPr>
          <w:rFonts w:ascii="Verdana" w:hAnsi="Verdana"/>
          <w:sz w:val="20"/>
          <w:szCs w:val="20"/>
          <w:lang w:val="es-MX"/>
        </w:rPr>
        <w:t>señaló que la Comisión pretendió trasladar al “tercero particular” no sólo la responsabilidad de solicitar una rectificación</w:t>
      </w:r>
      <w:r w:rsidR="00C47391">
        <w:rPr>
          <w:rFonts w:ascii="Verdana" w:hAnsi="Verdana"/>
          <w:sz w:val="20"/>
          <w:szCs w:val="20"/>
          <w:lang w:val="es-MX"/>
        </w:rPr>
        <w:t>,</w:t>
      </w:r>
      <w:r w:rsidRPr="00C01305">
        <w:rPr>
          <w:rFonts w:ascii="Verdana" w:hAnsi="Verdana"/>
          <w:sz w:val="20"/>
          <w:szCs w:val="20"/>
          <w:lang w:val="es-MX"/>
        </w:rPr>
        <w:t xml:space="preserve"> sino que también corroborar la emisión de la declaración formulada y probar un grave daño.</w:t>
      </w:r>
      <w:r w:rsidRPr="00C01305">
        <w:rPr>
          <w:rFonts w:ascii="Verdana" w:hAnsi="Verdana"/>
          <w:b/>
          <w:sz w:val="20"/>
          <w:szCs w:val="20"/>
          <w:lang w:val="es-MX"/>
        </w:rPr>
        <w:t xml:space="preserve"> </w:t>
      </w:r>
      <w:r w:rsidRPr="00C01305">
        <w:rPr>
          <w:rFonts w:ascii="Verdana" w:hAnsi="Verdana"/>
          <w:sz w:val="20"/>
          <w:szCs w:val="20"/>
          <w:lang w:val="es-MX"/>
        </w:rPr>
        <w:t xml:space="preserve">Esto haría inmanejable e ilusoria la defensa de quienes consideren vulnerado su honor. Así, la Comisión obvió también señalar que si la presunta víctima consideraba que la entrevista no fue fiel a sus palabras pudo haber solicitado una rectificación, lo que no hizo. </w:t>
      </w:r>
      <w:r w:rsidRPr="00F83A02">
        <w:rPr>
          <w:rFonts w:ascii="Verdana" w:hAnsi="Verdana"/>
          <w:sz w:val="20"/>
          <w:szCs w:val="20"/>
          <w:lang w:val="es-MX"/>
        </w:rPr>
        <w:t xml:space="preserve">La jurisprudencia </w:t>
      </w:r>
      <w:r w:rsidRPr="00557859">
        <w:rPr>
          <w:rFonts w:ascii="Verdana" w:hAnsi="Verdana"/>
          <w:sz w:val="20"/>
          <w:szCs w:val="20"/>
          <w:lang w:val="es-MX"/>
        </w:rPr>
        <w:t xml:space="preserve">del Tribunal Europeo </w:t>
      </w:r>
      <w:r w:rsidRPr="00F83A02">
        <w:rPr>
          <w:rFonts w:ascii="Verdana" w:hAnsi="Verdana"/>
          <w:sz w:val="20"/>
          <w:szCs w:val="20"/>
          <w:lang w:val="es-MX"/>
        </w:rPr>
        <w:t xml:space="preserve">ha reconocido que existe un deber </w:t>
      </w:r>
      <w:r w:rsidRPr="00557859">
        <w:rPr>
          <w:rFonts w:ascii="Verdana" w:hAnsi="Verdana"/>
          <w:sz w:val="20"/>
          <w:szCs w:val="20"/>
          <w:lang w:val="es-MX"/>
        </w:rPr>
        <w:t>de lealtad</w:t>
      </w:r>
      <w:r w:rsidRPr="00F83A02">
        <w:rPr>
          <w:rFonts w:ascii="Verdana" w:hAnsi="Verdana"/>
          <w:sz w:val="20"/>
          <w:szCs w:val="20"/>
          <w:lang w:val="es-MX"/>
        </w:rPr>
        <w:t xml:space="preserve"> de los empleados con su empleador, aunque no sea absoluto.</w:t>
      </w:r>
      <w:r w:rsidRPr="00C01305">
        <w:rPr>
          <w:rFonts w:ascii="Verdana" w:hAnsi="Verdana"/>
          <w:sz w:val="20"/>
          <w:szCs w:val="20"/>
          <w:lang w:val="es-MX"/>
        </w:rPr>
        <w:t xml:space="preserve"> </w:t>
      </w:r>
      <w:r>
        <w:rPr>
          <w:rFonts w:ascii="Verdana" w:hAnsi="Verdana"/>
          <w:sz w:val="20"/>
          <w:szCs w:val="20"/>
          <w:lang w:val="es-MX"/>
        </w:rPr>
        <w:t xml:space="preserve">Además, dicho Tribunal </w:t>
      </w:r>
      <w:r w:rsidRPr="00C01305">
        <w:rPr>
          <w:rFonts w:ascii="Verdana" w:hAnsi="Verdana"/>
          <w:sz w:val="20"/>
          <w:szCs w:val="20"/>
          <w:lang w:val="es-MX"/>
        </w:rPr>
        <w:t xml:space="preserve">ha diferenciado entre crítica e insulto, afirmando que el empleador puede utilizar su potestad disciplinaria cuando es insultado por un empleado. Sostuvo que en este caso, no es posible considerar las declaraciones de la presunta víctima como críticas objetivas en la medida que se atribuyeron términos agraviantes como “chantaje” y “coerción”. Por último, señaló que para analizar la proporcionalidad de la medida se debe considerar que el señor Lagos del Campo fue suspendido por actos de indisciplina en 1985, sanción que la Sub Directoral de Trabajo consideró justificada. </w:t>
      </w:r>
    </w:p>
    <w:p w14:paraId="1E9F4F54" w14:textId="77777777" w:rsidR="004D6B60" w:rsidRPr="00C01305" w:rsidRDefault="004D6B60" w:rsidP="004D6B60">
      <w:pPr>
        <w:jc w:val="both"/>
        <w:rPr>
          <w:rFonts w:ascii="Calibri" w:hAnsi="Calibri"/>
          <w:sz w:val="22"/>
          <w:szCs w:val="22"/>
          <w:lang w:val="es-CR"/>
        </w:rPr>
      </w:pPr>
    </w:p>
    <w:p w14:paraId="7F24A5C0" w14:textId="29C12D7B" w:rsidR="00430EA0" w:rsidRDefault="004D6B60" w:rsidP="00E66DD7">
      <w:pPr>
        <w:numPr>
          <w:ilvl w:val="0"/>
          <w:numId w:val="1"/>
        </w:numPr>
        <w:ind w:left="0" w:hanging="11"/>
        <w:contextualSpacing/>
        <w:jc w:val="both"/>
        <w:rPr>
          <w:rFonts w:ascii="Verdana" w:hAnsi="Verdana"/>
          <w:b/>
          <w:sz w:val="20"/>
          <w:szCs w:val="20"/>
          <w:lang w:val="es-MX"/>
        </w:rPr>
      </w:pPr>
      <w:r w:rsidRPr="00C01305">
        <w:rPr>
          <w:rFonts w:ascii="Verdana" w:eastAsia="MS Mincho" w:hAnsi="Verdana" w:cs="Verdana"/>
          <w:sz w:val="20"/>
          <w:szCs w:val="20"/>
          <w:lang w:val="es-CR" w:eastAsia="es-ES"/>
        </w:rPr>
        <w:lastRenderedPageBreak/>
        <w:t>Respecto</w:t>
      </w:r>
      <w:r w:rsidRPr="00C01305">
        <w:rPr>
          <w:rFonts w:ascii="Verdana" w:eastAsia="MS Mincho" w:hAnsi="Verdana" w:cs="Verdana"/>
          <w:sz w:val="20"/>
          <w:szCs w:val="20"/>
          <w:lang w:val="es-ES" w:eastAsia="es-ES"/>
        </w:rPr>
        <w:t xml:space="preserve"> de las </w:t>
      </w:r>
      <w:r w:rsidRPr="00AB5ECF">
        <w:rPr>
          <w:rFonts w:ascii="Verdana" w:eastAsia="MS Mincho" w:hAnsi="Verdana" w:cs="Verdana"/>
          <w:sz w:val="20"/>
          <w:szCs w:val="20"/>
          <w:lang w:val="es-ES" w:eastAsia="es-ES"/>
        </w:rPr>
        <w:t>garantías judiciales</w:t>
      </w:r>
      <w:r w:rsidRPr="00C01305">
        <w:rPr>
          <w:rFonts w:ascii="Verdana" w:eastAsia="MS Mincho" w:hAnsi="Verdana" w:cs="Verdana"/>
          <w:sz w:val="20"/>
          <w:szCs w:val="20"/>
          <w:lang w:val="es-ES" w:eastAsia="es-ES"/>
        </w:rPr>
        <w:t xml:space="preserve">, </w:t>
      </w:r>
      <w:r w:rsidRPr="00C01305">
        <w:rPr>
          <w:rFonts w:ascii="Verdana" w:hAnsi="Verdana"/>
          <w:sz w:val="20"/>
          <w:szCs w:val="20"/>
          <w:lang w:val="es-MX"/>
        </w:rPr>
        <w:t xml:space="preserve">el Estado consideró que si bien el </w:t>
      </w:r>
      <w:r w:rsidR="00602389">
        <w:rPr>
          <w:rFonts w:ascii="Verdana" w:hAnsi="Verdana"/>
          <w:sz w:val="20"/>
          <w:szCs w:val="20"/>
          <w:lang w:val="es-MX"/>
        </w:rPr>
        <w:t>juicio</w:t>
      </w:r>
      <w:r w:rsidRPr="00C01305">
        <w:rPr>
          <w:rFonts w:ascii="Verdana" w:hAnsi="Verdana"/>
          <w:sz w:val="20"/>
          <w:szCs w:val="20"/>
          <w:lang w:val="es-MX"/>
        </w:rPr>
        <w:t xml:space="preserve"> aplicado por los tribunales no ocupó la misma terminología utilizada por la Comisión, esto no quiere decir que los tribunales peruanos no realizaron dicha ponderación. En efecto, el Segundo Tribunal del Trabajo de Lima valoró el contenido de las declaraciones publicadas en “La Razón” y consideró que eran frases agraviantes para el empleador y los compañeros de trabajo.</w:t>
      </w:r>
      <w:r w:rsidR="00505D3F">
        <w:rPr>
          <w:rFonts w:ascii="Verdana" w:hAnsi="Verdana"/>
          <w:sz w:val="20"/>
          <w:szCs w:val="20"/>
          <w:lang w:val="es-MX"/>
        </w:rPr>
        <w:t xml:space="preserve"> </w:t>
      </w:r>
      <w:r w:rsidRPr="00C01305">
        <w:rPr>
          <w:rFonts w:ascii="Verdana" w:hAnsi="Verdana"/>
          <w:sz w:val="20"/>
          <w:szCs w:val="20"/>
          <w:lang w:val="es-MX"/>
        </w:rPr>
        <w:t xml:space="preserve">Asimismo, dicho Tribunal tomó en consideración otros elementos tales como la reincidencia del señor Lagos del Campo y que la presunta víctima pudo haber solicitado una rectificación y no lo hizo. De esta manera, es incomprensible pretender que la judicatura interna haya realizado su análisis del caso siguiendo un </w:t>
      </w:r>
      <w:r w:rsidRPr="00333304">
        <w:rPr>
          <w:rFonts w:ascii="Verdana" w:hAnsi="Verdana"/>
          <w:i/>
          <w:sz w:val="20"/>
          <w:szCs w:val="20"/>
          <w:lang w:val="es-MX"/>
        </w:rPr>
        <w:t>test</w:t>
      </w:r>
      <w:r w:rsidRPr="00C01305">
        <w:rPr>
          <w:rFonts w:ascii="Verdana" w:hAnsi="Verdana"/>
          <w:sz w:val="20"/>
          <w:szCs w:val="20"/>
          <w:lang w:val="es-MX"/>
        </w:rPr>
        <w:t xml:space="preserve"> de proporcionalidad que ni siquiera existía en la época, esto es, hace más de dos décadas.</w:t>
      </w:r>
      <w:r w:rsidR="00505D3F">
        <w:rPr>
          <w:rFonts w:ascii="Verdana" w:hAnsi="Verdana"/>
          <w:sz w:val="20"/>
          <w:szCs w:val="20"/>
          <w:lang w:val="es-MX"/>
        </w:rPr>
        <w:t xml:space="preserve"> </w:t>
      </w:r>
      <w:r>
        <w:rPr>
          <w:rFonts w:ascii="Verdana" w:hAnsi="Verdana"/>
          <w:sz w:val="20"/>
          <w:szCs w:val="20"/>
          <w:lang w:val="es-MX"/>
        </w:rPr>
        <w:t>Respecto del alegato del</w:t>
      </w:r>
      <w:r w:rsidRPr="00C01305">
        <w:rPr>
          <w:rFonts w:ascii="Verdana" w:hAnsi="Verdana"/>
          <w:sz w:val="20"/>
          <w:szCs w:val="20"/>
          <w:lang w:val="es-MX"/>
        </w:rPr>
        <w:t xml:space="preserve"> derecho a ser oído, el Estado señaló que el escrito presentado por el señor Lagos del Campo ante el Segundo Tribunal de Trabajo, si bien fue tramitado hasta después de la sentencia, no era un escrito con medios probatorios, sino alegaciones de derecho y que muchas de ellas se encontraban ya en otros escritos presentados por la demandante previamente, lo cual no transgredió su derecho de defensa. </w:t>
      </w:r>
    </w:p>
    <w:p w14:paraId="2748E574" w14:textId="77777777" w:rsidR="004D6B60" w:rsidRDefault="004D6B60" w:rsidP="00262F28">
      <w:pPr>
        <w:jc w:val="both"/>
        <w:rPr>
          <w:rFonts w:ascii="Verdana" w:hAnsi="Verdana"/>
          <w:b/>
          <w:sz w:val="20"/>
          <w:szCs w:val="20"/>
          <w:lang w:val="es-MX"/>
        </w:rPr>
      </w:pPr>
    </w:p>
    <w:p w14:paraId="014D3BB9" w14:textId="24E0051A" w:rsidR="004D6B60" w:rsidRPr="005B3D37" w:rsidRDefault="004D6B60" w:rsidP="00E66DD7">
      <w:pPr>
        <w:pStyle w:val="Heading3"/>
        <w:numPr>
          <w:ilvl w:val="0"/>
          <w:numId w:val="18"/>
        </w:numPr>
        <w:rPr>
          <w:b w:val="0"/>
          <w:i/>
          <w:iCs/>
          <w:szCs w:val="20"/>
        </w:rPr>
      </w:pPr>
      <w:bookmarkStart w:id="38" w:name="_Toc498333497"/>
      <w:r w:rsidRPr="005B3D37">
        <w:rPr>
          <w:i/>
          <w:iCs/>
          <w:szCs w:val="20"/>
        </w:rPr>
        <w:t>Relativos a la libertad de asociación</w:t>
      </w:r>
      <w:bookmarkEnd w:id="38"/>
    </w:p>
    <w:p w14:paraId="753E6DEE" w14:textId="77777777" w:rsidR="004D6B60" w:rsidRDefault="004D6B60" w:rsidP="00262F28">
      <w:pPr>
        <w:jc w:val="both"/>
        <w:rPr>
          <w:rFonts w:ascii="Verdana" w:hAnsi="Verdana"/>
          <w:b/>
          <w:sz w:val="20"/>
          <w:szCs w:val="20"/>
          <w:lang w:val="es-MX"/>
        </w:rPr>
      </w:pPr>
    </w:p>
    <w:p w14:paraId="03C7A04F" w14:textId="4347BF2C" w:rsidR="00430EA0" w:rsidRPr="005D0F69" w:rsidRDefault="004D6B60" w:rsidP="00E66DD7">
      <w:pPr>
        <w:numPr>
          <w:ilvl w:val="0"/>
          <w:numId w:val="1"/>
        </w:numPr>
        <w:ind w:left="0" w:firstLine="0"/>
        <w:contextualSpacing/>
        <w:jc w:val="both"/>
        <w:rPr>
          <w:rFonts w:ascii="Verdana" w:hAnsi="Verdana"/>
          <w:b/>
          <w:sz w:val="20"/>
          <w:szCs w:val="20"/>
          <w:lang w:val="es-ES"/>
        </w:rPr>
      </w:pPr>
      <w:r>
        <w:rPr>
          <w:rFonts w:ascii="Verdana" w:eastAsia="MS Mincho" w:hAnsi="Verdana" w:cs="Verdana"/>
          <w:sz w:val="20"/>
          <w:szCs w:val="20"/>
          <w:lang w:val="es-ES" w:eastAsia="es-ES"/>
        </w:rPr>
        <w:t>L</w:t>
      </w:r>
      <w:r w:rsidR="00430EA0" w:rsidRPr="00B9797C">
        <w:rPr>
          <w:rFonts w:ascii="Verdana" w:eastAsia="MS Mincho" w:hAnsi="Verdana" w:cs="Verdana"/>
          <w:sz w:val="20"/>
          <w:szCs w:val="20"/>
          <w:lang w:val="es-ES" w:eastAsia="es-ES"/>
        </w:rPr>
        <w:t xml:space="preserve">a </w:t>
      </w:r>
      <w:r w:rsidR="00430EA0" w:rsidRPr="004D6B60">
        <w:rPr>
          <w:rFonts w:ascii="Verdana" w:eastAsia="MS Mincho" w:hAnsi="Verdana" w:cs="Verdana"/>
          <w:b/>
          <w:i/>
          <w:sz w:val="20"/>
          <w:szCs w:val="20"/>
          <w:lang w:val="es-ES" w:eastAsia="es-ES"/>
        </w:rPr>
        <w:t>Comisión</w:t>
      </w:r>
      <w:r w:rsidR="00430EA0" w:rsidRPr="00B9797C">
        <w:rPr>
          <w:rFonts w:ascii="Verdana" w:eastAsia="MS Mincho" w:hAnsi="Verdana" w:cs="Verdana"/>
          <w:b/>
          <w:i/>
          <w:sz w:val="20"/>
          <w:szCs w:val="20"/>
          <w:lang w:val="es-ES" w:eastAsia="es-ES"/>
        </w:rPr>
        <w:t xml:space="preserve"> </w:t>
      </w:r>
      <w:r w:rsidR="00430EA0" w:rsidRPr="00B9797C">
        <w:rPr>
          <w:rFonts w:ascii="Verdana" w:eastAsia="MS Mincho" w:hAnsi="Verdana" w:cs="Verdana"/>
          <w:sz w:val="20"/>
          <w:szCs w:val="20"/>
          <w:lang w:val="es-ES" w:eastAsia="es-ES"/>
        </w:rPr>
        <w:t>sostuvo que la protección a la libertad de expresión en el ámbito laboral resulta especialmente relevante cuando se le vincula con el derecho a la asociación con fines laborales, toda vez que la protección de los trabajadores de expresarse de manera que puedan divulgar información y promover de manera concertada sus intereses y demandas es uno de los objetivos del derecho de asociación en el ámbito labora</w:t>
      </w:r>
      <w:r w:rsidR="003304E1" w:rsidRPr="00333304">
        <w:rPr>
          <w:rFonts w:ascii="Verdana" w:eastAsia="MS Mincho" w:hAnsi="Verdana" w:cs="Verdana"/>
          <w:sz w:val="20"/>
          <w:szCs w:val="20"/>
          <w:lang w:val="es-ES" w:eastAsia="es-ES"/>
        </w:rPr>
        <w:t xml:space="preserve">l. </w:t>
      </w:r>
      <w:r w:rsidR="00430EA0">
        <w:rPr>
          <w:rFonts w:ascii="Verdana" w:eastAsia="MS Mincho" w:hAnsi="Verdana" w:cs="Verdana"/>
          <w:sz w:val="20"/>
          <w:szCs w:val="20"/>
          <w:lang w:val="es-ES" w:eastAsia="es-ES"/>
        </w:rPr>
        <w:t>En consecuencia, estimó que la estricta proporcionalidad de las restricciones a la libertad de expresión en el ámbito laboral debe juzgarse con base en los efectos sobre el derecho de las organizaciones de trabajadores y de sus dirigentes a procurar la protección de los intereses de las personas que representan, y del posible efecto disuasivo que tenga en otros dirigentes obreros o sindicales.</w:t>
      </w:r>
    </w:p>
    <w:p w14:paraId="4B51AF6E" w14:textId="77777777" w:rsidR="004D6B60" w:rsidRDefault="004D6B60" w:rsidP="005D0F69">
      <w:pPr>
        <w:contextualSpacing/>
        <w:jc w:val="both"/>
        <w:rPr>
          <w:rFonts w:ascii="Verdana" w:eastAsia="MS Mincho" w:hAnsi="Verdana" w:cs="Verdana"/>
          <w:sz w:val="20"/>
          <w:szCs w:val="20"/>
          <w:lang w:val="es-ES" w:eastAsia="es-ES"/>
        </w:rPr>
      </w:pPr>
    </w:p>
    <w:p w14:paraId="67A220B8" w14:textId="1EF954EF" w:rsidR="004D6B60" w:rsidRPr="00751089" w:rsidRDefault="004D6B60" w:rsidP="00E66DD7">
      <w:pPr>
        <w:numPr>
          <w:ilvl w:val="0"/>
          <w:numId w:val="1"/>
        </w:numPr>
        <w:ind w:left="0" w:firstLine="0"/>
        <w:contextualSpacing/>
        <w:jc w:val="both"/>
        <w:rPr>
          <w:rFonts w:ascii="Verdana" w:hAnsi="Verdana"/>
          <w:b/>
          <w:sz w:val="20"/>
          <w:szCs w:val="20"/>
          <w:lang w:val="es-ES"/>
        </w:rPr>
      </w:pPr>
      <w:r w:rsidRPr="00751089">
        <w:rPr>
          <w:rFonts w:ascii="Verdana" w:eastAsia="MS Mincho" w:hAnsi="Verdana" w:cs="Verdana"/>
          <w:sz w:val="20"/>
          <w:szCs w:val="20"/>
          <w:lang w:val="es-ES" w:eastAsia="es-ES"/>
        </w:rPr>
        <w:t xml:space="preserve">Los </w:t>
      </w:r>
      <w:r w:rsidRPr="00751089">
        <w:rPr>
          <w:rFonts w:ascii="Verdana" w:eastAsia="MS Mincho" w:hAnsi="Verdana" w:cs="Verdana"/>
          <w:b/>
          <w:i/>
          <w:sz w:val="20"/>
          <w:szCs w:val="20"/>
          <w:lang w:val="es-ES" w:eastAsia="es-ES"/>
        </w:rPr>
        <w:t xml:space="preserve">representantes </w:t>
      </w:r>
      <w:r w:rsidRPr="00751089">
        <w:rPr>
          <w:rFonts w:ascii="Verdana" w:eastAsia="MS Mincho" w:hAnsi="Verdana" w:cs="Verdana"/>
          <w:sz w:val="20"/>
          <w:szCs w:val="20"/>
          <w:lang w:val="es-ES" w:eastAsia="es-ES"/>
        </w:rPr>
        <w:t xml:space="preserve">alegaron que la aprobación judicial del despido de Lagos del Campo pudo acarrear un </w:t>
      </w:r>
      <w:r w:rsidR="00E02AC4" w:rsidRPr="00333304">
        <w:rPr>
          <w:rFonts w:ascii="Verdana" w:eastAsia="MS Mincho" w:hAnsi="Verdana" w:cs="Verdana"/>
          <w:sz w:val="20"/>
          <w:szCs w:val="20"/>
          <w:lang w:val="es-ES" w:eastAsia="es-ES"/>
        </w:rPr>
        <w:t>efecto amedrentador</w:t>
      </w:r>
      <w:r w:rsidR="00E02AC4" w:rsidRPr="00EB5530">
        <w:rPr>
          <w:rFonts w:ascii="Verdana" w:eastAsia="MS Mincho" w:hAnsi="Verdana" w:cs="Verdana"/>
          <w:b/>
          <w:sz w:val="20"/>
          <w:szCs w:val="20"/>
          <w:lang w:val="es-ES" w:eastAsia="es-ES"/>
        </w:rPr>
        <w:t xml:space="preserve"> </w:t>
      </w:r>
      <w:r w:rsidRPr="00751089">
        <w:rPr>
          <w:rFonts w:ascii="Verdana" w:eastAsia="MS Mincho" w:hAnsi="Verdana" w:cs="Verdana"/>
          <w:sz w:val="20"/>
          <w:szCs w:val="20"/>
          <w:lang w:val="es-ES" w:eastAsia="es-ES"/>
        </w:rPr>
        <w:t>a otras personas en una situación similar u otros trabajadores que se encontraban maltratados por sus empleadores, causando miedo de reportar irregularidades como las descritas en el presente caso. En consecuencia, alegaron que la sentencia dictada por el Segundo Tribunal del Trabajo del Perú contribuyó a un ambiente laboral donde los trabajadores pudieran temer reportar cuando existieren problemas como los denunciados u otros conflictos</w:t>
      </w:r>
      <w:r>
        <w:rPr>
          <w:rFonts w:ascii="Verdana" w:eastAsia="MS Mincho" w:hAnsi="Verdana" w:cs="Verdana"/>
          <w:sz w:val="20"/>
          <w:szCs w:val="20"/>
          <w:lang w:val="es-ES" w:eastAsia="es-ES"/>
        </w:rPr>
        <w:t>.</w:t>
      </w:r>
    </w:p>
    <w:p w14:paraId="0307CAC4" w14:textId="77777777" w:rsidR="004D6B60" w:rsidRDefault="004D6B60" w:rsidP="005D0F69">
      <w:pPr>
        <w:contextualSpacing/>
        <w:jc w:val="both"/>
        <w:rPr>
          <w:rFonts w:ascii="Verdana" w:eastAsia="MS Mincho" w:hAnsi="Verdana" w:cs="Verdana"/>
          <w:sz w:val="20"/>
          <w:szCs w:val="20"/>
          <w:lang w:val="es-ES" w:eastAsia="es-ES"/>
        </w:rPr>
      </w:pPr>
    </w:p>
    <w:p w14:paraId="3A386241" w14:textId="1E43D897" w:rsidR="004D6B60" w:rsidRPr="00C01305" w:rsidRDefault="004D6B60" w:rsidP="00E66DD7">
      <w:pPr>
        <w:numPr>
          <w:ilvl w:val="0"/>
          <w:numId w:val="1"/>
        </w:numPr>
        <w:ind w:left="0" w:firstLine="0"/>
        <w:contextualSpacing/>
        <w:jc w:val="both"/>
        <w:rPr>
          <w:rFonts w:ascii="Verdana" w:hAnsi="Verdana"/>
          <w:sz w:val="20"/>
          <w:lang w:val="es-MX"/>
        </w:rPr>
      </w:pPr>
      <w:r>
        <w:rPr>
          <w:rFonts w:ascii="Verdana" w:hAnsi="Verdana"/>
          <w:sz w:val="20"/>
          <w:lang w:val="es-MX"/>
        </w:rPr>
        <w:t>E</w:t>
      </w:r>
      <w:r w:rsidRPr="00751089">
        <w:rPr>
          <w:rFonts w:ascii="Verdana" w:hAnsi="Verdana"/>
          <w:sz w:val="20"/>
          <w:szCs w:val="20"/>
          <w:lang w:val="es-CR"/>
        </w:rPr>
        <w:t xml:space="preserve">l </w:t>
      </w:r>
      <w:r w:rsidRPr="005D0F69">
        <w:rPr>
          <w:rFonts w:ascii="Verdana" w:hAnsi="Verdana"/>
          <w:b/>
          <w:i/>
          <w:sz w:val="20"/>
          <w:szCs w:val="20"/>
          <w:lang w:val="es-CR"/>
        </w:rPr>
        <w:t>Estado</w:t>
      </w:r>
      <w:r w:rsidRPr="00751089">
        <w:rPr>
          <w:rFonts w:ascii="Verdana" w:hAnsi="Verdana"/>
          <w:b/>
          <w:i/>
          <w:sz w:val="20"/>
          <w:szCs w:val="20"/>
          <w:lang w:val="es-CR"/>
        </w:rPr>
        <w:t xml:space="preserve"> </w:t>
      </w:r>
      <w:r>
        <w:rPr>
          <w:rFonts w:ascii="Verdana" w:hAnsi="Verdana"/>
          <w:sz w:val="20"/>
          <w:szCs w:val="20"/>
          <w:lang w:val="es-CR"/>
        </w:rPr>
        <w:t>sostuvo</w:t>
      </w:r>
      <w:r w:rsidRPr="00751089">
        <w:rPr>
          <w:rFonts w:ascii="Verdana" w:hAnsi="Verdana"/>
          <w:sz w:val="20"/>
          <w:szCs w:val="20"/>
          <w:lang w:val="es-CR"/>
        </w:rPr>
        <w:t xml:space="preserve"> que </w:t>
      </w:r>
      <w:r>
        <w:rPr>
          <w:rFonts w:ascii="Verdana" w:hAnsi="Verdana"/>
          <w:sz w:val="20"/>
          <w:szCs w:val="20"/>
          <w:lang w:val="es-CR"/>
        </w:rPr>
        <w:t>el señor Lagos del Campo</w:t>
      </w:r>
      <w:r w:rsidRPr="00751089">
        <w:rPr>
          <w:rFonts w:ascii="Verdana" w:hAnsi="Verdana"/>
          <w:sz w:val="20"/>
          <w:szCs w:val="20"/>
          <w:lang w:val="es-CR"/>
        </w:rPr>
        <w:t>, al no ser representante de los trabajadores o un dirigente sindical, y por lo tanto no contar con la protección como tal, no vio vulnerada su libertad de asociación como resultado de la presunta vulneración a su libertad de expresión. Adicionalmente, el Estado sostuvo que no pudo existir efecto intimidatorio alguno en los demás trabajadores de pertenecer a la Comunidad Industrial, pues la pertenencia a dicha Comunidad no dependía de su voluntad, sino que estaba previsto conforme a la ley aplicable y vigente en la época. Finalmente, alegó que no se presentó fundamento probatorio alguno respecto de la presunta intimidación y/o temor causado en los trabajadores por la posible pérdida de sus puestos de trabajo.</w:t>
      </w:r>
    </w:p>
    <w:p w14:paraId="6AEDF954" w14:textId="77777777" w:rsidR="004D6B60" w:rsidRDefault="004D6B60" w:rsidP="00262F28">
      <w:pPr>
        <w:jc w:val="both"/>
        <w:rPr>
          <w:rFonts w:ascii="Verdana" w:hAnsi="Verdana"/>
          <w:b/>
          <w:sz w:val="20"/>
          <w:szCs w:val="20"/>
          <w:lang w:val="es-ES"/>
        </w:rPr>
      </w:pPr>
    </w:p>
    <w:p w14:paraId="1D4048BB" w14:textId="535627C8" w:rsidR="004D6B60" w:rsidRPr="005B3D37" w:rsidRDefault="004D6B60" w:rsidP="00E66DD7">
      <w:pPr>
        <w:pStyle w:val="Heading3"/>
        <w:numPr>
          <w:ilvl w:val="0"/>
          <w:numId w:val="18"/>
        </w:numPr>
        <w:rPr>
          <w:b w:val="0"/>
          <w:i/>
          <w:iCs/>
          <w:szCs w:val="20"/>
        </w:rPr>
      </w:pPr>
      <w:bookmarkStart w:id="39" w:name="_Toc498333498"/>
      <w:r w:rsidRPr="005B3D37">
        <w:rPr>
          <w:i/>
          <w:iCs/>
          <w:szCs w:val="20"/>
        </w:rPr>
        <w:t xml:space="preserve">Relativos al deber de adoptar </w:t>
      </w:r>
      <w:r w:rsidR="00D37AAF" w:rsidRPr="005B3D37">
        <w:rPr>
          <w:i/>
          <w:iCs/>
          <w:szCs w:val="20"/>
        </w:rPr>
        <w:t>disposiciones</w:t>
      </w:r>
      <w:r w:rsidRPr="005B3D37">
        <w:rPr>
          <w:i/>
          <w:iCs/>
          <w:szCs w:val="20"/>
        </w:rPr>
        <w:t xml:space="preserve"> de derecho interno</w:t>
      </w:r>
      <w:bookmarkEnd w:id="39"/>
    </w:p>
    <w:p w14:paraId="0E63871A" w14:textId="77777777" w:rsidR="00625FAD" w:rsidRPr="005D0F69" w:rsidRDefault="00625FAD" w:rsidP="00CB5A95">
      <w:pPr>
        <w:autoSpaceDE w:val="0"/>
        <w:autoSpaceDN w:val="0"/>
        <w:adjustRightInd w:val="0"/>
        <w:contextualSpacing/>
        <w:jc w:val="both"/>
        <w:rPr>
          <w:rFonts w:ascii="Verdana" w:hAnsi="Verdana"/>
          <w:b/>
          <w:sz w:val="20"/>
          <w:lang w:val="es-ES"/>
        </w:rPr>
      </w:pPr>
    </w:p>
    <w:p w14:paraId="01060B21" w14:textId="26D0D2A4" w:rsidR="002F1386" w:rsidRPr="00557859" w:rsidRDefault="002F1386" w:rsidP="00E66DD7">
      <w:pPr>
        <w:numPr>
          <w:ilvl w:val="0"/>
          <w:numId w:val="1"/>
        </w:numPr>
        <w:ind w:left="0" w:hanging="11"/>
        <w:contextualSpacing/>
        <w:jc w:val="both"/>
        <w:rPr>
          <w:rFonts w:ascii="Verdana" w:hAnsi="Verdana"/>
          <w:sz w:val="20"/>
          <w:szCs w:val="20"/>
          <w:lang w:val="es-ES" w:eastAsia="es-ES"/>
        </w:rPr>
      </w:pPr>
      <w:r w:rsidRPr="00557859">
        <w:rPr>
          <w:rFonts w:ascii="Verdana" w:hAnsi="Verdana"/>
          <w:sz w:val="20"/>
          <w:szCs w:val="20"/>
          <w:lang w:val="es-ES"/>
        </w:rPr>
        <w:t xml:space="preserve">La </w:t>
      </w:r>
      <w:r w:rsidRPr="00557859">
        <w:rPr>
          <w:rFonts w:ascii="Verdana" w:hAnsi="Verdana"/>
          <w:b/>
          <w:i/>
          <w:sz w:val="20"/>
          <w:szCs w:val="20"/>
          <w:lang w:val="es-MX"/>
        </w:rPr>
        <w:t>Comisión</w:t>
      </w:r>
      <w:r w:rsidRPr="00557859">
        <w:rPr>
          <w:rFonts w:ascii="Verdana" w:hAnsi="Verdana"/>
          <w:i/>
          <w:sz w:val="20"/>
          <w:szCs w:val="20"/>
          <w:lang w:val="es-MX"/>
        </w:rPr>
        <w:t xml:space="preserve"> </w:t>
      </w:r>
      <w:r w:rsidRPr="00557859">
        <w:rPr>
          <w:rFonts w:ascii="Verdana" w:hAnsi="Verdana"/>
          <w:sz w:val="20"/>
          <w:szCs w:val="20"/>
          <w:lang w:val="es-MX"/>
        </w:rPr>
        <w:t>consideró que la normativa sobre la que se basó el despido del señor Lagos del Campo era vaga e imprecisa, toda vez que no delimitaba el ámbito de aplicación con el fin de proteger los discursos referidos a asuntos de interés público, ni aquellas expresiones emitidas por representantes de trabajadores actuando en esa calidad. En este sentido, señaló que, al haberse producido la violación al derecho a la libertad de expresión del señor Lagos del Campo como consecuencia de la aplicación de una ley que no cumplía con los requisitos de legalidad, el Estado también incumplió el artículo 2 de la Convención American</w:t>
      </w:r>
      <w:r w:rsidR="003304E1">
        <w:rPr>
          <w:rFonts w:ascii="Verdana" w:hAnsi="Verdana"/>
          <w:sz w:val="20"/>
          <w:szCs w:val="20"/>
          <w:lang w:val="es-MX"/>
        </w:rPr>
        <w:t>a.</w:t>
      </w:r>
      <w:r w:rsidRPr="00557859">
        <w:rPr>
          <w:rFonts w:ascii="Verdana" w:hAnsi="Verdana"/>
          <w:sz w:val="20"/>
          <w:szCs w:val="20"/>
          <w:lang w:val="es-MX"/>
        </w:rPr>
        <w:t xml:space="preserve"> </w:t>
      </w:r>
    </w:p>
    <w:p w14:paraId="06735E69" w14:textId="77777777" w:rsidR="002F1386" w:rsidRPr="005D0F69" w:rsidRDefault="002F1386" w:rsidP="005D0F69">
      <w:pPr>
        <w:jc w:val="both"/>
        <w:rPr>
          <w:rFonts w:ascii="Verdana" w:hAnsi="Verdana"/>
          <w:sz w:val="20"/>
          <w:szCs w:val="20"/>
          <w:lang w:val="es-CR"/>
        </w:rPr>
      </w:pPr>
    </w:p>
    <w:p w14:paraId="6B2D8144" w14:textId="2D5187EB" w:rsidR="004D6B60" w:rsidRPr="005D0F69" w:rsidRDefault="002F1386" w:rsidP="00E66DD7">
      <w:pPr>
        <w:pStyle w:val="ListParagraph"/>
        <w:numPr>
          <w:ilvl w:val="0"/>
          <w:numId w:val="1"/>
        </w:numPr>
        <w:ind w:left="0" w:firstLine="70"/>
        <w:jc w:val="both"/>
        <w:rPr>
          <w:lang w:val="es-CR"/>
        </w:rPr>
      </w:pPr>
      <w:r>
        <w:rPr>
          <w:rFonts w:ascii="Verdana" w:hAnsi="Verdana"/>
          <w:sz w:val="20"/>
          <w:szCs w:val="20"/>
          <w:lang w:val="es-MX"/>
        </w:rPr>
        <w:t>L</w:t>
      </w:r>
      <w:r w:rsidR="000F0E92" w:rsidRPr="005D0F69">
        <w:rPr>
          <w:rFonts w:ascii="Verdana" w:hAnsi="Verdana"/>
          <w:sz w:val="20"/>
          <w:szCs w:val="20"/>
          <w:lang w:val="es-CR"/>
        </w:rPr>
        <w:t xml:space="preserve">os </w:t>
      </w:r>
      <w:r w:rsidR="000F0E92" w:rsidRPr="005D0F69">
        <w:rPr>
          <w:rFonts w:ascii="Verdana" w:hAnsi="Verdana"/>
          <w:b/>
          <w:i/>
          <w:sz w:val="20"/>
          <w:szCs w:val="20"/>
          <w:lang w:val="es-CR"/>
        </w:rPr>
        <w:t>representantes</w:t>
      </w:r>
      <w:r w:rsidR="000F0E92" w:rsidRPr="005D0F69">
        <w:rPr>
          <w:rFonts w:ascii="Verdana" w:hAnsi="Verdana"/>
          <w:sz w:val="20"/>
          <w:szCs w:val="20"/>
          <w:lang w:val="es-CR"/>
        </w:rPr>
        <w:t xml:space="preserve"> </w:t>
      </w:r>
      <w:r w:rsidR="000F0E92" w:rsidRPr="005D0F69">
        <w:rPr>
          <w:rFonts w:ascii="Verdana" w:hAnsi="Verdana"/>
          <w:sz w:val="20"/>
          <w:szCs w:val="20"/>
          <w:lang w:val="es-MX"/>
        </w:rPr>
        <w:t>coincidieron con el alegato de la Comisión respecto de la incompatibilidad entre el literal h) del artículo 5 de la ley No. 24514 y el artículo 2 de la Convención Americana. Adicionalmente, alegaron que el Decreto Legislativo No. 728, el cual derogó la ley No. 24514, adolece de los mismos defectos que la ley aplicada en el caso concreto. En consecuencia, solicitó a la Corte un examen de compatibilidad entre el artículo 25 del Decreto Legislativo No. 728 y la Convención Americana</w:t>
      </w:r>
    </w:p>
    <w:p w14:paraId="04B5AD25" w14:textId="77777777" w:rsidR="004D6B60" w:rsidRPr="00CB5A95" w:rsidRDefault="004D6B60" w:rsidP="005D0F69">
      <w:pPr>
        <w:autoSpaceDE w:val="0"/>
        <w:autoSpaceDN w:val="0"/>
        <w:adjustRightInd w:val="0"/>
        <w:contextualSpacing/>
        <w:jc w:val="both"/>
        <w:rPr>
          <w:rFonts w:ascii="Verdana" w:hAnsi="Verdana"/>
          <w:sz w:val="20"/>
          <w:lang w:val="es-CR"/>
        </w:rPr>
      </w:pPr>
    </w:p>
    <w:p w14:paraId="7182B7AB" w14:textId="11BB515F" w:rsidR="0055376B" w:rsidRPr="00C01305" w:rsidRDefault="002F1386" w:rsidP="00E66DD7">
      <w:pPr>
        <w:numPr>
          <w:ilvl w:val="0"/>
          <w:numId w:val="1"/>
        </w:numPr>
        <w:autoSpaceDE w:val="0"/>
        <w:autoSpaceDN w:val="0"/>
        <w:adjustRightInd w:val="0"/>
        <w:ind w:left="0" w:firstLine="0"/>
        <w:contextualSpacing/>
        <w:jc w:val="both"/>
        <w:rPr>
          <w:rFonts w:ascii="Verdana" w:hAnsi="Verdana"/>
          <w:sz w:val="20"/>
          <w:szCs w:val="20"/>
          <w:lang w:val="es-MX"/>
        </w:rPr>
      </w:pPr>
      <w:r>
        <w:rPr>
          <w:rFonts w:ascii="Verdana" w:hAnsi="Verdana"/>
          <w:sz w:val="20"/>
          <w:szCs w:val="20"/>
          <w:lang w:val="es-MX"/>
        </w:rPr>
        <w:t>E</w:t>
      </w:r>
      <w:r w:rsidR="0055376B" w:rsidRPr="00971F47">
        <w:rPr>
          <w:rFonts w:ascii="Verdana" w:hAnsi="Verdana"/>
          <w:sz w:val="20"/>
          <w:szCs w:val="20"/>
          <w:lang w:val="es-MX"/>
        </w:rPr>
        <w:t xml:space="preserve">l </w:t>
      </w:r>
      <w:r w:rsidR="0055376B" w:rsidRPr="00971F47">
        <w:rPr>
          <w:rFonts w:ascii="Verdana" w:hAnsi="Verdana"/>
          <w:b/>
          <w:i/>
          <w:sz w:val="20"/>
          <w:szCs w:val="20"/>
          <w:lang w:val="es-MX"/>
        </w:rPr>
        <w:t>Estado</w:t>
      </w:r>
      <w:r w:rsidR="0055376B" w:rsidRPr="00971F47">
        <w:rPr>
          <w:rFonts w:ascii="Verdana" w:hAnsi="Verdana"/>
          <w:sz w:val="20"/>
          <w:szCs w:val="20"/>
          <w:lang w:val="es-MX"/>
        </w:rPr>
        <w:t xml:space="preserve"> alegó que el artículo 5 de la ley No. 24514 no se trataba de una norma vaga e imprecisa</w:t>
      </w:r>
      <w:r w:rsidR="003304E1">
        <w:rPr>
          <w:rFonts w:ascii="Verdana" w:hAnsi="Verdana"/>
          <w:sz w:val="20"/>
          <w:szCs w:val="20"/>
          <w:lang w:val="es-MX"/>
        </w:rPr>
        <w:t>,</w:t>
      </w:r>
      <w:r w:rsidR="0055376B" w:rsidRPr="00971F47">
        <w:rPr>
          <w:rFonts w:ascii="Verdana" w:hAnsi="Verdana"/>
          <w:sz w:val="20"/>
          <w:szCs w:val="20"/>
          <w:lang w:val="es-MX"/>
        </w:rPr>
        <w:t xml:space="preserve"> debido a que no delimitaba su ámbito de aplicación en cuanto a asuntos de interés público ni respecto de expresiones emitidas por representantes actuando como tal, toda vez que el señor Lagos del Campo no era un representante laboral, y por lo tanto sus expresiones no eran de interés público. Por otro lado, y sin perjuicio de lo anterior, alegó que la constitucionalidad de la Ley No. 24514 nunca fue objeto de cuestionamientos a través de los mecanismos internos expeditos en el periodo en que estuvo vigente, ni fue objeto de reclamo o crítica ante la Organización Internacional del Trabajo. Por consiguiente, el Estado estimó que no incumplió el artículo 2 de la Convención Americana</w:t>
      </w:r>
      <w:r w:rsidR="00FA58C4">
        <w:rPr>
          <w:rFonts w:ascii="Verdana" w:hAnsi="Verdana"/>
          <w:sz w:val="20"/>
          <w:szCs w:val="20"/>
          <w:lang w:val="es-MX"/>
        </w:rPr>
        <w:t>.</w:t>
      </w:r>
    </w:p>
    <w:p w14:paraId="2CEC15E1" w14:textId="77777777" w:rsidR="00C01305" w:rsidRDefault="00C01305" w:rsidP="00C01305">
      <w:pPr>
        <w:autoSpaceDE w:val="0"/>
        <w:autoSpaceDN w:val="0"/>
        <w:adjustRightInd w:val="0"/>
        <w:contextualSpacing/>
        <w:jc w:val="both"/>
        <w:rPr>
          <w:rFonts w:ascii="Verdana" w:hAnsi="Verdana"/>
          <w:sz w:val="20"/>
          <w:szCs w:val="20"/>
          <w:lang w:val="es-MX"/>
        </w:rPr>
      </w:pPr>
    </w:p>
    <w:p w14:paraId="781034BF" w14:textId="77777777" w:rsidR="00C01305" w:rsidRPr="00C01305" w:rsidRDefault="00C01305" w:rsidP="00E66DD7">
      <w:pPr>
        <w:pStyle w:val="Heading2"/>
        <w:numPr>
          <w:ilvl w:val="0"/>
          <w:numId w:val="10"/>
        </w:numPr>
        <w:rPr>
          <w:i/>
          <w:szCs w:val="20"/>
        </w:rPr>
      </w:pPr>
      <w:bookmarkStart w:id="40" w:name="_Toc498333499"/>
      <w:r w:rsidRPr="00C01305">
        <w:rPr>
          <w:i/>
          <w:szCs w:val="20"/>
        </w:rPr>
        <w:t>Consideraciones de la Corte</w:t>
      </w:r>
      <w:bookmarkEnd w:id="40"/>
    </w:p>
    <w:p w14:paraId="20C485B0" w14:textId="77777777" w:rsidR="00C01305" w:rsidRDefault="00C01305" w:rsidP="00C01305">
      <w:pPr>
        <w:rPr>
          <w:rFonts w:ascii="Calibri" w:hAnsi="Calibri"/>
          <w:sz w:val="22"/>
          <w:szCs w:val="22"/>
        </w:rPr>
      </w:pPr>
    </w:p>
    <w:p w14:paraId="347C3D51" w14:textId="77777777" w:rsidR="002F1386" w:rsidRPr="005D0F69" w:rsidRDefault="002F1386" w:rsidP="00E66DD7">
      <w:pPr>
        <w:pStyle w:val="Heading3"/>
        <w:numPr>
          <w:ilvl w:val="0"/>
          <w:numId w:val="11"/>
        </w:numPr>
        <w:ind w:left="714" w:hanging="357"/>
        <w:rPr>
          <w:b w:val="0"/>
          <w:i/>
          <w:lang w:val="es-MX"/>
        </w:rPr>
      </w:pPr>
      <w:bookmarkStart w:id="41" w:name="_Toc498333500"/>
      <w:r w:rsidRPr="00261A99">
        <w:rPr>
          <w:i/>
          <w:lang w:val="es-MX"/>
        </w:rPr>
        <w:t>Libertad de expresión y garantías judi</w:t>
      </w:r>
      <w:r w:rsidRPr="00172797">
        <w:rPr>
          <w:i/>
          <w:lang w:val="es-MX"/>
        </w:rPr>
        <w:t>ciales</w:t>
      </w:r>
      <w:bookmarkEnd w:id="41"/>
    </w:p>
    <w:p w14:paraId="55A5CE3E" w14:textId="77777777" w:rsidR="00C01305" w:rsidRPr="00261A99" w:rsidRDefault="00C01305" w:rsidP="00C01305">
      <w:pPr>
        <w:autoSpaceDE w:val="0"/>
        <w:autoSpaceDN w:val="0"/>
        <w:adjustRightInd w:val="0"/>
        <w:contextualSpacing/>
        <w:jc w:val="both"/>
        <w:rPr>
          <w:rFonts w:ascii="Verdana" w:hAnsi="Verdana"/>
          <w:sz w:val="20"/>
          <w:szCs w:val="20"/>
          <w:lang w:val="es-MX"/>
        </w:rPr>
      </w:pPr>
    </w:p>
    <w:p w14:paraId="3D5ED48C" w14:textId="1B2C5BB4" w:rsidR="00C01305" w:rsidRPr="007E39F5" w:rsidRDefault="00C01305" w:rsidP="00E66DD7">
      <w:pPr>
        <w:numPr>
          <w:ilvl w:val="0"/>
          <w:numId w:val="1"/>
        </w:numPr>
        <w:autoSpaceDE w:val="0"/>
        <w:autoSpaceDN w:val="0"/>
        <w:adjustRightInd w:val="0"/>
        <w:ind w:left="0" w:firstLine="0"/>
        <w:contextualSpacing/>
        <w:jc w:val="both"/>
        <w:rPr>
          <w:rFonts w:ascii="Verdana" w:hAnsi="Verdana"/>
          <w:sz w:val="20"/>
          <w:lang w:val="es-MX"/>
        </w:rPr>
      </w:pPr>
      <w:r w:rsidRPr="00900CB9">
        <w:rPr>
          <w:rFonts w:ascii="Verdana" w:hAnsi="Verdana"/>
          <w:sz w:val="20"/>
          <w:szCs w:val="20"/>
          <w:lang w:val="es-MX"/>
        </w:rPr>
        <w:t xml:space="preserve">En </w:t>
      </w:r>
      <w:r w:rsidR="00EE6DEA" w:rsidRPr="00900CB9">
        <w:rPr>
          <w:rFonts w:ascii="Verdana" w:hAnsi="Verdana"/>
          <w:sz w:val="20"/>
          <w:szCs w:val="20"/>
          <w:lang w:val="es-MX"/>
        </w:rPr>
        <w:t xml:space="preserve">este apartado, </w:t>
      </w:r>
      <w:r w:rsidR="00E72D85" w:rsidRPr="00900CB9">
        <w:rPr>
          <w:rFonts w:ascii="Verdana" w:hAnsi="Verdana"/>
          <w:sz w:val="20"/>
          <w:szCs w:val="20"/>
          <w:lang w:val="es-MX"/>
        </w:rPr>
        <w:t>la Corte</w:t>
      </w:r>
      <w:r w:rsidRPr="00900CB9">
        <w:rPr>
          <w:rFonts w:ascii="Verdana" w:hAnsi="Verdana"/>
          <w:sz w:val="20"/>
          <w:szCs w:val="20"/>
          <w:lang w:val="es-MX"/>
        </w:rPr>
        <w:t xml:space="preserve"> </w:t>
      </w:r>
      <w:r w:rsidR="00E72D85" w:rsidRPr="00900CB9">
        <w:rPr>
          <w:rFonts w:ascii="Verdana" w:hAnsi="Verdana"/>
          <w:sz w:val="20"/>
          <w:szCs w:val="20"/>
          <w:lang w:val="es-MX"/>
        </w:rPr>
        <w:t>analizará</w:t>
      </w:r>
      <w:r w:rsidRPr="00900CB9">
        <w:rPr>
          <w:rFonts w:ascii="Verdana" w:hAnsi="Verdana"/>
          <w:sz w:val="20"/>
          <w:szCs w:val="20"/>
          <w:lang w:val="es-MX"/>
        </w:rPr>
        <w:t xml:space="preserve"> si </w:t>
      </w:r>
      <w:r w:rsidR="00AB5ECF" w:rsidRPr="00900CB9">
        <w:rPr>
          <w:rFonts w:ascii="Verdana" w:hAnsi="Verdana"/>
          <w:sz w:val="20"/>
          <w:szCs w:val="20"/>
          <w:lang w:val="es-MX"/>
        </w:rPr>
        <w:t xml:space="preserve">las </w:t>
      </w:r>
      <w:r w:rsidR="00923890" w:rsidRPr="00900CB9">
        <w:rPr>
          <w:rFonts w:ascii="Verdana" w:hAnsi="Verdana"/>
          <w:sz w:val="20"/>
          <w:szCs w:val="20"/>
          <w:lang w:val="es-MX"/>
        </w:rPr>
        <w:t>declaraciones</w:t>
      </w:r>
      <w:r w:rsidR="00054656" w:rsidRPr="00900CB9">
        <w:rPr>
          <w:rFonts w:ascii="Verdana" w:hAnsi="Verdana"/>
          <w:sz w:val="20"/>
          <w:szCs w:val="20"/>
          <w:lang w:val="es-MX"/>
        </w:rPr>
        <w:t xml:space="preserve"> </w:t>
      </w:r>
      <w:r w:rsidR="00AB5ECF" w:rsidRPr="00900CB9">
        <w:rPr>
          <w:rFonts w:ascii="Verdana" w:hAnsi="Verdana"/>
          <w:sz w:val="20"/>
          <w:szCs w:val="20"/>
          <w:lang w:val="es-MX"/>
        </w:rPr>
        <w:t>del</w:t>
      </w:r>
      <w:r w:rsidRPr="00900CB9">
        <w:rPr>
          <w:rFonts w:ascii="Verdana" w:hAnsi="Verdana"/>
          <w:sz w:val="20"/>
          <w:szCs w:val="20"/>
          <w:lang w:val="es-MX"/>
        </w:rPr>
        <w:t xml:space="preserve"> señor Lagos del Campo </w:t>
      </w:r>
      <w:r w:rsidR="00AB5ECF" w:rsidRPr="00900CB9">
        <w:rPr>
          <w:rFonts w:ascii="Verdana" w:hAnsi="Verdana"/>
          <w:sz w:val="20"/>
          <w:szCs w:val="20"/>
          <w:lang w:val="es-MX"/>
        </w:rPr>
        <w:t xml:space="preserve">se encuentran en el ámbito de </w:t>
      </w:r>
      <w:r w:rsidR="00C41937" w:rsidRPr="00900CB9">
        <w:rPr>
          <w:rFonts w:ascii="Verdana" w:hAnsi="Verdana"/>
          <w:sz w:val="20"/>
          <w:szCs w:val="20"/>
          <w:lang w:val="es-MX"/>
        </w:rPr>
        <w:t xml:space="preserve">especial </w:t>
      </w:r>
      <w:r w:rsidR="00AB5ECF" w:rsidRPr="00900CB9">
        <w:rPr>
          <w:rFonts w:ascii="Verdana" w:hAnsi="Verdana"/>
          <w:sz w:val="20"/>
          <w:szCs w:val="20"/>
          <w:lang w:val="es-MX"/>
        </w:rPr>
        <w:t>protección</w:t>
      </w:r>
      <w:r w:rsidRPr="00900CB9">
        <w:rPr>
          <w:rFonts w:ascii="Verdana" w:hAnsi="Verdana"/>
          <w:sz w:val="20"/>
          <w:szCs w:val="20"/>
          <w:lang w:val="es-MX"/>
        </w:rPr>
        <w:t xml:space="preserve"> </w:t>
      </w:r>
      <w:r w:rsidR="00AB5ECF" w:rsidRPr="00900CB9">
        <w:rPr>
          <w:rFonts w:ascii="Verdana" w:hAnsi="Verdana"/>
          <w:sz w:val="20"/>
          <w:szCs w:val="20"/>
          <w:lang w:val="es-MX"/>
        </w:rPr>
        <w:t xml:space="preserve">del </w:t>
      </w:r>
      <w:r w:rsidRPr="00900CB9">
        <w:rPr>
          <w:rFonts w:ascii="Verdana" w:hAnsi="Verdana"/>
          <w:sz w:val="20"/>
          <w:szCs w:val="20"/>
          <w:lang w:val="es-MX"/>
        </w:rPr>
        <w:t xml:space="preserve">derecho a la libertad de expresión y, en su caso, si </w:t>
      </w:r>
      <w:r w:rsidR="00602389" w:rsidRPr="00900CB9">
        <w:rPr>
          <w:rFonts w:ascii="Verdana" w:hAnsi="Verdana"/>
          <w:sz w:val="20"/>
          <w:szCs w:val="20"/>
          <w:lang w:val="es-MX"/>
        </w:rPr>
        <w:t xml:space="preserve">su libertad de expresión </w:t>
      </w:r>
      <w:r w:rsidRPr="00900CB9">
        <w:rPr>
          <w:rFonts w:ascii="Verdana" w:hAnsi="Verdana"/>
          <w:sz w:val="20"/>
          <w:szCs w:val="20"/>
          <w:lang w:val="es-MX"/>
        </w:rPr>
        <w:t>fue garantizad</w:t>
      </w:r>
      <w:r w:rsidR="00054656" w:rsidRPr="00900CB9">
        <w:rPr>
          <w:rFonts w:ascii="Verdana" w:hAnsi="Verdana"/>
          <w:sz w:val="20"/>
          <w:szCs w:val="20"/>
          <w:lang w:val="es-MX"/>
        </w:rPr>
        <w:t>a</w:t>
      </w:r>
      <w:r w:rsidRPr="00900CB9">
        <w:rPr>
          <w:rFonts w:ascii="Verdana" w:hAnsi="Verdana"/>
          <w:sz w:val="20"/>
          <w:szCs w:val="20"/>
          <w:lang w:val="es-MX"/>
        </w:rPr>
        <w:t xml:space="preserve"> por el Estado, </w:t>
      </w:r>
      <w:r w:rsidR="00602389" w:rsidRPr="00900CB9">
        <w:rPr>
          <w:rFonts w:ascii="Verdana" w:hAnsi="Verdana"/>
          <w:sz w:val="20"/>
          <w:szCs w:val="20"/>
          <w:lang w:val="es-MX"/>
        </w:rPr>
        <w:t>a través de</w:t>
      </w:r>
      <w:r w:rsidR="00261A99" w:rsidRPr="00900CB9">
        <w:rPr>
          <w:rFonts w:ascii="Verdana" w:hAnsi="Verdana"/>
          <w:sz w:val="20"/>
          <w:szCs w:val="20"/>
          <w:lang w:val="es-MX"/>
        </w:rPr>
        <w:t xml:space="preserve"> la decisión del</w:t>
      </w:r>
      <w:r w:rsidRPr="00900CB9">
        <w:rPr>
          <w:rFonts w:ascii="Verdana" w:hAnsi="Verdana"/>
          <w:sz w:val="20"/>
          <w:szCs w:val="20"/>
          <w:lang w:val="es-MX"/>
        </w:rPr>
        <w:t xml:space="preserve"> juez de segunda instancia</w:t>
      </w:r>
      <w:r w:rsidR="00517048" w:rsidRPr="00900CB9">
        <w:rPr>
          <w:rFonts w:ascii="Verdana" w:hAnsi="Verdana"/>
          <w:sz w:val="20"/>
          <w:szCs w:val="20"/>
          <w:lang w:val="es-MX"/>
        </w:rPr>
        <w:t>.</w:t>
      </w:r>
      <w:r w:rsidR="00517048" w:rsidRPr="00261A99">
        <w:rPr>
          <w:rFonts w:ascii="Verdana" w:hAnsi="Verdana"/>
          <w:sz w:val="20"/>
          <w:szCs w:val="20"/>
          <w:lang w:val="es-MX"/>
        </w:rPr>
        <w:t xml:space="preserve"> </w:t>
      </w:r>
      <w:r w:rsidRPr="00261A99">
        <w:rPr>
          <w:rFonts w:ascii="Verdana" w:hAnsi="Verdana"/>
          <w:sz w:val="20"/>
          <w:szCs w:val="20"/>
          <w:lang w:val="es-MX"/>
        </w:rPr>
        <w:t xml:space="preserve">Para ello, el Tribunal analizará la presente </w:t>
      </w:r>
      <w:r w:rsidRPr="001423EE">
        <w:rPr>
          <w:rFonts w:ascii="Verdana" w:hAnsi="Verdana"/>
          <w:sz w:val="20"/>
          <w:lang w:val="es-MX"/>
        </w:rPr>
        <w:t xml:space="preserve">controversia en los siguientes acápites: </w:t>
      </w:r>
      <w:r w:rsidR="00C41937" w:rsidRPr="0065727E">
        <w:rPr>
          <w:rFonts w:ascii="Verdana" w:hAnsi="Verdana"/>
          <w:sz w:val="20"/>
          <w:lang w:val="es-MX"/>
        </w:rPr>
        <w:t xml:space="preserve">a) </w:t>
      </w:r>
      <w:r w:rsidRPr="00653B63">
        <w:rPr>
          <w:rFonts w:ascii="Verdana" w:hAnsi="Verdana"/>
          <w:sz w:val="20"/>
          <w:lang w:val="es-MX"/>
        </w:rPr>
        <w:t>La libertad de expresión en contextos laborales</w:t>
      </w:r>
      <w:r w:rsidR="002A7B50" w:rsidRPr="005D0F69">
        <w:rPr>
          <w:rFonts w:ascii="Verdana" w:hAnsi="Verdana"/>
          <w:sz w:val="20"/>
          <w:szCs w:val="20"/>
          <w:lang w:val="es-MX"/>
        </w:rPr>
        <w:t xml:space="preserve"> y</w:t>
      </w:r>
      <w:r w:rsidRPr="00172797">
        <w:rPr>
          <w:rFonts w:ascii="Verdana" w:hAnsi="Verdana"/>
          <w:sz w:val="20"/>
          <w:szCs w:val="20"/>
          <w:lang w:val="es-MX"/>
        </w:rPr>
        <w:t xml:space="preserve"> </w:t>
      </w:r>
      <w:r w:rsidR="002A7B50" w:rsidRPr="005D0F69">
        <w:rPr>
          <w:rFonts w:ascii="Verdana" w:hAnsi="Verdana"/>
          <w:sz w:val="20"/>
          <w:szCs w:val="20"/>
          <w:lang w:val="es-MX"/>
        </w:rPr>
        <w:t>b</w:t>
      </w:r>
      <w:r w:rsidRPr="00172797">
        <w:rPr>
          <w:rFonts w:ascii="Verdana" w:hAnsi="Verdana"/>
          <w:sz w:val="20"/>
          <w:lang w:val="es-MX"/>
        </w:rPr>
        <w:t xml:space="preserve">) </w:t>
      </w:r>
      <w:r w:rsidR="001E446C" w:rsidRPr="00172797">
        <w:rPr>
          <w:rFonts w:ascii="Verdana" w:hAnsi="Verdana"/>
          <w:sz w:val="20"/>
          <w:lang w:val="es-MX"/>
        </w:rPr>
        <w:t>A</w:t>
      </w:r>
      <w:r w:rsidRPr="00717715">
        <w:rPr>
          <w:rFonts w:ascii="Verdana" w:hAnsi="Verdana"/>
          <w:sz w:val="20"/>
          <w:lang w:val="es-MX"/>
        </w:rPr>
        <w:t xml:space="preserve">nálisis de </w:t>
      </w:r>
      <w:r w:rsidR="001E446C" w:rsidRPr="007E39F5">
        <w:rPr>
          <w:rFonts w:ascii="Verdana" w:hAnsi="Verdana"/>
          <w:sz w:val="20"/>
          <w:lang w:val="es-MX"/>
        </w:rPr>
        <w:t xml:space="preserve">necesidad </w:t>
      </w:r>
      <w:r w:rsidRPr="007E39F5">
        <w:rPr>
          <w:rFonts w:ascii="Verdana" w:hAnsi="Verdana"/>
          <w:sz w:val="20"/>
          <w:lang w:val="es-MX"/>
        </w:rPr>
        <w:t xml:space="preserve">y razonabilidad </w:t>
      </w:r>
      <w:r w:rsidR="007E39F5">
        <w:rPr>
          <w:rFonts w:ascii="Verdana" w:hAnsi="Verdana"/>
          <w:sz w:val="20"/>
          <w:lang w:val="es-MX"/>
        </w:rPr>
        <w:t xml:space="preserve">de la restricción </w:t>
      </w:r>
      <w:r w:rsidR="001E446C" w:rsidRPr="007E39F5">
        <w:rPr>
          <w:rFonts w:ascii="Verdana" w:hAnsi="Verdana"/>
          <w:sz w:val="20"/>
          <w:lang w:val="es-MX"/>
        </w:rPr>
        <w:t>en el</w:t>
      </w:r>
      <w:r w:rsidRPr="007E39F5">
        <w:rPr>
          <w:rFonts w:ascii="Verdana" w:hAnsi="Verdana"/>
          <w:sz w:val="20"/>
          <w:lang w:val="es-MX"/>
        </w:rPr>
        <w:t xml:space="preserve"> presente caso</w:t>
      </w:r>
      <w:r w:rsidR="001E446C" w:rsidRPr="007E39F5">
        <w:rPr>
          <w:rFonts w:ascii="Verdana" w:hAnsi="Verdana"/>
          <w:sz w:val="20"/>
          <w:lang w:val="es-MX"/>
        </w:rPr>
        <w:t>.</w:t>
      </w:r>
    </w:p>
    <w:p w14:paraId="22B20085" w14:textId="77777777" w:rsidR="00C41937" w:rsidRPr="00C01305" w:rsidRDefault="00C41937" w:rsidP="00557859">
      <w:pPr>
        <w:autoSpaceDE w:val="0"/>
        <w:autoSpaceDN w:val="0"/>
        <w:adjustRightInd w:val="0"/>
        <w:contextualSpacing/>
        <w:jc w:val="both"/>
        <w:rPr>
          <w:rFonts w:ascii="Verdana" w:hAnsi="Verdana"/>
          <w:sz w:val="20"/>
          <w:szCs w:val="20"/>
          <w:lang w:val="es-MX"/>
        </w:rPr>
      </w:pPr>
    </w:p>
    <w:p w14:paraId="7B3BA865" w14:textId="0FC6D6C5" w:rsidR="00517048" w:rsidRPr="00262F28" w:rsidRDefault="00517048" w:rsidP="00E66DD7">
      <w:pPr>
        <w:pStyle w:val="Heading3"/>
        <w:numPr>
          <w:ilvl w:val="1"/>
          <w:numId w:val="11"/>
        </w:numPr>
        <w:rPr>
          <w:i/>
          <w:lang w:val="es-MX"/>
        </w:rPr>
      </w:pPr>
      <w:bookmarkStart w:id="42" w:name="_Toc498333501"/>
      <w:r w:rsidRPr="00262F28">
        <w:rPr>
          <w:i/>
          <w:lang w:val="es-MX"/>
        </w:rPr>
        <w:t>La libertad de expresión en contextos laborales</w:t>
      </w:r>
      <w:bookmarkEnd w:id="42"/>
    </w:p>
    <w:p w14:paraId="2AD0E74E" w14:textId="77777777" w:rsidR="00E365AD" w:rsidRDefault="00E365AD" w:rsidP="00CB5A95">
      <w:pPr>
        <w:autoSpaceDE w:val="0"/>
        <w:autoSpaceDN w:val="0"/>
        <w:adjustRightInd w:val="0"/>
        <w:contextualSpacing/>
        <w:jc w:val="both"/>
        <w:rPr>
          <w:i/>
          <w:lang w:val="es-MX"/>
        </w:rPr>
      </w:pPr>
    </w:p>
    <w:p w14:paraId="34AC2DC1" w14:textId="77777777" w:rsidR="00E365AD" w:rsidRPr="00C01305" w:rsidRDefault="00E365AD" w:rsidP="00E66DD7">
      <w:pPr>
        <w:numPr>
          <w:ilvl w:val="0"/>
          <w:numId w:val="1"/>
        </w:numPr>
        <w:autoSpaceDE w:val="0"/>
        <w:autoSpaceDN w:val="0"/>
        <w:adjustRightInd w:val="0"/>
        <w:ind w:left="0" w:firstLine="0"/>
        <w:contextualSpacing/>
        <w:jc w:val="both"/>
        <w:rPr>
          <w:rFonts w:ascii="Verdana" w:hAnsi="Verdana"/>
          <w:sz w:val="20"/>
          <w:szCs w:val="20"/>
        </w:rPr>
      </w:pPr>
      <w:r w:rsidRPr="00C01305">
        <w:rPr>
          <w:rFonts w:ascii="Verdana" w:hAnsi="Verdana"/>
          <w:sz w:val="20"/>
          <w:szCs w:val="20"/>
        </w:rPr>
        <w:t>La jurisprudencia del Tribunal ha dado un amplio contenido al derecho a la libertad de pensamiento y de expresión consagrado en el artículo 13 de la Convención. La Corte ha indicado que dicha norma protege el derecho de buscar, recibir y difundir ideas e informaciones de toda índole, así como también el de recibir y conocer las informaciones e ideas difundidas por los demás</w:t>
      </w:r>
      <w:r w:rsidRPr="00C01305">
        <w:rPr>
          <w:rFonts w:ascii="Verdana" w:hAnsi="Verdana"/>
          <w:sz w:val="20"/>
          <w:szCs w:val="20"/>
          <w:vertAlign w:val="superscript"/>
        </w:rPr>
        <w:footnoteReference w:id="111"/>
      </w:r>
      <w:r w:rsidRPr="00C01305">
        <w:rPr>
          <w:rFonts w:ascii="Verdana" w:hAnsi="Verdana"/>
          <w:sz w:val="20"/>
          <w:szCs w:val="20"/>
        </w:rPr>
        <w:t>. Asimismo, ha señalado que la libertad de expresión tiene una dimensión individual y una dimensión social, de las cuales ha desprendido una serie de derechos que se encuentran protegidos en dicho artículo</w:t>
      </w:r>
      <w:r w:rsidRPr="00C01305">
        <w:rPr>
          <w:rFonts w:ascii="Verdana" w:hAnsi="Verdana"/>
          <w:sz w:val="20"/>
          <w:szCs w:val="20"/>
          <w:vertAlign w:val="superscript"/>
        </w:rPr>
        <w:footnoteReference w:id="112"/>
      </w:r>
      <w:r w:rsidRPr="00C01305">
        <w:rPr>
          <w:rFonts w:ascii="Verdana" w:hAnsi="Verdana"/>
          <w:sz w:val="20"/>
          <w:szCs w:val="20"/>
        </w:rPr>
        <w:t>. Este Tribunal ha afirmado que ambas dimensiones poseen igual importancia y deben ser garantizadas plenamente en forma simultánea para dar efectividad total al derecho a la libertad de expresión</w:t>
      </w:r>
      <w:r>
        <w:rPr>
          <w:rFonts w:ascii="Verdana" w:hAnsi="Verdana"/>
          <w:sz w:val="20"/>
          <w:szCs w:val="20"/>
        </w:rPr>
        <w:t>,</w:t>
      </w:r>
      <w:r w:rsidRPr="00C01305">
        <w:rPr>
          <w:rFonts w:ascii="Verdana" w:hAnsi="Verdana"/>
          <w:sz w:val="20"/>
          <w:szCs w:val="20"/>
        </w:rPr>
        <w:t xml:space="preserve"> en los términos previstos por el artículo 13 de la Convención</w:t>
      </w:r>
      <w:r w:rsidRPr="00C01305">
        <w:rPr>
          <w:rFonts w:ascii="Verdana" w:hAnsi="Verdana"/>
          <w:sz w:val="20"/>
          <w:szCs w:val="20"/>
          <w:vertAlign w:val="superscript"/>
        </w:rPr>
        <w:footnoteReference w:id="113"/>
      </w:r>
      <w:r w:rsidRPr="00C01305">
        <w:rPr>
          <w:rFonts w:ascii="Verdana" w:hAnsi="Verdana"/>
          <w:sz w:val="20"/>
          <w:szCs w:val="20"/>
        </w:rPr>
        <w:t>. Para el ciudadano común tiene tanta importancia el conocimiento de la opinión ajena o de la información de que disponen otros como el derecho a difundir la propia</w:t>
      </w:r>
      <w:r w:rsidRPr="00C01305">
        <w:rPr>
          <w:rFonts w:ascii="Verdana" w:hAnsi="Verdana"/>
          <w:sz w:val="20"/>
          <w:szCs w:val="20"/>
          <w:vertAlign w:val="superscript"/>
        </w:rPr>
        <w:footnoteReference w:id="114"/>
      </w:r>
      <w:r w:rsidRPr="00C01305">
        <w:rPr>
          <w:rFonts w:ascii="Verdana" w:hAnsi="Verdana"/>
          <w:sz w:val="20"/>
          <w:szCs w:val="20"/>
        </w:rPr>
        <w:t>.</w:t>
      </w:r>
      <w:r w:rsidRPr="00C01305">
        <w:rPr>
          <w:rFonts w:ascii="Verdana" w:hAnsi="Verdana"/>
          <w:b/>
          <w:sz w:val="20"/>
          <w:szCs w:val="20"/>
        </w:rPr>
        <w:t xml:space="preserve"> </w:t>
      </w:r>
      <w:r w:rsidRPr="00C01305">
        <w:rPr>
          <w:rFonts w:ascii="Verdana" w:hAnsi="Verdana"/>
          <w:sz w:val="20"/>
          <w:szCs w:val="20"/>
        </w:rPr>
        <w:t>Es por ello que</w:t>
      </w:r>
      <w:r>
        <w:rPr>
          <w:rFonts w:ascii="Verdana" w:hAnsi="Verdana"/>
          <w:sz w:val="20"/>
          <w:szCs w:val="20"/>
        </w:rPr>
        <w:t>,</w:t>
      </w:r>
      <w:r w:rsidRPr="00C01305">
        <w:rPr>
          <w:rFonts w:ascii="Verdana" w:hAnsi="Verdana"/>
          <w:sz w:val="20"/>
          <w:szCs w:val="20"/>
        </w:rPr>
        <w:t xml:space="preserve"> a la luz de ambas dimensiones, la libertad de expresión requiere, por un lado, que nadie sea arbitrariamente menoscabado o impedido de manifestar su propio pensamiento y representa, por tanto, un derecho de cada individuo; pero implica también, por otro lado, un </w:t>
      </w:r>
      <w:r w:rsidRPr="00C01305">
        <w:rPr>
          <w:rFonts w:ascii="Verdana" w:hAnsi="Verdana"/>
          <w:sz w:val="20"/>
          <w:szCs w:val="20"/>
        </w:rPr>
        <w:lastRenderedPageBreak/>
        <w:t>derecho colectivo a recibir cualquier información y a conocer la expresión del pensamiento ajeno</w:t>
      </w:r>
      <w:r w:rsidRPr="00C01305">
        <w:rPr>
          <w:rFonts w:ascii="Verdana" w:hAnsi="Verdana"/>
          <w:sz w:val="20"/>
          <w:szCs w:val="20"/>
          <w:vertAlign w:val="superscript"/>
        </w:rPr>
        <w:footnoteReference w:id="115"/>
      </w:r>
      <w:r w:rsidRPr="00C01305">
        <w:rPr>
          <w:rFonts w:ascii="Verdana" w:hAnsi="Verdana"/>
          <w:sz w:val="20"/>
          <w:szCs w:val="20"/>
        </w:rPr>
        <w:t>.</w:t>
      </w:r>
    </w:p>
    <w:p w14:paraId="4C6409BF" w14:textId="77777777" w:rsidR="00E365AD" w:rsidRPr="00C01305" w:rsidRDefault="00E365AD" w:rsidP="00E365AD">
      <w:pPr>
        <w:autoSpaceDE w:val="0"/>
        <w:autoSpaceDN w:val="0"/>
        <w:adjustRightInd w:val="0"/>
        <w:contextualSpacing/>
        <w:jc w:val="both"/>
        <w:rPr>
          <w:rFonts w:ascii="Verdana" w:hAnsi="Verdana"/>
          <w:sz w:val="20"/>
          <w:szCs w:val="20"/>
        </w:rPr>
      </w:pPr>
    </w:p>
    <w:p w14:paraId="34D6CCEA" w14:textId="77777777" w:rsidR="00E365AD" w:rsidRPr="00F23D52" w:rsidRDefault="00E365AD" w:rsidP="00E66DD7">
      <w:pPr>
        <w:numPr>
          <w:ilvl w:val="0"/>
          <w:numId w:val="1"/>
        </w:numPr>
        <w:autoSpaceDE w:val="0"/>
        <w:autoSpaceDN w:val="0"/>
        <w:adjustRightInd w:val="0"/>
        <w:ind w:left="0" w:firstLine="0"/>
        <w:contextualSpacing/>
        <w:jc w:val="both"/>
        <w:rPr>
          <w:rFonts w:ascii="Verdana" w:eastAsia="Times New Roman" w:hAnsi="Verdana" w:cs="Arial"/>
          <w:b/>
          <w:sz w:val="20"/>
          <w:szCs w:val="20"/>
        </w:rPr>
      </w:pPr>
      <w:r w:rsidRPr="00C01305">
        <w:rPr>
          <w:rFonts w:ascii="Verdana" w:hAnsi="Verdana"/>
          <w:sz w:val="20"/>
          <w:szCs w:val="22"/>
        </w:rPr>
        <w:t xml:space="preserve">La Convención Americana garantiza el derecho a la libertad de expresión a toda persona, independientemente de cualquier otra consideración, </w:t>
      </w:r>
      <w:r w:rsidRPr="00C01305">
        <w:rPr>
          <w:rFonts w:ascii="Verdana" w:hAnsi="Verdana"/>
          <w:sz w:val="20"/>
          <w:szCs w:val="20"/>
        </w:rPr>
        <w:t xml:space="preserve">por lo que no cabe restringirla a una </w:t>
      </w:r>
      <w:r w:rsidRPr="00D24B13">
        <w:rPr>
          <w:rFonts w:ascii="Verdana" w:hAnsi="Verdana"/>
          <w:sz w:val="20"/>
          <w:szCs w:val="20"/>
        </w:rPr>
        <w:t>determinada profesión o grupo de personas</w:t>
      </w:r>
      <w:r w:rsidRPr="00C01305">
        <w:rPr>
          <w:rFonts w:ascii="Verdana" w:hAnsi="Verdana"/>
          <w:sz w:val="20"/>
          <w:szCs w:val="20"/>
          <w:vertAlign w:val="superscript"/>
        </w:rPr>
        <w:footnoteReference w:id="116"/>
      </w:r>
      <w:r w:rsidRPr="00C01305">
        <w:rPr>
          <w:rFonts w:ascii="Verdana" w:hAnsi="Verdana"/>
          <w:sz w:val="20"/>
          <w:szCs w:val="20"/>
        </w:rPr>
        <w:t>.</w:t>
      </w:r>
      <w:r w:rsidRPr="00C01305">
        <w:rPr>
          <w:rFonts w:ascii="Verdana" w:eastAsia="Times New Roman" w:hAnsi="Verdana" w:cs="Arial"/>
          <w:sz w:val="20"/>
          <w:szCs w:val="20"/>
        </w:rPr>
        <w:t xml:space="preserve"> En este sentido,</w:t>
      </w:r>
      <w:r w:rsidRPr="00C01305">
        <w:rPr>
          <w:rFonts w:ascii="Verdana" w:eastAsia="Times New Roman" w:hAnsi="Verdana" w:cs="Arial"/>
          <w:b/>
          <w:sz w:val="20"/>
          <w:szCs w:val="20"/>
        </w:rPr>
        <w:t xml:space="preserve"> </w:t>
      </w:r>
      <w:r w:rsidRPr="00C01305">
        <w:rPr>
          <w:rFonts w:ascii="Verdana" w:eastAsia="Times New Roman" w:hAnsi="Verdana"/>
          <w:sz w:val="20"/>
          <w:szCs w:val="20"/>
          <w:lang w:val="es-ES" w:eastAsia="es-ES"/>
        </w:rPr>
        <w:t xml:space="preserve">la Corte ha sostenido que la libertad de expresión es indispensable para la formación de la opinión pública en una sociedad democrática. “Es también </w:t>
      </w:r>
      <w:proofErr w:type="spellStart"/>
      <w:r w:rsidRPr="00C01305">
        <w:rPr>
          <w:rFonts w:ascii="Verdana" w:eastAsia="Times New Roman" w:hAnsi="Verdana"/>
          <w:i/>
          <w:sz w:val="20"/>
          <w:szCs w:val="20"/>
          <w:lang w:val="es-ES" w:eastAsia="es-ES"/>
        </w:rPr>
        <w:t>conditio</w:t>
      </w:r>
      <w:proofErr w:type="spellEnd"/>
      <w:r w:rsidRPr="00C01305">
        <w:rPr>
          <w:rFonts w:ascii="Verdana" w:eastAsia="Times New Roman" w:hAnsi="Verdana"/>
          <w:i/>
          <w:sz w:val="20"/>
          <w:szCs w:val="20"/>
          <w:lang w:val="es-ES" w:eastAsia="es-ES"/>
        </w:rPr>
        <w:t xml:space="preserve"> sine qua non</w:t>
      </w:r>
      <w:r w:rsidRPr="00C01305">
        <w:rPr>
          <w:rFonts w:ascii="Verdana" w:eastAsia="Times New Roman" w:hAnsi="Verdana"/>
          <w:sz w:val="20"/>
          <w:szCs w:val="20"/>
          <w:lang w:val="es-ES" w:eastAsia="es-ES"/>
        </w:rPr>
        <w:t xml:space="preserve"> </w:t>
      </w:r>
      <w:r>
        <w:rPr>
          <w:rFonts w:ascii="Verdana" w:hAnsi="Verdana"/>
          <w:sz w:val="20"/>
          <w:lang w:val="es-ES"/>
        </w:rPr>
        <w:t xml:space="preserve">para que […] </w:t>
      </w:r>
      <w:r w:rsidRPr="00900CB9">
        <w:rPr>
          <w:rFonts w:ascii="Verdana" w:hAnsi="Verdana"/>
          <w:sz w:val="20"/>
          <w:lang w:val="es-ES"/>
        </w:rPr>
        <w:t>los sindicatos […] y en general, quienes deseen influir sobre la colectividad</w:t>
      </w:r>
      <w:r w:rsidRPr="002B373E">
        <w:rPr>
          <w:rFonts w:ascii="Verdana" w:hAnsi="Verdana"/>
          <w:sz w:val="20"/>
          <w:lang w:val="es-ES"/>
        </w:rPr>
        <w:t xml:space="preserve"> puedan desarrollarse plenamente</w:t>
      </w:r>
      <w:r w:rsidRPr="002B373E">
        <w:rPr>
          <w:rFonts w:ascii="Verdana" w:eastAsia="Times New Roman" w:hAnsi="Verdana"/>
          <w:sz w:val="20"/>
          <w:szCs w:val="20"/>
          <w:lang w:val="es-ES" w:eastAsia="es-ES"/>
        </w:rPr>
        <w:t>”</w:t>
      </w:r>
      <w:r w:rsidRPr="002B373E">
        <w:rPr>
          <w:rFonts w:ascii="Verdana" w:eastAsia="Times New Roman" w:hAnsi="Verdana"/>
          <w:sz w:val="20"/>
          <w:szCs w:val="20"/>
          <w:vertAlign w:val="superscript"/>
          <w:lang w:val="es-ES" w:eastAsia="es-ES"/>
        </w:rPr>
        <w:footnoteReference w:id="117"/>
      </w:r>
      <w:r w:rsidRPr="002B373E">
        <w:rPr>
          <w:rFonts w:ascii="Verdana" w:eastAsia="Times New Roman" w:hAnsi="Verdana"/>
          <w:sz w:val="20"/>
          <w:szCs w:val="20"/>
          <w:lang w:val="es-ES" w:eastAsia="es-ES"/>
        </w:rPr>
        <w:t>.</w:t>
      </w:r>
      <w:r w:rsidRPr="00C01305">
        <w:rPr>
          <w:rFonts w:ascii="Verdana" w:eastAsia="Times New Roman" w:hAnsi="Verdana"/>
          <w:sz w:val="20"/>
          <w:szCs w:val="20"/>
          <w:lang w:val="es-ES" w:eastAsia="es-ES"/>
        </w:rPr>
        <w:t xml:space="preserve"> </w:t>
      </w:r>
    </w:p>
    <w:p w14:paraId="2F7FEF65" w14:textId="77777777" w:rsidR="00E365AD" w:rsidRPr="00CB5A95" w:rsidRDefault="00E365AD" w:rsidP="00E365AD">
      <w:pPr>
        <w:contextualSpacing/>
        <w:rPr>
          <w:rFonts w:ascii="Verdana" w:eastAsia="Times New Roman" w:hAnsi="Verdana" w:cs="Arial"/>
          <w:b/>
          <w:sz w:val="20"/>
          <w:szCs w:val="20"/>
          <w:lang w:val="es-MX"/>
        </w:rPr>
      </w:pPr>
    </w:p>
    <w:p w14:paraId="5A0FCCFB" w14:textId="0C66B8D2" w:rsidR="00E365AD" w:rsidRPr="00C01305" w:rsidRDefault="00E365AD" w:rsidP="00E66DD7">
      <w:pPr>
        <w:numPr>
          <w:ilvl w:val="0"/>
          <w:numId w:val="1"/>
        </w:numPr>
        <w:autoSpaceDE w:val="0"/>
        <w:autoSpaceDN w:val="0"/>
        <w:adjustRightInd w:val="0"/>
        <w:ind w:left="0" w:firstLine="0"/>
        <w:contextualSpacing/>
        <w:jc w:val="both"/>
        <w:rPr>
          <w:rFonts w:ascii="Verdana" w:eastAsia="Times New Roman" w:hAnsi="Verdana" w:cs="Arial"/>
          <w:sz w:val="20"/>
          <w:szCs w:val="20"/>
        </w:rPr>
      </w:pPr>
      <w:r w:rsidRPr="00C01305">
        <w:rPr>
          <w:rFonts w:ascii="Verdana" w:eastAsia="Times New Roman" w:hAnsi="Verdana" w:cs="Arial"/>
          <w:sz w:val="20"/>
          <w:szCs w:val="20"/>
        </w:rPr>
        <w:t xml:space="preserve">En este sentido, la libertad de expresión resulta </w:t>
      </w:r>
      <w:r w:rsidRPr="00333304">
        <w:rPr>
          <w:rFonts w:ascii="Verdana" w:eastAsia="Times New Roman" w:hAnsi="Verdana" w:cs="Arial"/>
          <w:sz w:val="20"/>
          <w:szCs w:val="20"/>
        </w:rPr>
        <w:t>un</w:t>
      </w:r>
      <w:r w:rsidR="000A6A6B" w:rsidRPr="00333304">
        <w:rPr>
          <w:rFonts w:ascii="Verdana" w:eastAsia="Times New Roman" w:hAnsi="Verdana" w:cs="Arial"/>
          <w:sz w:val="20"/>
          <w:szCs w:val="20"/>
        </w:rPr>
        <w:t>a condición necesaria</w:t>
      </w:r>
      <w:r w:rsidRPr="00C01305">
        <w:rPr>
          <w:rFonts w:ascii="Verdana" w:eastAsia="Times New Roman" w:hAnsi="Verdana" w:cs="Arial"/>
          <w:sz w:val="20"/>
          <w:szCs w:val="20"/>
        </w:rPr>
        <w:t xml:space="preserve"> para el ejercicio de organizaciones de trabajadores, a fin de proteger sus derechos laborales, mejorar sus condiciones e intereses legítimos, </w:t>
      </w:r>
      <w:r w:rsidR="001B481A" w:rsidRPr="00333304">
        <w:rPr>
          <w:rFonts w:ascii="Verdana" w:eastAsia="Times New Roman" w:hAnsi="Verdana" w:cs="Arial"/>
          <w:sz w:val="20"/>
          <w:szCs w:val="20"/>
        </w:rPr>
        <w:t>puesto</w:t>
      </w:r>
      <w:r w:rsidR="001B481A">
        <w:rPr>
          <w:rFonts w:ascii="Verdana" w:eastAsia="Times New Roman" w:hAnsi="Verdana" w:cs="Arial"/>
          <w:sz w:val="20"/>
          <w:szCs w:val="20"/>
        </w:rPr>
        <w:t xml:space="preserve"> </w:t>
      </w:r>
      <w:r>
        <w:rPr>
          <w:rFonts w:ascii="Verdana" w:eastAsia="Times New Roman" w:hAnsi="Verdana" w:cs="Arial"/>
          <w:sz w:val="20"/>
          <w:szCs w:val="20"/>
        </w:rPr>
        <w:t xml:space="preserve">que </w:t>
      </w:r>
      <w:r w:rsidRPr="00C01305">
        <w:rPr>
          <w:rFonts w:ascii="Verdana" w:eastAsia="Times New Roman" w:hAnsi="Verdana" w:cs="Arial"/>
          <w:sz w:val="20"/>
          <w:szCs w:val="20"/>
        </w:rPr>
        <w:t>sin este derecho dichas organizaciones carecerían de eficacia y razón de ser</w:t>
      </w:r>
      <w:r w:rsidRPr="00C01305">
        <w:rPr>
          <w:rFonts w:ascii="Verdana" w:hAnsi="Verdana"/>
          <w:sz w:val="20"/>
          <w:szCs w:val="20"/>
          <w:vertAlign w:val="superscript"/>
        </w:rPr>
        <w:footnoteReference w:id="118"/>
      </w:r>
      <w:r w:rsidRPr="00C01305">
        <w:rPr>
          <w:rFonts w:ascii="Verdana" w:eastAsia="Times New Roman" w:hAnsi="Verdana" w:cs="Arial"/>
          <w:sz w:val="20"/>
          <w:szCs w:val="20"/>
        </w:rPr>
        <w:t xml:space="preserve">. </w:t>
      </w:r>
    </w:p>
    <w:p w14:paraId="1CAD3BF6" w14:textId="77777777" w:rsidR="00E365AD" w:rsidRDefault="00E365AD" w:rsidP="00CB5A95">
      <w:pPr>
        <w:autoSpaceDE w:val="0"/>
        <w:autoSpaceDN w:val="0"/>
        <w:adjustRightInd w:val="0"/>
        <w:contextualSpacing/>
        <w:jc w:val="both"/>
        <w:rPr>
          <w:i/>
          <w:lang w:val="es-MX"/>
        </w:rPr>
      </w:pPr>
    </w:p>
    <w:p w14:paraId="7279346B" w14:textId="6490FDEA" w:rsidR="004F060B" w:rsidRPr="00CB5A95" w:rsidRDefault="002A7B50" w:rsidP="00E66DD7">
      <w:pPr>
        <w:numPr>
          <w:ilvl w:val="0"/>
          <w:numId w:val="1"/>
        </w:numPr>
        <w:autoSpaceDE w:val="0"/>
        <w:autoSpaceDN w:val="0"/>
        <w:adjustRightInd w:val="0"/>
        <w:ind w:left="0" w:firstLine="0"/>
        <w:contextualSpacing/>
        <w:jc w:val="both"/>
        <w:rPr>
          <w:rFonts w:ascii="Verdana" w:eastAsia="Times New Roman" w:hAnsi="Verdana" w:cs="Arial"/>
          <w:b/>
          <w:sz w:val="20"/>
          <w:szCs w:val="20"/>
        </w:rPr>
      </w:pPr>
      <w:r>
        <w:rPr>
          <w:rFonts w:ascii="Verdana" w:hAnsi="Verdana"/>
          <w:sz w:val="20"/>
          <w:szCs w:val="20"/>
        </w:rPr>
        <w:t>Asimismo, l</w:t>
      </w:r>
      <w:r w:rsidR="004F060B" w:rsidRPr="00CB5A95">
        <w:rPr>
          <w:rFonts w:ascii="Verdana" w:hAnsi="Verdana"/>
          <w:sz w:val="20"/>
          <w:szCs w:val="20"/>
        </w:rPr>
        <w:t>a Corte ha establecido que la obligación de garantizar los derechos de la Convención, presupone obligaciones positivas para el Estado, a fin de proteger los derechos inclusive en la esfera privada</w:t>
      </w:r>
      <w:r w:rsidR="004F060B" w:rsidRPr="00CB5A95">
        <w:rPr>
          <w:rFonts w:ascii="Verdana" w:hAnsi="Verdana" w:cs="Tahoma"/>
          <w:sz w:val="20"/>
          <w:szCs w:val="20"/>
          <w:vertAlign w:val="superscript"/>
        </w:rPr>
        <w:footnoteReference w:id="119"/>
      </w:r>
      <w:r w:rsidR="004F060B" w:rsidRPr="00CB5A95">
        <w:rPr>
          <w:rFonts w:ascii="Verdana" w:hAnsi="Verdana"/>
          <w:sz w:val="20"/>
          <w:szCs w:val="20"/>
        </w:rPr>
        <w:t xml:space="preserve">. En </w:t>
      </w:r>
      <w:r w:rsidR="00517048">
        <w:rPr>
          <w:rFonts w:ascii="Verdana" w:hAnsi="Verdana"/>
          <w:sz w:val="20"/>
          <w:szCs w:val="20"/>
        </w:rPr>
        <w:t>casos</w:t>
      </w:r>
      <w:r w:rsidR="004F060B" w:rsidRPr="00CB5A95">
        <w:rPr>
          <w:rFonts w:ascii="Verdana" w:hAnsi="Verdana"/>
          <w:sz w:val="20"/>
          <w:szCs w:val="20"/>
        </w:rPr>
        <w:t xml:space="preserve"> como el presente, las autoridades competentes, sean judiciales o administrativas, tienen el deber de revisar si las actuaciones o decisiones que se ejercen en el ámbito privado y acarreen consecuencias a derechos fundamentales, resultan acorde con el derecho interno y sus obligaciones internacionales. De lo contrario, </w:t>
      </w:r>
      <w:r w:rsidR="00517048">
        <w:rPr>
          <w:rFonts w:ascii="Verdana" w:hAnsi="Verdana"/>
          <w:sz w:val="20"/>
          <w:szCs w:val="20"/>
        </w:rPr>
        <w:t>el Estado</w:t>
      </w:r>
      <w:r w:rsidR="004F060B" w:rsidRPr="00CB5A95">
        <w:rPr>
          <w:rFonts w:ascii="Verdana" w:hAnsi="Verdana"/>
          <w:sz w:val="20"/>
          <w:szCs w:val="20"/>
        </w:rPr>
        <w:t xml:space="preserve"> debe corregir </w:t>
      </w:r>
      <w:r w:rsidR="00517048">
        <w:rPr>
          <w:rFonts w:ascii="Verdana" w:hAnsi="Verdana"/>
          <w:sz w:val="20"/>
          <w:szCs w:val="20"/>
        </w:rPr>
        <w:t xml:space="preserve">la </w:t>
      </w:r>
      <w:r w:rsidR="004F060B" w:rsidRPr="00CB5A95">
        <w:rPr>
          <w:rFonts w:ascii="Verdana" w:hAnsi="Verdana"/>
          <w:sz w:val="20"/>
          <w:szCs w:val="20"/>
        </w:rPr>
        <w:t>vulneración a estos derechos y brindarles una adecuada protección</w:t>
      </w:r>
      <w:r w:rsidR="00517048">
        <w:rPr>
          <w:rFonts w:ascii="Verdana" w:hAnsi="Verdana"/>
          <w:sz w:val="20"/>
          <w:szCs w:val="20"/>
        </w:rPr>
        <w:t>.</w:t>
      </w:r>
    </w:p>
    <w:p w14:paraId="55CE164D" w14:textId="77777777" w:rsidR="004F060B" w:rsidRPr="00CB5A95" w:rsidRDefault="004F060B" w:rsidP="00CB5A95">
      <w:pPr>
        <w:autoSpaceDE w:val="0"/>
        <w:autoSpaceDN w:val="0"/>
        <w:adjustRightInd w:val="0"/>
        <w:contextualSpacing/>
        <w:jc w:val="both"/>
        <w:rPr>
          <w:rFonts w:ascii="Verdana" w:eastAsia="Times New Roman" w:hAnsi="Verdana" w:cs="Arial"/>
          <w:b/>
          <w:sz w:val="20"/>
          <w:szCs w:val="20"/>
          <w:highlight w:val="yellow"/>
        </w:rPr>
      </w:pPr>
    </w:p>
    <w:p w14:paraId="3FBABE17" w14:textId="40E05CF0" w:rsidR="00C41937" w:rsidRPr="00223110" w:rsidRDefault="004F060B" w:rsidP="00E66DD7">
      <w:pPr>
        <w:numPr>
          <w:ilvl w:val="0"/>
          <w:numId w:val="1"/>
        </w:numPr>
        <w:autoSpaceDE w:val="0"/>
        <w:autoSpaceDN w:val="0"/>
        <w:adjustRightInd w:val="0"/>
        <w:ind w:left="0" w:firstLine="0"/>
        <w:contextualSpacing/>
        <w:jc w:val="both"/>
        <w:rPr>
          <w:rFonts w:ascii="Verdana" w:hAnsi="Verdana"/>
          <w:sz w:val="20"/>
        </w:rPr>
      </w:pPr>
      <w:r w:rsidRPr="00CB5A95">
        <w:rPr>
          <w:rFonts w:ascii="Verdana" w:hAnsi="Verdana"/>
          <w:sz w:val="20"/>
          <w:szCs w:val="20"/>
        </w:rPr>
        <w:t xml:space="preserve">Sobre el particular, </w:t>
      </w:r>
      <w:r w:rsidRPr="00CB5A95">
        <w:rPr>
          <w:rFonts w:ascii="Verdana" w:hAnsi="Verdana"/>
          <w:sz w:val="20"/>
          <w:szCs w:val="20"/>
          <w:lang w:val="es-ES"/>
        </w:rPr>
        <w:t>e</w:t>
      </w:r>
      <w:r w:rsidR="00C41937" w:rsidRPr="00223110">
        <w:rPr>
          <w:rFonts w:ascii="Verdana" w:hAnsi="Verdana"/>
          <w:sz w:val="20"/>
          <w:lang w:val="es-ES"/>
        </w:rPr>
        <w:t>ste Tribunal ha reconocido que “e</w:t>
      </w:r>
      <w:r w:rsidR="00C41937" w:rsidRPr="00A45F7E">
        <w:rPr>
          <w:rFonts w:ascii="Verdana" w:hAnsi="Verdana"/>
          <w:sz w:val="20"/>
        </w:rPr>
        <w:t>n términos amplios de la Convención Americana, la libertad de expr</w:t>
      </w:r>
      <w:r w:rsidR="00C41937" w:rsidRPr="00223110">
        <w:rPr>
          <w:rFonts w:ascii="Verdana" w:hAnsi="Verdana"/>
          <w:sz w:val="20"/>
        </w:rPr>
        <w:t>esión se puede ver también afectada sin la intervención directa de la acción estatal”</w:t>
      </w:r>
      <w:r w:rsidR="00C41937" w:rsidRPr="00223110">
        <w:rPr>
          <w:rFonts w:ascii="Verdana" w:hAnsi="Verdana"/>
          <w:sz w:val="20"/>
          <w:vertAlign w:val="superscript"/>
        </w:rPr>
        <w:footnoteReference w:id="120"/>
      </w:r>
      <w:r w:rsidR="00C41937" w:rsidRPr="00223110">
        <w:rPr>
          <w:rFonts w:ascii="Verdana" w:hAnsi="Verdana"/>
          <w:sz w:val="20"/>
        </w:rPr>
        <w:t xml:space="preserve">. </w:t>
      </w:r>
      <w:r w:rsidR="00C41937" w:rsidRPr="00A45F7E">
        <w:rPr>
          <w:rFonts w:ascii="Verdana" w:hAnsi="Verdana"/>
          <w:sz w:val="20"/>
        </w:rPr>
        <w:t>En el caso de la libertad de expresión, cuyo ejercicio real y efectivo no depende simplemente del deber del Estado de abstenerse de cualquier injerencia, sino que pue</w:t>
      </w:r>
      <w:r w:rsidR="00C41937" w:rsidRPr="00223110">
        <w:rPr>
          <w:rFonts w:ascii="Verdana" w:hAnsi="Verdana"/>
          <w:sz w:val="20"/>
        </w:rPr>
        <w:t>de requerir medidas positivas de protección incluso en las relaciones entre las personas. En efecto, en ciertos casos, el Estado tiene la obligación positiva de proteger el derecho a la libertad de expresión, incluso frente a ataques provenientes de particulares</w:t>
      </w:r>
      <w:r w:rsidR="00C41937" w:rsidRPr="00223110">
        <w:rPr>
          <w:rFonts w:ascii="Verdana" w:hAnsi="Verdana"/>
          <w:sz w:val="20"/>
          <w:vertAlign w:val="superscript"/>
        </w:rPr>
        <w:footnoteReference w:id="121"/>
      </w:r>
      <w:r w:rsidR="00C41937" w:rsidRPr="00223110">
        <w:rPr>
          <w:rFonts w:ascii="Verdana" w:hAnsi="Verdana"/>
          <w:sz w:val="20"/>
        </w:rPr>
        <w:t>.</w:t>
      </w:r>
    </w:p>
    <w:p w14:paraId="01EA1B53" w14:textId="77777777" w:rsidR="00517048" w:rsidRPr="00223110" w:rsidRDefault="00517048" w:rsidP="005D0F69">
      <w:pPr>
        <w:autoSpaceDE w:val="0"/>
        <w:autoSpaceDN w:val="0"/>
        <w:adjustRightInd w:val="0"/>
        <w:contextualSpacing/>
        <w:jc w:val="both"/>
        <w:rPr>
          <w:rFonts w:ascii="Verdana" w:hAnsi="Verdana"/>
          <w:sz w:val="20"/>
        </w:rPr>
      </w:pPr>
    </w:p>
    <w:p w14:paraId="11816A53" w14:textId="30BA6F06" w:rsidR="00517048" w:rsidRPr="00C01305" w:rsidRDefault="00EC6C24" w:rsidP="00E66DD7">
      <w:pPr>
        <w:numPr>
          <w:ilvl w:val="0"/>
          <w:numId w:val="1"/>
        </w:numPr>
        <w:autoSpaceDE w:val="0"/>
        <w:autoSpaceDN w:val="0"/>
        <w:adjustRightInd w:val="0"/>
        <w:ind w:left="0" w:firstLine="0"/>
        <w:contextualSpacing/>
        <w:jc w:val="both"/>
        <w:rPr>
          <w:sz w:val="20"/>
          <w:szCs w:val="20"/>
        </w:rPr>
      </w:pPr>
      <w:r w:rsidRPr="00C01305">
        <w:rPr>
          <w:rFonts w:ascii="Verdana" w:eastAsia="Times New Roman" w:hAnsi="Verdana" w:cs="Arial"/>
          <w:sz w:val="20"/>
          <w:szCs w:val="20"/>
          <w:lang w:val="es-CR"/>
        </w:rPr>
        <w:t>Es por ello que en el ámbito laboral,</w:t>
      </w:r>
      <w:r>
        <w:rPr>
          <w:rFonts w:ascii="Verdana" w:eastAsia="Times New Roman" w:hAnsi="Verdana" w:cs="Arial"/>
          <w:sz w:val="20"/>
          <w:szCs w:val="20"/>
          <w:lang w:val="es-CR"/>
        </w:rPr>
        <w:t xml:space="preserve"> </w:t>
      </w:r>
      <w:r w:rsidR="00517048">
        <w:rPr>
          <w:rFonts w:ascii="Verdana" w:hAnsi="Verdana"/>
          <w:color w:val="222222"/>
          <w:sz w:val="20"/>
          <w:szCs w:val="20"/>
        </w:rPr>
        <w:t>la responsabilidad del Estado se</w:t>
      </w:r>
      <w:r w:rsidR="00517048">
        <w:rPr>
          <w:rFonts w:ascii="Verdana" w:hAnsi="Verdana"/>
          <w:color w:val="222222"/>
          <w:sz w:val="20"/>
          <w:szCs w:val="20"/>
          <w:lang w:val="es-ES"/>
        </w:rPr>
        <w:t xml:space="preserve"> puede generar bajo </w:t>
      </w:r>
      <w:r w:rsidR="00517048" w:rsidRPr="00C01305">
        <w:rPr>
          <w:rFonts w:ascii="Verdana" w:hAnsi="Verdana"/>
          <w:color w:val="222222"/>
          <w:sz w:val="20"/>
          <w:szCs w:val="20"/>
          <w:lang w:val="es-ES"/>
        </w:rPr>
        <w:t xml:space="preserve">la premisa de que el derecho interno, tal como fue interpretado en última instancia por el órgano jurisdiccional nacional, </w:t>
      </w:r>
      <w:r>
        <w:rPr>
          <w:rFonts w:ascii="Verdana" w:hAnsi="Verdana"/>
          <w:color w:val="222222"/>
          <w:sz w:val="20"/>
          <w:szCs w:val="20"/>
          <w:lang w:val="es-ES"/>
        </w:rPr>
        <w:t xml:space="preserve">habría convalidado </w:t>
      </w:r>
      <w:r w:rsidR="00517048" w:rsidRPr="00C01305">
        <w:rPr>
          <w:rFonts w:ascii="Verdana" w:hAnsi="Verdana"/>
          <w:color w:val="222222"/>
          <w:sz w:val="20"/>
          <w:szCs w:val="20"/>
          <w:lang w:val="es-ES"/>
        </w:rPr>
        <w:t xml:space="preserve">una vulneración del derecho del </w:t>
      </w:r>
      <w:r w:rsidR="00517048">
        <w:rPr>
          <w:rFonts w:ascii="Verdana" w:hAnsi="Verdana"/>
          <w:color w:val="222222"/>
          <w:sz w:val="20"/>
          <w:szCs w:val="20"/>
          <w:lang w:val="es-ES"/>
        </w:rPr>
        <w:t>recurrente</w:t>
      </w:r>
      <w:r w:rsidR="00517048" w:rsidRPr="00C01305">
        <w:rPr>
          <w:rFonts w:ascii="Verdana" w:hAnsi="Verdana"/>
          <w:color w:val="222222"/>
          <w:sz w:val="20"/>
          <w:szCs w:val="20"/>
          <w:lang w:val="es-ES"/>
        </w:rPr>
        <w:t>, por lo que la sanció</w:t>
      </w:r>
      <w:r w:rsidR="00517048">
        <w:rPr>
          <w:rFonts w:ascii="Verdana" w:hAnsi="Verdana"/>
          <w:color w:val="222222"/>
          <w:sz w:val="20"/>
          <w:szCs w:val="20"/>
          <w:lang w:val="es-ES"/>
        </w:rPr>
        <w:t>n</w:t>
      </w:r>
      <w:r>
        <w:rPr>
          <w:rFonts w:ascii="Verdana" w:hAnsi="Verdana"/>
          <w:color w:val="222222"/>
          <w:sz w:val="20"/>
          <w:szCs w:val="20"/>
          <w:lang w:val="es-ES"/>
        </w:rPr>
        <w:t>,</w:t>
      </w:r>
      <w:r w:rsidR="00517048">
        <w:rPr>
          <w:rFonts w:ascii="Verdana" w:hAnsi="Verdana"/>
          <w:color w:val="222222"/>
          <w:sz w:val="20"/>
          <w:szCs w:val="20"/>
          <w:lang w:val="es-ES"/>
        </w:rPr>
        <w:t xml:space="preserve"> en</w:t>
      </w:r>
      <w:r w:rsidR="00517048" w:rsidRPr="00C01305">
        <w:rPr>
          <w:rFonts w:ascii="Verdana" w:hAnsi="Verdana"/>
          <w:color w:val="222222"/>
          <w:sz w:val="20"/>
          <w:szCs w:val="20"/>
          <w:lang w:val="es-ES"/>
        </w:rPr>
        <w:t xml:space="preserve"> último término, deriva como resultado de la resolución del tribunal nacional, pudiendo ello acarrear un ilícito internacional. </w:t>
      </w:r>
    </w:p>
    <w:p w14:paraId="3231E571" w14:textId="77777777" w:rsidR="00C41937" w:rsidRPr="00C01305" w:rsidRDefault="00C41937" w:rsidP="00C41937">
      <w:pPr>
        <w:contextualSpacing/>
        <w:rPr>
          <w:rFonts w:ascii="Verdana" w:hAnsi="Verdana"/>
          <w:sz w:val="20"/>
          <w:szCs w:val="20"/>
        </w:rPr>
      </w:pPr>
    </w:p>
    <w:p w14:paraId="3F3BF7DE" w14:textId="7B421138" w:rsidR="00C41937" w:rsidRPr="00C01305" w:rsidRDefault="00C41937" w:rsidP="00E66DD7">
      <w:pPr>
        <w:numPr>
          <w:ilvl w:val="0"/>
          <w:numId w:val="1"/>
        </w:numPr>
        <w:autoSpaceDE w:val="0"/>
        <w:autoSpaceDN w:val="0"/>
        <w:adjustRightInd w:val="0"/>
        <w:ind w:left="0" w:firstLine="0"/>
        <w:contextualSpacing/>
        <w:jc w:val="both"/>
        <w:rPr>
          <w:sz w:val="20"/>
          <w:szCs w:val="20"/>
        </w:rPr>
      </w:pPr>
      <w:r w:rsidRPr="00C01305">
        <w:rPr>
          <w:rFonts w:ascii="Verdana" w:hAnsi="Verdana"/>
          <w:sz w:val="20"/>
          <w:szCs w:val="20"/>
        </w:rPr>
        <w:t xml:space="preserve">En </w:t>
      </w:r>
      <w:r>
        <w:rPr>
          <w:rFonts w:ascii="Verdana" w:hAnsi="Verdana"/>
          <w:sz w:val="20"/>
          <w:szCs w:val="20"/>
        </w:rPr>
        <w:t>este sentido</w:t>
      </w:r>
      <w:r w:rsidRPr="00C01305">
        <w:rPr>
          <w:rFonts w:ascii="Verdana" w:hAnsi="Verdana"/>
          <w:sz w:val="20"/>
          <w:szCs w:val="20"/>
        </w:rPr>
        <w:t xml:space="preserve">, el Tribunal Europeo de Derechos Humanos ha sostenido que </w:t>
      </w:r>
      <w:r w:rsidRPr="00C01305">
        <w:rPr>
          <w:rFonts w:ascii="Verdana" w:eastAsia="Cambria" w:hAnsi="Verdana"/>
          <w:sz w:val="20"/>
          <w:szCs w:val="20"/>
          <w:lang w:val="es-CR"/>
        </w:rPr>
        <w:t>el artículo 10 del Convenio Europeo (libertad de expresión) se impone no sólo en las relaciones entre empleador y empleado cuando éstas se rigen por el derecho público, sino que a la vez pueden aplicarse cuando estas relaciones son de derecho privado</w:t>
      </w:r>
      <w:r w:rsidRPr="00C01305">
        <w:rPr>
          <w:rFonts w:ascii="Verdana" w:eastAsia="Cambria" w:hAnsi="Verdana"/>
          <w:sz w:val="20"/>
          <w:szCs w:val="20"/>
          <w:vertAlign w:val="superscript"/>
        </w:rPr>
        <w:footnoteReference w:id="122"/>
      </w:r>
      <w:r w:rsidRPr="00C01305">
        <w:rPr>
          <w:rFonts w:ascii="Verdana" w:eastAsia="Cambria" w:hAnsi="Verdana"/>
          <w:sz w:val="20"/>
          <w:szCs w:val="20"/>
          <w:lang w:val="es-CR"/>
        </w:rPr>
        <w:t>.</w:t>
      </w:r>
      <w:r>
        <w:rPr>
          <w:rFonts w:ascii="Verdana" w:hAnsi="Verdana"/>
          <w:sz w:val="18"/>
          <w:szCs w:val="20"/>
        </w:rPr>
        <w:t xml:space="preserve"> </w:t>
      </w:r>
      <w:r w:rsidRPr="00C01305">
        <w:rPr>
          <w:rFonts w:ascii="Verdana" w:hAnsi="Verdana"/>
          <w:sz w:val="20"/>
          <w:szCs w:val="20"/>
          <w:lang w:val="es-CR"/>
        </w:rPr>
        <w:t>E</w:t>
      </w:r>
      <w:r w:rsidRPr="00C01305">
        <w:rPr>
          <w:rFonts w:ascii="Verdana" w:hAnsi="Verdana"/>
          <w:sz w:val="20"/>
          <w:szCs w:val="20"/>
        </w:rPr>
        <w:t xml:space="preserve">n </w:t>
      </w:r>
      <w:r>
        <w:rPr>
          <w:rFonts w:ascii="Verdana" w:hAnsi="Verdana"/>
          <w:sz w:val="20"/>
          <w:szCs w:val="20"/>
        </w:rPr>
        <w:t xml:space="preserve">particular, en </w:t>
      </w:r>
      <w:r w:rsidRPr="00C01305">
        <w:rPr>
          <w:rFonts w:ascii="Verdana" w:hAnsi="Verdana"/>
          <w:sz w:val="20"/>
          <w:szCs w:val="20"/>
        </w:rPr>
        <w:t xml:space="preserve">aplicación de la protección de la libertad de expresión en contextos laborales entre particulares, el Tribunal Europeo ha analizado si la </w:t>
      </w:r>
      <w:r w:rsidRPr="00C01305">
        <w:rPr>
          <w:rFonts w:ascii="Verdana" w:hAnsi="Verdana"/>
          <w:color w:val="222222"/>
          <w:sz w:val="20"/>
          <w:szCs w:val="20"/>
          <w:lang w:val="es-ES"/>
        </w:rPr>
        <w:t xml:space="preserve">injerencia </w:t>
      </w:r>
      <w:r>
        <w:rPr>
          <w:rFonts w:ascii="Verdana" w:hAnsi="Verdana"/>
          <w:color w:val="222222"/>
          <w:sz w:val="20"/>
          <w:szCs w:val="20"/>
          <w:lang w:val="es-ES"/>
        </w:rPr>
        <w:t xml:space="preserve">a dicho derecho </w:t>
      </w:r>
      <w:r w:rsidRPr="00C01305">
        <w:rPr>
          <w:rFonts w:ascii="Verdana" w:hAnsi="Verdana"/>
          <w:color w:val="222222"/>
          <w:sz w:val="20"/>
          <w:szCs w:val="20"/>
          <w:lang w:val="es-ES"/>
        </w:rPr>
        <w:t>puede atribuirse a las decisiones de los tribunales que avalaron el despido u otra sanción</w:t>
      </w:r>
      <w:r w:rsidRPr="00C01305">
        <w:rPr>
          <w:rFonts w:ascii="Verdana" w:hAnsi="Verdana"/>
          <w:sz w:val="20"/>
          <w:szCs w:val="20"/>
          <w:vertAlign w:val="superscript"/>
        </w:rPr>
        <w:footnoteReference w:id="123"/>
      </w:r>
      <w:r w:rsidRPr="00C01305">
        <w:rPr>
          <w:rFonts w:ascii="Verdana" w:hAnsi="Verdana"/>
          <w:color w:val="222222"/>
          <w:sz w:val="20"/>
          <w:szCs w:val="20"/>
          <w:lang w:val="es-ES"/>
        </w:rPr>
        <w:t xml:space="preserve">. </w:t>
      </w:r>
    </w:p>
    <w:p w14:paraId="67A66A18" w14:textId="77777777" w:rsidR="00C01305" w:rsidRPr="00C01305" w:rsidRDefault="00C01305" w:rsidP="00262F28">
      <w:pPr>
        <w:contextualSpacing/>
        <w:rPr>
          <w:rFonts w:ascii="Verdana" w:eastAsia="Times New Roman" w:hAnsi="Verdana" w:cs="Arial"/>
          <w:sz w:val="20"/>
          <w:szCs w:val="20"/>
        </w:rPr>
      </w:pPr>
    </w:p>
    <w:p w14:paraId="3375EFD0" w14:textId="61EFBA8F" w:rsidR="00C01305" w:rsidRPr="00261A99" w:rsidRDefault="00F80ADC" w:rsidP="00E66DD7">
      <w:pPr>
        <w:numPr>
          <w:ilvl w:val="0"/>
          <w:numId w:val="1"/>
        </w:numPr>
        <w:autoSpaceDE w:val="0"/>
        <w:autoSpaceDN w:val="0"/>
        <w:adjustRightInd w:val="0"/>
        <w:ind w:left="0" w:firstLine="0"/>
        <w:contextualSpacing/>
        <w:jc w:val="both"/>
        <w:rPr>
          <w:rFonts w:ascii="Verdana" w:hAnsi="Verdana"/>
          <w:sz w:val="20"/>
        </w:rPr>
      </w:pPr>
      <w:r w:rsidRPr="00261A99">
        <w:rPr>
          <w:rFonts w:ascii="Verdana" w:hAnsi="Verdana"/>
          <w:sz w:val="20"/>
        </w:rPr>
        <w:t>En vista de ello</w:t>
      </w:r>
      <w:r w:rsidR="00C01305" w:rsidRPr="00261A99">
        <w:rPr>
          <w:rFonts w:ascii="Verdana" w:hAnsi="Verdana"/>
          <w:sz w:val="20"/>
        </w:rPr>
        <w:t xml:space="preserve">, la Corte </w:t>
      </w:r>
      <w:r w:rsidR="00C41937" w:rsidRPr="00261A99">
        <w:rPr>
          <w:rFonts w:ascii="Verdana" w:hAnsi="Verdana"/>
          <w:sz w:val="20"/>
        </w:rPr>
        <w:t>re</w:t>
      </w:r>
      <w:r w:rsidR="00C01305" w:rsidRPr="00261A99">
        <w:rPr>
          <w:rFonts w:ascii="Verdana" w:hAnsi="Verdana"/>
          <w:sz w:val="20"/>
        </w:rPr>
        <w:t xml:space="preserve">afirma que el </w:t>
      </w:r>
      <w:r w:rsidR="00C41937" w:rsidRPr="00261A99">
        <w:rPr>
          <w:rFonts w:ascii="Verdana" w:hAnsi="Verdana"/>
          <w:sz w:val="20"/>
        </w:rPr>
        <w:t xml:space="preserve">ámbito de protección del </w:t>
      </w:r>
      <w:r w:rsidR="00C01305" w:rsidRPr="00261A99">
        <w:rPr>
          <w:rFonts w:ascii="Verdana" w:hAnsi="Verdana"/>
          <w:sz w:val="20"/>
        </w:rPr>
        <w:t xml:space="preserve">derecho a la libertad de </w:t>
      </w:r>
      <w:r w:rsidR="006D2CF3" w:rsidRPr="00261A99">
        <w:rPr>
          <w:rFonts w:ascii="Verdana" w:hAnsi="Verdana"/>
          <w:sz w:val="20"/>
        </w:rPr>
        <w:t xml:space="preserve">pensamiento y </w:t>
      </w:r>
      <w:r w:rsidR="00C01305" w:rsidRPr="00261A99">
        <w:rPr>
          <w:rFonts w:ascii="Verdana" w:hAnsi="Verdana"/>
          <w:sz w:val="20"/>
        </w:rPr>
        <w:t xml:space="preserve">expresión resulta </w:t>
      </w:r>
      <w:r w:rsidR="00E365AD" w:rsidRPr="00261A99">
        <w:rPr>
          <w:rFonts w:ascii="Verdana" w:hAnsi="Verdana"/>
          <w:sz w:val="20"/>
        </w:rPr>
        <w:t xml:space="preserve">particularmente </w:t>
      </w:r>
      <w:r w:rsidR="00C01305" w:rsidRPr="00261A99">
        <w:rPr>
          <w:rFonts w:ascii="Verdana" w:hAnsi="Verdana"/>
          <w:sz w:val="20"/>
        </w:rPr>
        <w:t xml:space="preserve">aplicable en </w:t>
      </w:r>
      <w:r w:rsidR="00C01305" w:rsidRPr="00EB5530">
        <w:rPr>
          <w:rFonts w:ascii="Verdana" w:hAnsi="Verdana"/>
          <w:sz w:val="20"/>
        </w:rPr>
        <w:t>contextos laborales</w:t>
      </w:r>
      <w:r w:rsidR="00E365AD" w:rsidRPr="00EB5530">
        <w:rPr>
          <w:rFonts w:ascii="Verdana" w:hAnsi="Verdana"/>
          <w:sz w:val="20"/>
        </w:rPr>
        <w:t xml:space="preserve"> como </w:t>
      </w:r>
      <w:r w:rsidR="00261A99" w:rsidRPr="00EB5530">
        <w:rPr>
          <w:rFonts w:ascii="Verdana" w:hAnsi="Verdana"/>
          <w:sz w:val="20"/>
        </w:rPr>
        <w:t xml:space="preserve">el del </w:t>
      </w:r>
      <w:r w:rsidR="00E365AD" w:rsidRPr="00EB5530">
        <w:rPr>
          <w:rFonts w:ascii="Verdana" w:hAnsi="Verdana"/>
          <w:sz w:val="20"/>
        </w:rPr>
        <w:t xml:space="preserve">presente caso, </w:t>
      </w:r>
      <w:r w:rsidR="00C01305" w:rsidRPr="00261A99">
        <w:rPr>
          <w:rFonts w:ascii="Verdana" w:hAnsi="Verdana"/>
          <w:sz w:val="20"/>
        </w:rPr>
        <w:t>respecto de</w:t>
      </w:r>
      <w:r w:rsidR="00E365AD" w:rsidRPr="00261A99">
        <w:rPr>
          <w:rFonts w:ascii="Verdana" w:hAnsi="Verdana"/>
          <w:sz w:val="20"/>
        </w:rPr>
        <w:t>l</w:t>
      </w:r>
      <w:r w:rsidR="00C01305" w:rsidRPr="00261A99">
        <w:rPr>
          <w:rFonts w:ascii="Verdana" w:hAnsi="Verdana"/>
          <w:sz w:val="20"/>
        </w:rPr>
        <w:t xml:space="preserve"> cual el Estado debe no sólo respetar dicho derecho sino también garantizarlo, a fin de que los trabajadores o sus representantes puedan también ejercer</w:t>
      </w:r>
      <w:r w:rsidR="004E4E2E" w:rsidRPr="005D0F69">
        <w:rPr>
          <w:rFonts w:ascii="Verdana" w:hAnsi="Verdana"/>
          <w:sz w:val="20"/>
        </w:rPr>
        <w:t>lo</w:t>
      </w:r>
      <w:r w:rsidR="00C01305" w:rsidRPr="00261A99">
        <w:rPr>
          <w:rFonts w:ascii="Verdana" w:hAnsi="Verdana"/>
          <w:sz w:val="20"/>
        </w:rPr>
        <w:t>. Es por ello que</w:t>
      </w:r>
      <w:r w:rsidR="002A7B50" w:rsidRPr="005D0F69">
        <w:rPr>
          <w:rFonts w:ascii="Verdana" w:hAnsi="Verdana"/>
          <w:sz w:val="20"/>
        </w:rPr>
        <w:t>,</w:t>
      </w:r>
      <w:r w:rsidR="00C01305" w:rsidRPr="00261A99">
        <w:rPr>
          <w:rFonts w:ascii="Verdana" w:hAnsi="Verdana"/>
          <w:sz w:val="20"/>
        </w:rPr>
        <w:t xml:space="preserve"> en caso en que exista un interés general o público, se requiere de un nivel reforzado de protección</w:t>
      </w:r>
      <w:r w:rsidR="002A7B50" w:rsidRPr="005D0F69">
        <w:rPr>
          <w:rFonts w:ascii="Verdana" w:hAnsi="Verdana"/>
          <w:sz w:val="20"/>
        </w:rPr>
        <w:t xml:space="preserve"> de la libertad de expresión</w:t>
      </w:r>
      <w:r w:rsidR="00C01305" w:rsidRPr="00261A99">
        <w:rPr>
          <w:rFonts w:ascii="Verdana" w:hAnsi="Verdana"/>
          <w:sz w:val="20"/>
          <w:vertAlign w:val="superscript"/>
        </w:rPr>
        <w:footnoteReference w:id="124"/>
      </w:r>
      <w:r w:rsidR="009958A8" w:rsidRPr="00261A99">
        <w:rPr>
          <w:rFonts w:ascii="Verdana" w:hAnsi="Verdana"/>
          <w:sz w:val="20"/>
        </w:rPr>
        <w:t>,</w:t>
      </w:r>
      <w:r w:rsidR="00C41937" w:rsidRPr="00261A99">
        <w:rPr>
          <w:rFonts w:ascii="Verdana" w:hAnsi="Verdana"/>
          <w:sz w:val="20"/>
        </w:rPr>
        <w:t xml:space="preserve"> y</w:t>
      </w:r>
      <w:r w:rsidR="009958A8" w:rsidRPr="00261A99">
        <w:rPr>
          <w:rFonts w:ascii="Verdana" w:hAnsi="Verdana"/>
          <w:sz w:val="20"/>
        </w:rPr>
        <w:t xml:space="preserve"> </w:t>
      </w:r>
      <w:r w:rsidR="006D2CF3" w:rsidRPr="00261A99">
        <w:rPr>
          <w:rFonts w:ascii="Verdana" w:hAnsi="Verdana"/>
          <w:sz w:val="20"/>
        </w:rPr>
        <w:t>especialmente</w:t>
      </w:r>
      <w:r w:rsidR="009958A8" w:rsidRPr="00261A99">
        <w:rPr>
          <w:rFonts w:ascii="Verdana" w:hAnsi="Verdana"/>
          <w:sz w:val="20"/>
        </w:rPr>
        <w:t xml:space="preserve"> respecto de quienes ejercen </w:t>
      </w:r>
      <w:r w:rsidR="00261A99">
        <w:rPr>
          <w:rFonts w:ascii="Verdana" w:hAnsi="Verdana"/>
          <w:sz w:val="20"/>
        </w:rPr>
        <w:t>un cargo de</w:t>
      </w:r>
      <w:r w:rsidR="009958A8" w:rsidRPr="00261A99">
        <w:rPr>
          <w:rFonts w:ascii="Verdana" w:hAnsi="Verdana"/>
          <w:sz w:val="20"/>
        </w:rPr>
        <w:t xml:space="preserve"> representación</w:t>
      </w:r>
      <w:r w:rsidR="00C01305" w:rsidRPr="00261A99">
        <w:rPr>
          <w:rFonts w:ascii="Verdana" w:hAnsi="Verdana"/>
          <w:sz w:val="20"/>
        </w:rPr>
        <w:t xml:space="preserve">. </w:t>
      </w:r>
    </w:p>
    <w:p w14:paraId="45F74B1F" w14:textId="77777777" w:rsidR="00C01305" w:rsidRPr="00C01305" w:rsidRDefault="00C01305" w:rsidP="00C01305">
      <w:pPr>
        <w:autoSpaceDE w:val="0"/>
        <w:autoSpaceDN w:val="0"/>
        <w:adjustRightInd w:val="0"/>
        <w:spacing w:before="120"/>
        <w:contextualSpacing/>
        <w:jc w:val="both"/>
        <w:rPr>
          <w:rFonts w:ascii="Verdana" w:eastAsia="Times New Roman" w:hAnsi="Verdana" w:cs="Arial"/>
          <w:b/>
          <w:sz w:val="20"/>
          <w:szCs w:val="20"/>
          <w:lang w:val="es-CR"/>
        </w:rPr>
      </w:pPr>
    </w:p>
    <w:p w14:paraId="568DBB11" w14:textId="77777777" w:rsidR="002A7B50" w:rsidRPr="00C01305" w:rsidRDefault="002A7B50" w:rsidP="00E66DD7">
      <w:pPr>
        <w:numPr>
          <w:ilvl w:val="0"/>
          <w:numId w:val="1"/>
        </w:numPr>
        <w:autoSpaceDE w:val="0"/>
        <w:autoSpaceDN w:val="0"/>
        <w:adjustRightInd w:val="0"/>
        <w:ind w:left="0" w:firstLine="0"/>
        <w:contextualSpacing/>
        <w:jc w:val="both"/>
        <w:rPr>
          <w:rFonts w:ascii="Verdana" w:eastAsia="Times New Roman" w:hAnsi="Verdana" w:cs="Arial"/>
          <w:b/>
          <w:sz w:val="20"/>
          <w:szCs w:val="20"/>
          <w:lang w:val="es-CR"/>
        </w:rPr>
      </w:pPr>
      <w:r>
        <w:rPr>
          <w:rFonts w:ascii="Verdana" w:eastAsia="Times New Roman" w:hAnsi="Verdana" w:cs="Arial"/>
          <w:sz w:val="20"/>
          <w:szCs w:val="20"/>
          <w:lang w:val="es-CR"/>
        </w:rPr>
        <w:t>Por ende, esta Corte determinará si, en el presente caso, para preservar los derechos alegados por la presunta víctima en el ámbito de las relaciones laborales, la decisión de segunda instancia constituyó una infracción a la libertad de expresión al haber avalado el despido</w:t>
      </w:r>
      <w:r>
        <w:rPr>
          <w:rStyle w:val="FootnoteReference"/>
          <w:rFonts w:eastAsia="Times New Roman"/>
          <w:szCs w:val="20"/>
          <w:lang w:val="es-CR"/>
        </w:rPr>
        <w:footnoteReference w:id="125"/>
      </w:r>
      <w:r>
        <w:rPr>
          <w:rFonts w:ascii="Verdana" w:eastAsia="Times New Roman" w:hAnsi="Verdana" w:cs="Arial"/>
          <w:sz w:val="20"/>
          <w:szCs w:val="20"/>
          <w:lang w:val="es-CR"/>
        </w:rPr>
        <w:t>.</w:t>
      </w:r>
    </w:p>
    <w:p w14:paraId="35ECFAEB" w14:textId="77777777" w:rsidR="002A7B50" w:rsidRDefault="002A7B50" w:rsidP="00C01305">
      <w:pPr>
        <w:autoSpaceDE w:val="0"/>
        <w:autoSpaceDN w:val="0"/>
        <w:adjustRightInd w:val="0"/>
        <w:spacing w:before="120"/>
        <w:contextualSpacing/>
        <w:jc w:val="both"/>
        <w:rPr>
          <w:rFonts w:ascii="Verdana" w:eastAsia="Times New Roman" w:hAnsi="Verdana" w:cs="Arial"/>
          <w:b/>
          <w:sz w:val="20"/>
          <w:szCs w:val="20"/>
          <w:lang w:val="es-CR"/>
        </w:rPr>
      </w:pPr>
    </w:p>
    <w:p w14:paraId="3B09C73E" w14:textId="250C7CED" w:rsidR="00C01305" w:rsidRDefault="00C01305" w:rsidP="00E66DD7">
      <w:pPr>
        <w:pStyle w:val="Heading3"/>
        <w:numPr>
          <w:ilvl w:val="1"/>
          <w:numId w:val="11"/>
        </w:numPr>
        <w:rPr>
          <w:i/>
          <w:lang w:val="es-MX"/>
        </w:rPr>
      </w:pPr>
      <w:bookmarkStart w:id="43" w:name="_Toc498333502"/>
      <w:r w:rsidRPr="00E6716F">
        <w:rPr>
          <w:i/>
          <w:lang w:val="es-MX"/>
        </w:rPr>
        <w:t xml:space="preserve">Análisis de necesidad y razonabilidad </w:t>
      </w:r>
      <w:r w:rsidR="007E39F5">
        <w:rPr>
          <w:i/>
          <w:lang w:val="es-MX"/>
        </w:rPr>
        <w:t xml:space="preserve">de la restricción </w:t>
      </w:r>
      <w:r w:rsidR="0050364F" w:rsidRPr="00E6716F">
        <w:rPr>
          <w:i/>
          <w:lang w:val="es-MX"/>
        </w:rPr>
        <w:t>en el</w:t>
      </w:r>
      <w:r w:rsidRPr="00E6716F">
        <w:rPr>
          <w:i/>
          <w:lang w:val="es-MX"/>
        </w:rPr>
        <w:t xml:space="preserve"> presente caso</w:t>
      </w:r>
      <w:bookmarkEnd w:id="43"/>
    </w:p>
    <w:p w14:paraId="76155D6A" w14:textId="39E760E6" w:rsidR="00604459" w:rsidRPr="00604459" w:rsidRDefault="00604459" w:rsidP="00604459">
      <w:pPr>
        <w:pStyle w:val="ListParagraph"/>
        <w:ind w:left="1080"/>
        <w:rPr>
          <w:lang w:val="es-MX"/>
        </w:rPr>
      </w:pPr>
    </w:p>
    <w:p w14:paraId="46C877F3" w14:textId="24F29CEF" w:rsidR="00C01305" w:rsidRPr="00C01305" w:rsidRDefault="00C01305" w:rsidP="00E66DD7">
      <w:pPr>
        <w:numPr>
          <w:ilvl w:val="0"/>
          <w:numId w:val="1"/>
        </w:numPr>
        <w:autoSpaceDE w:val="0"/>
        <w:autoSpaceDN w:val="0"/>
        <w:adjustRightInd w:val="0"/>
        <w:ind w:left="0" w:firstLine="0"/>
        <w:contextualSpacing/>
        <w:jc w:val="both"/>
        <w:rPr>
          <w:rFonts w:ascii="Verdana" w:hAnsi="Verdana"/>
          <w:sz w:val="20"/>
          <w:szCs w:val="20"/>
        </w:rPr>
      </w:pPr>
      <w:r w:rsidRPr="00C01305">
        <w:rPr>
          <w:rFonts w:ascii="Verdana" w:hAnsi="Verdana"/>
          <w:spacing w:val="-3"/>
          <w:sz w:val="20"/>
          <w:szCs w:val="20"/>
        </w:rPr>
        <w:t>La Corte ha reiterado que la libertad de expresión no es un derecho absoluto. E</w:t>
      </w:r>
      <w:r w:rsidRPr="00C01305">
        <w:rPr>
          <w:rFonts w:ascii="Verdana" w:hAnsi="Verdana"/>
          <w:sz w:val="20"/>
          <w:szCs w:val="20"/>
        </w:rPr>
        <w:t xml:space="preserve">l artículo 13.2 de la Convención, que prohíbe la censura previa, también prevé la posibilidad de exigir </w:t>
      </w:r>
      <w:r w:rsidRPr="00C81E7D">
        <w:rPr>
          <w:rFonts w:ascii="Verdana" w:hAnsi="Verdana"/>
          <w:sz w:val="20"/>
          <w:szCs w:val="20"/>
        </w:rPr>
        <w:t xml:space="preserve">responsabilidades ulteriores por el ejercicio abusivo de este derecho, </w:t>
      </w:r>
      <w:r w:rsidRPr="00C81E7D">
        <w:rPr>
          <w:rFonts w:ascii="Verdana" w:hAnsi="Verdana"/>
          <w:spacing w:val="-2"/>
          <w:sz w:val="20"/>
          <w:szCs w:val="20"/>
        </w:rPr>
        <w:t xml:space="preserve">inclusive para asegurar “el respeto a los derechos o la reputación de los demás” (literal “a” del artículo 13.2). </w:t>
      </w:r>
      <w:r w:rsidRPr="00C81E7D">
        <w:rPr>
          <w:rFonts w:ascii="Verdana" w:hAnsi="Verdana"/>
          <w:spacing w:val="-3"/>
          <w:sz w:val="20"/>
          <w:szCs w:val="20"/>
        </w:rPr>
        <w:t xml:space="preserve">Estas restricciones tienen carácter excepcional y </w:t>
      </w:r>
      <w:r w:rsidRPr="00C81E7D">
        <w:rPr>
          <w:rFonts w:ascii="Verdana" w:hAnsi="Verdana"/>
          <w:sz w:val="20"/>
          <w:szCs w:val="20"/>
        </w:rPr>
        <w:t>no deben limitar, más allá de lo estrictamente necesario, el pleno ejercicio de la libertad de expresión y convertirse en un mecanismo directo o indirecto de censura previa</w:t>
      </w:r>
      <w:r w:rsidRPr="00C81E7D">
        <w:rPr>
          <w:rFonts w:ascii="Verdana" w:hAnsi="Verdana"/>
          <w:sz w:val="20"/>
          <w:szCs w:val="20"/>
          <w:vertAlign w:val="superscript"/>
        </w:rPr>
        <w:footnoteReference w:id="126"/>
      </w:r>
      <w:r w:rsidRPr="00C81E7D">
        <w:rPr>
          <w:rFonts w:ascii="Verdana" w:hAnsi="Verdana"/>
          <w:sz w:val="20"/>
          <w:szCs w:val="20"/>
        </w:rPr>
        <w:t xml:space="preserve">. </w:t>
      </w:r>
      <w:r w:rsidRPr="00C81E7D">
        <w:rPr>
          <w:rFonts w:ascii="Verdana" w:eastAsia="Times New Roman" w:hAnsi="Verdana"/>
          <w:spacing w:val="-2"/>
          <w:sz w:val="20"/>
          <w:szCs w:val="20"/>
        </w:rPr>
        <w:t>En este sentido, la Corte ha establecido que se pueden</w:t>
      </w:r>
      <w:r w:rsidRPr="00C01305">
        <w:rPr>
          <w:rFonts w:ascii="Verdana" w:eastAsia="Times New Roman" w:hAnsi="Verdana"/>
          <w:spacing w:val="-2"/>
          <w:sz w:val="20"/>
          <w:szCs w:val="20"/>
        </w:rPr>
        <w:t xml:space="preserve"> imponer </w:t>
      </w:r>
      <w:r w:rsidR="00C81E7D">
        <w:rPr>
          <w:rFonts w:ascii="Verdana" w:eastAsia="Times New Roman" w:hAnsi="Verdana"/>
          <w:spacing w:val="-2"/>
          <w:sz w:val="20"/>
          <w:szCs w:val="20"/>
        </w:rPr>
        <w:t xml:space="preserve">tales </w:t>
      </w:r>
      <w:r w:rsidRPr="00C01305">
        <w:rPr>
          <w:rFonts w:ascii="Verdana" w:eastAsia="Times New Roman" w:hAnsi="Verdana"/>
          <w:spacing w:val="-2"/>
          <w:sz w:val="20"/>
          <w:szCs w:val="20"/>
        </w:rPr>
        <w:t>responsabilidades ulteriores, en tanto se pudiera haber afectado el derecho a la honra y la reputación</w:t>
      </w:r>
      <w:r w:rsidRPr="00C01305">
        <w:rPr>
          <w:rFonts w:ascii="Verdana" w:eastAsia="Times New Roman" w:hAnsi="Verdana"/>
          <w:spacing w:val="-2"/>
          <w:sz w:val="20"/>
          <w:szCs w:val="20"/>
          <w:vertAlign w:val="superscript"/>
        </w:rPr>
        <w:footnoteReference w:id="127"/>
      </w:r>
      <w:r w:rsidRPr="00C01305">
        <w:rPr>
          <w:rFonts w:ascii="Verdana" w:eastAsia="Times New Roman" w:hAnsi="Verdana"/>
          <w:spacing w:val="-2"/>
          <w:sz w:val="20"/>
          <w:szCs w:val="20"/>
        </w:rPr>
        <w:t>.</w:t>
      </w:r>
      <w:r w:rsidRPr="00C01305">
        <w:rPr>
          <w:rFonts w:eastAsia="Times New Roman"/>
          <w:spacing w:val="-2"/>
        </w:rPr>
        <w:t xml:space="preserve"> </w:t>
      </w:r>
    </w:p>
    <w:p w14:paraId="13AE7ADA" w14:textId="77777777" w:rsidR="00C01305" w:rsidRPr="00C01305" w:rsidRDefault="00C01305" w:rsidP="00CA58EF">
      <w:pPr>
        <w:contextualSpacing/>
        <w:rPr>
          <w:rFonts w:ascii="Verdana" w:hAnsi="Verdana"/>
          <w:sz w:val="20"/>
          <w:szCs w:val="20"/>
        </w:rPr>
      </w:pPr>
    </w:p>
    <w:p w14:paraId="27ABA668" w14:textId="77777777" w:rsidR="00C01305" w:rsidRPr="00C01305" w:rsidRDefault="00C01305" w:rsidP="00E66DD7">
      <w:pPr>
        <w:numPr>
          <w:ilvl w:val="0"/>
          <w:numId w:val="1"/>
        </w:numPr>
        <w:autoSpaceDE w:val="0"/>
        <w:autoSpaceDN w:val="0"/>
        <w:adjustRightInd w:val="0"/>
        <w:ind w:left="0" w:firstLine="0"/>
        <w:contextualSpacing/>
        <w:jc w:val="both"/>
        <w:rPr>
          <w:rFonts w:ascii="Verdana" w:hAnsi="Verdana" w:cs="Verdana"/>
          <w:b/>
          <w:bCs/>
          <w:spacing w:val="-2"/>
          <w:sz w:val="20"/>
          <w:szCs w:val="20"/>
        </w:rPr>
      </w:pPr>
      <w:bookmarkStart w:id="44" w:name="_Ref370754675"/>
      <w:r w:rsidRPr="00C01305">
        <w:rPr>
          <w:rFonts w:ascii="Verdana" w:hAnsi="Verdana"/>
          <w:spacing w:val="-3"/>
          <w:sz w:val="20"/>
          <w:szCs w:val="20"/>
        </w:rPr>
        <w:t>El</w:t>
      </w:r>
      <w:r w:rsidRPr="00C01305">
        <w:rPr>
          <w:rFonts w:ascii="Verdana" w:hAnsi="Verdana" w:cs="Verdana"/>
          <w:spacing w:val="-2"/>
          <w:sz w:val="20"/>
          <w:szCs w:val="20"/>
        </w:rPr>
        <w:t xml:space="preserve"> artículo 11 de la Convención establece, en efecto, que toda persona tiene derecho a la protección de su honra y al reconocimiento de su dignidad. La Corte ha señalado que el derecho a </w:t>
      </w:r>
      <w:r w:rsidRPr="00C01305">
        <w:rPr>
          <w:rFonts w:ascii="Verdana" w:hAnsi="Verdana" w:cs="Verdana"/>
          <w:spacing w:val="-2"/>
          <w:sz w:val="20"/>
          <w:szCs w:val="20"/>
        </w:rPr>
        <w:lastRenderedPageBreak/>
        <w:t>la honra “reconoce que toda persona tiene derecho al respeto de esta, prohíbe todo ataque ilegal contra la honra o reputación e impone a los Estados el deber de brindar la protección de la ley contra tales ataques. En términos generales, este Tribunal ha indicado que el derecho a la honra se relaciona con la estima y valía propia, mientras que la reputación se refiere a la opinión que otros tienen de una persona”</w:t>
      </w:r>
      <w:r w:rsidRPr="00C01305">
        <w:rPr>
          <w:rFonts w:ascii="Verdana" w:hAnsi="Verdana" w:cs="Verdana"/>
          <w:spacing w:val="-2"/>
          <w:sz w:val="20"/>
          <w:szCs w:val="20"/>
          <w:vertAlign w:val="superscript"/>
        </w:rPr>
        <w:footnoteReference w:id="128"/>
      </w:r>
      <w:r w:rsidRPr="00C01305">
        <w:rPr>
          <w:rFonts w:ascii="Verdana" w:hAnsi="Verdana" w:cs="Verdana"/>
          <w:spacing w:val="-2"/>
          <w:sz w:val="20"/>
          <w:szCs w:val="20"/>
        </w:rPr>
        <w:t>.</w:t>
      </w:r>
      <w:bookmarkEnd w:id="44"/>
      <w:r w:rsidRPr="00C01305">
        <w:rPr>
          <w:rFonts w:ascii="Verdana" w:hAnsi="Verdana" w:cs="Verdana"/>
          <w:spacing w:val="-2"/>
          <w:sz w:val="20"/>
          <w:szCs w:val="20"/>
        </w:rPr>
        <w:t xml:space="preserve">  </w:t>
      </w:r>
    </w:p>
    <w:p w14:paraId="7F1BB9DF" w14:textId="77777777" w:rsidR="00C01305" w:rsidRPr="00C01305" w:rsidRDefault="00C01305" w:rsidP="00CA58EF">
      <w:pPr>
        <w:contextualSpacing/>
        <w:rPr>
          <w:rFonts w:ascii="Verdana" w:hAnsi="Verdana"/>
          <w:spacing w:val="-2"/>
          <w:sz w:val="20"/>
          <w:szCs w:val="20"/>
        </w:rPr>
      </w:pPr>
    </w:p>
    <w:p w14:paraId="65B694E6" w14:textId="60D8CAD7" w:rsidR="00C01305" w:rsidRPr="00C01305" w:rsidRDefault="00C01305" w:rsidP="00E66DD7">
      <w:pPr>
        <w:numPr>
          <w:ilvl w:val="0"/>
          <w:numId w:val="1"/>
        </w:numPr>
        <w:autoSpaceDE w:val="0"/>
        <w:autoSpaceDN w:val="0"/>
        <w:adjustRightInd w:val="0"/>
        <w:ind w:left="0" w:firstLine="0"/>
        <w:contextualSpacing/>
        <w:jc w:val="both"/>
        <w:rPr>
          <w:rFonts w:ascii="Verdana" w:hAnsi="Verdana" w:cs="Verdana"/>
          <w:b/>
          <w:bCs/>
          <w:spacing w:val="-2"/>
          <w:sz w:val="20"/>
          <w:szCs w:val="20"/>
        </w:rPr>
      </w:pPr>
      <w:r w:rsidRPr="00C01305">
        <w:rPr>
          <w:rFonts w:ascii="Verdana" w:hAnsi="Verdana"/>
          <w:spacing w:val="-2"/>
          <w:sz w:val="20"/>
          <w:szCs w:val="20"/>
        </w:rPr>
        <w:t>En este sentido, este Tribunal ha sostenido que, “tanto la libertad de expresión como el derecho a la honra, derechos ambos protegidos por la Convención, revisten suma importancia, por lo cual es necesario garantizar ambos derechos, de forma que coexistan de manera armoniosa”</w:t>
      </w:r>
      <w:r w:rsidRPr="00C01305">
        <w:rPr>
          <w:rFonts w:ascii="Verdana" w:hAnsi="Verdana"/>
          <w:spacing w:val="-2"/>
          <w:sz w:val="20"/>
          <w:szCs w:val="20"/>
          <w:vertAlign w:val="superscript"/>
        </w:rPr>
        <w:footnoteReference w:id="129"/>
      </w:r>
      <w:r w:rsidRPr="00C01305">
        <w:rPr>
          <w:rFonts w:ascii="Verdana" w:hAnsi="Verdana"/>
          <w:spacing w:val="-2"/>
          <w:sz w:val="20"/>
          <w:szCs w:val="20"/>
        </w:rPr>
        <w:t>. El ejercicio de cada derecho fundamental tiene que hacerse con respeto y salvaguarda de los demás derechos fundamentales</w:t>
      </w:r>
      <w:r w:rsidRPr="00C01305">
        <w:rPr>
          <w:rFonts w:ascii="Verdana" w:hAnsi="Verdana"/>
          <w:spacing w:val="-2"/>
          <w:sz w:val="20"/>
          <w:szCs w:val="20"/>
          <w:vertAlign w:val="superscript"/>
        </w:rPr>
        <w:footnoteReference w:id="130"/>
      </w:r>
      <w:r w:rsidRPr="00C01305">
        <w:rPr>
          <w:rFonts w:ascii="Verdana" w:hAnsi="Verdana"/>
          <w:spacing w:val="-2"/>
          <w:sz w:val="20"/>
          <w:szCs w:val="20"/>
        </w:rPr>
        <w:t>. Por ende, la Corte ha señalado que “la solución del conflicto que se presenta entre ambos derechos requiere de una ponderación entre los mismos, para lo cual deberá examinarse cada caso, conforme a sus características y circunstancias, a fin de apreciar la existencia e intensidad de los elementos en que se sustenta dicho juicio”</w:t>
      </w:r>
      <w:r w:rsidRPr="00C01305">
        <w:rPr>
          <w:rFonts w:ascii="Verdana" w:hAnsi="Verdana"/>
          <w:spacing w:val="-2"/>
          <w:sz w:val="20"/>
          <w:szCs w:val="20"/>
          <w:vertAlign w:val="superscript"/>
        </w:rPr>
        <w:footnoteReference w:id="131"/>
      </w:r>
      <w:r w:rsidRPr="00C01305">
        <w:rPr>
          <w:rFonts w:ascii="Verdana" w:hAnsi="Verdana"/>
          <w:spacing w:val="-2"/>
          <w:sz w:val="20"/>
          <w:szCs w:val="20"/>
        </w:rPr>
        <w:t>.</w:t>
      </w:r>
    </w:p>
    <w:p w14:paraId="287B232F" w14:textId="77777777" w:rsidR="00C01305" w:rsidRPr="00C01305" w:rsidRDefault="00C01305" w:rsidP="00CA58EF">
      <w:pPr>
        <w:autoSpaceDE w:val="0"/>
        <w:autoSpaceDN w:val="0"/>
        <w:adjustRightInd w:val="0"/>
        <w:contextualSpacing/>
        <w:jc w:val="both"/>
        <w:rPr>
          <w:rFonts w:ascii="Verdana" w:hAnsi="Verdana" w:cs="Verdana"/>
          <w:b/>
          <w:bCs/>
          <w:spacing w:val="-2"/>
          <w:sz w:val="20"/>
          <w:szCs w:val="20"/>
        </w:rPr>
      </w:pPr>
    </w:p>
    <w:p w14:paraId="09BFECD5" w14:textId="5A2D5A97" w:rsidR="000A6A6B" w:rsidRPr="00691B72" w:rsidRDefault="00C01305" w:rsidP="00E66DD7">
      <w:pPr>
        <w:numPr>
          <w:ilvl w:val="0"/>
          <w:numId w:val="1"/>
        </w:numPr>
        <w:autoSpaceDE w:val="0"/>
        <w:autoSpaceDN w:val="0"/>
        <w:adjustRightInd w:val="0"/>
        <w:ind w:left="0" w:firstLine="0"/>
        <w:contextualSpacing/>
        <w:jc w:val="both"/>
        <w:rPr>
          <w:rFonts w:ascii="Verdana" w:hAnsi="Verdana"/>
          <w:sz w:val="20"/>
          <w:szCs w:val="20"/>
        </w:rPr>
      </w:pPr>
      <w:r w:rsidRPr="00C01305">
        <w:rPr>
          <w:rFonts w:ascii="Verdana" w:hAnsi="Verdana"/>
          <w:sz w:val="20"/>
          <w:szCs w:val="20"/>
        </w:rPr>
        <w:t xml:space="preserve">Al respecto, </w:t>
      </w:r>
      <w:r w:rsidR="00E71477">
        <w:rPr>
          <w:rFonts w:ascii="Verdana" w:hAnsi="Verdana"/>
          <w:sz w:val="20"/>
          <w:szCs w:val="20"/>
        </w:rPr>
        <w:t xml:space="preserve">cabe señalar que </w:t>
      </w:r>
      <w:r w:rsidRPr="00C01305">
        <w:rPr>
          <w:rFonts w:ascii="Verdana" w:hAnsi="Verdana"/>
          <w:sz w:val="20"/>
          <w:szCs w:val="20"/>
        </w:rPr>
        <w:t xml:space="preserve">Perú objetó la aplicación de un examen de proporcionalidad, </w:t>
      </w:r>
      <w:r w:rsidR="00753933" w:rsidRPr="00333304">
        <w:rPr>
          <w:rFonts w:ascii="Verdana" w:hAnsi="Verdana"/>
          <w:sz w:val="20"/>
          <w:szCs w:val="20"/>
        </w:rPr>
        <w:t>puesto</w:t>
      </w:r>
      <w:r w:rsidR="001B481A" w:rsidRPr="00C01305">
        <w:rPr>
          <w:rFonts w:ascii="Verdana" w:hAnsi="Verdana"/>
          <w:sz w:val="20"/>
          <w:szCs w:val="20"/>
        </w:rPr>
        <w:t xml:space="preserve"> </w:t>
      </w:r>
      <w:r w:rsidRPr="00C01305">
        <w:rPr>
          <w:rFonts w:ascii="Verdana" w:hAnsi="Verdana"/>
          <w:sz w:val="20"/>
          <w:szCs w:val="20"/>
        </w:rPr>
        <w:t>que, según el Estado, este se deriva de la doctrina o jurisprudencia posterior a los hechos (</w:t>
      </w:r>
      <w:r w:rsidR="00224537" w:rsidRPr="00224537">
        <w:rPr>
          <w:rFonts w:ascii="Verdana" w:hAnsi="Verdana"/>
          <w:i/>
          <w:sz w:val="20"/>
          <w:szCs w:val="20"/>
        </w:rPr>
        <w:t>supra</w:t>
      </w:r>
      <w:r w:rsidR="00E71477">
        <w:rPr>
          <w:rFonts w:ascii="Verdana" w:hAnsi="Verdana"/>
          <w:sz w:val="20"/>
          <w:szCs w:val="20"/>
        </w:rPr>
        <w:t xml:space="preserve"> párr.</w:t>
      </w:r>
      <w:r w:rsidR="00691B72">
        <w:rPr>
          <w:rFonts w:ascii="Verdana" w:hAnsi="Verdana"/>
          <w:sz w:val="20"/>
          <w:szCs w:val="20"/>
        </w:rPr>
        <w:t xml:space="preserve"> 81</w:t>
      </w:r>
      <w:r w:rsidR="00E71477">
        <w:rPr>
          <w:rFonts w:ascii="Verdana" w:hAnsi="Verdana"/>
          <w:sz w:val="20"/>
          <w:szCs w:val="20"/>
        </w:rPr>
        <w:t xml:space="preserve">). </w:t>
      </w:r>
      <w:r w:rsidR="00B56102" w:rsidRPr="00333304">
        <w:rPr>
          <w:rFonts w:ascii="Verdana" w:hAnsi="Verdana"/>
          <w:sz w:val="20"/>
          <w:szCs w:val="20"/>
        </w:rPr>
        <w:t>La Corte hace notar que en el artículo 13.2 de la Convención se establece expresamente la exigencia de realizar un análisis de razonabilidad frente a la restricción de la libertad de expresión. Asimismo, c</w:t>
      </w:r>
      <w:r w:rsidR="008345B6" w:rsidRPr="00333304">
        <w:rPr>
          <w:rFonts w:ascii="Verdana" w:hAnsi="Verdana"/>
          <w:sz w:val="20"/>
          <w:szCs w:val="20"/>
        </w:rPr>
        <w:t>abe señalar</w:t>
      </w:r>
      <w:r w:rsidR="000A6A6B" w:rsidRPr="00333304">
        <w:rPr>
          <w:rFonts w:ascii="Verdana" w:hAnsi="Verdana"/>
          <w:sz w:val="20"/>
          <w:szCs w:val="20"/>
        </w:rPr>
        <w:t xml:space="preserve"> que el criterio </w:t>
      </w:r>
      <w:r w:rsidR="00B56102" w:rsidRPr="00333304">
        <w:rPr>
          <w:rFonts w:ascii="Verdana" w:hAnsi="Verdana"/>
          <w:sz w:val="20"/>
          <w:szCs w:val="20"/>
        </w:rPr>
        <w:t>desarrollado</w:t>
      </w:r>
      <w:r w:rsidR="000A6A6B" w:rsidRPr="00333304">
        <w:rPr>
          <w:rFonts w:ascii="Verdana" w:hAnsi="Verdana"/>
          <w:sz w:val="20"/>
          <w:szCs w:val="20"/>
        </w:rPr>
        <w:t xml:space="preserve"> con posterioridad por esta Corte respecto de la proporcionalidad, no es más que la aplicación de un principio general de interpretación jurídica derivado de la matriz general de racionalidad.</w:t>
      </w:r>
      <w:r w:rsidR="002F3D8B" w:rsidRPr="00333304">
        <w:rPr>
          <w:rFonts w:ascii="Verdana" w:hAnsi="Verdana"/>
          <w:sz w:val="20"/>
          <w:szCs w:val="20"/>
        </w:rPr>
        <w:t xml:space="preserve"> En consecuencia, la ponderación está contemplada en el </w:t>
      </w:r>
      <w:r w:rsidR="00EC71A4" w:rsidRPr="00333304">
        <w:rPr>
          <w:rFonts w:ascii="Verdana" w:hAnsi="Verdana"/>
          <w:sz w:val="20"/>
          <w:szCs w:val="20"/>
        </w:rPr>
        <w:t xml:space="preserve">propio </w:t>
      </w:r>
      <w:r w:rsidR="002F3D8B" w:rsidRPr="00333304">
        <w:rPr>
          <w:rFonts w:ascii="Verdana" w:hAnsi="Verdana"/>
          <w:sz w:val="20"/>
          <w:szCs w:val="20"/>
        </w:rPr>
        <w:t>artículo 13.2 de la Convención.</w:t>
      </w:r>
    </w:p>
    <w:p w14:paraId="2F3B060F" w14:textId="77777777" w:rsidR="00C01305" w:rsidRPr="00333304" w:rsidRDefault="00C01305" w:rsidP="00CA58EF">
      <w:pPr>
        <w:autoSpaceDE w:val="0"/>
        <w:autoSpaceDN w:val="0"/>
        <w:adjustRightInd w:val="0"/>
        <w:contextualSpacing/>
        <w:jc w:val="both"/>
        <w:rPr>
          <w:rFonts w:ascii="Verdana" w:hAnsi="Verdana" w:cs="Verdana"/>
          <w:bCs/>
          <w:spacing w:val="-2"/>
          <w:sz w:val="20"/>
          <w:szCs w:val="20"/>
        </w:rPr>
      </w:pPr>
    </w:p>
    <w:p w14:paraId="066433E3" w14:textId="2A0F1C05" w:rsidR="00C01305" w:rsidRPr="00C01305" w:rsidRDefault="00C01305" w:rsidP="00E66DD7">
      <w:pPr>
        <w:numPr>
          <w:ilvl w:val="0"/>
          <w:numId w:val="1"/>
        </w:numPr>
        <w:autoSpaceDE w:val="0"/>
        <w:autoSpaceDN w:val="0"/>
        <w:adjustRightInd w:val="0"/>
        <w:ind w:left="0" w:firstLine="0"/>
        <w:jc w:val="both"/>
        <w:rPr>
          <w:rFonts w:ascii="Verdana" w:hAnsi="Verdana"/>
          <w:b/>
          <w:sz w:val="20"/>
          <w:szCs w:val="20"/>
        </w:rPr>
      </w:pPr>
      <w:bookmarkStart w:id="45" w:name="_Ref359981203"/>
      <w:r w:rsidRPr="00C01305">
        <w:rPr>
          <w:rFonts w:ascii="Verdana" w:hAnsi="Verdana"/>
          <w:spacing w:val="-2"/>
          <w:sz w:val="20"/>
          <w:szCs w:val="20"/>
        </w:rPr>
        <w:t xml:space="preserve">En lo concerniente, </w:t>
      </w:r>
      <w:r w:rsidR="0001522B">
        <w:rPr>
          <w:rFonts w:ascii="Verdana" w:hAnsi="Verdana"/>
          <w:spacing w:val="-2"/>
          <w:sz w:val="20"/>
          <w:szCs w:val="20"/>
        </w:rPr>
        <w:t xml:space="preserve">este Tribunal ha reiterado </w:t>
      </w:r>
      <w:r w:rsidR="00B56102">
        <w:rPr>
          <w:rFonts w:ascii="Verdana" w:hAnsi="Verdana"/>
          <w:spacing w:val="-2"/>
          <w:sz w:val="20"/>
          <w:szCs w:val="20"/>
        </w:rPr>
        <w:t xml:space="preserve">en su jurisprudencia </w:t>
      </w:r>
      <w:r w:rsidR="0001522B">
        <w:rPr>
          <w:rFonts w:ascii="Verdana" w:hAnsi="Verdana"/>
          <w:spacing w:val="-2"/>
          <w:sz w:val="20"/>
          <w:szCs w:val="20"/>
        </w:rPr>
        <w:t xml:space="preserve">que </w:t>
      </w:r>
      <w:r w:rsidRPr="00C01305">
        <w:rPr>
          <w:rFonts w:ascii="Verdana" w:hAnsi="Verdana"/>
          <w:spacing w:val="-2"/>
          <w:sz w:val="20"/>
          <w:szCs w:val="20"/>
        </w:rPr>
        <w:t>el artículo 13.2 de la Convención Americana establece que las responsabilidades ulteriores por el ejercicio de la libertad de expresión, deben cumplir con los siguientes requisitos de forma concurrente: (i) estar previamente fijadas por ley, en sentido formal y material</w:t>
      </w:r>
      <w:r w:rsidRPr="00C01305">
        <w:rPr>
          <w:rFonts w:ascii="Verdana" w:hAnsi="Verdana"/>
          <w:spacing w:val="-2"/>
          <w:sz w:val="20"/>
          <w:szCs w:val="20"/>
          <w:vertAlign w:val="superscript"/>
          <w:lang w:eastAsia="de-DE"/>
        </w:rPr>
        <w:footnoteReference w:id="132"/>
      </w:r>
      <w:r w:rsidRPr="00C01305">
        <w:rPr>
          <w:rFonts w:ascii="Verdana" w:hAnsi="Verdana"/>
          <w:spacing w:val="-2"/>
          <w:sz w:val="20"/>
          <w:szCs w:val="20"/>
        </w:rPr>
        <w:t xml:space="preserve">; (ii) responder a un objetivo permitido por la Convención Americana (“el respeto a los derechos </w:t>
      </w:r>
      <w:r w:rsidRPr="00333304">
        <w:rPr>
          <w:rFonts w:ascii="Verdana" w:hAnsi="Verdana"/>
          <w:spacing w:val="-2"/>
          <w:sz w:val="20"/>
          <w:szCs w:val="20"/>
        </w:rPr>
        <w:t>a la reputación de los demás</w:t>
      </w:r>
      <w:r w:rsidRPr="00C01305">
        <w:rPr>
          <w:rFonts w:ascii="Verdana" w:hAnsi="Verdana"/>
          <w:spacing w:val="-2"/>
          <w:sz w:val="20"/>
          <w:szCs w:val="20"/>
        </w:rPr>
        <w:t xml:space="preserve">” o “la protección de la seguridad nacional, el orden público o la salud o la moral públicas”), y (iii) ser </w:t>
      </w:r>
      <w:r w:rsidRPr="00333304">
        <w:rPr>
          <w:rFonts w:ascii="Verdana" w:hAnsi="Verdana"/>
          <w:spacing w:val="-2"/>
          <w:sz w:val="20"/>
          <w:szCs w:val="20"/>
        </w:rPr>
        <w:t>necesaria</w:t>
      </w:r>
      <w:r w:rsidRPr="00C01305">
        <w:rPr>
          <w:rFonts w:ascii="Verdana" w:hAnsi="Verdana"/>
          <w:spacing w:val="-2"/>
          <w:sz w:val="20"/>
          <w:szCs w:val="20"/>
        </w:rPr>
        <w:t xml:space="preserve"> en una sociedad democrática (para lo cual deben </w:t>
      </w:r>
      <w:r w:rsidRPr="00C01305">
        <w:rPr>
          <w:rFonts w:ascii="Verdana" w:hAnsi="Verdana"/>
          <w:spacing w:val="-2"/>
          <w:sz w:val="20"/>
          <w:szCs w:val="20"/>
          <w:lang w:val="es-CR" w:eastAsia="de-DE"/>
        </w:rPr>
        <w:t>cumplir con los requisitos de idoneidad, necesidad y proporcionalidad</w:t>
      </w:r>
      <w:r w:rsidRPr="00C01305">
        <w:rPr>
          <w:rFonts w:ascii="Verdana" w:hAnsi="Verdana"/>
          <w:spacing w:val="-2"/>
          <w:sz w:val="20"/>
          <w:szCs w:val="20"/>
          <w:vertAlign w:val="superscript"/>
          <w:lang w:eastAsia="de-DE"/>
        </w:rPr>
        <w:footnoteReference w:id="133"/>
      </w:r>
      <w:r w:rsidRPr="00C01305">
        <w:rPr>
          <w:rFonts w:ascii="Verdana" w:hAnsi="Verdana"/>
          <w:spacing w:val="-2"/>
          <w:sz w:val="20"/>
          <w:szCs w:val="20"/>
          <w:lang w:val="es-CR" w:eastAsia="de-DE"/>
        </w:rPr>
        <w:t>).</w:t>
      </w:r>
      <w:r w:rsidRPr="00C01305">
        <w:rPr>
          <w:rFonts w:ascii="Verdana" w:hAnsi="Verdana"/>
          <w:spacing w:val="-2"/>
          <w:sz w:val="20"/>
          <w:szCs w:val="20"/>
        </w:rPr>
        <w:t xml:space="preserve"> </w:t>
      </w:r>
      <w:bookmarkEnd w:id="45"/>
    </w:p>
    <w:p w14:paraId="4863E179" w14:textId="77777777" w:rsidR="00C01305" w:rsidRPr="00C01305" w:rsidRDefault="00C01305" w:rsidP="00CA58EF">
      <w:pPr>
        <w:contextualSpacing/>
        <w:rPr>
          <w:rFonts w:ascii="Verdana" w:hAnsi="Verdana"/>
          <w:sz w:val="20"/>
          <w:szCs w:val="20"/>
        </w:rPr>
      </w:pPr>
    </w:p>
    <w:p w14:paraId="3ACDC9F5" w14:textId="3294C65A" w:rsidR="00C01305" w:rsidRPr="00C01305" w:rsidRDefault="00AF6642" w:rsidP="00E66DD7">
      <w:pPr>
        <w:numPr>
          <w:ilvl w:val="0"/>
          <w:numId w:val="1"/>
        </w:numPr>
        <w:autoSpaceDE w:val="0"/>
        <w:autoSpaceDN w:val="0"/>
        <w:adjustRightInd w:val="0"/>
        <w:ind w:left="0" w:firstLine="0"/>
        <w:jc w:val="both"/>
        <w:rPr>
          <w:rFonts w:ascii="Verdana" w:hAnsi="Verdana"/>
          <w:sz w:val="20"/>
          <w:szCs w:val="20"/>
        </w:rPr>
      </w:pPr>
      <w:r w:rsidRPr="00AF6642">
        <w:rPr>
          <w:rFonts w:ascii="Verdana" w:hAnsi="Verdana"/>
          <w:sz w:val="20"/>
          <w:szCs w:val="20"/>
        </w:rPr>
        <w:t xml:space="preserve">En particular, </w:t>
      </w:r>
      <w:r w:rsidRPr="005D0F69">
        <w:rPr>
          <w:rFonts w:ascii="Verdana" w:hAnsi="Verdana"/>
          <w:sz w:val="20"/>
          <w:szCs w:val="20"/>
        </w:rPr>
        <w:t>l</w:t>
      </w:r>
      <w:r w:rsidR="004E4E2E" w:rsidRPr="005D0F69">
        <w:rPr>
          <w:rFonts w:ascii="Verdana" w:hAnsi="Verdana"/>
          <w:sz w:val="20"/>
          <w:szCs w:val="20"/>
        </w:rPr>
        <w:t xml:space="preserve">a evaluación de restricciones legítimas al derecho a la libertad de expresión </w:t>
      </w:r>
      <w:r w:rsidRPr="005D0F69">
        <w:rPr>
          <w:rFonts w:ascii="Verdana" w:hAnsi="Verdana"/>
          <w:sz w:val="20"/>
          <w:szCs w:val="20"/>
        </w:rPr>
        <w:t>exige</w:t>
      </w:r>
      <w:r w:rsidR="004E4E2E" w:rsidRPr="005D0F69">
        <w:rPr>
          <w:rFonts w:ascii="Verdana" w:hAnsi="Verdana"/>
          <w:sz w:val="20"/>
          <w:szCs w:val="20"/>
        </w:rPr>
        <w:t xml:space="preserve"> un análisis de necesidad (artículo 13.2)</w:t>
      </w:r>
      <w:r w:rsidR="004E4E2E" w:rsidRPr="00AF6642">
        <w:rPr>
          <w:rFonts w:ascii="Verdana" w:hAnsi="Verdana"/>
          <w:sz w:val="20"/>
          <w:szCs w:val="20"/>
        </w:rPr>
        <w:t xml:space="preserve">. </w:t>
      </w:r>
      <w:r w:rsidR="004E4E2E" w:rsidRPr="005D0F69">
        <w:rPr>
          <w:rFonts w:ascii="Verdana" w:hAnsi="Verdana"/>
          <w:sz w:val="20"/>
          <w:szCs w:val="20"/>
        </w:rPr>
        <w:t xml:space="preserve">De tal manera, lo que se requiere al Estado, a través de sus operadores de justicia, es la aplicación de un análisis de la razonabilidad o ponderación de las limitaciones o restricciones a derechos humanos, </w:t>
      </w:r>
      <w:r w:rsidRPr="005D0F69">
        <w:rPr>
          <w:rFonts w:ascii="Verdana" w:hAnsi="Verdana"/>
          <w:sz w:val="20"/>
          <w:szCs w:val="20"/>
        </w:rPr>
        <w:t>dispuesta</w:t>
      </w:r>
      <w:r w:rsidR="004E4E2E" w:rsidRPr="005D0F69">
        <w:rPr>
          <w:rFonts w:ascii="Verdana" w:hAnsi="Verdana"/>
          <w:sz w:val="20"/>
          <w:szCs w:val="20"/>
        </w:rPr>
        <w:t xml:space="preserve"> por la propia Convención (</w:t>
      </w:r>
      <w:r w:rsidR="00915ACA">
        <w:rPr>
          <w:rFonts w:ascii="Verdana" w:hAnsi="Verdana"/>
          <w:sz w:val="20"/>
          <w:szCs w:val="20"/>
        </w:rPr>
        <w:t>artículo13.2</w:t>
      </w:r>
      <w:r w:rsidR="004E4E2E" w:rsidRPr="005D0F69">
        <w:rPr>
          <w:rFonts w:ascii="Verdana" w:hAnsi="Verdana"/>
          <w:sz w:val="20"/>
          <w:szCs w:val="20"/>
        </w:rPr>
        <w:t xml:space="preserve">), así como una debida motivación que respete el debido proceso legal (artículo 8 de la Convención). La metodología, técnica argumentativa o examen particular, es menester de las autoridades internas, siempre y cuando refleje tales garantías. </w:t>
      </w:r>
      <w:r w:rsidR="004E4E2E">
        <w:rPr>
          <w:rFonts w:ascii="Verdana" w:hAnsi="Verdana"/>
          <w:sz w:val="20"/>
          <w:szCs w:val="20"/>
        </w:rPr>
        <w:t>P</w:t>
      </w:r>
      <w:r w:rsidR="00C01305" w:rsidRPr="00C01305">
        <w:rPr>
          <w:rFonts w:ascii="Verdana" w:hAnsi="Verdana"/>
          <w:sz w:val="20"/>
          <w:szCs w:val="20"/>
        </w:rPr>
        <w:t xml:space="preserve">ara efectos de </w:t>
      </w:r>
      <w:r w:rsidR="00C81E7D">
        <w:rPr>
          <w:rFonts w:ascii="Verdana" w:hAnsi="Verdana"/>
          <w:sz w:val="20"/>
          <w:szCs w:val="20"/>
        </w:rPr>
        <w:t>esta valoración</w:t>
      </w:r>
      <w:r w:rsidR="00C01305" w:rsidRPr="00C01305">
        <w:rPr>
          <w:rFonts w:ascii="Verdana" w:hAnsi="Verdana"/>
          <w:sz w:val="20"/>
          <w:szCs w:val="20"/>
        </w:rPr>
        <w:t xml:space="preserve"> a nivel internacional, la Corte ha recurrido</w:t>
      </w:r>
      <w:r w:rsidR="0001522B" w:rsidRPr="0001522B">
        <w:rPr>
          <w:rFonts w:ascii="Verdana" w:hAnsi="Verdana"/>
          <w:sz w:val="20"/>
          <w:szCs w:val="20"/>
        </w:rPr>
        <w:t xml:space="preserve"> </w:t>
      </w:r>
      <w:r w:rsidR="0001522B" w:rsidRPr="00C01305">
        <w:rPr>
          <w:rFonts w:ascii="Verdana" w:hAnsi="Verdana"/>
          <w:sz w:val="20"/>
          <w:szCs w:val="20"/>
        </w:rPr>
        <w:t>a</w:t>
      </w:r>
      <w:r w:rsidR="0001522B">
        <w:rPr>
          <w:rFonts w:ascii="Verdana" w:hAnsi="Verdana"/>
          <w:sz w:val="20"/>
          <w:szCs w:val="20"/>
        </w:rPr>
        <w:t xml:space="preserve"> distintos análisis</w:t>
      </w:r>
      <w:r w:rsidR="00C01305" w:rsidRPr="00C01305">
        <w:rPr>
          <w:rFonts w:ascii="Verdana" w:hAnsi="Verdana"/>
          <w:sz w:val="20"/>
          <w:szCs w:val="20"/>
        </w:rPr>
        <w:t xml:space="preserve">, dependiendo los derechos en juego, pero siempre observando una adecuada ponderación o justo equilibrio de los </w:t>
      </w:r>
      <w:r w:rsidR="00C01305" w:rsidRPr="00C01305">
        <w:rPr>
          <w:rFonts w:ascii="Verdana" w:hAnsi="Verdana"/>
          <w:sz w:val="20"/>
          <w:szCs w:val="20"/>
        </w:rPr>
        <w:lastRenderedPageBreak/>
        <w:t>derechos convencionales</w:t>
      </w:r>
      <w:r w:rsidR="00F80ADC">
        <w:rPr>
          <w:rStyle w:val="FootnoteReference"/>
          <w:szCs w:val="20"/>
        </w:rPr>
        <w:footnoteReference w:id="134"/>
      </w:r>
      <w:r w:rsidR="00C01305" w:rsidRPr="00C01305">
        <w:rPr>
          <w:rFonts w:ascii="Verdana" w:hAnsi="Verdana"/>
          <w:sz w:val="20"/>
          <w:szCs w:val="20"/>
        </w:rPr>
        <w:t>, por ende</w:t>
      </w:r>
      <w:r w:rsidR="00F80ADC">
        <w:rPr>
          <w:rFonts w:ascii="Verdana" w:hAnsi="Verdana"/>
          <w:sz w:val="20"/>
          <w:szCs w:val="20"/>
        </w:rPr>
        <w:t>,</w:t>
      </w:r>
      <w:r w:rsidR="00C01305" w:rsidRPr="00C01305">
        <w:rPr>
          <w:rFonts w:ascii="Verdana" w:hAnsi="Verdana"/>
          <w:sz w:val="20"/>
          <w:szCs w:val="20"/>
        </w:rPr>
        <w:t xml:space="preserve"> la aplicación de un </w:t>
      </w:r>
      <w:r>
        <w:rPr>
          <w:rFonts w:ascii="Verdana" w:hAnsi="Verdana"/>
          <w:sz w:val="20"/>
          <w:szCs w:val="20"/>
        </w:rPr>
        <w:t xml:space="preserve">análisis de necesidad razonada </w:t>
      </w:r>
      <w:r w:rsidR="00C01305" w:rsidRPr="00C01305">
        <w:rPr>
          <w:rFonts w:ascii="Verdana" w:hAnsi="Verdana"/>
          <w:sz w:val="20"/>
          <w:szCs w:val="20"/>
        </w:rPr>
        <w:t xml:space="preserve">por parte de </w:t>
      </w:r>
      <w:r>
        <w:rPr>
          <w:rFonts w:ascii="Verdana" w:hAnsi="Verdana"/>
          <w:sz w:val="20"/>
          <w:szCs w:val="20"/>
        </w:rPr>
        <w:t>esta</w:t>
      </w:r>
      <w:r w:rsidR="00C01305" w:rsidRPr="00C01305">
        <w:rPr>
          <w:rFonts w:ascii="Verdana" w:hAnsi="Verdana"/>
          <w:sz w:val="20"/>
          <w:szCs w:val="20"/>
        </w:rPr>
        <w:t xml:space="preserve"> Corte deriva del propio tratado internacional que debe interpretar</w:t>
      </w:r>
      <w:r w:rsidR="004E4E2E">
        <w:rPr>
          <w:rStyle w:val="FootnoteReference"/>
          <w:szCs w:val="20"/>
        </w:rPr>
        <w:footnoteReference w:id="135"/>
      </w:r>
      <w:r w:rsidR="00915ACA">
        <w:rPr>
          <w:rFonts w:ascii="Verdana" w:hAnsi="Verdana"/>
          <w:sz w:val="20"/>
          <w:szCs w:val="20"/>
        </w:rPr>
        <w:t>, así como de</w:t>
      </w:r>
      <w:r>
        <w:rPr>
          <w:rFonts w:ascii="Verdana" w:hAnsi="Verdana"/>
          <w:sz w:val="20"/>
          <w:szCs w:val="20"/>
        </w:rPr>
        <w:t xml:space="preserve"> su jurisprudencia constante</w:t>
      </w:r>
      <w:r w:rsidR="00C01305" w:rsidRPr="00C01305">
        <w:rPr>
          <w:rFonts w:ascii="Verdana" w:hAnsi="Verdana"/>
          <w:sz w:val="20"/>
          <w:szCs w:val="20"/>
        </w:rPr>
        <w:t xml:space="preserve">. </w:t>
      </w:r>
    </w:p>
    <w:p w14:paraId="03C97E2B" w14:textId="77777777" w:rsidR="00C01305" w:rsidRPr="00C01305" w:rsidRDefault="00C01305" w:rsidP="00CA58EF">
      <w:pPr>
        <w:contextualSpacing/>
        <w:rPr>
          <w:rFonts w:ascii="Verdana" w:hAnsi="Verdana"/>
          <w:sz w:val="20"/>
          <w:szCs w:val="20"/>
        </w:rPr>
      </w:pPr>
    </w:p>
    <w:p w14:paraId="63F9FA01" w14:textId="73093DB5" w:rsidR="00C01305" w:rsidRPr="00C01305" w:rsidRDefault="00C01305" w:rsidP="00E66DD7">
      <w:pPr>
        <w:numPr>
          <w:ilvl w:val="0"/>
          <w:numId w:val="1"/>
        </w:numPr>
        <w:ind w:left="0" w:firstLine="0"/>
        <w:contextualSpacing/>
        <w:jc w:val="both"/>
        <w:rPr>
          <w:rFonts w:ascii="Verdana" w:hAnsi="Verdana"/>
          <w:sz w:val="20"/>
          <w:szCs w:val="20"/>
          <w:lang w:val="es-CR"/>
        </w:rPr>
      </w:pPr>
      <w:r w:rsidRPr="00C01305">
        <w:rPr>
          <w:rFonts w:ascii="Verdana" w:hAnsi="Verdana"/>
          <w:sz w:val="20"/>
          <w:szCs w:val="20"/>
        </w:rPr>
        <w:t xml:space="preserve">Para efectos del presente caso, concerniente con la interpretación de responsabilidades ulteriores </w:t>
      </w:r>
      <w:r w:rsidRPr="00C01305">
        <w:rPr>
          <w:rFonts w:ascii="Verdana" w:hAnsi="Verdana"/>
          <w:sz w:val="20"/>
          <w:szCs w:val="20"/>
          <w:lang w:val="es-CR"/>
        </w:rPr>
        <w:t>por el ejercicio de la libertad de expresión</w:t>
      </w:r>
      <w:r w:rsidR="007A21DE">
        <w:rPr>
          <w:rFonts w:ascii="Verdana" w:hAnsi="Verdana"/>
          <w:sz w:val="20"/>
          <w:szCs w:val="20"/>
          <w:lang w:val="es-CR"/>
        </w:rPr>
        <w:t xml:space="preserve"> en el ámbito laboral</w:t>
      </w:r>
      <w:r w:rsidRPr="00C01305">
        <w:rPr>
          <w:rFonts w:ascii="Verdana" w:hAnsi="Verdana"/>
          <w:sz w:val="20"/>
          <w:szCs w:val="20"/>
          <w:lang w:val="es-CR"/>
        </w:rPr>
        <w:t>, la Corte analizará la restricción impuesta, a la luz del artículo 13.2 de la Convención, tomando en cuenta los siguientes requi</w:t>
      </w:r>
      <w:r w:rsidR="00C81E7D">
        <w:rPr>
          <w:rFonts w:ascii="Verdana" w:hAnsi="Verdana"/>
          <w:sz w:val="20"/>
          <w:szCs w:val="20"/>
          <w:lang w:val="es-CR"/>
        </w:rPr>
        <w:t xml:space="preserve">sitos de forma concurrente: </w:t>
      </w:r>
      <w:r w:rsidR="007A21DE">
        <w:rPr>
          <w:rFonts w:ascii="Verdana" w:hAnsi="Verdana"/>
          <w:sz w:val="20"/>
          <w:szCs w:val="20"/>
          <w:lang w:val="es-CR"/>
        </w:rPr>
        <w:t>i</w:t>
      </w:r>
      <w:r w:rsidR="007A21DE" w:rsidRPr="00C01305">
        <w:rPr>
          <w:rFonts w:ascii="Verdana" w:hAnsi="Verdana"/>
          <w:sz w:val="20"/>
          <w:szCs w:val="20"/>
          <w:lang w:val="es-CR"/>
        </w:rPr>
        <w:t>) calificación de las declaraciones de Lagos del Campo;</w:t>
      </w:r>
      <w:r w:rsidR="007A21DE">
        <w:rPr>
          <w:rFonts w:ascii="Verdana" w:hAnsi="Verdana"/>
          <w:sz w:val="20"/>
          <w:szCs w:val="20"/>
          <w:lang w:val="es-CR"/>
        </w:rPr>
        <w:t xml:space="preserve"> </w:t>
      </w:r>
      <w:r w:rsidR="00C81E7D">
        <w:rPr>
          <w:rFonts w:ascii="Verdana" w:hAnsi="Verdana"/>
          <w:sz w:val="20"/>
          <w:szCs w:val="20"/>
          <w:lang w:val="es-CR"/>
        </w:rPr>
        <w:t>i</w:t>
      </w:r>
      <w:r w:rsidR="007A21DE">
        <w:rPr>
          <w:rFonts w:ascii="Verdana" w:hAnsi="Verdana"/>
          <w:sz w:val="20"/>
          <w:szCs w:val="20"/>
          <w:lang w:val="es-CR"/>
        </w:rPr>
        <w:t>i</w:t>
      </w:r>
      <w:r w:rsidR="00C81E7D">
        <w:rPr>
          <w:rFonts w:ascii="Verdana" w:hAnsi="Verdana"/>
          <w:sz w:val="20"/>
          <w:szCs w:val="20"/>
          <w:lang w:val="es-CR"/>
        </w:rPr>
        <w:t>) l</w:t>
      </w:r>
      <w:r w:rsidRPr="00C01305">
        <w:rPr>
          <w:rFonts w:ascii="Verdana" w:hAnsi="Verdana"/>
          <w:sz w:val="20"/>
          <w:szCs w:val="20"/>
          <w:lang w:val="es-CR"/>
        </w:rPr>
        <w:t xml:space="preserve">egalidad </w:t>
      </w:r>
      <w:r w:rsidRPr="00F80ADC">
        <w:rPr>
          <w:rFonts w:ascii="Verdana" w:hAnsi="Verdana"/>
          <w:sz w:val="20"/>
          <w:lang w:val="es-CR"/>
        </w:rPr>
        <w:t>y finalidad</w:t>
      </w:r>
      <w:r w:rsidR="00CC31D1">
        <w:rPr>
          <w:rFonts w:ascii="Verdana" w:hAnsi="Verdana"/>
          <w:sz w:val="20"/>
          <w:szCs w:val="20"/>
          <w:lang w:val="es-CR"/>
        </w:rPr>
        <w:t>, y</w:t>
      </w:r>
      <w:r w:rsidRPr="00C01305">
        <w:rPr>
          <w:rFonts w:ascii="Verdana" w:hAnsi="Verdana"/>
          <w:sz w:val="20"/>
          <w:szCs w:val="20"/>
          <w:lang w:val="es-CR"/>
        </w:rPr>
        <w:t xml:space="preserve"> </w:t>
      </w:r>
      <w:r w:rsidRPr="00CC31D1">
        <w:rPr>
          <w:rFonts w:ascii="Verdana" w:hAnsi="Verdana"/>
          <w:sz w:val="20"/>
          <w:lang w:val="es-CR"/>
        </w:rPr>
        <w:t>iii) necesidad</w:t>
      </w:r>
      <w:r w:rsidR="00CC31D1" w:rsidRPr="00CB5A95">
        <w:rPr>
          <w:rFonts w:ascii="Verdana" w:hAnsi="Verdana"/>
          <w:sz w:val="20"/>
          <w:lang w:val="es-CR"/>
        </w:rPr>
        <w:t xml:space="preserve"> </w:t>
      </w:r>
      <w:r w:rsidRPr="00CC31D1">
        <w:rPr>
          <w:rFonts w:ascii="Verdana" w:hAnsi="Verdana"/>
          <w:sz w:val="20"/>
          <w:lang w:val="es-CR"/>
        </w:rPr>
        <w:t>y deber de motivar</w:t>
      </w:r>
      <w:r w:rsidRPr="00CC31D1">
        <w:rPr>
          <w:rFonts w:ascii="Verdana" w:hAnsi="Verdana"/>
          <w:sz w:val="20"/>
          <w:szCs w:val="20"/>
          <w:vertAlign w:val="superscript"/>
          <w:lang w:val="es-CR"/>
        </w:rPr>
        <w:footnoteReference w:id="136"/>
      </w:r>
      <w:r w:rsidRPr="00CC31D1">
        <w:rPr>
          <w:rFonts w:ascii="Verdana" w:hAnsi="Verdana"/>
          <w:sz w:val="20"/>
          <w:szCs w:val="20"/>
          <w:lang w:val="es-CR"/>
        </w:rPr>
        <w:t>.</w:t>
      </w:r>
      <w:r w:rsidRPr="00C01305">
        <w:rPr>
          <w:rFonts w:ascii="Verdana" w:hAnsi="Verdana"/>
          <w:sz w:val="20"/>
          <w:szCs w:val="20"/>
          <w:lang w:val="es-CR"/>
        </w:rPr>
        <w:t xml:space="preserve"> </w:t>
      </w:r>
    </w:p>
    <w:p w14:paraId="07F8F606" w14:textId="77777777" w:rsidR="00C01305" w:rsidRDefault="00C01305" w:rsidP="00C01305">
      <w:pPr>
        <w:ind w:left="720"/>
        <w:contextualSpacing/>
        <w:rPr>
          <w:rFonts w:ascii="Verdana" w:hAnsi="Verdana"/>
          <w:sz w:val="20"/>
          <w:szCs w:val="20"/>
          <w:lang w:val="es-CR"/>
        </w:rPr>
      </w:pPr>
    </w:p>
    <w:p w14:paraId="380ED213" w14:textId="15ABF1AF" w:rsidR="007A21DE" w:rsidRPr="00897912" w:rsidRDefault="00897912" w:rsidP="005B3D37">
      <w:pPr>
        <w:pStyle w:val="Heading3"/>
        <w:ind w:left="360"/>
        <w:rPr>
          <w:i/>
          <w:lang w:val="es-MX"/>
        </w:rPr>
      </w:pPr>
      <w:bookmarkStart w:id="46" w:name="_Toc498333503"/>
      <w:r>
        <w:rPr>
          <w:i/>
          <w:lang w:val="es-MX"/>
        </w:rPr>
        <w:t xml:space="preserve">1.2.1 </w:t>
      </w:r>
      <w:r w:rsidR="007A21DE" w:rsidRPr="00897912">
        <w:rPr>
          <w:i/>
          <w:lang w:val="es-MX"/>
        </w:rPr>
        <w:t>Calificación de las declaraciones de Lagos del Campo</w:t>
      </w:r>
      <w:bookmarkEnd w:id="46"/>
    </w:p>
    <w:p w14:paraId="2B9DF720" w14:textId="77777777" w:rsidR="007A21DE" w:rsidRPr="00604459" w:rsidRDefault="007A21DE" w:rsidP="00604459">
      <w:pPr>
        <w:pStyle w:val="Heading3"/>
        <w:ind w:left="720"/>
        <w:rPr>
          <w:rFonts w:eastAsia="Times New Roman"/>
          <w:i/>
        </w:rPr>
      </w:pPr>
    </w:p>
    <w:p w14:paraId="661E4065" w14:textId="01CC1872" w:rsidR="007A21DE" w:rsidRPr="00C01305" w:rsidRDefault="007A21DE" w:rsidP="00E66DD7">
      <w:pPr>
        <w:numPr>
          <w:ilvl w:val="0"/>
          <w:numId w:val="1"/>
        </w:numPr>
        <w:ind w:left="0" w:firstLine="0"/>
        <w:contextualSpacing/>
        <w:jc w:val="both"/>
        <w:rPr>
          <w:rFonts w:ascii="Verdana" w:hAnsi="Verdana"/>
          <w:sz w:val="20"/>
          <w:szCs w:val="20"/>
        </w:rPr>
      </w:pPr>
      <w:r w:rsidRPr="00C01305">
        <w:rPr>
          <w:rFonts w:ascii="Verdana" w:hAnsi="Verdana"/>
          <w:sz w:val="20"/>
          <w:szCs w:val="20"/>
          <w:lang w:val="es-CR"/>
        </w:rPr>
        <w:t>La Corte estima necesario determinar si el discurso del señor Lagos del Campo: a) se dio en su calidad de representante de los trabajadores (</w:t>
      </w:r>
      <w:r w:rsidR="00224537" w:rsidRPr="00224537">
        <w:rPr>
          <w:rFonts w:ascii="Verdana" w:hAnsi="Verdana"/>
          <w:i/>
          <w:sz w:val="20"/>
          <w:szCs w:val="20"/>
          <w:lang w:val="es-CR"/>
        </w:rPr>
        <w:t>supra</w:t>
      </w:r>
      <w:r w:rsidRPr="00C01305">
        <w:rPr>
          <w:rFonts w:ascii="Verdana" w:hAnsi="Verdana"/>
          <w:sz w:val="20"/>
          <w:szCs w:val="20"/>
          <w:lang w:val="es-CR"/>
        </w:rPr>
        <w:t xml:space="preserve">, párr. </w:t>
      </w:r>
      <w:r w:rsidR="00F8746C">
        <w:rPr>
          <w:rFonts w:ascii="Verdana" w:hAnsi="Verdana"/>
          <w:sz w:val="20"/>
          <w:szCs w:val="20"/>
          <w:lang w:val="es-CR"/>
        </w:rPr>
        <w:t>96</w:t>
      </w:r>
      <w:r w:rsidRPr="00C01305">
        <w:rPr>
          <w:rFonts w:ascii="Verdana" w:hAnsi="Verdana"/>
          <w:sz w:val="20"/>
          <w:szCs w:val="20"/>
          <w:lang w:val="es-CR"/>
        </w:rPr>
        <w:t xml:space="preserve">); b) era de interés </w:t>
      </w:r>
      <w:r>
        <w:rPr>
          <w:rFonts w:ascii="Verdana" w:hAnsi="Verdana"/>
          <w:sz w:val="20"/>
          <w:szCs w:val="20"/>
          <w:lang w:val="es-CR"/>
        </w:rPr>
        <w:t>público</w:t>
      </w:r>
      <w:r w:rsidRPr="00C01305">
        <w:rPr>
          <w:rFonts w:ascii="Verdana" w:hAnsi="Verdana"/>
          <w:sz w:val="20"/>
          <w:szCs w:val="20"/>
          <w:lang w:val="es-CR"/>
        </w:rPr>
        <w:t xml:space="preserve">; y c) la </w:t>
      </w:r>
      <w:r>
        <w:rPr>
          <w:rFonts w:ascii="Verdana" w:hAnsi="Verdana"/>
          <w:sz w:val="20"/>
          <w:szCs w:val="20"/>
          <w:lang w:val="es-CR"/>
        </w:rPr>
        <w:t xml:space="preserve">entidad </w:t>
      </w:r>
      <w:r w:rsidRPr="00C01305">
        <w:rPr>
          <w:rFonts w:ascii="Verdana" w:hAnsi="Verdana"/>
          <w:sz w:val="20"/>
          <w:szCs w:val="20"/>
          <w:lang w:val="es-CR"/>
        </w:rPr>
        <w:t xml:space="preserve">de sus declaraciones. </w:t>
      </w:r>
    </w:p>
    <w:p w14:paraId="31993E41" w14:textId="77777777" w:rsidR="007A21DE" w:rsidRPr="00C01305" w:rsidRDefault="007A21DE" w:rsidP="007A21DE">
      <w:pPr>
        <w:contextualSpacing/>
        <w:jc w:val="both"/>
        <w:rPr>
          <w:rFonts w:ascii="Verdana" w:hAnsi="Verdana"/>
          <w:sz w:val="20"/>
          <w:szCs w:val="20"/>
        </w:rPr>
      </w:pPr>
    </w:p>
    <w:p w14:paraId="5EF61C1A" w14:textId="5EA7A803" w:rsidR="007A21DE" w:rsidRPr="00C01305" w:rsidRDefault="007A21DE" w:rsidP="00E66DD7">
      <w:pPr>
        <w:numPr>
          <w:ilvl w:val="0"/>
          <w:numId w:val="1"/>
        </w:numPr>
        <w:ind w:left="0" w:firstLine="0"/>
        <w:contextualSpacing/>
        <w:jc w:val="both"/>
        <w:rPr>
          <w:rFonts w:ascii="Verdana" w:hAnsi="Verdana"/>
          <w:sz w:val="20"/>
          <w:szCs w:val="20"/>
          <w:lang w:val="es-CR"/>
        </w:rPr>
      </w:pPr>
      <w:r w:rsidRPr="00C01305">
        <w:rPr>
          <w:rFonts w:ascii="Verdana" w:hAnsi="Verdana"/>
          <w:sz w:val="20"/>
          <w:szCs w:val="20"/>
        </w:rPr>
        <w:t xml:space="preserve">En primer lugar, respecto de la representación del señor Lagos </w:t>
      </w:r>
      <w:r>
        <w:rPr>
          <w:rFonts w:ascii="Verdana" w:hAnsi="Verdana"/>
          <w:sz w:val="20"/>
          <w:szCs w:val="20"/>
        </w:rPr>
        <w:t>del Campo, la Corte observa que</w:t>
      </w:r>
      <w:r w:rsidRPr="00C01305">
        <w:rPr>
          <w:rFonts w:ascii="Verdana" w:hAnsi="Verdana"/>
          <w:sz w:val="20"/>
          <w:szCs w:val="20"/>
        </w:rPr>
        <w:t xml:space="preserve"> </w:t>
      </w:r>
      <w:r w:rsidR="00EC11D2">
        <w:rPr>
          <w:rFonts w:ascii="Verdana" w:hAnsi="Verdana"/>
          <w:sz w:val="20"/>
          <w:szCs w:val="20"/>
        </w:rPr>
        <w:t>—</w:t>
      </w:r>
      <w:r w:rsidRPr="00C01305">
        <w:rPr>
          <w:rFonts w:ascii="Verdana" w:hAnsi="Verdana"/>
          <w:sz w:val="20"/>
          <w:szCs w:val="20"/>
          <w:lang w:val="es-CR"/>
        </w:rPr>
        <w:t>en virtud del principio de inmediatez</w:t>
      </w:r>
      <w:r w:rsidR="00EC11D2">
        <w:rPr>
          <w:rFonts w:ascii="Verdana" w:hAnsi="Verdana"/>
          <w:sz w:val="20"/>
          <w:szCs w:val="20"/>
          <w:lang w:val="es-CR"/>
        </w:rPr>
        <w:t>—</w:t>
      </w:r>
      <w:r w:rsidRPr="00C01305">
        <w:rPr>
          <w:rFonts w:ascii="Verdana" w:hAnsi="Verdana"/>
          <w:sz w:val="20"/>
          <w:szCs w:val="20"/>
          <w:lang w:val="es-CR"/>
        </w:rPr>
        <w:t xml:space="preserve">, </w:t>
      </w:r>
      <w:r w:rsidR="00171480">
        <w:rPr>
          <w:rFonts w:ascii="Verdana" w:hAnsi="Verdana"/>
          <w:sz w:val="20"/>
          <w:szCs w:val="20"/>
          <w:lang w:val="es-CR"/>
        </w:rPr>
        <w:t>desde</w:t>
      </w:r>
      <w:r w:rsidR="00171480" w:rsidRPr="00C01305">
        <w:rPr>
          <w:rFonts w:ascii="Verdana" w:hAnsi="Verdana"/>
          <w:sz w:val="20"/>
          <w:szCs w:val="20"/>
          <w:lang w:val="es-CR"/>
        </w:rPr>
        <w:t xml:space="preserve"> </w:t>
      </w:r>
      <w:r>
        <w:rPr>
          <w:rFonts w:ascii="Verdana" w:hAnsi="Verdana"/>
          <w:sz w:val="20"/>
          <w:szCs w:val="20"/>
          <w:lang w:val="es-CR"/>
        </w:rPr>
        <w:t xml:space="preserve">su primer </w:t>
      </w:r>
      <w:r w:rsidRPr="00C01305">
        <w:rPr>
          <w:rFonts w:ascii="Verdana" w:hAnsi="Verdana"/>
          <w:sz w:val="20"/>
          <w:szCs w:val="20"/>
          <w:lang w:val="es-CR"/>
        </w:rPr>
        <w:t xml:space="preserve">escrito de descargo formulado por el señor Lagos del Campo a la empresa, </w:t>
      </w:r>
      <w:r w:rsidR="00AF6642">
        <w:rPr>
          <w:rFonts w:ascii="Verdana" w:hAnsi="Verdana"/>
          <w:sz w:val="20"/>
          <w:szCs w:val="20"/>
          <w:lang w:val="es-CR"/>
        </w:rPr>
        <w:t>e</w:t>
      </w:r>
      <w:r w:rsidRPr="00C01305">
        <w:rPr>
          <w:rFonts w:ascii="Verdana" w:hAnsi="Verdana"/>
          <w:sz w:val="20"/>
          <w:szCs w:val="20"/>
          <w:lang w:val="es-CR"/>
        </w:rPr>
        <w:t>ste puntualizó que las declaraciones:</w:t>
      </w:r>
    </w:p>
    <w:p w14:paraId="22A0FF24" w14:textId="77777777" w:rsidR="007A21DE" w:rsidRPr="00C01305" w:rsidRDefault="007A21DE" w:rsidP="007A21DE">
      <w:pPr>
        <w:ind w:left="720"/>
        <w:contextualSpacing/>
        <w:rPr>
          <w:rFonts w:ascii="Verdana" w:hAnsi="Verdana"/>
          <w:sz w:val="20"/>
          <w:szCs w:val="20"/>
          <w:lang w:val="es-CR"/>
        </w:rPr>
      </w:pPr>
    </w:p>
    <w:p w14:paraId="1568DEEC" w14:textId="07D3A3AA" w:rsidR="007A21DE" w:rsidRPr="00C01305" w:rsidRDefault="007A21DE" w:rsidP="007A21DE">
      <w:pPr>
        <w:ind w:left="284"/>
        <w:contextualSpacing/>
        <w:jc w:val="both"/>
        <w:rPr>
          <w:rFonts w:ascii="Verdana" w:hAnsi="Verdana"/>
          <w:sz w:val="20"/>
          <w:szCs w:val="20"/>
          <w:lang w:val="es-CR"/>
        </w:rPr>
      </w:pPr>
      <w:r>
        <w:rPr>
          <w:rFonts w:ascii="Verdana" w:hAnsi="Verdana"/>
          <w:sz w:val="18"/>
          <w:szCs w:val="20"/>
          <w:lang w:val="es-CR"/>
        </w:rPr>
        <w:t xml:space="preserve"> “[F]</w:t>
      </w:r>
      <w:proofErr w:type="spellStart"/>
      <w:r w:rsidRPr="00C01305">
        <w:rPr>
          <w:rFonts w:ascii="Verdana" w:hAnsi="Verdana"/>
          <w:sz w:val="18"/>
          <w:szCs w:val="20"/>
          <w:lang w:val="es-CR"/>
        </w:rPr>
        <w:t>ueron</w:t>
      </w:r>
      <w:proofErr w:type="spellEnd"/>
      <w:r w:rsidRPr="00C01305">
        <w:rPr>
          <w:rFonts w:ascii="Verdana" w:hAnsi="Verdana"/>
          <w:sz w:val="18"/>
          <w:szCs w:val="20"/>
          <w:lang w:val="es-CR"/>
        </w:rPr>
        <w:t xml:space="preserve"> prestad[a]s en [su] calidad de Presidente del Comité Electoral de la Comunidad Industrial CEPER, estando directa y exclusivamente relacionadas con asuntos internos de interés comunero, como son las irregularidades producidas en el proceso electoral […] que por lo demás habían sido denunciadas por los propios trabajadores comuneros y que habían sido verificadas por la Oficina General de Participación del Ministerio de Industrias”</w:t>
      </w:r>
      <w:r w:rsidRPr="00C01305">
        <w:rPr>
          <w:rFonts w:ascii="Verdana" w:hAnsi="Verdana"/>
          <w:sz w:val="20"/>
          <w:szCs w:val="20"/>
          <w:vertAlign w:val="superscript"/>
          <w:lang w:val="es-CR"/>
        </w:rPr>
        <w:footnoteReference w:id="137"/>
      </w:r>
      <w:r w:rsidRPr="00C01305">
        <w:rPr>
          <w:rFonts w:ascii="Verdana" w:hAnsi="Verdana"/>
          <w:sz w:val="20"/>
          <w:szCs w:val="20"/>
          <w:lang w:val="es-CR"/>
        </w:rPr>
        <w:t>.</w:t>
      </w:r>
    </w:p>
    <w:p w14:paraId="733CCB37" w14:textId="77777777" w:rsidR="007A21DE" w:rsidRPr="00C01305" w:rsidRDefault="007A21DE" w:rsidP="007A21DE">
      <w:pPr>
        <w:contextualSpacing/>
        <w:jc w:val="both"/>
        <w:rPr>
          <w:rFonts w:ascii="Verdana" w:hAnsi="Verdana"/>
          <w:sz w:val="20"/>
          <w:szCs w:val="20"/>
          <w:lang w:val="es-CR"/>
        </w:rPr>
      </w:pPr>
    </w:p>
    <w:p w14:paraId="7E4CE1C1" w14:textId="77854B3E" w:rsidR="007A21DE" w:rsidRPr="00C01305" w:rsidRDefault="007E39F5" w:rsidP="00E66DD7">
      <w:pPr>
        <w:numPr>
          <w:ilvl w:val="0"/>
          <w:numId w:val="1"/>
        </w:numPr>
        <w:ind w:left="0" w:firstLine="0"/>
        <w:contextualSpacing/>
        <w:jc w:val="both"/>
        <w:rPr>
          <w:rFonts w:ascii="Verdana" w:hAnsi="Verdana"/>
          <w:sz w:val="20"/>
          <w:lang w:val="es-CR"/>
        </w:rPr>
      </w:pPr>
      <w:r>
        <w:rPr>
          <w:rFonts w:ascii="Verdana" w:hAnsi="Verdana"/>
          <w:sz w:val="20"/>
          <w:szCs w:val="20"/>
          <w:lang w:val="es-CR"/>
        </w:rPr>
        <w:t>Asimismo, d</w:t>
      </w:r>
      <w:r w:rsidR="00B32EB0" w:rsidRPr="00B32EB0">
        <w:rPr>
          <w:rFonts w:ascii="Verdana" w:hAnsi="Verdana"/>
          <w:sz w:val="20"/>
          <w:szCs w:val="20"/>
          <w:lang w:val="es-CR"/>
        </w:rPr>
        <w:t>el caudal probatorio,</w:t>
      </w:r>
      <w:r w:rsidR="00B32EB0" w:rsidRPr="00C52AF8">
        <w:rPr>
          <w:rFonts w:ascii="Verdana" w:hAnsi="Verdana"/>
          <w:sz w:val="20"/>
          <w:szCs w:val="20"/>
          <w:lang w:val="es-CR"/>
        </w:rPr>
        <w:t xml:space="preserve"> la Corte encuentra </w:t>
      </w:r>
      <w:r w:rsidR="00171480">
        <w:rPr>
          <w:rFonts w:ascii="Verdana" w:hAnsi="Verdana"/>
          <w:sz w:val="20"/>
          <w:szCs w:val="20"/>
          <w:lang w:val="es-CR"/>
        </w:rPr>
        <w:t>que:</w:t>
      </w:r>
      <w:r w:rsidR="00B32EB0" w:rsidRPr="00C52AF8">
        <w:rPr>
          <w:rFonts w:ascii="Verdana" w:hAnsi="Verdana"/>
          <w:sz w:val="20"/>
          <w:szCs w:val="20"/>
          <w:lang w:val="es-CR"/>
        </w:rPr>
        <w:t xml:space="preserve"> i) el señor Lagos del Campo, al ocupar el cargo de Presidente del Comité Electoral de la Comunidad Industrial </w:t>
      </w:r>
      <w:r w:rsidR="00B32EB0" w:rsidRPr="00E91326">
        <w:rPr>
          <w:rFonts w:ascii="Verdana" w:hAnsi="Verdana"/>
          <w:sz w:val="20"/>
          <w:szCs w:val="20"/>
          <w:lang w:val="es-CR"/>
        </w:rPr>
        <w:t>de la empresa, para el cual había sido elegido por la Asamblea General, la cual está conformada por todos los miembros de la comunidad industrial, es decir por todos los trabajadores de la empresa en forma estable</w:t>
      </w:r>
      <w:r w:rsidR="00B32EB0" w:rsidRPr="00751089">
        <w:rPr>
          <w:rFonts w:ascii="Verdana" w:hAnsi="Verdana"/>
          <w:sz w:val="20"/>
          <w:szCs w:val="20"/>
          <w:vertAlign w:val="superscript"/>
          <w:lang w:val="es-CR"/>
        </w:rPr>
        <w:footnoteReference w:id="138"/>
      </w:r>
      <w:r w:rsidR="00B32EB0" w:rsidRPr="00B32EB0">
        <w:rPr>
          <w:rFonts w:ascii="Verdana" w:hAnsi="Verdana"/>
          <w:sz w:val="20"/>
          <w:szCs w:val="20"/>
          <w:lang w:val="es-CR"/>
        </w:rPr>
        <w:t>, y cuya función consistía en llevar a cabo</w:t>
      </w:r>
      <w:r w:rsidR="00B32EB0" w:rsidRPr="00C52AF8">
        <w:rPr>
          <w:rFonts w:ascii="Verdana" w:hAnsi="Verdana"/>
          <w:sz w:val="20"/>
          <w:szCs w:val="20"/>
          <w:lang w:val="es-CR"/>
        </w:rPr>
        <w:t xml:space="preserve"> las elecciones de los miembros del Consejo de la Comunidad, y de los representantes ante el Directorio de la empresa, indudablemente ocupaba un cargo de representación de los intereses de los trabajadores en la empresa</w:t>
      </w:r>
      <w:r w:rsidR="00B32EB0" w:rsidRPr="00751089">
        <w:rPr>
          <w:rFonts w:ascii="Verdana" w:hAnsi="Verdana"/>
          <w:sz w:val="20"/>
          <w:szCs w:val="20"/>
          <w:vertAlign w:val="superscript"/>
          <w:lang w:val="es-CR"/>
        </w:rPr>
        <w:footnoteReference w:id="139"/>
      </w:r>
      <w:r w:rsidR="00171480">
        <w:rPr>
          <w:rFonts w:ascii="Verdana" w:hAnsi="Verdana"/>
          <w:sz w:val="20"/>
          <w:szCs w:val="20"/>
          <w:lang w:val="es-CR"/>
        </w:rPr>
        <w:t>; ii)</w:t>
      </w:r>
      <w:r w:rsidR="00B32EB0" w:rsidRPr="00C52AF8">
        <w:rPr>
          <w:rFonts w:ascii="Verdana" w:hAnsi="Verdana"/>
          <w:sz w:val="20"/>
          <w:szCs w:val="20"/>
          <w:lang w:val="es-CR"/>
        </w:rPr>
        <w:t xml:space="preserve"> el señor Lagos</w:t>
      </w:r>
      <w:r w:rsidR="00B32EB0" w:rsidRPr="00E91326">
        <w:rPr>
          <w:rFonts w:ascii="Verdana" w:hAnsi="Verdana"/>
          <w:sz w:val="20"/>
          <w:szCs w:val="20"/>
          <w:lang w:val="es-CR"/>
        </w:rPr>
        <w:t xml:space="preserve"> del Campo </w:t>
      </w:r>
      <w:r w:rsidR="00B32EB0" w:rsidRPr="00E91326">
        <w:rPr>
          <w:rFonts w:ascii="Verdana" w:hAnsi="Verdana"/>
          <w:sz w:val="20"/>
          <w:szCs w:val="20"/>
        </w:rPr>
        <w:t xml:space="preserve">ejercía </w:t>
      </w:r>
      <w:r>
        <w:rPr>
          <w:rFonts w:ascii="Verdana" w:hAnsi="Verdana"/>
          <w:sz w:val="20"/>
          <w:szCs w:val="20"/>
        </w:rPr>
        <w:t xml:space="preserve">también </w:t>
      </w:r>
      <w:r w:rsidR="00B32EB0" w:rsidRPr="00E91326">
        <w:rPr>
          <w:rFonts w:ascii="Verdana" w:hAnsi="Verdana"/>
          <w:sz w:val="20"/>
          <w:szCs w:val="20"/>
        </w:rPr>
        <w:t>representación ante la CONACI</w:t>
      </w:r>
      <w:r w:rsidR="00915ACA">
        <w:rPr>
          <w:rFonts w:ascii="Verdana" w:hAnsi="Verdana"/>
          <w:sz w:val="20"/>
          <w:szCs w:val="20"/>
        </w:rPr>
        <w:t xml:space="preserve"> (</w:t>
      </w:r>
      <w:r w:rsidR="00224537" w:rsidRPr="00224537">
        <w:rPr>
          <w:rFonts w:ascii="Verdana" w:hAnsi="Verdana"/>
          <w:i/>
          <w:sz w:val="20"/>
          <w:szCs w:val="20"/>
        </w:rPr>
        <w:t>supra</w:t>
      </w:r>
      <w:r w:rsidR="00AF223F">
        <w:rPr>
          <w:rFonts w:ascii="Verdana" w:hAnsi="Verdana"/>
          <w:i/>
          <w:sz w:val="20"/>
          <w:szCs w:val="20"/>
        </w:rPr>
        <w:t xml:space="preserve"> </w:t>
      </w:r>
      <w:r w:rsidR="00AF223F" w:rsidRPr="00333304">
        <w:rPr>
          <w:rFonts w:ascii="Verdana" w:hAnsi="Verdana"/>
          <w:sz w:val="20"/>
          <w:szCs w:val="20"/>
        </w:rPr>
        <w:t>párr.</w:t>
      </w:r>
      <w:r w:rsidR="00EC11D2" w:rsidRPr="00333304">
        <w:rPr>
          <w:rFonts w:ascii="Verdana" w:hAnsi="Verdana"/>
          <w:sz w:val="20"/>
          <w:szCs w:val="20"/>
        </w:rPr>
        <w:t xml:space="preserve"> </w:t>
      </w:r>
      <w:r w:rsidR="00AF223F" w:rsidRPr="00333304">
        <w:rPr>
          <w:rFonts w:ascii="Verdana" w:hAnsi="Verdana"/>
          <w:sz w:val="20"/>
          <w:szCs w:val="20"/>
        </w:rPr>
        <w:t>50</w:t>
      </w:r>
      <w:r w:rsidR="00915ACA">
        <w:rPr>
          <w:rFonts w:ascii="Verdana" w:hAnsi="Verdana"/>
          <w:sz w:val="20"/>
          <w:szCs w:val="20"/>
        </w:rPr>
        <w:t>)</w:t>
      </w:r>
      <w:r w:rsidR="00B32EB0" w:rsidRPr="00C01305">
        <w:rPr>
          <w:rFonts w:ascii="Verdana" w:hAnsi="Verdana"/>
          <w:sz w:val="20"/>
          <w:szCs w:val="20"/>
          <w:vertAlign w:val="superscript"/>
          <w:lang w:val="es-CR"/>
        </w:rPr>
        <w:footnoteReference w:id="140"/>
      </w:r>
      <w:r w:rsidR="00B32EB0" w:rsidRPr="00B32EB0">
        <w:rPr>
          <w:rFonts w:ascii="Verdana" w:hAnsi="Verdana"/>
          <w:sz w:val="20"/>
          <w:szCs w:val="20"/>
          <w:lang w:val="es-CR"/>
        </w:rPr>
        <w:t>, y</w:t>
      </w:r>
      <w:r w:rsidR="00B32EB0" w:rsidRPr="00C52AF8">
        <w:rPr>
          <w:rFonts w:ascii="Verdana" w:hAnsi="Verdana"/>
          <w:sz w:val="20"/>
          <w:szCs w:val="20"/>
        </w:rPr>
        <w:t xml:space="preserve"> iii) de las manifestaciones que realizó al diario La Razón, se desprenden la </w:t>
      </w:r>
      <w:r w:rsidR="00B32EB0" w:rsidRPr="00C52AF8">
        <w:rPr>
          <w:rFonts w:ascii="Verdana" w:hAnsi="Verdana"/>
          <w:sz w:val="20"/>
          <w:szCs w:val="20"/>
        </w:rPr>
        <w:lastRenderedPageBreak/>
        <w:t>denuncia de supuestas irregularidades en el proceso de elecciones internas, las cuáles realizó como Presidente del Comité enca</w:t>
      </w:r>
      <w:r w:rsidR="00B32EB0" w:rsidRPr="00E91326">
        <w:rPr>
          <w:rFonts w:ascii="Verdana" w:hAnsi="Verdana"/>
          <w:sz w:val="20"/>
          <w:szCs w:val="20"/>
        </w:rPr>
        <w:t>rgado de regular dicho proceso</w:t>
      </w:r>
      <w:r w:rsidR="00B32EB0">
        <w:rPr>
          <w:rStyle w:val="FootnoteReference"/>
          <w:szCs w:val="20"/>
        </w:rPr>
        <w:footnoteReference w:id="141"/>
      </w:r>
      <w:r w:rsidR="00B32EB0" w:rsidRPr="00B32EB0">
        <w:rPr>
          <w:rFonts w:ascii="Verdana" w:hAnsi="Verdana"/>
          <w:sz w:val="20"/>
          <w:szCs w:val="20"/>
        </w:rPr>
        <w:t>.</w:t>
      </w:r>
    </w:p>
    <w:p w14:paraId="667DB527" w14:textId="77777777" w:rsidR="007A21DE" w:rsidRPr="00C01305" w:rsidRDefault="007A21DE" w:rsidP="007A21DE">
      <w:pPr>
        <w:contextualSpacing/>
        <w:rPr>
          <w:rFonts w:ascii="Verdana" w:hAnsi="Verdana"/>
          <w:sz w:val="20"/>
          <w:szCs w:val="20"/>
        </w:rPr>
      </w:pPr>
    </w:p>
    <w:p w14:paraId="7F9B85BC" w14:textId="724036BC" w:rsidR="007A21DE" w:rsidRPr="001F3785" w:rsidRDefault="007A21DE" w:rsidP="001F3785">
      <w:pPr>
        <w:numPr>
          <w:ilvl w:val="0"/>
          <w:numId w:val="1"/>
        </w:numPr>
        <w:ind w:left="0" w:firstLine="0"/>
        <w:contextualSpacing/>
        <w:jc w:val="both"/>
        <w:rPr>
          <w:rFonts w:ascii="Verdana" w:hAnsi="Verdana"/>
          <w:sz w:val="20"/>
          <w:szCs w:val="20"/>
        </w:rPr>
      </w:pPr>
      <w:r w:rsidRPr="00C01305">
        <w:rPr>
          <w:rFonts w:ascii="Verdana" w:hAnsi="Verdana"/>
          <w:sz w:val="20"/>
          <w:szCs w:val="20"/>
        </w:rPr>
        <w:t>En vista de lo anterior, la Corte confirma que el señor Lagos del Campo realizó dichas manifestaciones en su calidad de representante de los trabajadores</w:t>
      </w:r>
      <w:r w:rsidRPr="00C01305">
        <w:rPr>
          <w:rFonts w:ascii="Verdana" w:hAnsi="Verdana"/>
          <w:sz w:val="20"/>
          <w:szCs w:val="20"/>
          <w:vertAlign w:val="superscript"/>
        </w:rPr>
        <w:footnoteReference w:id="142"/>
      </w:r>
      <w:r>
        <w:rPr>
          <w:rFonts w:ascii="Verdana" w:hAnsi="Verdana"/>
          <w:sz w:val="20"/>
          <w:szCs w:val="20"/>
        </w:rPr>
        <w:t xml:space="preserve"> </w:t>
      </w:r>
      <w:r w:rsidRPr="00C01305">
        <w:rPr>
          <w:rFonts w:ascii="Verdana" w:hAnsi="Verdana"/>
          <w:sz w:val="20"/>
          <w:szCs w:val="20"/>
        </w:rPr>
        <w:t>y en el marco del ejercicio de sus competencias como Presidente del Comité Electora</w:t>
      </w:r>
      <w:r w:rsidR="00171480">
        <w:rPr>
          <w:rFonts w:ascii="Verdana" w:hAnsi="Verdana"/>
          <w:sz w:val="20"/>
          <w:szCs w:val="20"/>
        </w:rPr>
        <w:t>l</w:t>
      </w:r>
      <w:r w:rsidRPr="001F3785">
        <w:rPr>
          <w:rFonts w:ascii="Verdana" w:hAnsi="Verdana"/>
          <w:sz w:val="20"/>
          <w:szCs w:val="20"/>
        </w:rPr>
        <w:t xml:space="preserve">.  </w:t>
      </w:r>
    </w:p>
    <w:p w14:paraId="0C668512" w14:textId="77777777" w:rsidR="007A21DE" w:rsidRPr="00C01305" w:rsidRDefault="007A21DE" w:rsidP="007A21DE">
      <w:pPr>
        <w:contextualSpacing/>
        <w:rPr>
          <w:rFonts w:ascii="Verdana" w:hAnsi="Verdana"/>
          <w:sz w:val="20"/>
          <w:szCs w:val="20"/>
        </w:rPr>
      </w:pPr>
    </w:p>
    <w:p w14:paraId="540BBC1C" w14:textId="087CA53E" w:rsidR="007A21DE" w:rsidRPr="00C01305" w:rsidRDefault="007A21DE" w:rsidP="00E66DD7">
      <w:pPr>
        <w:numPr>
          <w:ilvl w:val="0"/>
          <w:numId w:val="1"/>
        </w:numPr>
        <w:ind w:left="0" w:firstLine="0"/>
        <w:contextualSpacing/>
        <w:jc w:val="both"/>
        <w:rPr>
          <w:rFonts w:ascii="Verdana" w:hAnsi="Verdana"/>
          <w:sz w:val="20"/>
          <w:szCs w:val="20"/>
        </w:rPr>
      </w:pPr>
      <w:r w:rsidRPr="00C01305">
        <w:rPr>
          <w:rFonts w:ascii="Verdana" w:hAnsi="Verdana"/>
          <w:sz w:val="20"/>
          <w:szCs w:val="20"/>
        </w:rPr>
        <w:t xml:space="preserve">En segundo lugar, respecto </w:t>
      </w:r>
      <w:r w:rsidR="00171480">
        <w:rPr>
          <w:rFonts w:ascii="Verdana" w:hAnsi="Verdana"/>
          <w:sz w:val="20"/>
          <w:szCs w:val="20"/>
        </w:rPr>
        <w:t>al</w:t>
      </w:r>
      <w:r w:rsidRPr="00C01305">
        <w:rPr>
          <w:rFonts w:ascii="Verdana" w:hAnsi="Verdana"/>
          <w:sz w:val="20"/>
          <w:szCs w:val="20"/>
        </w:rPr>
        <w:t xml:space="preserve"> interés general de las declaraciones, </w:t>
      </w:r>
      <w:r w:rsidRPr="00C01305">
        <w:rPr>
          <w:rFonts w:ascii="Verdana" w:hAnsi="Verdana"/>
          <w:spacing w:val="-2"/>
          <w:sz w:val="20"/>
          <w:szCs w:val="20"/>
        </w:rPr>
        <w:t>la Corte ha señalado que el artículo 13 de la Convención protege expresiones, ideas o información “de toda índole”, sean o no de interés público. No obstante, cuando dichas expresiones versan sobre temas de interés público, el juzgador debe evaluar con especial cautela la necesidad de limitar la libertad de expresión</w:t>
      </w:r>
      <w:r w:rsidRPr="00C01305">
        <w:rPr>
          <w:rFonts w:ascii="Verdana" w:hAnsi="Verdana"/>
          <w:spacing w:val="-2"/>
          <w:sz w:val="20"/>
          <w:szCs w:val="20"/>
          <w:vertAlign w:val="superscript"/>
        </w:rPr>
        <w:footnoteReference w:id="143"/>
      </w:r>
      <w:r w:rsidRPr="00C01305">
        <w:rPr>
          <w:rFonts w:ascii="Verdana" w:hAnsi="Verdana"/>
          <w:spacing w:val="-2"/>
          <w:sz w:val="20"/>
          <w:szCs w:val="20"/>
        </w:rPr>
        <w:t>.</w:t>
      </w:r>
      <w:r w:rsidRPr="00C01305">
        <w:rPr>
          <w:spacing w:val="-2"/>
        </w:rPr>
        <w:t xml:space="preserve"> </w:t>
      </w:r>
    </w:p>
    <w:p w14:paraId="613C5D54" w14:textId="77777777" w:rsidR="007A21DE" w:rsidRPr="00C01305" w:rsidRDefault="007A21DE" w:rsidP="007A21DE">
      <w:pPr>
        <w:contextualSpacing/>
        <w:rPr>
          <w:rFonts w:ascii="Verdana" w:hAnsi="Verdana"/>
          <w:sz w:val="20"/>
          <w:szCs w:val="20"/>
        </w:rPr>
      </w:pPr>
    </w:p>
    <w:p w14:paraId="63D55394" w14:textId="77777777" w:rsidR="007A21DE" w:rsidRPr="00C01305" w:rsidRDefault="007A21DE" w:rsidP="00E66DD7">
      <w:pPr>
        <w:numPr>
          <w:ilvl w:val="0"/>
          <w:numId w:val="1"/>
        </w:numPr>
        <w:ind w:left="0" w:firstLine="0"/>
        <w:contextualSpacing/>
        <w:jc w:val="both"/>
        <w:rPr>
          <w:rFonts w:ascii="Verdana" w:hAnsi="Verdana"/>
          <w:sz w:val="20"/>
          <w:szCs w:val="20"/>
        </w:rPr>
      </w:pPr>
      <w:r w:rsidRPr="00C01305">
        <w:rPr>
          <w:rFonts w:ascii="Verdana" w:hAnsi="Verdana"/>
          <w:spacing w:val="-2"/>
          <w:sz w:val="20"/>
          <w:szCs w:val="20"/>
          <w:lang w:val="es-CR"/>
        </w:rPr>
        <w:t>Así, la Corte ha considerado de interés público aquellas opiniones o informaciones sobre asuntos en los cuales la sociedad tiene un legítimo interés de mantenerse informada, de conocer lo que incide sobre el funcionamiento del Estado, o afecta derechos o intereses generales o le acarrea consecuencias importantes</w:t>
      </w:r>
      <w:r w:rsidRPr="00C01305">
        <w:rPr>
          <w:rFonts w:ascii="Verdana" w:hAnsi="Verdana"/>
          <w:spacing w:val="-2"/>
          <w:sz w:val="20"/>
          <w:szCs w:val="20"/>
          <w:vertAlign w:val="superscript"/>
        </w:rPr>
        <w:footnoteReference w:id="144"/>
      </w:r>
      <w:r w:rsidRPr="00C01305">
        <w:rPr>
          <w:rFonts w:ascii="Verdana" w:hAnsi="Verdana"/>
          <w:spacing w:val="-2"/>
          <w:sz w:val="20"/>
          <w:szCs w:val="20"/>
          <w:lang w:val="es-CR"/>
        </w:rPr>
        <w:t xml:space="preserve">. </w:t>
      </w:r>
    </w:p>
    <w:p w14:paraId="09F43C78" w14:textId="77777777" w:rsidR="007A21DE" w:rsidRPr="00C01305" w:rsidRDefault="007A21DE" w:rsidP="007A21DE">
      <w:pPr>
        <w:contextualSpacing/>
        <w:rPr>
          <w:rFonts w:ascii="Verdana" w:hAnsi="Verdana"/>
          <w:spacing w:val="-2"/>
          <w:sz w:val="20"/>
          <w:szCs w:val="20"/>
          <w:lang w:val="es-CR"/>
        </w:rPr>
      </w:pPr>
    </w:p>
    <w:p w14:paraId="79C08A0D" w14:textId="3A0566DC" w:rsidR="007A21DE" w:rsidRPr="00EB5530" w:rsidRDefault="007A21DE" w:rsidP="00E66DD7">
      <w:pPr>
        <w:numPr>
          <w:ilvl w:val="0"/>
          <w:numId w:val="1"/>
        </w:numPr>
        <w:ind w:left="0" w:firstLine="0"/>
        <w:contextualSpacing/>
        <w:jc w:val="both"/>
        <w:rPr>
          <w:rFonts w:ascii="Verdana" w:hAnsi="Verdana"/>
          <w:sz w:val="20"/>
          <w:szCs w:val="20"/>
        </w:rPr>
      </w:pPr>
      <w:r w:rsidRPr="00633DC9">
        <w:rPr>
          <w:rFonts w:ascii="Verdana" w:hAnsi="Verdana"/>
          <w:spacing w:val="-2"/>
          <w:sz w:val="20"/>
          <w:szCs w:val="20"/>
          <w:lang w:val="es-CR"/>
        </w:rPr>
        <w:t xml:space="preserve">Esta Corte reconoce que la emisión de información concerniente </w:t>
      </w:r>
      <w:r w:rsidR="00E74F1C" w:rsidRPr="00633DC9">
        <w:rPr>
          <w:rFonts w:ascii="Verdana" w:hAnsi="Verdana"/>
          <w:spacing w:val="-2"/>
          <w:sz w:val="20"/>
          <w:szCs w:val="20"/>
          <w:lang w:val="es-CR"/>
        </w:rPr>
        <w:t>al ámbito laboral</w:t>
      </w:r>
      <w:r w:rsidR="00633DC9" w:rsidRPr="00EB5530">
        <w:rPr>
          <w:rFonts w:ascii="Verdana" w:hAnsi="Verdana"/>
          <w:spacing w:val="-2"/>
          <w:sz w:val="20"/>
          <w:szCs w:val="20"/>
          <w:lang w:val="es-CR"/>
        </w:rPr>
        <w:t>, por lo general,</w:t>
      </w:r>
      <w:r w:rsidRPr="00633DC9">
        <w:rPr>
          <w:rFonts w:ascii="Verdana" w:hAnsi="Verdana"/>
          <w:spacing w:val="-2"/>
          <w:sz w:val="20"/>
          <w:szCs w:val="20"/>
          <w:lang w:val="es-CR"/>
        </w:rPr>
        <w:t xml:space="preserve"> posee un interés </w:t>
      </w:r>
      <w:r w:rsidR="00E74F1C" w:rsidRPr="00633DC9">
        <w:rPr>
          <w:rFonts w:ascii="Verdana" w:hAnsi="Verdana"/>
          <w:spacing w:val="-2"/>
          <w:sz w:val="20"/>
          <w:szCs w:val="20"/>
          <w:lang w:val="es-CR"/>
        </w:rPr>
        <w:t>público. En un</w:t>
      </w:r>
      <w:r w:rsidR="007E39F5" w:rsidRPr="00633DC9">
        <w:rPr>
          <w:rFonts w:ascii="Verdana" w:hAnsi="Verdana"/>
          <w:spacing w:val="-2"/>
          <w:sz w:val="20"/>
          <w:szCs w:val="20"/>
          <w:lang w:val="es-CR"/>
        </w:rPr>
        <w:t xml:space="preserve"> primer término</w:t>
      </w:r>
      <w:r w:rsidR="00E74F1C" w:rsidRPr="00633DC9">
        <w:rPr>
          <w:rFonts w:ascii="Verdana" w:hAnsi="Verdana"/>
          <w:spacing w:val="-2"/>
          <w:sz w:val="20"/>
          <w:szCs w:val="20"/>
          <w:lang w:val="es-CR"/>
        </w:rPr>
        <w:t>,</w:t>
      </w:r>
      <w:r w:rsidRPr="00633DC9">
        <w:rPr>
          <w:rFonts w:ascii="Verdana" w:hAnsi="Verdana"/>
          <w:spacing w:val="-2"/>
          <w:sz w:val="20"/>
          <w:szCs w:val="20"/>
          <w:lang w:val="es-CR"/>
        </w:rPr>
        <w:t xml:space="preserve"> </w:t>
      </w:r>
      <w:r w:rsidR="007E39F5" w:rsidRPr="00633DC9">
        <w:rPr>
          <w:rFonts w:ascii="Verdana" w:hAnsi="Verdana"/>
          <w:spacing w:val="-2"/>
          <w:sz w:val="20"/>
          <w:szCs w:val="20"/>
          <w:lang w:val="es-CR"/>
        </w:rPr>
        <w:t>deriva en</w:t>
      </w:r>
      <w:r w:rsidR="00180F30" w:rsidRPr="00633DC9">
        <w:rPr>
          <w:rFonts w:ascii="Verdana" w:hAnsi="Verdana"/>
          <w:spacing w:val="-2"/>
          <w:sz w:val="20"/>
          <w:szCs w:val="20"/>
          <w:lang w:val="es-CR"/>
        </w:rPr>
        <w:t xml:space="preserve"> un interés </w:t>
      </w:r>
      <w:r w:rsidR="00E74F1C" w:rsidRPr="00633DC9">
        <w:rPr>
          <w:rFonts w:ascii="Verdana" w:hAnsi="Verdana"/>
          <w:spacing w:val="-2"/>
          <w:sz w:val="20"/>
          <w:szCs w:val="20"/>
          <w:lang w:val="es-CR"/>
        </w:rPr>
        <w:t>colectiv</w:t>
      </w:r>
      <w:r w:rsidR="00180F30" w:rsidRPr="00633DC9">
        <w:rPr>
          <w:rFonts w:ascii="Verdana" w:hAnsi="Verdana"/>
          <w:spacing w:val="-2"/>
          <w:sz w:val="20"/>
          <w:szCs w:val="20"/>
          <w:lang w:val="es-CR"/>
        </w:rPr>
        <w:t>o</w:t>
      </w:r>
      <w:r w:rsidR="00E74F1C" w:rsidRPr="00633DC9">
        <w:rPr>
          <w:rFonts w:ascii="Verdana" w:hAnsi="Verdana"/>
          <w:spacing w:val="-2"/>
          <w:sz w:val="20"/>
          <w:szCs w:val="20"/>
          <w:lang w:val="es-CR"/>
        </w:rPr>
        <w:t xml:space="preserve"> </w:t>
      </w:r>
      <w:r w:rsidRPr="00633DC9">
        <w:rPr>
          <w:rFonts w:ascii="Verdana" w:hAnsi="Verdana"/>
          <w:spacing w:val="-2"/>
          <w:sz w:val="20"/>
          <w:szCs w:val="20"/>
          <w:lang w:val="es-CR"/>
        </w:rPr>
        <w:t xml:space="preserve">para los </w:t>
      </w:r>
      <w:r w:rsidR="00E74F1C" w:rsidRPr="00633DC9">
        <w:rPr>
          <w:rFonts w:ascii="Verdana" w:hAnsi="Verdana"/>
          <w:spacing w:val="-2"/>
          <w:sz w:val="20"/>
          <w:szCs w:val="20"/>
          <w:lang w:val="es-CR"/>
        </w:rPr>
        <w:t>trabajadores correspondientes</w:t>
      </w:r>
      <w:r w:rsidRPr="00633DC9">
        <w:rPr>
          <w:rFonts w:ascii="Verdana" w:hAnsi="Verdana"/>
          <w:spacing w:val="-2"/>
          <w:sz w:val="20"/>
          <w:szCs w:val="20"/>
          <w:lang w:val="es-CR"/>
        </w:rPr>
        <w:t xml:space="preserve">, y </w:t>
      </w:r>
      <w:r w:rsidR="00633DC9" w:rsidRPr="00EB5530">
        <w:rPr>
          <w:rFonts w:ascii="Verdana" w:hAnsi="Verdana"/>
          <w:spacing w:val="-2"/>
          <w:sz w:val="20"/>
          <w:szCs w:val="20"/>
          <w:lang w:val="es-CR"/>
        </w:rPr>
        <w:t xml:space="preserve">con un alcance </w:t>
      </w:r>
      <w:r w:rsidR="007E39F5" w:rsidRPr="00633DC9">
        <w:rPr>
          <w:rFonts w:ascii="Verdana" w:hAnsi="Verdana"/>
          <w:spacing w:val="-2"/>
          <w:sz w:val="20"/>
          <w:szCs w:val="20"/>
          <w:lang w:val="es-CR"/>
        </w:rPr>
        <w:t xml:space="preserve">especialmente </w:t>
      </w:r>
      <w:r w:rsidR="00E74F1C" w:rsidRPr="00633DC9">
        <w:rPr>
          <w:rFonts w:ascii="Verdana" w:hAnsi="Verdana"/>
          <w:spacing w:val="-2"/>
          <w:sz w:val="20"/>
          <w:szCs w:val="20"/>
          <w:lang w:val="es-CR"/>
        </w:rPr>
        <w:t xml:space="preserve">general </w:t>
      </w:r>
      <w:r w:rsidRPr="00633DC9">
        <w:rPr>
          <w:rFonts w:ascii="Verdana" w:hAnsi="Verdana"/>
          <w:spacing w:val="-2"/>
          <w:sz w:val="20"/>
          <w:szCs w:val="20"/>
          <w:lang w:val="es-CR"/>
        </w:rPr>
        <w:t xml:space="preserve">cuando atiende </w:t>
      </w:r>
      <w:r w:rsidR="00180F30" w:rsidRPr="00633DC9">
        <w:rPr>
          <w:rFonts w:ascii="Verdana" w:hAnsi="Verdana"/>
          <w:spacing w:val="-2"/>
          <w:sz w:val="20"/>
          <w:szCs w:val="20"/>
          <w:lang w:val="es-CR"/>
        </w:rPr>
        <w:t>aspectos relevantes</w:t>
      </w:r>
      <w:r w:rsidR="00E74F1C" w:rsidRPr="00EB5530">
        <w:rPr>
          <w:rFonts w:ascii="Verdana" w:hAnsi="Verdana"/>
          <w:spacing w:val="-2"/>
          <w:sz w:val="20"/>
          <w:szCs w:val="20"/>
          <w:lang w:val="es-CR"/>
        </w:rPr>
        <w:t>,</w:t>
      </w:r>
      <w:r w:rsidRPr="00EB5530">
        <w:rPr>
          <w:rFonts w:ascii="Verdana" w:hAnsi="Verdana"/>
          <w:spacing w:val="-2"/>
          <w:sz w:val="20"/>
          <w:szCs w:val="20"/>
          <w:lang w:val="es-CR"/>
        </w:rPr>
        <w:t xml:space="preserve"> </w:t>
      </w:r>
      <w:r w:rsidR="00E74F1C" w:rsidRPr="00EB5530">
        <w:rPr>
          <w:rFonts w:ascii="Verdana" w:hAnsi="Verdana"/>
          <w:spacing w:val="-2"/>
          <w:sz w:val="20"/>
          <w:szCs w:val="20"/>
          <w:lang w:val="es-CR"/>
        </w:rPr>
        <w:t xml:space="preserve">por ejemplo, respecto de un </w:t>
      </w:r>
      <w:r w:rsidRPr="00EB5530">
        <w:rPr>
          <w:rFonts w:ascii="Verdana" w:hAnsi="Verdana"/>
          <w:spacing w:val="-2"/>
          <w:sz w:val="20"/>
          <w:szCs w:val="20"/>
          <w:lang w:val="es-CR"/>
        </w:rPr>
        <w:t>gremio determinado</w:t>
      </w:r>
      <w:r w:rsidRPr="00EB5530">
        <w:rPr>
          <w:rFonts w:ascii="Verdana" w:hAnsi="Verdana"/>
          <w:spacing w:val="-2"/>
          <w:sz w:val="20"/>
          <w:szCs w:val="20"/>
          <w:vertAlign w:val="superscript"/>
          <w:lang w:val="es-CR"/>
        </w:rPr>
        <w:footnoteReference w:id="145"/>
      </w:r>
      <w:r w:rsidR="00180F30" w:rsidRPr="00EB5530">
        <w:rPr>
          <w:rFonts w:ascii="Verdana" w:hAnsi="Verdana"/>
          <w:spacing w:val="-2"/>
          <w:sz w:val="20"/>
          <w:szCs w:val="20"/>
          <w:lang w:val="es-CR"/>
        </w:rPr>
        <w:t>, y m</w:t>
      </w:r>
      <w:r w:rsidRPr="00EB5530">
        <w:rPr>
          <w:rFonts w:ascii="Verdana" w:hAnsi="Verdana"/>
          <w:spacing w:val="-2"/>
          <w:sz w:val="20"/>
          <w:szCs w:val="20"/>
          <w:lang w:val="es-CR"/>
        </w:rPr>
        <w:t>ás aún</w:t>
      </w:r>
      <w:r w:rsidR="00E74F1C" w:rsidRPr="00EB5530">
        <w:rPr>
          <w:rFonts w:ascii="Verdana" w:hAnsi="Verdana"/>
          <w:spacing w:val="-2"/>
          <w:sz w:val="20"/>
          <w:szCs w:val="20"/>
          <w:lang w:val="es-CR"/>
        </w:rPr>
        <w:t>,</w:t>
      </w:r>
      <w:r w:rsidRPr="00EB5530">
        <w:rPr>
          <w:rFonts w:ascii="Verdana" w:hAnsi="Verdana"/>
          <w:spacing w:val="-2"/>
          <w:sz w:val="20"/>
          <w:szCs w:val="20"/>
          <w:lang w:val="es-CR"/>
        </w:rPr>
        <w:t xml:space="preserve"> cuando las opiniones trascienden al ámbito de un modelo de organización del Estado o sus instituciones en una sociedad democrática</w:t>
      </w:r>
      <w:r w:rsidRPr="00EB5530">
        <w:rPr>
          <w:rFonts w:ascii="Verdana" w:hAnsi="Verdana"/>
          <w:spacing w:val="-2"/>
          <w:sz w:val="20"/>
          <w:szCs w:val="20"/>
          <w:vertAlign w:val="superscript"/>
          <w:lang w:val="es-CR"/>
        </w:rPr>
        <w:footnoteReference w:id="146"/>
      </w:r>
      <w:r w:rsidRPr="00EB5530">
        <w:rPr>
          <w:rFonts w:ascii="Verdana" w:hAnsi="Verdana"/>
          <w:spacing w:val="-2"/>
          <w:sz w:val="20"/>
          <w:szCs w:val="20"/>
          <w:lang w:val="es-CR"/>
        </w:rPr>
        <w:t xml:space="preserve">. </w:t>
      </w:r>
    </w:p>
    <w:p w14:paraId="6A7D1958" w14:textId="77777777" w:rsidR="007A21DE" w:rsidRPr="00C01305" w:rsidRDefault="007A21DE" w:rsidP="007A21DE">
      <w:pPr>
        <w:contextualSpacing/>
        <w:rPr>
          <w:rFonts w:ascii="Verdana" w:hAnsi="Verdana"/>
          <w:sz w:val="20"/>
          <w:szCs w:val="20"/>
          <w:highlight w:val="yellow"/>
        </w:rPr>
      </w:pPr>
    </w:p>
    <w:p w14:paraId="5C423223" w14:textId="7706216C" w:rsidR="007A21DE" w:rsidRPr="00C01305" w:rsidRDefault="00E74F1C" w:rsidP="00E66DD7">
      <w:pPr>
        <w:numPr>
          <w:ilvl w:val="0"/>
          <w:numId w:val="1"/>
        </w:numPr>
        <w:ind w:left="0" w:firstLine="0"/>
        <w:contextualSpacing/>
        <w:jc w:val="both"/>
        <w:rPr>
          <w:rFonts w:ascii="Verdana" w:hAnsi="Verdana"/>
          <w:sz w:val="20"/>
          <w:szCs w:val="20"/>
        </w:rPr>
      </w:pPr>
      <w:r>
        <w:rPr>
          <w:rFonts w:ascii="Verdana" w:hAnsi="Verdana"/>
          <w:sz w:val="20"/>
          <w:szCs w:val="20"/>
        </w:rPr>
        <w:t>Respecto del interés público</w:t>
      </w:r>
      <w:r w:rsidR="007A21DE">
        <w:rPr>
          <w:rFonts w:ascii="Verdana" w:hAnsi="Verdana"/>
          <w:sz w:val="20"/>
          <w:szCs w:val="20"/>
        </w:rPr>
        <w:t xml:space="preserve">, el perito Damián </w:t>
      </w:r>
      <w:proofErr w:type="spellStart"/>
      <w:r w:rsidR="007A21DE">
        <w:rPr>
          <w:rFonts w:ascii="Verdana" w:hAnsi="Verdana"/>
          <w:sz w:val="20"/>
          <w:szCs w:val="20"/>
        </w:rPr>
        <w:t>Loreti</w:t>
      </w:r>
      <w:proofErr w:type="spellEnd"/>
      <w:r w:rsidR="007A21DE" w:rsidRPr="00C01305">
        <w:rPr>
          <w:rFonts w:ascii="Verdana" w:hAnsi="Verdana"/>
          <w:sz w:val="20"/>
          <w:szCs w:val="20"/>
        </w:rPr>
        <w:t xml:space="preserve"> señaló en audiencia ante la Corte que: </w:t>
      </w:r>
    </w:p>
    <w:p w14:paraId="728A5B81" w14:textId="77777777" w:rsidR="007A21DE" w:rsidRPr="00C01305" w:rsidRDefault="007A21DE" w:rsidP="007A21DE">
      <w:pPr>
        <w:ind w:left="567"/>
        <w:contextualSpacing/>
        <w:jc w:val="both"/>
        <w:rPr>
          <w:rFonts w:ascii="Verdana" w:hAnsi="Verdana"/>
          <w:sz w:val="18"/>
          <w:szCs w:val="20"/>
          <w:highlight w:val="yellow"/>
        </w:rPr>
      </w:pPr>
    </w:p>
    <w:p w14:paraId="40E54831" w14:textId="3EF1CA8F" w:rsidR="007A21DE" w:rsidRDefault="007A21DE" w:rsidP="007A21DE">
      <w:pPr>
        <w:ind w:left="567"/>
        <w:contextualSpacing/>
        <w:jc w:val="both"/>
        <w:rPr>
          <w:rFonts w:ascii="Verdana" w:hAnsi="Verdana"/>
          <w:sz w:val="18"/>
          <w:szCs w:val="20"/>
          <w:lang w:val="es-CR"/>
        </w:rPr>
      </w:pPr>
      <w:r w:rsidRPr="00C01305">
        <w:rPr>
          <w:rFonts w:ascii="Verdana" w:hAnsi="Verdana"/>
          <w:sz w:val="18"/>
          <w:szCs w:val="20"/>
        </w:rPr>
        <w:t xml:space="preserve">[Por </w:t>
      </w:r>
      <w:r>
        <w:rPr>
          <w:rFonts w:ascii="Verdana" w:hAnsi="Verdana"/>
          <w:sz w:val="18"/>
          <w:szCs w:val="20"/>
        </w:rPr>
        <w:t>un lado</w:t>
      </w:r>
      <w:r w:rsidRPr="00C01305">
        <w:rPr>
          <w:rFonts w:ascii="Verdana" w:hAnsi="Verdana"/>
          <w:sz w:val="18"/>
          <w:szCs w:val="20"/>
        </w:rPr>
        <w:t>], a la hor</w:t>
      </w:r>
      <w:r w:rsidR="00E74F1C">
        <w:rPr>
          <w:rFonts w:ascii="Verdana" w:hAnsi="Verdana"/>
          <w:sz w:val="18"/>
          <w:szCs w:val="20"/>
        </w:rPr>
        <w:t>a de contextualizar el análisis</w:t>
      </w:r>
      <w:r w:rsidRPr="00C01305">
        <w:rPr>
          <w:rFonts w:ascii="Verdana" w:hAnsi="Verdana"/>
          <w:sz w:val="18"/>
          <w:szCs w:val="20"/>
        </w:rPr>
        <w:t xml:space="preserve"> [</w:t>
      </w:r>
      <w:r w:rsidR="00E74F1C">
        <w:rPr>
          <w:rFonts w:ascii="Verdana" w:hAnsi="Verdana"/>
          <w:sz w:val="18"/>
          <w:szCs w:val="20"/>
        </w:rPr>
        <w:t>… del interés público</w:t>
      </w:r>
      <w:r w:rsidRPr="00C01305">
        <w:rPr>
          <w:rFonts w:ascii="Verdana" w:hAnsi="Verdana"/>
          <w:sz w:val="18"/>
          <w:szCs w:val="20"/>
        </w:rPr>
        <w:t xml:space="preserve">] se debe de tomar en cuenta: el contenido de la opinión a la publicación si contribuye al debate o a los intereses de actividades del sindicato o de la clase de los trabajadores. El medio utilizado, el contexto social incluido la oportunidad. La naturaleza de la posición del empleado si es o no representantes. El tipo de compañía de que se trate </w:t>
      </w:r>
      <w:r w:rsidRPr="00C01305">
        <w:rPr>
          <w:rFonts w:ascii="Verdana" w:hAnsi="Verdana"/>
          <w:sz w:val="18"/>
          <w:szCs w:val="20"/>
          <w:lang w:val="es-CR"/>
        </w:rPr>
        <w:t>[…] el contenido de la opinión o publicación que contribuye al debate o a la defensa de lo</w:t>
      </w:r>
      <w:r w:rsidR="00E74F1C">
        <w:rPr>
          <w:rFonts w:ascii="Verdana" w:hAnsi="Verdana"/>
          <w:sz w:val="18"/>
          <w:szCs w:val="20"/>
          <w:lang w:val="es-CR"/>
        </w:rPr>
        <w:t>s intereses, el medio utilizado. E</w:t>
      </w:r>
      <w:r w:rsidRPr="00C01305">
        <w:rPr>
          <w:rFonts w:ascii="Verdana" w:hAnsi="Verdana"/>
          <w:sz w:val="18"/>
          <w:szCs w:val="20"/>
          <w:lang w:val="es-CR"/>
        </w:rPr>
        <w:t>l contexto incluye la oportunidad, la naturaleza, la posición del empleado</w:t>
      </w:r>
      <w:r w:rsidR="00E74F1C">
        <w:rPr>
          <w:rFonts w:ascii="Verdana" w:hAnsi="Verdana"/>
          <w:sz w:val="18"/>
          <w:szCs w:val="20"/>
          <w:lang w:val="es-CR"/>
        </w:rPr>
        <w:t>;</w:t>
      </w:r>
      <w:r w:rsidRPr="00C01305">
        <w:rPr>
          <w:rFonts w:ascii="Verdana" w:hAnsi="Verdana"/>
          <w:sz w:val="18"/>
          <w:szCs w:val="20"/>
          <w:lang w:val="es-CR"/>
        </w:rPr>
        <w:t xml:space="preserve"> es decir</w:t>
      </w:r>
      <w:r w:rsidR="00E74F1C">
        <w:rPr>
          <w:rFonts w:ascii="Verdana" w:hAnsi="Verdana"/>
          <w:sz w:val="18"/>
          <w:szCs w:val="20"/>
          <w:lang w:val="es-CR"/>
        </w:rPr>
        <w:t>,</w:t>
      </w:r>
      <w:r w:rsidRPr="00C01305">
        <w:rPr>
          <w:rFonts w:ascii="Verdana" w:hAnsi="Verdana"/>
          <w:sz w:val="18"/>
          <w:szCs w:val="20"/>
          <w:lang w:val="es-CR"/>
        </w:rPr>
        <w:t xml:space="preserve"> si lo hace en defensa de otros o de sí mismo, la naturaleza de la compañía</w:t>
      </w:r>
      <w:r w:rsidR="00E74F1C">
        <w:rPr>
          <w:rFonts w:ascii="Verdana" w:hAnsi="Verdana"/>
          <w:sz w:val="18"/>
          <w:szCs w:val="20"/>
          <w:lang w:val="es-CR"/>
        </w:rPr>
        <w:t>,</w:t>
      </w:r>
      <w:r w:rsidRPr="00C01305">
        <w:rPr>
          <w:rFonts w:ascii="Verdana" w:hAnsi="Verdana"/>
          <w:sz w:val="18"/>
          <w:szCs w:val="20"/>
          <w:lang w:val="es-CR"/>
        </w:rPr>
        <w:t xml:space="preserve"> si es públi</w:t>
      </w:r>
      <w:r w:rsidR="00E74F1C">
        <w:rPr>
          <w:rFonts w:ascii="Verdana" w:hAnsi="Verdana"/>
          <w:sz w:val="18"/>
          <w:szCs w:val="20"/>
          <w:lang w:val="es-CR"/>
        </w:rPr>
        <w:t>ca o privada;</w:t>
      </w:r>
      <w:r w:rsidRPr="00C01305">
        <w:rPr>
          <w:rFonts w:ascii="Verdana" w:hAnsi="Verdana"/>
          <w:sz w:val="18"/>
          <w:szCs w:val="20"/>
          <w:lang w:val="es-CR"/>
        </w:rPr>
        <w:t xml:space="preserve"> la manera en que la crítica fue </w:t>
      </w:r>
      <w:r w:rsidR="00E74F1C">
        <w:rPr>
          <w:rFonts w:ascii="Verdana" w:hAnsi="Verdana"/>
          <w:sz w:val="18"/>
          <w:szCs w:val="20"/>
          <w:lang w:val="es-CR"/>
        </w:rPr>
        <w:t>expresada, si es espontaneo, cuá</w:t>
      </w:r>
      <w:r w:rsidRPr="00C01305">
        <w:rPr>
          <w:rFonts w:ascii="Verdana" w:hAnsi="Verdana"/>
          <w:sz w:val="18"/>
          <w:szCs w:val="20"/>
          <w:lang w:val="es-CR"/>
        </w:rPr>
        <w:t xml:space="preserve">les son las intenciones, si hay base fáctica y si hay conductas previas del empleado y del empleador que </w:t>
      </w:r>
      <w:r w:rsidR="00E74F1C">
        <w:rPr>
          <w:rFonts w:ascii="Verdana" w:hAnsi="Verdana"/>
          <w:sz w:val="18"/>
          <w:szCs w:val="20"/>
          <w:lang w:val="es-CR"/>
        </w:rPr>
        <w:t>justifique o no las expresiones</w:t>
      </w:r>
      <w:r w:rsidR="004868B2">
        <w:rPr>
          <w:rFonts w:ascii="Verdana" w:hAnsi="Verdana"/>
          <w:sz w:val="18"/>
          <w:szCs w:val="20"/>
          <w:lang w:val="es-CR"/>
        </w:rPr>
        <w:t>.</w:t>
      </w:r>
    </w:p>
    <w:p w14:paraId="370F6208" w14:textId="77777777" w:rsidR="007A21DE" w:rsidRPr="00C01305" w:rsidRDefault="007A21DE" w:rsidP="007A21DE">
      <w:pPr>
        <w:ind w:left="567"/>
        <w:contextualSpacing/>
        <w:jc w:val="both"/>
        <w:rPr>
          <w:rFonts w:ascii="Verdana" w:hAnsi="Verdana"/>
          <w:sz w:val="18"/>
          <w:szCs w:val="20"/>
        </w:rPr>
      </w:pPr>
    </w:p>
    <w:p w14:paraId="6430ABC3" w14:textId="7CE256DD" w:rsidR="007A21DE" w:rsidRPr="00C01305" w:rsidRDefault="007A21DE" w:rsidP="007A21DE">
      <w:pPr>
        <w:ind w:left="567"/>
        <w:contextualSpacing/>
        <w:jc w:val="both"/>
        <w:rPr>
          <w:rFonts w:ascii="Verdana" w:hAnsi="Verdana"/>
          <w:sz w:val="18"/>
          <w:szCs w:val="20"/>
        </w:rPr>
      </w:pPr>
      <w:r w:rsidRPr="00C01305">
        <w:rPr>
          <w:rFonts w:ascii="Verdana" w:hAnsi="Verdana"/>
          <w:sz w:val="18"/>
          <w:szCs w:val="20"/>
        </w:rPr>
        <w:t xml:space="preserve"> </w:t>
      </w:r>
      <w:r>
        <w:rPr>
          <w:rFonts w:ascii="Verdana" w:hAnsi="Verdana"/>
          <w:sz w:val="18"/>
          <w:szCs w:val="20"/>
        </w:rPr>
        <w:t>[Por otro</w:t>
      </w:r>
      <w:r w:rsidRPr="00C01305">
        <w:rPr>
          <w:rFonts w:ascii="Verdana" w:hAnsi="Verdana"/>
          <w:sz w:val="18"/>
          <w:szCs w:val="20"/>
        </w:rPr>
        <w:t xml:space="preserve"> lado], se puede</w:t>
      </w:r>
      <w:r w:rsidR="00E74F1C">
        <w:rPr>
          <w:rFonts w:ascii="Verdana" w:hAnsi="Verdana"/>
          <w:sz w:val="18"/>
          <w:szCs w:val="20"/>
        </w:rPr>
        <w:t>n</w:t>
      </w:r>
      <w:r w:rsidRPr="00C01305">
        <w:rPr>
          <w:rFonts w:ascii="Verdana" w:hAnsi="Verdana"/>
          <w:sz w:val="18"/>
          <w:szCs w:val="20"/>
        </w:rPr>
        <w:t xml:space="preserve"> sistematizar los casos en los que las expresiones […] no son de interés público, [por ejemplo] cuando se hace referencia y se afecta al producto ofrecido por la empresa, […] hablar mal de la calidad del servicio cuando no hay interés </w:t>
      </w:r>
      <w:r w:rsidR="00180F30">
        <w:rPr>
          <w:rFonts w:ascii="Verdana" w:hAnsi="Verdana"/>
          <w:sz w:val="18"/>
          <w:szCs w:val="20"/>
        </w:rPr>
        <w:t>[general]</w:t>
      </w:r>
      <w:r w:rsidR="00180F30" w:rsidRPr="00C01305">
        <w:rPr>
          <w:rFonts w:ascii="Verdana" w:hAnsi="Verdana"/>
          <w:sz w:val="18"/>
          <w:szCs w:val="20"/>
        </w:rPr>
        <w:t xml:space="preserve"> </w:t>
      </w:r>
      <w:r w:rsidRPr="00C01305">
        <w:rPr>
          <w:rFonts w:ascii="Verdana" w:hAnsi="Verdana"/>
          <w:sz w:val="18"/>
          <w:szCs w:val="20"/>
        </w:rPr>
        <w:t xml:space="preserve">que lo justifique o no sean servicios públicos </w:t>
      </w:r>
      <w:r w:rsidR="00E74F1C">
        <w:rPr>
          <w:rFonts w:ascii="Verdana" w:hAnsi="Verdana"/>
          <w:sz w:val="18"/>
          <w:szCs w:val="20"/>
        </w:rPr>
        <w:t>[…]</w:t>
      </w:r>
      <w:r w:rsidRPr="00C01305">
        <w:rPr>
          <w:rFonts w:ascii="Verdana" w:hAnsi="Verdana"/>
          <w:sz w:val="18"/>
          <w:szCs w:val="20"/>
        </w:rPr>
        <w:t>, o cuando haya una afectación de la vida privada sin que justifique e</w:t>
      </w:r>
      <w:r w:rsidR="00180F30">
        <w:rPr>
          <w:rFonts w:ascii="Verdana" w:hAnsi="Verdana"/>
          <w:sz w:val="18"/>
          <w:szCs w:val="20"/>
        </w:rPr>
        <w:t>[</w:t>
      </w:r>
      <w:proofErr w:type="spellStart"/>
      <w:r w:rsidR="00180F30">
        <w:rPr>
          <w:rFonts w:ascii="Verdana" w:hAnsi="Verdana"/>
          <w:sz w:val="18"/>
          <w:szCs w:val="20"/>
        </w:rPr>
        <w:t>ste</w:t>
      </w:r>
      <w:proofErr w:type="spellEnd"/>
      <w:r w:rsidR="00180F30">
        <w:rPr>
          <w:rFonts w:ascii="Verdana" w:hAnsi="Verdana"/>
          <w:sz w:val="18"/>
          <w:szCs w:val="20"/>
        </w:rPr>
        <w:t>]</w:t>
      </w:r>
      <w:r w:rsidRPr="00C01305">
        <w:rPr>
          <w:rFonts w:ascii="Verdana" w:hAnsi="Verdana"/>
          <w:sz w:val="18"/>
          <w:szCs w:val="20"/>
        </w:rPr>
        <w:t xml:space="preserve"> interés </w:t>
      </w:r>
      <w:r w:rsidR="00180F30">
        <w:rPr>
          <w:rFonts w:ascii="Verdana" w:hAnsi="Verdana"/>
          <w:sz w:val="18"/>
          <w:szCs w:val="20"/>
        </w:rPr>
        <w:t>[…]</w:t>
      </w:r>
      <w:r w:rsidRPr="00C01305">
        <w:rPr>
          <w:rFonts w:ascii="Verdana" w:hAnsi="Verdana"/>
          <w:sz w:val="18"/>
          <w:szCs w:val="20"/>
        </w:rPr>
        <w:t>, la colaboración con la competencia, la ruptura de la obliga</w:t>
      </w:r>
      <w:r w:rsidR="00E74F1C">
        <w:rPr>
          <w:rFonts w:ascii="Verdana" w:hAnsi="Verdana"/>
          <w:sz w:val="18"/>
          <w:szCs w:val="20"/>
        </w:rPr>
        <w:t>ción de sigilo […] con sus matices</w:t>
      </w:r>
      <w:r w:rsidRPr="00C01305">
        <w:rPr>
          <w:rFonts w:ascii="Verdana" w:hAnsi="Verdana"/>
          <w:sz w:val="18"/>
          <w:szCs w:val="20"/>
        </w:rPr>
        <w:t xml:space="preserve">. La existencia de </w:t>
      </w:r>
      <w:r w:rsidR="007C6623">
        <w:rPr>
          <w:rFonts w:ascii="Verdana" w:hAnsi="Verdana"/>
          <w:sz w:val="18"/>
          <w:szCs w:val="20"/>
        </w:rPr>
        <w:t>[…]</w:t>
      </w:r>
      <w:r w:rsidRPr="00C01305">
        <w:rPr>
          <w:rFonts w:ascii="Verdana" w:hAnsi="Verdana"/>
          <w:sz w:val="18"/>
          <w:szCs w:val="20"/>
        </w:rPr>
        <w:t xml:space="preserve"> informaciones denigrantes que no se justifiquen respecto de compañeros de trabajos superiores, que alteren la convivenc</w:t>
      </w:r>
      <w:r w:rsidR="007C6623">
        <w:rPr>
          <w:rFonts w:ascii="Verdana" w:hAnsi="Verdana"/>
          <w:sz w:val="18"/>
          <w:szCs w:val="20"/>
        </w:rPr>
        <w:t>ia normal del ámbito de trabajo q</w:t>
      </w:r>
      <w:r w:rsidRPr="00C01305">
        <w:rPr>
          <w:rFonts w:ascii="Verdana" w:hAnsi="Verdana"/>
          <w:sz w:val="18"/>
          <w:szCs w:val="20"/>
        </w:rPr>
        <w:t>ue las expresiones no sean necesarias ni apliquen para defender a los intereses de los trabajadores o que n</w:t>
      </w:r>
      <w:r w:rsidR="007C6623">
        <w:rPr>
          <w:rFonts w:ascii="Verdana" w:hAnsi="Verdana"/>
          <w:sz w:val="18"/>
          <w:szCs w:val="20"/>
        </w:rPr>
        <w:t>o exista base fáctica</w:t>
      </w:r>
      <w:r w:rsidR="000023EA">
        <w:rPr>
          <w:rFonts w:ascii="Verdana" w:hAnsi="Verdana"/>
          <w:sz w:val="18"/>
          <w:szCs w:val="20"/>
        </w:rPr>
        <w:t xml:space="preserve"> </w:t>
      </w:r>
      <w:r w:rsidRPr="00C01305">
        <w:rPr>
          <w:rFonts w:ascii="Verdana" w:hAnsi="Verdana"/>
          <w:sz w:val="18"/>
          <w:szCs w:val="20"/>
        </w:rPr>
        <w:t>[…]</w:t>
      </w:r>
      <w:r w:rsidR="007C6623">
        <w:rPr>
          <w:rFonts w:ascii="Verdana" w:hAnsi="Verdana"/>
          <w:sz w:val="18"/>
          <w:szCs w:val="20"/>
        </w:rPr>
        <w:t>.</w:t>
      </w:r>
    </w:p>
    <w:p w14:paraId="3A3A5665" w14:textId="77777777" w:rsidR="007A21DE" w:rsidRPr="00C01305" w:rsidRDefault="007A21DE" w:rsidP="007A21DE">
      <w:pPr>
        <w:ind w:left="567"/>
        <w:contextualSpacing/>
        <w:jc w:val="both"/>
        <w:rPr>
          <w:rFonts w:ascii="Verdana" w:hAnsi="Verdana"/>
          <w:sz w:val="18"/>
          <w:szCs w:val="20"/>
        </w:rPr>
      </w:pPr>
    </w:p>
    <w:p w14:paraId="03034DAD" w14:textId="51DE1B1F" w:rsidR="007C6623" w:rsidRPr="00C01305" w:rsidRDefault="007C6623" w:rsidP="00E66DD7">
      <w:pPr>
        <w:numPr>
          <w:ilvl w:val="0"/>
          <w:numId w:val="1"/>
        </w:numPr>
        <w:ind w:left="0" w:firstLine="0"/>
        <w:contextualSpacing/>
        <w:jc w:val="both"/>
        <w:rPr>
          <w:rFonts w:ascii="Verdana" w:hAnsi="Verdana"/>
          <w:sz w:val="20"/>
          <w:szCs w:val="20"/>
          <w:lang w:val="es-CR"/>
        </w:rPr>
      </w:pPr>
      <w:r w:rsidRPr="00C01305">
        <w:rPr>
          <w:rFonts w:ascii="Verdana" w:hAnsi="Verdana"/>
          <w:sz w:val="20"/>
          <w:szCs w:val="20"/>
        </w:rPr>
        <w:t xml:space="preserve">La Corte estima que, en principio, las manifestaciones orientadas a promover el correcto funcionamiento y mejoramiento de las condiciones de trabajo o reivindicación de los trabajadores, representa en sí mismo un </w:t>
      </w:r>
      <w:r w:rsidR="00180F30">
        <w:rPr>
          <w:rFonts w:ascii="Verdana" w:hAnsi="Verdana"/>
          <w:sz w:val="20"/>
          <w:szCs w:val="20"/>
        </w:rPr>
        <w:t>objetivo</w:t>
      </w:r>
      <w:r w:rsidR="00180F30" w:rsidRPr="00C01305">
        <w:rPr>
          <w:rFonts w:ascii="Verdana" w:hAnsi="Verdana"/>
          <w:sz w:val="20"/>
          <w:szCs w:val="20"/>
        </w:rPr>
        <w:t xml:space="preserve"> </w:t>
      </w:r>
      <w:r w:rsidRPr="00C01305">
        <w:rPr>
          <w:rFonts w:ascii="Verdana" w:hAnsi="Verdana"/>
          <w:sz w:val="20"/>
          <w:szCs w:val="20"/>
        </w:rPr>
        <w:t>legítimo y coherente en el marco de las organizaciones de trabajadores</w:t>
      </w:r>
      <w:r w:rsidRPr="00C01305">
        <w:rPr>
          <w:rFonts w:ascii="Verdana" w:hAnsi="Verdana"/>
          <w:sz w:val="20"/>
          <w:szCs w:val="20"/>
          <w:vertAlign w:val="superscript"/>
          <w:lang w:val="es-CR"/>
        </w:rPr>
        <w:footnoteReference w:id="147"/>
      </w:r>
      <w:r w:rsidRPr="00C01305">
        <w:rPr>
          <w:rFonts w:ascii="Verdana" w:hAnsi="Verdana"/>
          <w:sz w:val="20"/>
          <w:szCs w:val="20"/>
        </w:rPr>
        <w:t xml:space="preserve">. Asimismo, las declaraciones vertidas en </w:t>
      </w:r>
      <w:r>
        <w:rPr>
          <w:rFonts w:ascii="Verdana" w:hAnsi="Verdana"/>
          <w:sz w:val="20"/>
          <w:szCs w:val="20"/>
        </w:rPr>
        <w:t xml:space="preserve">el marco de un proceso de elección interna </w:t>
      </w:r>
      <w:r w:rsidRPr="00C01305">
        <w:rPr>
          <w:rFonts w:ascii="Verdana" w:hAnsi="Verdana"/>
          <w:sz w:val="20"/>
          <w:szCs w:val="20"/>
        </w:rPr>
        <w:t xml:space="preserve">contribuyen al debate durante el proceso como herramienta esencial del interés </w:t>
      </w:r>
      <w:r>
        <w:rPr>
          <w:rFonts w:ascii="Verdana" w:hAnsi="Verdana"/>
          <w:sz w:val="20"/>
          <w:szCs w:val="20"/>
        </w:rPr>
        <w:t>colectivo y de sus</w:t>
      </w:r>
      <w:r w:rsidRPr="00C01305">
        <w:rPr>
          <w:rFonts w:ascii="Verdana" w:hAnsi="Verdana"/>
          <w:sz w:val="20"/>
          <w:szCs w:val="20"/>
        </w:rPr>
        <w:t xml:space="preserve"> electores.</w:t>
      </w:r>
    </w:p>
    <w:p w14:paraId="173E4361" w14:textId="77777777" w:rsidR="007C6623" w:rsidRPr="00753933" w:rsidRDefault="007C6623" w:rsidP="00557859">
      <w:pPr>
        <w:contextualSpacing/>
        <w:jc w:val="both"/>
        <w:rPr>
          <w:rFonts w:ascii="Verdana" w:hAnsi="Verdana"/>
          <w:sz w:val="20"/>
          <w:szCs w:val="20"/>
        </w:rPr>
      </w:pPr>
    </w:p>
    <w:p w14:paraId="13FAFB77" w14:textId="79D6048C" w:rsidR="00227C33" w:rsidRPr="00801513" w:rsidRDefault="00227C33" w:rsidP="00E66DD7">
      <w:pPr>
        <w:numPr>
          <w:ilvl w:val="0"/>
          <w:numId w:val="1"/>
        </w:numPr>
        <w:ind w:left="0" w:firstLine="0"/>
        <w:contextualSpacing/>
        <w:jc w:val="both"/>
        <w:rPr>
          <w:rFonts w:ascii="Verdana" w:hAnsi="Verdana"/>
          <w:sz w:val="20"/>
          <w:szCs w:val="20"/>
        </w:rPr>
      </w:pPr>
      <w:r w:rsidRPr="00801513">
        <w:rPr>
          <w:rFonts w:ascii="Verdana" w:hAnsi="Verdana"/>
          <w:sz w:val="20"/>
          <w:szCs w:val="20"/>
        </w:rPr>
        <w:t xml:space="preserve">En </w:t>
      </w:r>
      <w:r w:rsidR="004150B7" w:rsidRPr="00801513">
        <w:rPr>
          <w:rFonts w:ascii="Verdana" w:hAnsi="Verdana"/>
          <w:sz w:val="20"/>
          <w:szCs w:val="20"/>
        </w:rPr>
        <w:t>este</w:t>
      </w:r>
      <w:r w:rsidRPr="00801513">
        <w:rPr>
          <w:rFonts w:ascii="Verdana" w:hAnsi="Verdana"/>
          <w:sz w:val="20"/>
          <w:szCs w:val="20"/>
        </w:rPr>
        <w:t xml:space="preserve"> sentido, </w:t>
      </w:r>
      <w:r w:rsidR="004150B7" w:rsidRPr="00801513">
        <w:rPr>
          <w:rFonts w:ascii="Verdana" w:hAnsi="Verdana"/>
          <w:sz w:val="20"/>
          <w:szCs w:val="20"/>
        </w:rPr>
        <w:t>e</w:t>
      </w:r>
      <w:r w:rsidRPr="00801513">
        <w:rPr>
          <w:rFonts w:ascii="Verdana" w:hAnsi="Verdana"/>
          <w:sz w:val="20"/>
          <w:szCs w:val="20"/>
        </w:rPr>
        <w:t xml:space="preserve">l Tribunal Europeo de Derechos Humanos ha reconocido ciertas manifestaciones de trabajadores en determinados contextos </w:t>
      </w:r>
      <w:r w:rsidR="004150B7" w:rsidRPr="00801513">
        <w:rPr>
          <w:rFonts w:ascii="Verdana" w:hAnsi="Verdana"/>
          <w:sz w:val="20"/>
          <w:szCs w:val="20"/>
        </w:rPr>
        <w:t xml:space="preserve">del ámbito privado </w:t>
      </w:r>
      <w:r w:rsidRPr="00801513">
        <w:rPr>
          <w:rFonts w:ascii="Verdana" w:hAnsi="Verdana"/>
          <w:sz w:val="20"/>
          <w:szCs w:val="20"/>
        </w:rPr>
        <w:t>como de interés público a la luz del derecho a la libertad de expresión del Convenio Europeo</w:t>
      </w:r>
      <w:r w:rsidR="00115071" w:rsidRPr="00801513">
        <w:rPr>
          <w:rStyle w:val="FootnoteReference"/>
          <w:szCs w:val="20"/>
        </w:rPr>
        <w:footnoteReference w:id="148"/>
      </w:r>
      <w:r w:rsidRPr="00801513">
        <w:rPr>
          <w:rFonts w:ascii="Verdana" w:hAnsi="Verdana"/>
          <w:sz w:val="20"/>
          <w:szCs w:val="20"/>
        </w:rPr>
        <w:t xml:space="preserve">. </w:t>
      </w:r>
    </w:p>
    <w:p w14:paraId="4F94492E" w14:textId="77777777" w:rsidR="00227C33" w:rsidRDefault="00227C33" w:rsidP="00557859">
      <w:pPr>
        <w:contextualSpacing/>
        <w:jc w:val="both"/>
        <w:rPr>
          <w:rFonts w:ascii="Verdana" w:hAnsi="Verdana"/>
          <w:sz w:val="20"/>
          <w:szCs w:val="20"/>
        </w:rPr>
      </w:pPr>
    </w:p>
    <w:p w14:paraId="0DCBB2EB" w14:textId="5CF4A5D1" w:rsidR="007A21DE" w:rsidRPr="007C6623" w:rsidRDefault="007A21DE" w:rsidP="00E66DD7">
      <w:pPr>
        <w:numPr>
          <w:ilvl w:val="0"/>
          <w:numId w:val="1"/>
        </w:numPr>
        <w:ind w:left="0" w:firstLine="0"/>
        <w:contextualSpacing/>
        <w:jc w:val="both"/>
        <w:rPr>
          <w:rFonts w:ascii="Verdana" w:hAnsi="Verdana"/>
          <w:sz w:val="20"/>
          <w:szCs w:val="20"/>
        </w:rPr>
      </w:pPr>
      <w:r w:rsidRPr="00C01305">
        <w:rPr>
          <w:rFonts w:ascii="Verdana" w:hAnsi="Verdana"/>
          <w:sz w:val="20"/>
          <w:szCs w:val="20"/>
        </w:rPr>
        <w:t xml:space="preserve">A fin de valorar el interés público en el caso en concreto, la Corte encuentra los siguientes elementos a considerar: i) el artículo </w:t>
      </w:r>
      <w:r w:rsidR="00DF7914">
        <w:rPr>
          <w:rFonts w:ascii="Verdana" w:hAnsi="Verdana"/>
          <w:sz w:val="20"/>
          <w:szCs w:val="20"/>
        </w:rPr>
        <w:t xml:space="preserve">en comento </w:t>
      </w:r>
      <w:r w:rsidRPr="00C01305">
        <w:rPr>
          <w:rFonts w:ascii="Verdana" w:hAnsi="Verdana"/>
          <w:sz w:val="20"/>
          <w:szCs w:val="20"/>
        </w:rPr>
        <w:t xml:space="preserve">fue publicado en el marco de un conflicto laboral </w:t>
      </w:r>
      <w:r>
        <w:rPr>
          <w:rFonts w:ascii="Verdana" w:hAnsi="Verdana"/>
          <w:sz w:val="20"/>
          <w:szCs w:val="20"/>
        </w:rPr>
        <w:t xml:space="preserve">de carácter </w:t>
      </w:r>
      <w:r w:rsidRPr="00C01305">
        <w:rPr>
          <w:rFonts w:ascii="Verdana" w:hAnsi="Verdana"/>
          <w:sz w:val="20"/>
          <w:szCs w:val="20"/>
        </w:rPr>
        <w:t xml:space="preserve">interno con motivo de presuntas irregularidades en </w:t>
      </w:r>
      <w:r w:rsidR="00F80ADC">
        <w:rPr>
          <w:rFonts w:ascii="Verdana" w:hAnsi="Verdana"/>
          <w:sz w:val="20"/>
          <w:szCs w:val="20"/>
        </w:rPr>
        <w:t xml:space="preserve">el proceso </w:t>
      </w:r>
      <w:r w:rsidRPr="00C01305">
        <w:rPr>
          <w:rFonts w:ascii="Verdana" w:hAnsi="Verdana"/>
          <w:sz w:val="20"/>
          <w:szCs w:val="20"/>
        </w:rPr>
        <w:t>elec</w:t>
      </w:r>
      <w:r w:rsidR="00F80ADC">
        <w:rPr>
          <w:rFonts w:ascii="Verdana" w:hAnsi="Verdana"/>
          <w:sz w:val="20"/>
          <w:szCs w:val="20"/>
        </w:rPr>
        <w:t>toral</w:t>
      </w:r>
      <w:r w:rsidRPr="00C01305">
        <w:rPr>
          <w:rFonts w:ascii="Verdana" w:hAnsi="Verdana"/>
          <w:sz w:val="20"/>
          <w:szCs w:val="20"/>
        </w:rPr>
        <w:t xml:space="preserve">, que con anterioridad a la </w:t>
      </w:r>
      <w:r>
        <w:rPr>
          <w:rFonts w:ascii="Verdana" w:hAnsi="Verdana"/>
          <w:sz w:val="20"/>
          <w:szCs w:val="20"/>
        </w:rPr>
        <w:t xml:space="preserve">difusión </w:t>
      </w:r>
      <w:r w:rsidRPr="00C01305">
        <w:rPr>
          <w:rFonts w:ascii="Verdana" w:hAnsi="Verdana"/>
          <w:sz w:val="20"/>
          <w:szCs w:val="20"/>
        </w:rPr>
        <w:t xml:space="preserve">del </w:t>
      </w:r>
      <w:r w:rsidR="00DF7914">
        <w:rPr>
          <w:rFonts w:ascii="Verdana" w:hAnsi="Verdana"/>
          <w:sz w:val="20"/>
          <w:szCs w:val="20"/>
        </w:rPr>
        <w:t>mismo</w:t>
      </w:r>
      <w:r w:rsidRPr="00C01305">
        <w:rPr>
          <w:rFonts w:ascii="Verdana" w:hAnsi="Verdana"/>
          <w:sz w:val="20"/>
          <w:szCs w:val="20"/>
        </w:rPr>
        <w:t xml:space="preserve">, </w:t>
      </w:r>
      <w:r w:rsidRPr="00CB5A95">
        <w:rPr>
          <w:rFonts w:ascii="Verdana" w:hAnsi="Verdana"/>
          <w:sz w:val="20"/>
        </w:rPr>
        <w:t xml:space="preserve">se </w:t>
      </w:r>
      <w:r w:rsidRPr="00CB5A95">
        <w:rPr>
          <w:rFonts w:ascii="Verdana" w:hAnsi="Verdana"/>
          <w:sz w:val="20"/>
          <w:szCs w:val="20"/>
        </w:rPr>
        <w:t>habría</w:t>
      </w:r>
      <w:r w:rsidR="00F80ADC" w:rsidRPr="00CB5A95">
        <w:rPr>
          <w:rFonts w:ascii="Verdana" w:hAnsi="Verdana"/>
          <w:sz w:val="20"/>
          <w:szCs w:val="20"/>
        </w:rPr>
        <w:t>n</w:t>
      </w:r>
      <w:r w:rsidRPr="00CB5A95">
        <w:rPr>
          <w:rFonts w:ascii="Verdana" w:hAnsi="Verdana"/>
          <w:sz w:val="20"/>
        </w:rPr>
        <w:t xml:space="preserve"> puesto en conocimiento de la autoridad</w:t>
      </w:r>
      <w:r w:rsidR="002F59B2" w:rsidRPr="00CB5A95">
        <w:rPr>
          <w:rFonts w:ascii="Verdana" w:hAnsi="Verdana"/>
          <w:sz w:val="20"/>
        </w:rPr>
        <w:t xml:space="preserve"> competente</w:t>
      </w:r>
      <w:r w:rsidR="004E38FB">
        <w:rPr>
          <w:rFonts w:ascii="Verdana" w:hAnsi="Verdana"/>
          <w:sz w:val="20"/>
        </w:rPr>
        <w:t>;</w:t>
      </w:r>
      <w:r w:rsidRPr="00C01305">
        <w:rPr>
          <w:rFonts w:ascii="Verdana" w:hAnsi="Verdana"/>
          <w:sz w:val="20"/>
          <w:szCs w:val="20"/>
        </w:rPr>
        <w:t xml:space="preserve"> ii) el señor Lagos del Campo </w:t>
      </w:r>
      <w:r w:rsidR="00180F30">
        <w:rPr>
          <w:rFonts w:ascii="Verdana" w:hAnsi="Verdana"/>
          <w:sz w:val="20"/>
          <w:szCs w:val="20"/>
        </w:rPr>
        <w:t>señaló</w:t>
      </w:r>
      <w:r w:rsidR="00180F30" w:rsidRPr="00C01305">
        <w:rPr>
          <w:rFonts w:ascii="Verdana" w:hAnsi="Verdana"/>
          <w:sz w:val="20"/>
          <w:szCs w:val="20"/>
        </w:rPr>
        <w:t xml:space="preserve"> </w:t>
      </w:r>
      <w:r w:rsidRPr="00C01305">
        <w:rPr>
          <w:rFonts w:ascii="Verdana" w:hAnsi="Verdana"/>
          <w:sz w:val="20"/>
          <w:szCs w:val="20"/>
        </w:rPr>
        <w:t xml:space="preserve">en </w:t>
      </w:r>
      <w:r w:rsidR="00DF7914">
        <w:rPr>
          <w:rFonts w:ascii="Verdana" w:hAnsi="Verdana"/>
          <w:sz w:val="20"/>
          <w:szCs w:val="20"/>
        </w:rPr>
        <w:t>la</w:t>
      </w:r>
      <w:r w:rsidR="00DF7914" w:rsidRPr="00C01305">
        <w:rPr>
          <w:rFonts w:ascii="Verdana" w:hAnsi="Verdana"/>
          <w:sz w:val="20"/>
          <w:szCs w:val="20"/>
        </w:rPr>
        <w:t xml:space="preserve"> </w:t>
      </w:r>
      <w:r w:rsidRPr="00C01305">
        <w:rPr>
          <w:rFonts w:ascii="Verdana" w:hAnsi="Verdana"/>
          <w:sz w:val="20"/>
          <w:szCs w:val="20"/>
        </w:rPr>
        <w:t xml:space="preserve">entrevista </w:t>
      </w:r>
      <w:r w:rsidR="00DF7914">
        <w:rPr>
          <w:rFonts w:ascii="Verdana" w:hAnsi="Verdana"/>
          <w:sz w:val="20"/>
          <w:szCs w:val="20"/>
        </w:rPr>
        <w:t xml:space="preserve">publicada </w:t>
      </w:r>
      <w:r w:rsidRPr="00C01305">
        <w:rPr>
          <w:rFonts w:ascii="Verdana" w:hAnsi="Verdana"/>
          <w:sz w:val="20"/>
          <w:szCs w:val="20"/>
        </w:rPr>
        <w:t xml:space="preserve">que </w:t>
      </w:r>
      <w:r w:rsidR="0034509C">
        <w:rPr>
          <w:rFonts w:ascii="Verdana" w:hAnsi="Verdana"/>
          <w:sz w:val="20"/>
          <w:szCs w:val="20"/>
        </w:rPr>
        <w:t>“</w:t>
      </w:r>
      <w:r w:rsidRPr="00C01305">
        <w:rPr>
          <w:rFonts w:ascii="Verdana" w:hAnsi="Verdana"/>
          <w:i/>
          <w:sz w:val="20"/>
          <w:szCs w:val="20"/>
        </w:rPr>
        <w:t xml:space="preserve">continuaría luchando por esas denuncias y hacía un llamado a los trabajadores a cerrar filas y hacer respetar sus derechos y obligaciones que les confería la ley. </w:t>
      </w:r>
      <w:r w:rsidR="0034509C">
        <w:rPr>
          <w:rFonts w:ascii="Verdana" w:hAnsi="Verdana"/>
          <w:i/>
          <w:sz w:val="20"/>
          <w:szCs w:val="20"/>
        </w:rPr>
        <w:t>[</w:t>
      </w:r>
      <w:r w:rsidRPr="00C01305">
        <w:rPr>
          <w:rFonts w:ascii="Verdana" w:hAnsi="Verdana"/>
          <w:i/>
          <w:sz w:val="20"/>
          <w:szCs w:val="20"/>
        </w:rPr>
        <w:t>Asimismo, pidió</w:t>
      </w:r>
      <w:r w:rsidR="0034509C">
        <w:rPr>
          <w:rFonts w:ascii="Verdana" w:hAnsi="Verdana"/>
          <w:i/>
          <w:sz w:val="20"/>
          <w:szCs w:val="20"/>
        </w:rPr>
        <w:t>]</w:t>
      </w:r>
      <w:r w:rsidRPr="00C01305">
        <w:rPr>
          <w:rFonts w:ascii="Verdana" w:hAnsi="Verdana"/>
          <w:i/>
          <w:sz w:val="20"/>
          <w:szCs w:val="20"/>
        </w:rPr>
        <w:t xml:space="preserve"> la solidaridad de todas las organizaciones comuneras y laborales del país a expresar su rechazo </w:t>
      </w:r>
      <w:proofErr w:type="spellStart"/>
      <w:r w:rsidRPr="00C01305">
        <w:rPr>
          <w:rFonts w:ascii="Verdana" w:hAnsi="Verdana"/>
          <w:i/>
          <w:sz w:val="20"/>
          <w:szCs w:val="20"/>
        </w:rPr>
        <w:t>liquidacioni</w:t>
      </w:r>
      <w:r w:rsidR="005D72FB">
        <w:rPr>
          <w:rFonts w:ascii="Verdana" w:hAnsi="Verdana"/>
          <w:i/>
          <w:sz w:val="20"/>
          <w:szCs w:val="20"/>
        </w:rPr>
        <w:t>s</w:t>
      </w:r>
      <w:r w:rsidRPr="00C01305">
        <w:rPr>
          <w:rFonts w:ascii="Verdana" w:hAnsi="Verdana"/>
          <w:i/>
          <w:sz w:val="20"/>
          <w:szCs w:val="20"/>
        </w:rPr>
        <w:t>ta</w:t>
      </w:r>
      <w:proofErr w:type="spellEnd"/>
      <w:r w:rsidRPr="00C01305">
        <w:rPr>
          <w:rFonts w:ascii="Verdana" w:hAnsi="Verdana"/>
          <w:i/>
          <w:sz w:val="20"/>
          <w:szCs w:val="20"/>
        </w:rPr>
        <w:t xml:space="preserve"> de las comunidades industriales”</w:t>
      </w:r>
      <w:r w:rsidR="00180F30">
        <w:rPr>
          <w:rFonts w:ascii="Verdana" w:hAnsi="Verdana"/>
          <w:i/>
          <w:sz w:val="20"/>
          <w:szCs w:val="20"/>
        </w:rPr>
        <w:t xml:space="preserve">, </w:t>
      </w:r>
      <w:r w:rsidR="00180F30" w:rsidRPr="005D0F69">
        <w:rPr>
          <w:rFonts w:ascii="Verdana" w:hAnsi="Verdana"/>
          <w:sz w:val="20"/>
          <w:szCs w:val="20"/>
        </w:rPr>
        <w:t xml:space="preserve">de lo cual se desprende </w:t>
      </w:r>
      <w:r w:rsidR="00180F30" w:rsidRPr="00180F30">
        <w:rPr>
          <w:rFonts w:ascii="Verdana" w:hAnsi="Verdana"/>
          <w:sz w:val="20"/>
          <w:szCs w:val="20"/>
        </w:rPr>
        <w:t>el carácter colectivo de sus manifestaciones</w:t>
      </w:r>
      <w:r w:rsidRPr="00C01305">
        <w:rPr>
          <w:rFonts w:ascii="Verdana" w:hAnsi="Verdana"/>
          <w:sz w:val="20"/>
          <w:szCs w:val="20"/>
        </w:rPr>
        <w:t xml:space="preserve">; iii) las Comunidades Industriales en el Perú, tenían como objetivo, entre otros, promover la participación de los trabajadores en el patrimonio de la empresa, así como la adecuada distribución de los beneficios; </w:t>
      </w:r>
      <w:r w:rsidR="007A568E" w:rsidRPr="00801513">
        <w:rPr>
          <w:rFonts w:ascii="Verdana" w:hAnsi="Verdana"/>
          <w:sz w:val="20"/>
          <w:szCs w:val="20"/>
        </w:rPr>
        <w:t>iv) dentro de las manifestaciones</w:t>
      </w:r>
      <w:r w:rsidR="003904DE" w:rsidRPr="00801513">
        <w:rPr>
          <w:rFonts w:ascii="Verdana" w:hAnsi="Verdana"/>
          <w:sz w:val="20"/>
          <w:szCs w:val="20"/>
        </w:rPr>
        <w:t xml:space="preserve"> se hizo </w:t>
      </w:r>
      <w:r w:rsidR="007A568E" w:rsidRPr="00801513">
        <w:rPr>
          <w:rFonts w:ascii="Verdana" w:hAnsi="Verdana"/>
          <w:sz w:val="20"/>
          <w:szCs w:val="20"/>
        </w:rPr>
        <w:t>alusión la intervención de la Dirección General de Participación del Ministerio de Industria;</w:t>
      </w:r>
      <w:r w:rsidR="007A568E">
        <w:rPr>
          <w:rFonts w:ascii="Verdana" w:hAnsi="Verdana"/>
          <w:b/>
          <w:sz w:val="20"/>
          <w:szCs w:val="20"/>
        </w:rPr>
        <w:t xml:space="preserve"> </w:t>
      </w:r>
      <w:r w:rsidRPr="00C01305">
        <w:rPr>
          <w:rFonts w:ascii="Verdana" w:hAnsi="Verdana"/>
          <w:sz w:val="20"/>
          <w:szCs w:val="20"/>
        </w:rPr>
        <w:t>iv) el medio de comunicación buscó entrevista</w:t>
      </w:r>
      <w:r>
        <w:rPr>
          <w:rFonts w:ascii="Verdana" w:hAnsi="Verdana"/>
          <w:sz w:val="20"/>
          <w:szCs w:val="20"/>
        </w:rPr>
        <w:t>r</w:t>
      </w:r>
      <w:r w:rsidRPr="00C01305">
        <w:rPr>
          <w:rFonts w:ascii="Verdana" w:hAnsi="Verdana"/>
          <w:sz w:val="20"/>
          <w:szCs w:val="20"/>
        </w:rPr>
        <w:t xml:space="preserve"> al señor Lagos del Campo y difundió la entrevista en un medio de comunicación escrita, al considerar que atendía cu</w:t>
      </w:r>
      <w:r>
        <w:rPr>
          <w:rFonts w:ascii="Verdana" w:hAnsi="Verdana"/>
          <w:sz w:val="20"/>
          <w:szCs w:val="20"/>
        </w:rPr>
        <w:t>estiones de relevancia para</w:t>
      </w:r>
      <w:r w:rsidRPr="00C01305">
        <w:rPr>
          <w:rFonts w:ascii="Verdana" w:hAnsi="Verdana"/>
          <w:sz w:val="20"/>
          <w:szCs w:val="20"/>
        </w:rPr>
        <w:t xml:space="preserve"> la sociedad</w:t>
      </w:r>
      <w:r>
        <w:rPr>
          <w:rFonts w:ascii="Verdana" w:hAnsi="Verdana"/>
          <w:sz w:val="20"/>
          <w:szCs w:val="20"/>
        </w:rPr>
        <w:t xml:space="preserve"> interesada</w:t>
      </w:r>
      <w:r w:rsidR="007C6623">
        <w:rPr>
          <w:rFonts w:ascii="Verdana" w:hAnsi="Verdana"/>
          <w:sz w:val="20"/>
          <w:szCs w:val="20"/>
        </w:rPr>
        <w:t xml:space="preserve"> </w:t>
      </w:r>
      <w:r w:rsidR="008E18C3">
        <w:rPr>
          <w:rFonts w:ascii="Verdana" w:hAnsi="Verdana"/>
          <w:sz w:val="20"/>
          <w:szCs w:val="20"/>
        </w:rPr>
        <w:t>(</w:t>
      </w:r>
      <w:r w:rsidR="004868B2">
        <w:rPr>
          <w:rFonts w:ascii="Verdana" w:hAnsi="Verdana"/>
          <w:sz w:val="20"/>
          <w:szCs w:val="20"/>
        </w:rPr>
        <w:t xml:space="preserve">el </w:t>
      </w:r>
      <w:r w:rsidR="008E18C3">
        <w:rPr>
          <w:rFonts w:ascii="Verdana" w:hAnsi="Verdana"/>
          <w:sz w:val="20"/>
          <w:szCs w:val="20"/>
        </w:rPr>
        <w:t xml:space="preserve">gremio) </w:t>
      </w:r>
      <w:r w:rsidR="007C6623">
        <w:rPr>
          <w:rFonts w:ascii="Verdana" w:hAnsi="Verdana"/>
          <w:sz w:val="20"/>
          <w:szCs w:val="20"/>
        </w:rPr>
        <w:t>(</w:t>
      </w:r>
      <w:r w:rsidR="00224537" w:rsidRPr="00224537">
        <w:rPr>
          <w:rFonts w:ascii="Verdana" w:hAnsi="Verdana"/>
          <w:i/>
          <w:sz w:val="20"/>
          <w:szCs w:val="20"/>
        </w:rPr>
        <w:t>supra</w:t>
      </w:r>
      <w:r w:rsidR="007C6623">
        <w:rPr>
          <w:rFonts w:ascii="Verdana" w:hAnsi="Verdana"/>
          <w:sz w:val="20"/>
          <w:szCs w:val="20"/>
        </w:rPr>
        <w:t>, párr.</w:t>
      </w:r>
      <w:r w:rsidR="002F31BD">
        <w:rPr>
          <w:rFonts w:ascii="Verdana" w:hAnsi="Verdana"/>
          <w:sz w:val="20"/>
          <w:szCs w:val="20"/>
        </w:rPr>
        <w:t xml:space="preserve"> </w:t>
      </w:r>
      <w:r w:rsidR="006F2EA3">
        <w:rPr>
          <w:rFonts w:ascii="Verdana" w:hAnsi="Verdana"/>
          <w:sz w:val="20"/>
          <w:szCs w:val="20"/>
        </w:rPr>
        <w:t>11</w:t>
      </w:r>
      <w:r w:rsidR="000023EA">
        <w:rPr>
          <w:rFonts w:ascii="Verdana" w:hAnsi="Verdana"/>
          <w:sz w:val="20"/>
          <w:szCs w:val="20"/>
        </w:rPr>
        <w:t>1</w:t>
      </w:r>
      <w:r w:rsidR="007C6623">
        <w:rPr>
          <w:rFonts w:ascii="Verdana" w:hAnsi="Verdana"/>
          <w:sz w:val="20"/>
          <w:szCs w:val="20"/>
        </w:rPr>
        <w:t>)</w:t>
      </w:r>
      <w:r w:rsidRPr="00C01305">
        <w:rPr>
          <w:rFonts w:ascii="Verdana" w:hAnsi="Verdana"/>
          <w:sz w:val="20"/>
          <w:szCs w:val="20"/>
        </w:rPr>
        <w:t xml:space="preserve">. </w:t>
      </w:r>
    </w:p>
    <w:p w14:paraId="2072FA6F" w14:textId="77777777" w:rsidR="007A21DE" w:rsidRPr="00C01305" w:rsidRDefault="007A21DE" w:rsidP="007A21DE">
      <w:pPr>
        <w:contextualSpacing/>
        <w:jc w:val="both"/>
        <w:rPr>
          <w:rFonts w:ascii="Verdana" w:hAnsi="Verdana"/>
          <w:sz w:val="20"/>
          <w:szCs w:val="20"/>
          <w:lang w:val="es-CR"/>
        </w:rPr>
      </w:pPr>
    </w:p>
    <w:p w14:paraId="7DACC65E" w14:textId="6F303E5A" w:rsidR="007A21DE" w:rsidRPr="007C6623" w:rsidRDefault="007A21DE" w:rsidP="00E66DD7">
      <w:pPr>
        <w:numPr>
          <w:ilvl w:val="0"/>
          <w:numId w:val="1"/>
        </w:numPr>
        <w:ind w:left="0" w:firstLine="0"/>
        <w:contextualSpacing/>
        <w:jc w:val="both"/>
        <w:rPr>
          <w:rFonts w:ascii="Verdana" w:hAnsi="Verdana"/>
          <w:sz w:val="20"/>
          <w:szCs w:val="20"/>
          <w:lang w:val="es-CR"/>
        </w:rPr>
      </w:pPr>
      <w:r w:rsidRPr="00C01305">
        <w:rPr>
          <w:rFonts w:ascii="Verdana" w:hAnsi="Verdana"/>
          <w:sz w:val="20"/>
          <w:szCs w:val="20"/>
          <w:lang w:val="es-CR"/>
        </w:rPr>
        <w:t xml:space="preserve">Por ende, la Corte nota que, </w:t>
      </w:r>
      <w:r w:rsidRPr="00C01305">
        <w:rPr>
          <w:rFonts w:ascii="Verdana" w:hAnsi="Verdana"/>
          <w:sz w:val="20"/>
          <w:szCs w:val="20"/>
        </w:rPr>
        <w:t xml:space="preserve">en el contexto de dicho proceso electoral </w:t>
      </w:r>
      <w:r w:rsidRPr="00C01305">
        <w:rPr>
          <w:rFonts w:ascii="Verdana" w:hAnsi="Verdana"/>
          <w:sz w:val="20"/>
          <w:szCs w:val="20"/>
          <w:lang w:val="es-CR"/>
        </w:rPr>
        <w:t xml:space="preserve">las manifestaciones del señor Lagos del Campo, </w:t>
      </w:r>
      <w:r w:rsidRPr="00C01305">
        <w:rPr>
          <w:rFonts w:ascii="Verdana" w:hAnsi="Verdana"/>
          <w:sz w:val="20"/>
          <w:szCs w:val="20"/>
        </w:rPr>
        <w:t xml:space="preserve">como representante de los trabajadores, </w:t>
      </w:r>
      <w:r w:rsidRPr="00C01305">
        <w:rPr>
          <w:rFonts w:ascii="Verdana" w:hAnsi="Verdana"/>
          <w:sz w:val="20"/>
          <w:szCs w:val="20"/>
          <w:lang w:val="es-CR"/>
        </w:rPr>
        <w:t xml:space="preserve">además de rebasar el ámbito privado, tenían una relevancia o impacto tal como para trascender </w:t>
      </w:r>
      <w:r w:rsidRPr="00C01305">
        <w:rPr>
          <w:rFonts w:ascii="Verdana" w:hAnsi="Verdana"/>
          <w:sz w:val="20"/>
          <w:szCs w:val="20"/>
        </w:rPr>
        <w:t xml:space="preserve">no sólo el interés </w:t>
      </w:r>
      <w:r w:rsidR="005467CF">
        <w:rPr>
          <w:rFonts w:ascii="Verdana" w:hAnsi="Verdana"/>
          <w:sz w:val="20"/>
          <w:szCs w:val="20"/>
        </w:rPr>
        <w:t xml:space="preserve">colectivo </w:t>
      </w:r>
      <w:r w:rsidRPr="00C01305">
        <w:rPr>
          <w:rFonts w:ascii="Verdana" w:hAnsi="Verdana"/>
          <w:sz w:val="20"/>
          <w:szCs w:val="20"/>
        </w:rPr>
        <w:t>de los trabajadores de la empresa</w:t>
      </w:r>
      <w:r w:rsidRPr="00C01305">
        <w:rPr>
          <w:rFonts w:ascii="Verdana" w:hAnsi="Verdana"/>
          <w:sz w:val="20"/>
          <w:szCs w:val="20"/>
          <w:vertAlign w:val="superscript"/>
          <w:lang w:val="es-CR"/>
        </w:rPr>
        <w:footnoteReference w:id="149"/>
      </w:r>
      <w:r w:rsidRPr="00C01305">
        <w:rPr>
          <w:rFonts w:ascii="Verdana" w:hAnsi="Verdana"/>
          <w:sz w:val="20"/>
          <w:szCs w:val="20"/>
        </w:rPr>
        <w:t xml:space="preserve"> sino del gremio (de comuneros) relacionado con las Comunidades Industriales en general</w:t>
      </w:r>
      <w:r w:rsidRPr="00C01305">
        <w:rPr>
          <w:rFonts w:ascii="Verdana" w:hAnsi="Verdana"/>
          <w:sz w:val="20"/>
          <w:szCs w:val="20"/>
          <w:lang w:val="es-CR"/>
        </w:rPr>
        <w:t xml:space="preserve">. </w:t>
      </w:r>
      <w:r w:rsidR="007C6623" w:rsidRPr="007C6623">
        <w:rPr>
          <w:rFonts w:ascii="Verdana" w:hAnsi="Verdana"/>
          <w:sz w:val="20"/>
          <w:szCs w:val="20"/>
          <w:lang w:val="es-CR"/>
        </w:rPr>
        <w:t>Por tanto, d</w:t>
      </w:r>
      <w:r w:rsidRPr="007C6623">
        <w:rPr>
          <w:rFonts w:ascii="Verdana" w:hAnsi="Verdana"/>
          <w:sz w:val="20"/>
          <w:szCs w:val="20"/>
          <w:lang w:val="es-CR"/>
        </w:rPr>
        <w:t xml:space="preserve">e los hechos del presente caso se desprende que la información contenida en las declaraciones del señor Lagos del Campo eran de interés </w:t>
      </w:r>
      <w:r w:rsidR="007C6623">
        <w:rPr>
          <w:rFonts w:ascii="Verdana" w:hAnsi="Verdana"/>
          <w:sz w:val="20"/>
          <w:szCs w:val="20"/>
          <w:lang w:val="es-CR"/>
        </w:rPr>
        <w:t>público</w:t>
      </w:r>
      <w:r w:rsidRPr="007C6623">
        <w:rPr>
          <w:rFonts w:ascii="Verdana" w:hAnsi="Verdana"/>
          <w:sz w:val="20"/>
          <w:szCs w:val="20"/>
          <w:lang w:val="es-CR"/>
        </w:rPr>
        <w:t xml:space="preserve"> y por ende contaban con un nivel reforzado de protecció</w:t>
      </w:r>
      <w:r w:rsidR="000023EA">
        <w:rPr>
          <w:rFonts w:ascii="Verdana" w:hAnsi="Verdana"/>
          <w:sz w:val="20"/>
          <w:szCs w:val="20"/>
          <w:lang w:val="es-CR"/>
        </w:rPr>
        <w:t>n.</w:t>
      </w:r>
    </w:p>
    <w:p w14:paraId="6842EEB2" w14:textId="77777777" w:rsidR="007A21DE" w:rsidRPr="00C01305" w:rsidRDefault="007A21DE" w:rsidP="007A21DE">
      <w:pPr>
        <w:contextualSpacing/>
        <w:rPr>
          <w:rFonts w:ascii="Verdana" w:hAnsi="Verdana"/>
          <w:sz w:val="20"/>
          <w:szCs w:val="20"/>
          <w:lang w:val="es-CR"/>
        </w:rPr>
      </w:pPr>
    </w:p>
    <w:p w14:paraId="6ACC07BD" w14:textId="28D4E4C7" w:rsidR="007A21DE" w:rsidRPr="00EB5530" w:rsidRDefault="007A21DE" w:rsidP="00E66DD7">
      <w:pPr>
        <w:numPr>
          <w:ilvl w:val="0"/>
          <w:numId w:val="1"/>
        </w:numPr>
        <w:ind w:left="0" w:firstLine="0"/>
        <w:contextualSpacing/>
        <w:jc w:val="both"/>
        <w:rPr>
          <w:rFonts w:ascii="Verdana" w:hAnsi="Verdana"/>
          <w:sz w:val="20"/>
          <w:szCs w:val="20"/>
          <w:lang w:val="es-CR"/>
        </w:rPr>
      </w:pPr>
      <w:r w:rsidRPr="00C01305">
        <w:rPr>
          <w:rFonts w:ascii="Verdana" w:hAnsi="Verdana"/>
          <w:sz w:val="20"/>
          <w:szCs w:val="20"/>
          <w:lang w:val="es-CR"/>
        </w:rPr>
        <w:t xml:space="preserve">En tercer lugar, respecto </w:t>
      </w:r>
      <w:r w:rsidR="005467CF">
        <w:rPr>
          <w:rFonts w:ascii="Verdana" w:hAnsi="Verdana"/>
          <w:sz w:val="20"/>
          <w:szCs w:val="20"/>
          <w:lang w:val="es-CR"/>
        </w:rPr>
        <w:t>de la</w:t>
      </w:r>
      <w:r w:rsidR="007C6623">
        <w:rPr>
          <w:rFonts w:ascii="Verdana" w:hAnsi="Verdana"/>
          <w:sz w:val="20"/>
          <w:szCs w:val="20"/>
          <w:lang w:val="es-CR"/>
        </w:rPr>
        <w:t xml:space="preserve"> entidad </w:t>
      </w:r>
      <w:r w:rsidRPr="00C01305">
        <w:rPr>
          <w:rFonts w:ascii="Verdana" w:hAnsi="Verdana"/>
          <w:sz w:val="20"/>
          <w:szCs w:val="20"/>
          <w:lang w:val="es-CR"/>
        </w:rPr>
        <w:t>de las declaraciones publicadas</w:t>
      </w:r>
      <w:r w:rsidR="007C6623">
        <w:rPr>
          <w:rFonts w:ascii="Verdana" w:hAnsi="Verdana"/>
          <w:sz w:val="20"/>
          <w:szCs w:val="20"/>
          <w:lang w:val="es-CR"/>
        </w:rPr>
        <w:t xml:space="preserve"> en la revista </w:t>
      </w:r>
      <w:r w:rsidR="00060E86">
        <w:rPr>
          <w:rFonts w:ascii="Verdana" w:hAnsi="Verdana"/>
          <w:sz w:val="20"/>
          <w:szCs w:val="20"/>
          <w:lang w:val="es-CR"/>
        </w:rPr>
        <w:t>L</w:t>
      </w:r>
      <w:r w:rsidR="007C6623">
        <w:rPr>
          <w:rFonts w:ascii="Verdana" w:hAnsi="Verdana"/>
          <w:sz w:val="20"/>
          <w:szCs w:val="20"/>
          <w:lang w:val="es-CR"/>
        </w:rPr>
        <w:t>a Razón</w:t>
      </w:r>
      <w:r w:rsidRPr="00C01305">
        <w:rPr>
          <w:rFonts w:ascii="Verdana" w:hAnsi="Verdana"/>
          <w:sz w:val="20"/>
          <w:szCs w:val="20"/>
          <w:lang w:val="es-CR"/>
        </w:rPr>
        <w:t xml:space="preserve">, la Corte recuerda que </w:t>
      </w:r>
      <w:r w:rsidRPr="00C01305">
        <w:rPr>
          <w:rFonts w:ascii="Verdana" w:hAnsi="Verdana"/>
          <w:sz w:val="20"/>
          <w:szCs w:val="20"/>
          <w:lang w:val="es-MX"/>
        </w:rPr>
        <w:t>l</w:t>
      </w:r>
      <w:r w:rsidRPr="00C01305">
        <w:rPr>
          <w:rFonts w:ascii="Verdana" w:hAnsi="Verdana"/>
          <w:sz w:val="20"/>
          <w:szCs w:val="20"/>
        </w:rPr>
        <w:t>a libertad de expresión, particularmente en asuntos de interés público, “es una piedra angular en la existencia misma de una sociedad democrática”</w:t>
      </w:r>
      <w:r w:rsidRPr="00C01305">
        <w:rPr>
          <w:rFonts w:ascii="Verdana" w:hAnsi="Verdana"/>
          <w:sz w:val="20"/>
          <w:szCs w:val="20"/>
          <w:vertAlign w:val="superscript"/>
        </w:rPr>
        <w:footnoteReference w:id="150"/>
      </w:r>
      <w:r w:rsidRPr="00C01305">
        <w:rPr>
          <w:rFonts w:ascii="Verdana" w:hAnsi="Verdana"/>
          <w:sz w:val="20"/>
          <w:szCs w:val="20"/>
        </w:rPr>
        <w:t>. […] No sólo debe garantizarse en lo que respecta a la difusión de información o ideas que son recibidas favorablemente o consideradas como inofensivas o indiferentes</w:t>
      </w:r>
      <w:r w:rsidRPr="00B06027">
        <w:rPr>
          <w:rFonts w:ascii="Verdana" w:hAnsi="Verdana"/>
          <w:sz w:val="20"/>
          <w:szCs w:val="20"/>
        </w:rPr>
        <w:t>, sino también en lo que toca a las que resultan ingratas para el Estado o cualquier sector de la población</w:t>
      </w:r>
      <w:r w:rsidRPr="00C01305">
        <w:rPr>
          <w:rFonts w:ascii="Verdana" w:hAnsi="Verdana"/>
          <w:sz w:val="20"/>
          <w:szCs w:val="20"/>
          <w:vertAlign w:val="superscript"/>
        </w:rPr>
        <w:footnoteReference w:id="151"/>
      </w:r>
      <w:r w:rsidRPr="00FF5791">
        <w:rPr>
          <w:rFonts w:ascii="Verdana" w:hAnsi="Verdana"/>
          <w:sz w:val="20"/>
          <w:szCs w:val="20"/>
        </w:rPr>
        <w:t>.</w:t>
      </w:r>
      <w:r w:rsidRPr="00C01305">
        <w:rPr>
          <w:rFonts w:ascii="Verdana" w:hAnsi="Verdana"/>
          <w:sz w:val="20"/>
          <w:szCs w:val="20"/>
        </w:rPr>
        <w:t xml:space="preserve"> </w:t>
      </w:r>
      <w:r w:rsidRPr="00C01305">
        <w:rPr>
          <w:rFonts w:ascii="Verdana" w:hAnsi="Verdana"/>
          <w:sz w:val="20"/>
          <w:szCs w:val="20"/>
          <w:lang w:val="es-CR"/>
        </w:rPr>
        <w:t xml:space="preserve">Adicionalmente, en lo pertinente, ha sostenido que </w:t>
      </w:r>
      <w:r w:rsidRPr="00C01305">
        <w:rPr>
          <w:rFonts w:ascii="Verdana" w:hAnsi="Verdana"/>
          <w:sz w:val="20"/>
          <w:szCs w:val="20"/>
          <w:lang w:val="es-VE"/>
        </w:rPr>
        <w:t>“[e]</w:t>
      </w:r>
      <w:r w:rsidRPr="00C01305">
        <w:rPr>
          <w:rFonts w:ascii="Verdana" w:hAnsi="Verdana" w:cs="Arial"/>
          <w:sz w:val="20"/>
          <w:szCs w:val="20"/>
        </w:rPr>
        <w:t>n la arena del debate sobre temas de alto interés público, no sólo se protege la emisión de expresiones inofensivas o bien recibidas por la opinión pública, sino también la de aquellas que chocan, irritan o inquietan a los funcionarios públicos o a un sector cualquiera de la población</w:t>
      </w:r>
      <w:r w:rsidRPr="00C01305">
        <w:rPr>
          <w:rFonts w:ascii="Verdana" w:hAnsi="Verdana"/>
          <w:sz w:val="20"/>
          <w:szCs w:val="20"/>
          <w:vertAlign w:val="superscript"/>
        </w:rPr>
        <w:footnoteReference w:id="152"/>
      </w:r>
      <w:r w:rsidRPr="00C01305">
        <w:rPr>
          <w:rFonts w:ascii="Verdana" w:hAnsi="Verdana" w:cs="Arial"/>
          <w:sz w:val="20"/>
          <w:szCs w:val="20"/>
        </w:rPr>
        <w:t xml:space="preserve">. </w:t>
      </w:r>
      <w:r w:rsidRPr="00C01305">
        <w:rPr>
          <w:rFonts w:ascii="Verdana" w:hAnsi="Verdana"/>
          <w:sz w:val="20"/>
          <w:szCs w:val="20"/>
        </w:rPr>
        <w:t xml:space="preserve">En una sociedad democrática, la prensa debe informar </w:t>
      </w:r>
      <w:r w:rsidRPr="002E7463">
        <w:rPr>
          <w:rFonts w:ascii="Verdana" w:hAnsi="Verdana"/>
          <w:sz w:val="20"/>
          <w:szCs w:val="20"/>
        </w:rPr>
        <w:t>ampliamente sobre cuestiones de interés público, que afectan bienes sociales […]”</w:t>
      </w:r>
      <w:r w:rsidRPr="002E7463">
        <w:rPr>
          <w:rFonts w:ascii="Verdana" w:hAnsi="Verdana"/>
          <w:sz w:val="20"/>
          <w:szCs w:val="20"/>
          <w:vertAlign w:val="superscript"/>
        </w:rPr>
        <w:footnoteReference w:id="153"/>
      </w:r>
      <w:r w:rsidRPr="002E7463">
        <w:rPr>
          <w:rFonts w:ascii="Verdana" w:hAnsi="Verdana"/>
          <w:sz w:val="20"/>
          <w:szCs w:val="20"/>
        </w:rPr>
        <w:t xml:space="preserve">. Sin perjuicio de lo anterior, no pasa inadvertido </w:t>
      </w:r>
      <w:r w:rsidR="00B22068" w:rsidRPr="00EB5530">
        <w:rPr>
          <w:rFonts w:ascii="Verdana" w:hAnsi="Verdana"/>
          <w:sz w:val="20"/>
          <w:szCs w:val="20"/>
        </w:rPr>
        <w:t xml:space="preserve">por la Corte </w:t>
      </w:r>
      <w:r w:rsidRPr="00EB5530">
        <w:rPr>
          <w:rFonts w:ascii="Verdana" w:hAnsi="Verdana"/>
          <w:sz w:val="20"/>
          <w:szCs w:val="20"/>
        </w:rPr>
        <w:t>que los límites de la crítica admisible son menos amplios respecto de los particulares, en lo general, que respecto de los políticos y los funcionarios en el ejercicio de sus funciones</w:t>
      </w:r>
      <w:r w:rsidRPr="00EB5530">
        <w:rPr>
          <w:rFonts w:ascii="Verdana" w:hAnsi="Verdana"/>
          <w:sz w:val="20"/>
          <w:szCs w:val="20"/>
          <w:vertAlign w:val="superscript"/>
        </w:rPr>
        <w:footnoteReference w:id="154"/>
      </w:r>
      <w:r w:rsidRPr="00EB5530">
        <w:rPr>
          <w:rFonts w:ascii="Verdana" w:hAnsi="Verdana"/>
          <w:sz w:val="20"/>
          <w:szCs w:val="20"/>
        </w:rPr>
        <w:t xml:space="preserve">. </w:t>
      </w:r>
    </w:p>
    <w:p w14:paraId="3051DF23" w14:textId="77777777" w:rsidR="007A21DE" w:rsidRPr="00EB5530" w:rsidRDefault="007A21DE" w:rsidP="007A21DE">
      <w:pPr>
        <w:contextualSpacing/>
        <w:jc w:val="both"/>
        <w:rPr>
          <w:rFonts w:ascii="Verdana" w:hAnsi="Verdana"/>
          <w:sz w:val="20"/>
          <w:szCs w:val="20"/>
          <w:lang w:val="es-CR"/>
        </w:rPr>
      </w:pPr>
    </w:p>
    <w:p w14:paraId="1E90D8E0" w14:textId="25423949" w:rsidR="00FF5791" w:rsidRPr="00EB5530" w:rsidRDefault="007A21DE" w:rsidP="00E66DD7">
      <w:pPr>
        <w:numPr>
          <w:ilvl w:val="0"/>
          <w:numId w:val="1"/>
        </w:numPr>
        <w:ind w:left="0" w:firstLine="0"/>
        <w:contextualSpacing/>
        <w:jc w:val="both"/>
        <w:rPr>
          <w:rFonts w:ascii="Verdana" w:hAnsi="Verdana"/>
          <w:sz w:val="20"/>
          <w:szCs w:val="20"/>
          <w:lang w:val="es-CR"/>
        </w:rPr>
      </w:pPr>
      <w:r w:rsidRPr="00EB5530">
        <w:rPr>
          <w:rFonts w:ascii="Verdana" w:hAnsi="Verdana"/>
          <w:sz w:val="20"/>
          <w:szCs w:val="20"/>
          <w:lang w:val="es-CR"/>
        </w:rPr>
        <w:t xml:space="preserve">De las manifestaciones publicadas en la entrevista, el Tribunal estima que, en lo general, se desprende </w:t>
      </w:r>
      <w:r w:rsidR="00DF7914" w:rsidRPr="00EB5530">
        <w:rPr>
          <w:rFonts w:ascii="Verdana" w:hAnsi="Verdana"/>
          <w:sz w:val="20"/>
          <w:szCs w:val="20"/>
          <w:lang w:val="es-CR"/>
        </w:rPr>
        <w:t xml:space="preserve">que </w:t>
      </w:r>
      <w:r w:rsidR="009B6CB7" w:rsidRPr="00EB5530">
        <w:rPr>
          <w:rFonts w:ascii="Verdana" w:hAnsi="Verdana"/>
          <w:sz w:val="20"/>
          <w:szCs w:val="20"/>
          <w:lang w:val="es-CR"/>
        </w:rPr>
        <w:t>el objetivo</w:t>
      </w:r>
      <w:r w:rsidRPr="00EB5530">
        <w:rPr>
          <w:rFonts w:ascii="Verdana" w:hAnsi="Verdana"/>
          <w:sz w:val="20"/>
          <w:szCs w:val="20"/>
          <w:lang w:val="es-CR"/>
        </w:rPr>
        <w:t xml:space="preserve"> </w:t>
      </w:r>
      <w:r w:rsidR="00B22068" w:rsidRPr="00EB5530">
        <w:rPr>
          <w:rFonts w:ascii="Verdana" w:hAnsi="Verdana"/>
          <w:sz w:val="20"/>
          <w:szCs w:val="20"/>
          <w:lang w:val="es-CR"/>
        </w:rPr>
        <w:t>de</w:t>
      </w:r>
      <w:r w:rsidR="009B6CB7" w:rsidRPr="00EB5530">
        <w:rPr>
          <w:rFonts w:ascii="Verdana" w:hAnsi="Verdana"/>
          <w:sz w:val="20"/>
          <w:szCs w:val="20"/>
          <w:lang w:val="es-CR"/>
        </w:rPr>
        <w:t>l señor</w:t>
      </w:r>
      <w:r w:rsidR="00B22068" w:rsidRPr="00EB5530">
        <w:rPr>
          <w:rFonts w:ascii="Verdana" w:hAnsi="Verdana"/>
          <w:sz w:val="20"/>
          <w:szCs w:val="20"/>
          <w:lang w:val="es-CR"/>
        </w:rPr>
        <w:t xml:space="preserve"> Lagos del Campo </w:t>
      </w:r>
      <w:r w:rsidR="00DF7914" w:rsidRPr="00EB5530">
        <w:rPr>
          <w:rFonts w:ascii="Verdana" w:hAnsi="Verdana"/>
          <w:sz w:val="20"/>
          <w:szCs w:val="20"/>
          <w:lang w:val="es-CR"/>
        </w:rPr>
        <w:t xml:space="preserve">era </w:t>
      </w:r>
      <w:r w:rsidRPr="00EB5530">
        <w:rPr>
          <w:rFonts w:ascii="Verdana" w:hAnsi="Verdana"/>
          <w:sz w:val="20"/>
          <w:szCs w:val="20"/>
          <w:lang w:val="es-CR"/>
        </w:rPr>
        <w:t xml:space="preserve">denunciar las alegadas irregularidades, es decir, de informar sobre una situación, que a criterio de </w:t>
      </w:r>
      <w:r w:rsidR="00B22068" w:rsidRPr="00EB5530">
        <w:rPr>
          <w:rFonts w:ascii="Verdana" w:hAnsi="Verdana"/>
          <w:sz w:val="20"/>
          <w:szCs w:val="20"/>
          <w:lang w:val="es-CR"/>
        </w:rPr>
        <w:t>éste</w:t>
      </w:r>
      <w:r w:rsidRPr="00EB5530">
        <w:rPr>
          <w:rFonts w:ascii="Verdana" w:hAnsi="Verdana"/>
          <w:sz w:val="20"/>
          <w:szCs w:val="20"/>
          <w:lang w:val="es-CR"/>
        </w:rPr>
        <w:t xml:space="preserve"> vulneraba los intereses que él representaba</w:t>
      </w:r>
      <w:r w:rsidRPr="00EB5530">
        <w:rPr>
          <w:rFonts w:ascii="Verdana" w:hAnsi="Verdana"/>
          <w:sz w:val="20"/>
          <w:szCs w:val="20"/>
          <w:vertAlign w:val="superscript"/>
          <w:lang w:val="es-CR"/>
        </w:rPr>
        <w:footnoteReference w:id="155"/>
      </w:r>
      <w:r w:rsidRPr="00EB5530">
        <w:rPr>
          <w:rFonts w:ascii="Verdana" w:hAnsi="Verdana"/>
          <w:sz w:val="20"/>
          <w:szCs w:val="20"/>
          <w:lang w:val="es-CR"/>
        </w:rPr>
        <w:t xml:space="preserve">, </w:t>
      </w:r>
      <w:r w:rsidR="009B6CB7" w:rsidRPr="00EB5530">
        <w:rPr>
          <w:rFonts w:ascii="Verdana" w:hAnsi="Verdana"/>
          <w:sz w:val="20"/>
          <w:szCs w:val="20"/>
          <w:lang w:val="es-CR"/>
        </w:rPr>
        <w:t xml:space="preserve">acompañados quizás de </w:t>
      </w:r>
      <w:r w:rsidRPr="00EB5530">
        <w:rPr>
          <w:rFonts w:ascii="Verdana" w:hAnsi="Verdana"/>
          <w:sz w:val="20"/>
          <w:szCs w:val="20"/>
          <w:lang w:val="es-CR"/>
        </w:rPr>
        <w:t>comentarios críticos u opiniones</w:t>
      </w:r>
      <w:r w:rsidR="00FF5791" w:rsidRPr="00EB5530">
        <w:rPr>
          <w:rFonts w:ascii="Verdana" w:hAnsi="Verdana"/>
          <w:sz w:val="20"/>
          <w:szCs w:val="20"/>
          <w:lang w:val="es-CR"/>
        </w:rPr>
        <w:t xml:space="preserve">. Por el contrario, </w:t>
      </w:r>
      <w:r w:rsidR="00915ACA" w:rsidRPr="00EB5530">
        <w:rPr>
          <w:rFonts w:ascii="Verdana" w:hAnsi="Verdana"/>
          <w:sz w:val="20"/>
          <w:szCs w:val="20"/>
          <w:lang w:val="es-CR"/>
        </w:rPr>
        <w:t>d</w:t>
      </w:r>
      <w:r w:rsidR="00FF5791" w:rsidRPr="00EB5530">
        <w:rPr>
          <w:rFonts w:ascii="Verdana" w:hAnsi="Verdana"/>
          <w:sz w:val="20"/>
          <w:szCs w:val="20"/>
          <w:lang w:val="es-CR"/>
        </w:rPr>
        <w:t xml:space="preserve">el contenido de tales expresiones en el presente contexto no </w:t>
      </w:r>
      <w:r w:rsidR="00915ACA" w:rsidRPr="00EB5530">
        <w:rPr>
          <w:rFonts w:ascii="Verdana" w:hAnsi="Verdana"/>
          <w:sz w:val="20"/>
          <w:szCs w:val="20"/>
          <w:lang w:val="es-CR"/>
        </w:rPr>
        <w:t>se denota</w:t>
      </w:r>
      <w:r w:rsidR="00FF5791" w:rsidRPr="00EB5530">
        <w:rPr>
          <w:rFonts w:ascii="Verdana" w:hAnsi="Verdana"/>
          <w:sz w:val="20"/>
          <w:szCs w:val="20"/>
          <w:lang w:val="es-CR"/>
        </w:rPr>
        <w:t xml:space="preserve"> que tuvieran un manifiesto ánimo injurioso, difamatorio, vejatorio o doloso en contra de alguna persona en particular</w:t>
      </w:r>
      <w:r w:rsidR="00915ACA" w:rsidRPr="00EB5530">
        <w:rPr>
          <w:rFonts w:ascii="Verdana" w:hAnsi="Verdana"/>
          <w:sz w:val="20"/>
          <w:szCs w:val="20"/>
          <w:lang w:val="es-CR"/>
        </w:rPr>
        <w:t xml:space="preserve"> o</w:t>
      </w:r>
      <w:r w:rsidR="00CA4720">
        <w:rPr>
          <w:rFonts w:ascii="Verdana" w:hAnsi="Verdana"/>
          <w:sz w:val="20"/>
          <w:szCs w:val="20"/>
          <w:lang w:val="es-CR"/>
        </w:rPr>
        <w:t xml:space="preserve"> que</w:t>
      </w:r>
      <w:r w:rsidR="00915ACA" w:rsidRPr="00EB5530">
        <w:rPr>
          <w:rFonts w:ascii="Verdana" w:hAnsi="Verdana"/>
          <w:sz w:val="20"/>
          <w:szCs w:val="20"/>
          <w:lang w:val="es-CR"/>
        </w:rPr>
        <w:t xml:space="preserve"> tendieran</w:t>
      </w:r>
      <w:r w:rsidR="00CA4720">
        <w:rPr>
          <w:rFonts w:ascii="Verdana" w:hAnsi="Verdana"/>
          <w:sz w:val="20"/>
          <w:szCs w:val="20"/>
          <w:lang w:val="es-CR"/>
        </w:rPr>
        <w:t xml:space="preserve"> a</w:t>
      </w:r>
      <w:r w:rsidR="00915ACA" w:rsidRPr="00EB5530">
        <w:rPr>
          <w:rFonts w:ascii="Verdana" w:hAnsi="Verdana"/>
          <w:sz w:val="20"/>
          <w:szCs w:val="20"/>
          <w:lang w:val="es-CR"/>
        </w:rPr>
        <w:t xml:space="preserve"> afectar el producto de la empresa</w:t>
      </w:r>
      <w:r w:rsidR="00FF5791" w:rsidRPr="00EB5530">
        <w:rPr>
          <w:rFonts w:ascii="Verdana" w:hAnsi="Verdana"/>
          <w:sz w:val="20"/>
          <w:szCs w:val="20"/>
          <w:lang w:val="es-CR"/>
        </w:rPr>
        <w:t xml:space="preserve"> (</w:t>
      </w:r>
      <w:r w:rsidR="00224537" w:rsidRPr="00EB5530">
        <w:rPr>
          <w:rFonts w:ascii="Verdana" w:hAnsi="Verdana"/>
          <w:i/>
          <w:sz w:val="20"/>
          <w:szCs w:val="20"/>
          <w:lang w:val="es-CR"/>
        </w:rPr>
        <w:t>supra</w:t>
      </w:r>
      <w:r w:rsidR="00FF5791" w:rsidRPr="00EB5530">
        <w:rPr>
          <w:rFonts w:ascii="Verdana" w:hAnsi="Verdana"/>
          <w:sz w:val="20"/>
          <w:szCs w:val="20"/>
          <w:lang w:val="es-CR"/>
        </w:rPr>
        <w:t xml:space="preserve"> </w:t>
      </w:r>
      <w:r w:rsidR="00CA4720">
        <w:rPr>
          <w:rFonts w:ascii="Verdana" w:hAnsi="Verdana"/>
          <w:sz w:val="20"/>
          <w:szCs w:val="20"/>
          <w:lang w:val="es-CR"/>
        </w:rPr>
        <w:t>párr. 11</w:t>
      </w:r>
      <w:r w:rsidR="000023EA">
        <w:rPr>
          <w:rFonts w:ascii="Verdana" w:hAnsi="Verdana"/>
          <w:sz w:val="20"/>
          <w:szCs w:val="20"/>
          <w:lang w:val="es-CR"/>
        </w:rPr>
        <w:t>2</w:t>
      </w:r>
      <w:r w:rsidR="00FF5791" w:rsidRPr="00EB5530">
        <w:rPr>
          <w:rFonts w:ascii="Verdana" w:hAnsi="Verdana"/>
          <w:sz w:val="20"/>
          <w:szCs w:val="20"/>
          <w:lang w:val="es-CR"/>
        </w:rPr>
        <w:t>).</w:t>
      </w:r>
      <w:r w:rsidR="009B6CB7" w:rsidRPr="00EB5530">
        <w:rPr>
          <w:rFonts w:ascii="Verdana" w:hAnsi="Verdana"/>
          <w:sz w:val="20"/>
          <w:szCs w:val="20"/>
          <w:lang w:val="es-CR"/>
        </w:rPr>
        <w:t xml:space="preserve"> Si bien la publicación contenía particulares expresiones altisonantes sobre la situación denunciada, estas no </w:t>
      </w:r>
      <w:r w:rsidR="00DF7914" w:rsidRPr="00EB5530">
        <w:rPr>
          <w:rFonts w:ascii="Verdana" w:hAnsi="Verdana"/>
          <w:sz w:val="20"/>
          <w:szCs w:val="20"/>
          <w:lang w:val="es-CR"/>
        </w:rPr>
        <w:t>revestían</w:t>
      </w:r>
      <w:r w:rsidR="009B6CB7" w:rsidRPr="00EB5530">
        <w:rPr>
          <w:rFonts w:ascii="Verdana" w:hAnsi="Verdana"/>
          <w:sz w:val="20"/>
          <w:szCs w:val="20"/>
          <w:lang w:val="es-CR"/>
        </w:rPr>
        <w:t xml:space="preserve"> una entidad tal que traspas</w:t>
      </w:r>
      <w:r w:rsidR="00DF7914" w:rsidRPr="00EB5530">
        <w:rPr>
          <w:rFonts w:ascii="Verdana" w:hAnsi="Verdana"/>
          <w:sz w:val="20"/>
          <w:szCs w:val="20"/>
          <w:lang w:val="es-CR"/>
        </w:rPr>
        <w:t>ara</w:t>
      </w:r>
      <w:r w:rsidR="009B6CB7" w:rsidRPr="00EB5530">
        <w:rPr>
          <w:rFonts w:ascii="Verdana" w:hAnsi="Verdana"/>
          <w:sz w:val="20"/>
          <w:szCs w:val="20"/>
          <w:lang w:val="es-CR"/>
        </w:rPr>
        <w:t xml:space="preserve"> el umbral de especial protección </w:t>
      </w:r>
      <w:r w:rsidR="00DF7914" w:rsidRPr="00EB5530">
        <w:rPr>
          <w:rFonts w:ascii="Verdana" w:hAnsi="Verdana"/>
          <w:sz w:val="20"/>
          <w:szCs w:val="20"/>
          <w:lang w:val="es-CR"/>
        </w:rPr>
        <w:t>de</w:t>
      </w:r>
      <w:r w:rsidR="00915ACA" w:rsidRPr="00EB5530">
        <w:rPr>
          <w:rFonts w:ascii="Verdana" w:hAnsi="Verdana"/>
          <w:sz w:val="20"/>
          <w:szCs w:val="20"/>
          <w:lang w:val="es-CR"/>
        </w:rPr>
        <w:t>l carácter de</w:t>
      </w:r>
      <w:r w:rsidR="00DF7914" w:rsidRPr="00EB5530">
        <w:rPr>
          <w:rFonts w:ascii="Verdana" w:hAnsi="Verdana"/>
          <w:sz w:val="20"/>
          <w:szCs w:val="20"/>
          <w:lang w:val="es-CR"/>
        </w:rPr>
        <w:t xml:space="preserve"> las denuncias expuestas</w:t>
      </w:r>
      <w:r w:rsidR="009B6CB7" w:rsidRPr="00EB5530">
        <w:rPr>
          <w:rFonts w:ascii="Verdana" w:hAnsi="Verdana"/>
          <w:sz w:val="20"/>
          <w:szCs w:val="20"/>
          <w:lang w:val="es-CR"/>
        </w:rPr>
        <w:t xml:space="preserve"> en el marco del referido contexto</w:t>
      </w:r>
      <w:r w:rsidR="009B6CB7" w:rsidRPr="00EB5530">
        <w:rPr>
          <w:rFonts w:ascii="Verdana" w:hAnsi="Verdana"/>
          <w:sz w:val="20"/>
          <w:szCs w:val="20"/>
          <w:vertAlign w:val="superscript"/>
          <w:lang w:val="es-CR"/>
        </w:rPr>
        <w:footnoteReference w:id="156"/>
      </w:r>
      <w:r w:rsidR="00EF57BA" w:rsidRPr="00EB5530">
        <w:rPr>
          <w:rFonts w:ascii="Verdana" w:hAnsi="Verdana"/>
          <w:sz w:val="20"/>
          <w:szCs w:val="20"/>
          <w:lang w:val="es-CR"/>
        </w:rPr>
        <w:t>.</w:t>
      </w:r>
    </w:p>
    <w:p w14:paraId="57C95F0E" w14:textId="77777777" w:rsidR="00C92868" w:rsidRPr="00EB5530" w:rsidRDefault="00C92868" w:rsidP="005D0F69">
      <w:pPr>
        <w:contextualSpacing/>
        <w:rPr>
          <w:rFonts w:ascii="Verdana" w:hAnsi="Verdana"/>
          <w:sz w:val="20"/>
          <w:szCs w:val="20"/>
          <w:lang w:val="es-CR"/>
        </w:rPr>
      </w:pPr>
    </w:p>
    <w:p w14:paraId="7502E8BE" w14:textId="77E0C231" w:rsidR="00C01305" w:rsidRPr="00897912" w:rsidRDefault="00897912" w:rsidP="005B3D37">
      <w:pPr>
        <w:pStyle w:val="Heading3"/>
        <w:ind w:left="360"/>
        <w:rPr>
          <w:i/>
          <w:lang w:val="es-MX"/>
        </w:rPr>
      </w:pPr>
      <w:bookmarkStart w:id="47" w:name="_Toc498333504"/>
      <w:r w:rsidRPr="00EB5530">
        <w:rPr>
          <w:i/>
          <w:lang w:val="es-MX"/>
        </w:rPr>
        <w:t xml:space="preserve">1.2.2. </w:t>
      </w:r>
      <w:r w:rsidR="00C01305" w:rsidRPr="00EB5530">
        <w:rPr>
          <w:i/>
          <w:lang w:val="es-MX"/>
        </w:rPr>
        <w:t>Legalidad y finalidad</w:t>
      </w:r>
      <w:bookmarkEnd w:id="47"/>
    </w:p>
    <w:p w14:paraId="0BA7B371" w14:textId="42263B6F" w:rsidR="00C01305" w:rsidRPr="00C01305" w:rsidRDefault="00C01305" w:rsidP="00C01305">
      <w:pPr>
        <w:ind w:left="1440"/>
        <w:contextualSpacing/>
        <w:rPr>
          <w:rFonts w:ascii="Verdana" w:hAnsi="Verdana"/>
          <w:sz w:val="20"/>
          <w:szCs w:val="20"/>
          <w:lang w:val="es-CR"/>
        </w:rPr>
      </w:pPr>
    </w:p>
    <w:p w14:paraId="450851B1" w14:textId="1FD542C5" w:rsidR="00C464D5" w:rsidRPr="00E677C5" w:rsidRDefault="00EF57BA" w:rsidP="00E66DD7">
      <w:pPr>
        <w:pStyle w:val="ListParagraph"/>
        <w:numPr>
          <w:ilvl w:val="0"/>
          <w:numId w:val="1"/>
        </w:numPr>
        <w:ind w:left="0" w:firstLine="0"/>
        <w:jc w:val="both"/>
        <w:rPr>
          <w:rFonts w:ascii="Verdana" w:hAnsi="Verdana"/>
          <w:b/>
          <w:sz w:val="20"/>
          <w:szCs w:val="20"/>
        </w:rPr>
      </w:pPr>
      <w:r w:rsidRPr="0054602A">
        <w:rPr>
          <w:rFonts w:ascii="Verdana" w:hAnsi="Verdana"/>
          <w:sz w:val="20"/>
          <w:szCs w:val="20"/>
          <w:lang w:val="es-MX"/>
        </w:rPr>
        <w:t xml:space="preserve">De conformidad con el artículo 13.2, a fin de </w:t>
      </w:r>
      <w:r w:rsidR="00FF1171" w:rsidRPr="00E677C5">
        <w:rPr>
          <w:rFonts w:ascii="Verdana" w:hAnsi="Verdana"/>
          <w:sz w:val="20"/>
          <w:szCs w:val="20"/>
          <w:lang w:val="es-MX"/>
        </w:rPr>
        <w:t>evaluar si una restricción a un derecho establecido en la Convención Americana es permitida a la luz de dicho tratado consiste en examinar si la medida limitativa cumple con el requisito de legalidad. Ello significa que las condiciones y circunstancias generales que autorizan las restricciones a un derecho humano deben estar claramente establecidas en la ley, entendida esta tanto en su sentido formal como material</w:t>
      </w:r>
      <w:r w:rsidR="00FF1171" w:rsidRPr="00E677C5">
        <w:rPr>
          <w:rStyle w:val="FootnoteReference"/>
          <w:szCs w:val="20"/>
          <w:lang w:val="es-MX"/>
        </w:rPr>
        <w:footnoteReference w:id="157"/>
      </w:r>
      <w:r w:rsidR="00FF1171" w:rsidRPr="00E677C5">
        <w:rPr>
          <w:rFonts w:ascii="Verdana" w:hAnsi="Verdana"/>
          <w:sz w:val="20"/>
          <w:szCs w:val="20"/>
          <w:lang w:val="es-MX"/>
        </w:rPr>
        <w:t xml:space="preserve">. </w:t>
      </w:r>
    </w:p>
    <w:p w14:paraId="3FAF4880" w14:textId="77777777" w:rsidR="00C464D5" w:rsidRPr="00CB5A95" w:rsidRDefault="00C464D5" w:rsidP="00CB5A95">
      <w:pPr>
        <w:pStyle w:val="ListParagraph"/>
        <w:ind w:left="0"/>
        <w:jc w:val="both"/>
        <w:rPr>
          <w:rFonts w:ascii="Verdana" w:hAnsi="Verdana"/>
          <w:b/>
          <w:sz w:val="20"/>
          <w:szCs w:val="20"/>
        </w:rPr>
      </w:pPr>
    </w:p>
    <w:p w14:paraId="3F168DEE" w14:textId="227959C9" w:rsidR="00FF1171" w:rsidRPr="00907618" w:rsidRDefault="00FF1171" w:rsidP="00E66DD7">
      <w:pPr>
        <w:pStyle w:val="ListParagraph"/>
        <w:numPr>
          <w:ilvl w:val="0"/>
          <w:numId w:val="1"/>
        </w:numPr>
        <w:ind w:left="0" w:firstLine="0"/>
        <w:jc w:val="both"/>
        <w:rPr>
          <w:rFonts w:ascii="Verdana" w:hAnsi="Verdana"/>
          <w:b/>
          <w:sz w:val="20"/>
          <w:szCs w:val="20"/>
        </w:rPr>
      </w:pPr>
      <w:r w:rsidRPr="00CB5A95">
        <w:rPr>
          <w:rFonts w:ascii="Verdana" w:hAnsi="Verdana"/>
          <w:sz w:val="20"/>
        </w:rPr>
        <w:t xml:space="preserve">En </w:t>
      </w:r>
      <w:r w:rsidRPr="00907618">
        <w:rPr>
          <w:rFonts w:ascii="Verdana" w:hAnsi="Verdana"/>
          <w:sz w:val="20"/>
          <w:szCs w:val="20"/>
        </w:rPr>
        <w:t>materia de limitaciones de orden penal, este Tribunal ha establecido que es preciso observar los estrictos requerimientos característicos de la tipificación penal para satisfacer el principio de legalidad</w:t>
      </w:r>
      <w:r w:rsidRPr="00A532BE">
        <w:rPr>
          <w:rFonts w:ascii="Verdana" w:hAnsi="Verdana"/>
          <w:sz w:val="20"/>
          <w:szCs w:val="20"/>
          <w:vertAlign w:val="superscript"/>
        </w:rPr>
        <w:footnoteReference w:id="158"/>
      </w:r>
      <w:r w:rsidRPr="00907618">
        <w:rPr>
          <w:rFonts w:ascii="Verdana" w:hAnsi="Verdana"/>
          <w:sz w:val="20"/>
          <w:szCs w:val="20"/>
        </w:rPr>
        <w:t xml:space="preserve">. </w:t>
      </w:r>
      <w:r>
        <w:rPr>
          <w:rFonts w:ascii="Verdana" w:hAnsi="Verdana"/>
          <w:sz w:val="20"/>
          <w:szCs w:val="20"/>
        </w:rPr>
        <w:t>Sin embargo</w:t>
      </w:r>
      <w:r w:rsidRPr="00907618">
        <w:rPr>
          <w:rFonts w:ascii="Verdana" w:hAnsi="Verdana"/>
          <w:sz w:val="20"/>
          <w:szCs w:val="20"/>
        </w:rPr>
        <w:t>, la Corte advierte que la norma aplicada como fundamento para el despido del señor Lagos del Campo no era de naturaleza penal, sino laboral, y por lo tanto considera que el cumplimiento del requisito de legalidad no es susceptible de una evaluación análoga a la realizada en casos que involucren la afectación de bienes protegidos por el orden penal. Lo</w:t>
      </w:r>
      <w:r w:rsidRPr="00CB5A95">
        <w:rPr>
          <w:rFonts w:ascii="Verdana" w:hAnsi="Verdana"/>
          <w:sz w:val="20"/>
        </w:rPr>
        <w:t xml:space="preserve"> anterior </w:t>
      </w:r>
      <w:r w:rsidR="001B481A" w:rsidRPr="00333304">
        <w:rPr>
          <w:rFonts w:ascii="Verdana" w:hAnsi="Verdana"/>
          <w:sz w:val="20"/>
          <w:szCs w:val="20"/>
        </w:rPr>
        <w:t>puesto</w:t>
      </w:r>
      <w:r w:rsidR="001B481A" w:rsidRPr="00907618">
        <w:rPr>
          <w:rFonts w:ascii="Verdana" w:hAnsi="Verdana"/>
          <w:sz w:val="20"/>
          <w:szCs w:val="20"/>
        </w:rPr>
        <w:t xml:space="preserve"> </w:t>
      </w:r>
      <w:r w:rsidRPr="00907618">
        <w:rPr>
          <w:rFonts w:ascii="Verdana" w:hAnsi="Verdana"/>
          <w:sz w:val="20"/>
          <w:szCs w:val="20"/>
        </w:rPr>
        <w:t>que, tal y como lo ha sostenido este Tribunal al evaluar el cumplimiento del requisito de legalidad en casos que no involucran cuestiones penales, “el grado de precisión requerido a la legislación interna depende considerablemente de la materia”</w:t>
      </w:r>
      <w:r w:rsidRPr="00CF7C15">
        <w:rPr>
          <w:rFonts w:ascii="Verdana" w:hAnsi="Verdana"/>
          <w:sz w:val="20"/>
          <w:szCs w:val="20"/>
          <w:vertAlign w:val="superscript"/>
        </w:rPr>
        <w:footnoteReference w:id="159"/>
      </w:r>
      <w:r w:rsidRPr="00907618">
        <w:rPr>
          <w:rFonts w:ascii="Verdana" w:hAnsi="Verdana"/>
          <w:sz w:val="20"/>
          <w:szCs w:val="20"/>
        </w:rPr>
        <w:t>. De esta forma, no es exigible un nivel homogéneo de precisión para todas las normas de un ordenamiento jurídico que prevean restricciones a un derecho protegido por la Convención, pues:</w:t>
      </w:r>
    </w:p>
    <w:p w14:paraId="5F4FB881" w14:textId="77777777" w:rsidR="00FF1171" w:rsidRPr="00CF7C15" w:rsidRDefault="00FF1171" w:rsidP="00FF1171">
      <w:pPr>
        <w:contextualSpacing/>
        <w:jc w:val="both"/>
        <w:rPr>
          <w:rFonts w:ascii="Verdana" w:hAnsi="Verdana"/>
          <w:b/>
          <w:sz w:val="20"/>
          <w:szCs w:val="20"/>
        </w:rPr>
      </w:pPr>
    </w:p>
    <w:p w14:paraId="10660CED" w14:textId="2D840207" w:rsidR="00FF1171" w:rsidRPr="00261A99" w:rsidRDefault="00FF1171" w:rsidP="00CB5A95">
      <w:pPr>
        <w:ind w:left="720" w:right="714"/>
        <w:jc w:val="both"/>
        <w:rPr>
          <w:rFonts w:ascii="Verdana" w:hAnsi="Verdana"/>
          <w:sz w:val="18"/>
          <w:szCs w:val="20"/>
        </w:rPr>
      </w:pPr>
      <w:r w:rsidRPr="00557859">
        <w:rPr>
          <w:rFonts w:ascii="Verdana" w:hAnsi="Verdana"/>
          <w:sz w:val="20"/>
          <w:szCs w:val="20"/>
        </w:rPr>
        <w:t>[</w:t>
      </w:r>
      <w:r w:rsidRPr="00557859">
        <w:rPr>
          <w:rFonts w:ascii="Verdana" w:hAnsi="Verdana"/>
          <w:sz w:val="18"/>
          <w:szCs w:val="20"/>
        </w:rPr>
        <w:t xml:space="preserve">L]a ley debe estar formulada con precisión suficiente para permitir a las personas regular su conducta, de manera de ser capaces de prever con un grado que sea razonable, de acuerdo a las circunstancias, las consecuencias que una acción determinada puede conllevar. Como ha sido señalado, si bien la certeza en la ley es altamente deseable, ello puede traer una rigidez excesiva. Por otra parte, la ley debe ser capaz de mantenerse </w:t>
      </w:r>
      <w:r w:rsidRPr="00261A99">
        <w:rPr>
          <w:rFonts w:ascii="Verdana" w:hAnsi="Verdana"/>
          <w:sz w:val="18"/>
          <w:szCs w:val="20"/>
        </w:rPr>
        <w:t>vigente a pesar de las circunstancias cambiantes. En consecuencia, muchas leyes están formuladas en términos que, en mayor o menor medida, son vagos y cuya interpretación y aplicación son cuestiones de práctica</w:t>
      </w:r>
      <w:r w:rsidRPr="00261A99">
        <w:rPr>
          <w:rFonts w:ascii="Verdana" w:hAnsi="Verdana"/>
          <w:sz w:val="18"/>
          <w:szCs w:val="20"/>
          <w:vertAlign w:val="superscript"/>
        </w:rPr>
        <w:footnoteReference w:id="160"/>
      </w:r>
      <w:r w:rsidRPr="00261A99">
        <w:rPr>
          <w:rFonts w:ascii="Verdana" w:hAnsi="Verdana"/>
          <w:sz w:val="18"/>
          <w:szCs w:val="20"/>
        </w:rPr>
        <w:t>.</w:t>
      </w:r>
    </w:p>
    <w:p w14:paraId="4E030920" w14:textId="77777777" w:rsidR="00FF1171" w:rsidRPr="00DF7914" w:rsidRDefault="00FF1171" w:rsidP="00CB5A95">
      <w:pPr>
        <w:pStyle w:val="ListParagraph"/>
        <w:ind w:left="0"/>
        <w:jc w:val="both"/>
      </w:pPr>
    </w:p>
    <w:p w14:paraId="1FCD0BAD" w14:textId="6500F75B" w:rsidR="00D74FDD" w:rsidRPr="005D0F69" w:rsidRDefault="00D74FDD" w:rsidP="00E66DD7">
      <w:pPr>
        <w:numPr>
          <w:ilvl w:val="0"/>
          <w:numId w:val="1"/>
        </w:numPr>
        <w:ind w:left="0" w:firstLine="0"/>
        <w:contextualSpacing/>
        <w:jc w:val="both"/>
        <w:rPr>
          <w:rFonts w:ascii="Verdana" w:hAnsi="Verdana"/>
          <w:b/>
          <w:sz w:val="20"/>
          <w:szCs w:val="20"/>
        </w:rPr>
      </w:pPr>
      <w:r w:rsidRPr="00261A99">
        <w:rPr>
          <w:rFonts w:ascii="Verdana" w:hAnsi="Verdana"/>
          <w:sz w:val="20"/>
          <w:szCs w:val="20"/>
        </w:rPr>
        <w:t>Por otro lado, la Corte constata que la norma bajo análisis estaba destinada a proteger un fin legítimo y compatible con la Convención, como lo es la protección de la honra y la dignidad de los empleadores y de otros trabajadores que laboraran en la empresa o en el centro de trabajo. En este sentido, esta Corte considera que el hecho de que el inciso h) del artículo 5 de la Ley 24514 no previera expresamente una delimitación a su aplicación para proteger discursos de interés público, o aquellos discursos pronunciados por representantes de trabajadores en ejercicio de sus funciones</w:t>
      </w:r>
      <w:r w:rsidRPr="002E7463">
        <w:rPr>
          <w:rFonts w:ascii="Verdana" w:hAnsi="Verdana"/>
          <w:sz w:val="20"/>
          <w:szCs w:val="20"/>
        </w:rPr>
        <w:t xml:space="preserve">, no resulta </w:t>
      </w:r>
      <w:r w:rsidRPr="002E7463">
        <w:rPr>
          <w:rFonts w:ascii="Verdana" w:hAnsi="Verdana"/>
          <w:i/>
          <w:sz w:val="20"/>
          <w:szCs w:val="20"/>
        </w:rPr>
        <w:t>per se</w:t>
      </w:r>
      <w:r w:rsidRPr="00EB5530">
        <w:rPr>
          <w:rFonts w:ascii="Verdana" w:hAnsi="Verdana"/>
          <w:i/>
          <w:sz w:val="20"/>
          <w:szCs w:val="20"/>
        </w:rPr>
        <w:t xml:space="preserve"> </w:t>
      </w:r>
      <w:r w:rsidRPr="00EB5530">
        <w:rPr>
          <w:rFonts w:ascii="Verdana" w:hAnsi="Verdana"/>
          <w:sz w:val="20"/>
          <w:szCs w:val="20"/>
        </w:rPr>
        <w:t>incompatible con la Convención.</w:t>
      </w:r>
      <w:r w:rsidRPr="00261A99">
        <w:rPr>
          <w:rFonts w:ascii="Verdana" w:hAnsi="Verdana"/>
          <w:sz w:val="20"/>
          <w:szCs w:val="20"/>
        </w:rPr>
        <w:t xml:space="preserve"> </w:t>
      </w:r>
      <w:r w:rsidR="00DF7914">
        <w:rPr>
          <w:rFonts w:ascii="Verdana" w:hAnsi="Verdana"/>
          <w:sz w:val="20"/>
          <w:szCs w:val="20"/>
        </w:rPr>
        <w:t xml:space="preserve">Lo anterior, </w:t>
      </w:r>
      <w:r w:rsidR="00753933" w:rsidRPr="00333304">
        <w:rPr>
          <w:rFonts w:ascii="Verdana" w:hAnsi="Verdana"/>
          <w:sz w:val="20"/>
          <w:szCs w:val="20"/>
        </w:rPr>
        <w:t>debido a</w:t>
      </w:r>
      <w:r w:rsidR="001B481A" w:rsidRPr="00AA5FCF">
        <w:rPr>
          <w:rFonts w:ascii="Verdana" w:hAnsi="Verdana"/>
          <w:sz w:val="20"/>
          <w:szCs w:val="20"/>
        </w:rPr>
        <w:t xml:space="preserve"> </w:t>
      </w:r>
      <w:r w:rsidR="00DF7914">
        <w:rPr>
          <w:rFonts w:ascii="Verdana" w:hAnsi="Verdana"/>
          <w:sz w:val="20"/>
          <w:szCs w:val="20"/>
        </w:rPr>
        <w:t>que</w:t>
      </w:r>
      <w:r w:rsidRPr="00DF7914">
        <w:rPr>
          <w:rFonts w:ascii="Verdana" w:hAnsi="Verdana"/>
          <w:sz w:val="20"/>
          <w:szCs w:val="20"/>
        </w:rPr>
        <w:t xml:space="preserve"> el Estado no está obligado a determinar de manera taxativa en la ley aquellos discursos que requieren una protección especial, sino que serán las autoridades encargadas de su aplicación las que deberán velar por la protección a otros derechos que se </w:t>
      </w:r>
      <w:r w:rsidRPr="00DF7914">
        <w:rPr>
          <w:rFonts w:ascii="Verdana" w:hAnsi="Verdana"/>
          <w:sz w:val="20"/>
          <w:szCs w:val="20"/>
        </w:rPr>
        <w:lastRenderedPageBreak/>
        <w:t>encuentren en juego, en atención a los fines legítimos que persigue la norma, mediante un adecuado control de legalidad.</w:t>
      </w:r>
    </w:p>
    <w:p w14:paraId="343C0AE2" w14:textId="010D3BC8" w:rsidR="00FF1171" w:rsidRPr="00261A99" w:rsidRDefault="00FF1171" w:rsidP="005D0F69">
      <w:pPr>
        <w:contextualSpacing/>
        <w:jc w:val="both"/>
        <w:rPr>
          <w:rFonts w:ascii="Verdana" w:hAnsi="Verdana"/>
          <w:b/>
          <w:sz w:val="20"/>
          <w:szCs w:val="20"/>
        </w:rPr>
      </w:pPr>
    </w:p>
    <w:p w14:paraId="181D8924" w14:textId="24E05457" w:rsidR="00D74FDD" w:rsidRPr="00D74FDD" w:rsidRDefault="00FF1171" w:rsidP="00E66DD7">
      <w:pPr>
        <w:pStyle w:val="ListParagraph"/>
        <w:numPr>
          <w:ilvl w:val="0"/>
          <w:numId w:val="1"/>
        </w:numPr>
        <w:ind w:left="0" w:firstLine="0"/>
        <w:jc w:val="both"/>
        <w:rPr>
          <w:rFonts w:ascii="Verdana" w:hAnsi="Verdana"/>
          <w:sz w:val="20"/>
        </w:rPr>
      </w:pPr>
      <w:r w:rsidRPr="00261A99">
        <w:rPr>
          <w:rFonts w:ascii="Verdana" w:hAnsi="Verdana"/>
          <w:sz w:val="20"/>
          <w:szCs w:val="20"/>
        </w:rPr>
        <w:t>En relación con lo anterior, la Corte recuerda que, en virtud del artículo 2 de la Convención, los Estados</w:t>
      </w:r>
      <w:r w:rsidRPr="00557859">
        <w:rPr>
          <w:rFonts w:ascii="Verdana" w:hAnsi="Verdana"/>
          <w:sz w:val="20"/>
          <w:szCs w:val="20"/>
        </w:rPr>
        <w:t xml:space="preserve"> tienen el deber de desarrollar prácticas conducentes a la efectiva observancia de los derechos protegidos por la Convención, pues la existencia de una norma no garantiza por si misma su aplicación adecuada. Por esta razón, la Corte ha sostenido que es menester que la aplicación de las normas o su interpretación, en tanto prácticas jurisdiccionales y manifestación del orden público estatal, se encuentren ajustadas al mismo fin que persigue el artículo 2 de la Convención</w:t>
      </w:r>
      <w:r w:rsidRPr="00557859">
        <w:rPr>
          <w:rFonts w:ascii="Verdana" w:hAnsi="Verdana"/>
          <w:sz w:val="20"/>
          <w:szCs w:val="20"/>
          <w:vertAlign w:val="superscript"/>
        </w:rPr>
        <w:footnoteReference w:id="161"/>
      </w:r>
      <w:r w:rsidRPr="00557859">
        <w:rPr>
          <w:rFonts w:ascii="Verdana" w:hAnsi="Verdana"/>
          <w:sz w:val="20"/>
          <w:szCs w:val="20"/>
        </w:rPr>
        <w:t xml:space="preserve">. En consecuencia, aun cuando la Corte encuentra </w:t>
      </w:r>
      <w:r w:rsidR="00CC31D1">
        <w:rPr>
          <w:rFonts w:ascii="Verdana" w:hAnsi="Verdana"/>
          <w:sz w:val="20"/>
          <w:szCs w:val="20"/>
        </w:rPr>
        <w:t xml:space="preserve">que </w:t>
      </w:r>
      <w:r w:rsidRPr="00557859">
        <w:rPr>
          <w:rFonts w:ascii="Verdana" w:hAnsi="Verdana"/>
          <w:sz w:val="20"/>
          <w:szCs w:val="20"/>
        </w:rPr>
        <w:t xml:space="preserve">el inciso h) del artículo 5 de la Ley 24514 no era </w:t>
      </w:r>
      <w:r w:rsidRPr="00557859">
        <w:rPr>
          <w:rFonts w:ascii="Verdana" w:hAnsi="Verdana"/>
          <w:i/>
          <w:sz w:val="20"/>
          <w:szCs w:val="20"/>
        </w:rPr>
        <w:t xml:space="preserve">per se </w:t>
      </w:r>
      <w:r w:rsidRPr="00557859">
        <w:rPr>
          <w:rFonts w:ascii="Verdana" w:hAnsi="Verdana"/>
          <w:sz w:val="20"/>
          <w:szCs w:val="20"/>
        </w:rPr>
        <w:t xml:space="preserve">una norma </w:t>
      </w:r>
      <w:r w:rsidR="007E0EA8">
        <w:rPr>
          <w:rFonts w:ascii="Verdana" w:hAnsi="Verdana"/>
          <w:sz w:val="20"/>
          <w:szCs w:val="20"/>
        </w:rPr>
        <w:t>que contraviniera</w:t>
      </w:r>
      <w:r w:rsidR="007E0EA8" w:rsidRPr="00557859">
        <w:rPr>
          <w:rFonts w:ascii="Verdana" w:hAnsi="Verdana"/>
          <w:sz w:val="20"/>
          <w:szCs w:val="20"/>
        </w:rPr>
        <w:t xml:space="preserve"> </w:t>
      </w:r>
      <w:r w:rsidR="00CC31D1">
        <w:rPr>
          <w:rFonts w:ascii="Verdana" w:hAnsi="Verdana"/>
          <w:sz w:val="20"/>
          <w:szCs w:val="20"/>
        </w:rPr>
        <w:t xml:space="preserve">el artículo 13.2 de </w:t>
      </w:r>
      <w:r w:rsidRPr="00557859">
        <w:rPr>
          <w:rFonts w:ascii="Verdana" w:hAnsi="Verdana"/>
          <w:sz w:val="20"/>
          <w:szCs w:val="20"/>
        </w:rPr>
        <w:t>la Convención Americana, esto no exim</w:t>
      </w:r>
      <w:r w:rsidR="00CC31D1">
        <w:rPr>
          <w:rFonts w:ascii="Verdana" w:hAnsi="Verdana"/>
          <w:sz w:val="20"/>
          <w:szCs w:val="20"/>
        </w:rPr>
        <w:t>ía</w:t>
      </w:r>
      <w:r w:rsidRPr="00557859">
        <w:rPr>
          <w:rFonts w:ascii="Verdana" w:hAnsi="Verdana"/>
          <w:sz w:val="20"/>
          <w:szCs w:val="20"/>
        </w:rPr>
        <w:t xml:space="preserve"> a las autoridades de que la aplicación de dicha norma </w:t>
      </w:r>
      <w:r w:rsidR="00CC31D1">
        <w:rPr>
          <w:rFonts w:ascii="Verdana" w:hAnsi="Verdana"/>
          <w:sz w:val="20"/>
          <w:szCs w:val="20"/>
        </w:rPr>
        <w:t>fuera</w:t>
      </w:r>
      <w:r w:rsidRPr="00557859">
        <w:rPr>
          <w:rFonts w:ascii="Verdana" w:hAnsi="Verdana"/>
          <w:sz w:val="20"/>
          <w:szCs w:val="20"/>
        </w:rPr>
        <w:t xml:space="preserve"> reali</w:t>
      </w:r>
      <w:r w:rsidR="00CC31D1">
        <w:rPr>
          <w:rFonts w:ascii="Verdana" w:hAnsi="Verdana"/>
          <w:sz w:val="20"/>
          <w:szCs w:val="20"/>
        </w:rPr>
        <w:t>zada</w:t>
      </w:r>
      <w:r w:rsidRPr="00557859">
        <w:rPr>
          <w:rFonts w:ascii="Verdana" w:hAnsi="Verdana"/>
          <w:sz w:val="20"/>
          <w:szCs w:val="20"/>
        </w:rPr>
        <w:t xml:space="preserve"> con </w:t>
      </w:r>
      <w:r w:rsidR="00CC31D1">
        <w:rPr>
          <w:rFonts w:ascii="Verdana" w:hAnsi="Verdana"/>
          <w:sz w:val="20"/>
          <w:szCs w:val="20"/>
        </w:rPr>
        <w:t xml:space="preserve">la </w:t>
      </w:r>
      <w:r w:rsidRPr="00557859">
        <w:rPr>
          <w:rFonts w:ascii="Verdana" w:hAnsi="Verdana"/>
          <w:sz w:val="20"/>
          <w:szCs w:val="20"/>
        </w:rPr>
        <w:t xml:space="preserve">debida consideración a los </w:t>
      </w:r>
      <w:r w:rsidR="007E0EA8">
        <w:rPr>
          <w:rFonts w:ascii="Verdana" w:hAnsi="Verdana"/>
          <w:sz w:val="20"/>
          <w:szCs w:val="20"/>
        </w:rPr>
        <w:t xml:space="preserve">demás </w:t>
      </w:r>
      <w:r w:rsidRPr="00557859">
        <w:rPr>
          <w:rFonts w:ascii="Verdana" w:hAnsi="Verdana"/>
          <w:sz w:val="20"/>
          <w:szCs w:val="20"/>
        </w:rPr>
        <w:t xml:space="preserve">derechos </w:t>
      </w:r>
      <w:r w:rsidR="007E0EA8">
        <w:rPr>
          <w:rFonts w:ascii="Verdana" w:hAnsi="Verdana"/>
          <w:sz w:val="20"/>
          <w:szCs w:val="20"/>
        </w:rPr>
        <w:t xml:space="preserve">constitucionales y convencionales </w:t>
      </w:r>
      <w:r w:rsidRPr="00557859">
        <w:rPr>
          <w:rFonts w:ascii="Verdana" w:hAnsi="Verdana"/>
          <w:sz w:val="20"/>
          <w:szCs w:val="20"/>
        </w:rPr>
        <w:t>de los trabajadores y de sus representantes</w:t>
      </w:r>
      <w:r w:rsidR="00CC31D1">
        <w:rPr>
          <w:rFonts w:ascii="Verdana" w:hAnsi="Verdana"/>
          <w:sz w:val="20"/>
          <w:szCs w:val="20"/>
        </w:rPr>
        <w:t xml:space="preserve"> (</w:t>
      </w:r>
      <w:r w:rsidR="00CC31D1" w:rsidRPr="00CB5A95">
        <w:rPr>
          <w:rFonts w:ascii="Verdana" w:hAnsi="Verdana"/>
          <w:i/>
          <w:sz w:val="20"/>
          <w:szCs w:val="20"/>
        </w:rPr>
        <w:t>infra</w:t>
      </w:r>
      <w:r w:rsidR="00CC31D1">
        <w:rPr>
          <w:rFonts w:ascii="Verdana" w:hAnsi="Verdana"/>
          <w:sz w:val="20"/>
          <w:szCs w:val="20"/>
        </w:rPr>
        <w:t xml:space="preserve">, párr. </w:t>
      </w:r>
      <w:r w:rsidR="0010653B">
        <w:rPr>
          <w:rFonts w:ascii="Verdana" w:hAnsi="Verdana"/>
          <w:sz w:val="20"/>
          <w:szCs w:val="20"/>
        </w:rPr>
        <w:t>12</w:t>
      </w:r>
      <w:r w:rsidR="000023EA">
        <w:rPr>
          <w:rFonts w:ascii="Verdana" w:hAnsi="Verdana"/>
          <w:sz w:val="20"/>
          <w:szCs w:val="20"/>
        </w:rPr>
        <w:t>9</w:t>
      </w:r>
      <w:r w:rsidR="00CC31D1">
        <w:rPr>
          <w:rFonts w:ascii="Verdana" w:hAnsi="Verdana"/>
          <w:sz w:val="20"/>
          <w:szCs w:val="20"/>
        </w:rPr>
        <w:t>).</w:t>
      </w:r>
    </w:p>
    <w:p w14:paraId="30BCC8FB" w14:textId="77777777" w:rsidR="00D74FDD" w:rsidRPr="00D74FDD" w:rsidRDefault="00D74FDD" w:rsidP="005D0F69">
      <w:pPr>
        <w:pStyle w:val="ListParagraph"/>
        <w:ind w:left="0"/>
        <w:jc w:val="both"/>
        <w:rPr>
          <w:rFonts w:ascii="Verdana" w:hAnsi="Verdana"/>
          <w:sz w:val="20"/>
        </w:rPr>
      </w:pPr>
    </w:p>
    <w:p w14:paraId="3708E1F0" w14:textId="15B765B7" w:rsidR="00290945" w:rsidRPr="00625FAD" w:rsidRDefault="00D74FDD" w:rsidP="00E66DD7">
      <w:pPr>
        <w:pStyle w:val="ListParagraph"/>
        <w:numPr>
          <w:ilvl w:val="0"/>
          <w:numId w:val="1"/>
        </w:numPr>
        <w:ind w:left="0" w:firstLine="0"/>
        <w:jc w:val="both"/>
        <w:rPr>
          <w:rFonts w:ascii="Verdana" w:hAnsi="Verdana"/>
          <w:sz w:val="20"/>
        </w:rPr>
      </w:pPr>
      <w:r w:rsidRPr="005115F2">
        <w:rPr>
          <w:rFonts w:ascii="Verdana" w:hAnsi="Verdana"/>
          <w:sz w:val="20"/>
          <w:szCs w:val="20"/>
        </w:rPr>
        <w:t>En consecuencia, la Corte considera que el inciso h)</w:t>
      </w:r>
      <w:r w:rsidRPr="006E6185">
        <w:rPr>
          <w:rFonts w:ascii="Verdana" w:hAnsi="Verdana"/>
          <w:sz w:val="20"/>
          <w:szCs w:val="20"/>
        </w:rPr>
        <w:t xml:space="preserve"> del artículo 5 de la Ley 24514</w:t>
      </w:r>
      <w:r w:rsidRPr="005115F2">
        <w:rPr>
          <w:rFonts w:ascii="Verdana" w:hAnsi="Verdana"/>
          <w:sz w:val="20"/>
          <w:szCs w:val="20"/>
        </w:rPr>
        <w:t xml:space="preserve"> no </w:t>
      </w:r>
      <w:r w:rsidR="00915ACA">
        <w:rPr>
          <w:rFonts w:ascii="Verdana" w:hAnsi="Verdana"/>
          <w:sz w:val="20"/>
          <w:szCs w:val="20"/>
        </w:rPr>
        <w:t>contravenía</w:t>
      </w:r>
      <w:r w:rsidR="00261A99">
        <w:rPr>
          <w:rFonts w:ascii="Verdana" w:hAnsi="Verdana"/>
          <w:sz w:val="20"/>
          <w:szCs w:val="20"/>
        </w:rPr>
        <w:t xml:space="preserve"> </w:t>
      </w:r>
      <w:r w:rsidRPr="005115F2">
        <w:rPr>
          <w:rFonts w:ascii="Verdana" w:hAnsi="Verdana"/>
          <w:i/>
          <w:sz w:val="20"/>
          <w:szCs w:val="20"/>
        </w:rPr>
        <w:t xml:space="preserve">per se </w:t>
      </w:r>
      <w:r w:rsidR="00261A99" w:rsidRPr="005D0F69">
        <w:rPr>
          <w:rFonts w:ascii="Verdana" w:hAnsi="Verdana"/>
          <w:sz w:val="20"/>
          <w:szCs w:val="20"/>
        </w:rPr>
        <w:t>el artículo 13.2</w:t>
      </w:r>
      <w:r w:rsidR="00261A99">
        <w:rPr>
          <w:rFonts w:ascii="Verdana" w:hAnsi="Verdana"/>
          <w:i/>
          <w:sz w:val="20"/>
          <w:szCs w:val="20"/>
        </w:rPr>
        <w:t xml:space="preserve"> </w:t>
      </w:r>
      <w:r w:rsidR="00261A99">
        <w:rPr>
          <w:rFonts w:ascii="Verdana" w:hAnsi="Verdana"/>
          <w:sz w:val="20"/>
          <w:szCs w:val="20"/>
        </w:rPr>
        <w:t>de</w:t>
      </w:r>
      <w:r w:rsidR="00261A99">
        <w:rPr>
          <w:rFonts w:ascii="Verdana" w:hAnsi="Verdana"/>
          <w:i/>
          <w:sz w:val="20"/>
          <w:szCs w:val="20"/>
        </w:rPr>
        <w:t xml:space="preserve"> </w:t>
      </w:r>
      <w:r w:rsidRPr="005115F2">
        <w:rPr>
          <w:rFonts w:ascii="Verdana" w:hAnsi="Verdana"/>
          <w:sz w:val="20"/>
          <w:szCs w:val="20"/>
        </w:rPr>
        <w:t xml:space="preserve">la Convención Americana, y que por lo tanto </w:t>
      </w:r>
      <w:r w:rsidR="00DF7914">
        <w:rPr>
          <w:rFonts w:ascii="Verdana" w:hAnsi="Verdana"/>
          <w:sz w:val="20"/>
          <w:szCs w:val="20"/>
        </w:rPr>
        <w:t>el inciso</w:t>
      </w:r>
      <w:r w:rsidR="00261A99">
        <w:rPr>
          <w:rFonts w:ascii="Verdana" w:hAnsi="Verdana"/>
          <w:sz w:val="20"/>
          <w:szCs w:val="20"/>
        </w:rPr>
        <w:t xml:space="preserve"> materia de análisis </w:t>
      </w:r>
      <w:r w:rsidR="00DF7914">
        <w:rPr>
          <w:rFonts w:ascii="Verdana" w:hAnsi="Verdana"/>
          <w:sz w:val="20"/>
          <w:szCs w:val="20"/>
        </w:rPr>
        <w:t>dispuesto</w:t>
      </w:r>
      <w:r w:rsidR="00261A99">
        <w:rPr>
          <w:rFonts w:ascii="Verdana" w:hAnsi="Verdana"/>
          <w:sz w:val="20"/>
          <w:szCs w:val="20"/>
        </w:rPr>
        <w:t xml:space="preserve"> en dicha normativa </w:t>
      </w:r>
      <w:r w:rsidRPr="005115F2">
        <w:rPr>
          <w:rFonts w:ascii="Verdana" w:hAnsi="Verdana"/>
          <w:sz w:val="20"/>
          <w:szCs w:val="20"/>
        </w:rPr>
        <w:t>cumpl</w:t>
      </w:r>
      <w:r w:rsidR="00DF7914">
        <w:rPr>
          <w:rFonts w:ascii="Verdana" w:hAnsi="Verdana"/>
          <w:sz w:val="20"/>
          <w:szCs w:val="20"/>
        </w:rPr>
        <w:t>ía</w:t>
      </w:r>
      <w:r w:rsidRPr="005115F2">
        <w:rPr>
          <w:rFonts w:ascii="Verdana" w:hAnsi="Verdana"/>
          <w:sz w:val="20"/>
          <w:szCs w:val="20"/>
        </w:rPr>
        <w:t xml:space="preserve"> con </w:t>
      </w:r>
      <w:r w:rsidR="00261A99">
        <w:rPr>
          <w:rFonts w:ascii="Verdana" w:hAnsi="Verdana"/>
          <w:sz w:val="20"/>
          <w:szCs w:val="20"/>
        </w:rPr>
        <w:t>una finalidad validad a la luz de la Convención</w:t>
      </w:r>
      <w:r w:rsidR="00DF7914">
        <w:rPr>
          <w:rFonts w:ascii="Verdana" w:hAnsi="Verdana"/>
          <w:sz w:val="20"/>
          <w:szCs w:val="20"/>
        </w:rPr>
        <w:t xml:space="preserve"> y por tanto no vulneraba el requisito de legalidad</w:t>
      </w:r>
      <w:r w:rsidR="00261A99">
        <w:rPr>
          <w:rFonts w:ascii="Verdana" w:hAnsi="Verdana"/>
          <w:sz w:val="20"/>
          <w:szCs w:val="20"/>
        </w:rPr>
        <w:t>.</w:t>
      </w:r>
    </w:p>
    <w:p w14:paraId="3B9BB79D" w14:textId="07F363D1" w:rsidR="00C01305" w:rsidRPr="00CB5A95" w:rsidRDefault="00C01305" w:rsidP="00CB5A95">
      <w:pPr>
        <w:pStyle w:val="ListParagraph"/>
        <w:ind w:left="0"/>
        <w:jc w:val="both"/>
        <w:rPr>
          <w:rFonts w:ascii="Verdana" w:hAnsi="Verdana"/>
          <w:sz w:val="20"/>
        </w:rPr>
      </w:pPr>
    </w:p>
    <w:p w14:paraId="4949392E" w14:textId="56F2DC8A" w:rsidR="00C01305" w:rsidRPr="00897912" w:rsidRDefault="00897912" w:rsidP="005B3D37">
      <w:pPr>
        <w:pStyle w:val="Heading3"/>
        <w:ind w:left="360"/>
        <w:rPr>
          <w:i/>
          <w:lang w:val="es-MX"/>
        </w:rPr>
      </w:pPr>
      <w:bookmarkStart w:id="48" w:name="_Toc498333505"/>
      <w:r>
        <w:rPr>
          <w:i/>
          <w:lang w:val="es-MX"/>
        </w:rPr>
        <w:t xml:space="preserve">1.2.3. </w:t>
      </w:r>
      <w:r w:rsidR="00C01305" w:rsidRPr="00897912">
        <w:rPr>
          <w:i/>
          <w:lang w:val="es-MX"/>
        </w:rPr>
        <w:t xml:space="preserve">Necesidad </w:t>
      </w:r>
      <w:r w:rsidR="00B86291" w:rsidRPr="00897912">
        <w:rPr>
          <w:i/>
          <w:lang w:val="es-MX"/>
        </w:rPr>
        <w:t>de la restricción</w:t>
      </w:r>
      <w:r w:rsidR="001C2604" w:rsidRPr="00897912">
        <w:rPr>
          <w:i/>
          <w:lang w:val="es-MX"/>
        </w:rPr>
        <w:t xml:space="preserve"> y debida motivación</w:t>
      </w:r>
      <w:bookmarkEnd w:id="48"/>
    </w:p>
    <w:p w14:paraId="1923828A" w14:textId="77777777" w:rsidR="00C01305" w:rsidRPr="007A36B4" w:rsidRDefault="00C01305" w:rsidP="00C01305">
      <w:pPr>
        <w:ind w:left="1440"/>
        <w:contextualSpacing/>
        <w:jc w:val="both"/>
        <w:rPr>
          <w:rFonts w:ascii="Verdana" w:hAnsi="Verdana"/>
          <w:i/>
          <w:sz w:val="20"/>
          <w:szCs w:val="20"/>
          <w:lang w:val="es-MX"/>
        </w:rPr>
      </w:pPr>
    </w:p>
    <w:p w14:paraId="5D2F19B6" w14:textId="6F593FDD" w:rsidR="00C01305" w:rsidRPr="00473B78" w:rsidRDefault="007E0EA8" w:rsidP="00E66DD7">
      <w:pPr>
        <w:numPr>
          <w:ilvl w:val="0"/>
          <w:numId w:val="1"/>
        </w:numPr>
        <w:ind w:left="0" w:firstLine="0"/>
        <w:contextualSpacing/>
        <w:jc w:val="both"/>
        <w:rPr>
          <w:szCs w:val="20"/>
        </w:rPr>
      </w:pPr>
      <w:r>
        <w:rPr>
          <w:rFonts w:ascii="Verdana" w:hAnsi="Verdana"/>
          <w:sz w:val="20"/>
          <w:szCs w:val="20"/>
        </w:rPr>
        <w:t>E</w:t>
      </w:r>
      <w:r w:rsidR="00C01305" w:rsidRPr="005967AA">
        <w:rPr>
          <w:rFonts w:ascii="Verdana" w:hAnsi="Verdana"/>
          <w:sz w:val="20"/>
          <w:szCs w:val="20"/>
        </w:rPr>
        <w:t xml:space="preserve">l Tribunal </w:t>
      </w:r>
      <w:r w:rsidR="002F5C4C" w:rsidRPr="005967AA">
        <w:rPr>
          <w:rFonts w:ascii="Verdana" w:hAnsi="Verdana"/>
          <w:sz w:val="20"/>
          <w:szCs w:val="20"/>
        </w:rPr>
        <w:t>ha sostenido</w:t>
      </w:r>
      <w:r w:rsidR="00C01305" w:rsidRPr="005967AA">
        <w:rPr>
          <w:rFonts w:ascii="Verdana" w:hAnsi="Verdana"/>
          <w:sz w:val="20"/>
          <w:szCs w:val="20"/>
        </w:rPr>
        <w:t xml:space="preserve"> el criterio que </w:t>
      </w:r>
      <w:r w:rsidR="002F5C4C" w:rsidRPr="005967AA">
        <w:rPr>
          <w:rFonts w:ascii="Verdana" w:hAnsi="Verdana"/>
          <w:sz w:val="20"/>
          <w:szCs w:val="20"/>
        </w:rPr>
        <w:t>“</w:t>
      </w:r>
      <w:r w:rsidR="00C01305" w:rsidRPr="005967AA">
        <w:rPr>
          <w:rFonts w:ascii="Verdana" w:hAnsi="Verdana"/>
          <w:sz w:val="20"/>
          <w:szCs w:val="20"/>
        </w:rPr>
        <w:t>para que una restricción a la libre expresión sea compatible con la Convención Americana, aquella debe ser necesaria en una socieda</w:t>
      </w:r>
      <w:r w:rsidR="002F5C4C" w:rsidRPr="005967AA">
        <w:rPr>
          <w:rFonts w:ascii="Verdana" w:hAnsi="Verdana"/>
          <w:sz w:val="20"/>
          <w:szCs w:val="20"/>
        </w:rPr>
        <w:t xml:space="preserve">d democrática, entendiendo por </w:t>
      </w:r>
      <w:r w:rsidR="00E358F5">
        <w:rPr>
          <w:rFonts w:ascii="Verdana" w:hAnsi="Verdana"/>
          <w:sz w:val="20"/>
          <w:szCs w:val="20"/>
        </w:rPr>
        <w:t>‘</w:t>
      </w:r>
      <w:r w:rsidR="002F5C4C" w:rsidRPr="005967AA">
        <w:rPr>
          <w:rFonts w:ascii="Verdana" w:hAnsi="Verdana"/>
          <w:sz w:val="20"/>
          <w:szCs w:val="20"/>
        </w:rPr>
        <w:t>necesaria</w:t>
      </w:r>
      <w:r w:rsidR="00EC3032">
        <w:rPr>
          <w:rFonts w:ascii="Verdana" w:hAnsi="Verdana"/>
          <w:sz w:val="20"/>
          <w:szCs w:val="20"/>
        </w:rPr>
        <w:t>’</w:t>
      </w:r>
      <w:r w:rsidR="00C01305" w:rsidRPr="005967AA">
        <w:rPr>
          <w:rFonts w:ascii="Verdana" w:hAnsi="Verdana"/>
          <w:sz w:val="20"/>
          <w:szCs w:val="20"/>
        </w:rPr>
        <w:t xml:space="preserve"> la existencia de una necesidad social imperiosa que justifique la restricción</w:t>
      </w:r>
      <w:r w:rsidR="00C01305" w:rsidRPr="00C01305">
        <w:rPr>
          <w:rFonts w:ascii="Verdana" w:hAnsi="Verdana"/>
          <w:sz w:val="20"/>
          <w:szCs w:val="20"/>
          <w:vertAlign w:val="superscript"/>
        </w:rPr>
        <w:footnoteReference w:id="162"/>
      </w:r>
      <w:r w:rsidR="00C01305" w:rsidRPr="005967AA">
        <w:rPr>
          <w:rFonts w:ascii="Verdana" w:hAnsi="Verdana"/>
          <w:sz w:val="20"/>
          <w:szCs w:val="20"/>
        </w:rPr>
        <w:t xml:space="preserve">. En concreto, </w:t>
      </w:r>
      <w:r w:rsidR="00473B78">
        <w:rPr>
          <w:rFonts w:ascii="Verdana" w:hAnsi="Verdana"/>
          <w:sz w:val="20"/>
          <w:szCs w:val="20"/>
          <w:lang w:val="es-CR"/>
        </w:rPr>
        <w:t xml:space="preserve">corresponde determinar </w:t>
      </w:r>
      <w:r w:rsidR="00473B78" w:rsidRPr="00CB5A95">
        <w:rPr>
          <w:rFonts w:ascii="Verdana" w:hAnsi="Verdana"/>
          <w:sz w:val="20"/>
          <w:szCs w:val="20"/>
        </w:rPr>
        <w:t>si a la luz del conjunto de circunstancias, la sanción impuesta a la presunta víctima guardó proporción con el fin legítimo perseguido</w:t>
      </w:r>
      <w:r w:rsidR="00473B78" w:rsidRPr="00CB5A95">
        <w:rPr>
          <w:rFonts w:ascii="Verdana" w:hAnsi="Verdana"/>
          <w:sz w:val="20"/>
          <w:szCs w:val="20"/>
          <w:vertAlign w:val="superscript"/>
        </w:rPr>
        <w:footnoteReference w:id="163"/>
      </w:r>
      <w:r w:rsidR="00473B78" w:rsidRPr="00CB5A95">
        <w:rPr>
          <w:rFonts w:ascii="Verdana" w:hAnsi="Verdana"/>
          <w:sz w:val="20"/>
          <w:szCs w:val="20"/>
        </w:rPr>
        <w:t>, y si las causas invocadas por las autoridades internas para justificarla fueron pertinentes y suficientes</w:t>
      </w:r>
      <w:r w:rsidR="00473B78" w:rsidRPr="00CB5A95">
        <w:rPr>
          <w:rStyle w:val="FootnoteReference"/>
          <w:szCs w:val="20"/>
        </w:rPr>
        <w:footnoteReference w:id="164"/>
      </w:r>
      <w:r w:rsidR="00473B78" w:rsidRPr="00CB5A95">
        <w:rPr>
          <w:rFonts w:ascii="Verdana" w:hAnsi="Verdana"/>
          <w:sz w:val="20"/>
          <w:szCs w:val="20"/>
        </w:rPr>
        <w:t>, mediante una debida motivación.</w:t>
      </w:r>
    </w:p>
    <w:p w14:paraId="0E4EB35F" w14:textId="77777777" w:rsidR="005967AA" w:rsidRPr="005967AA" w:rsidRDefault="005967AA" w:rsidP="005967AA">
      <w:pPr>
        <w:contextualSpacing/>
        <w:jc w:val="both"/>
        <w:rPr>
          <w:szCs w:val="20"/>
        </w:rPr>
      </w:pPr>
    </w:p>
    <w:p w14:paraId="370320A9" w14:textId="4D1052EA" w:rsidR="00AA54B8" w:rsidRPr="005D0F69" w:rsidRDefault="00C01305" w:rsidP="00E66DD7">
      <w:pPr>
        <w:numPr>
          <w:ilvl w:val="0"/>
          <w:numId w:val="1"/>
        </w:numPr>
        <w:ind w:left="0" w:firstLine="0"/>
        <w:contextualSpacing/>
        <w:jc w:val="both"/>
        <w:rPr>
          <w:rFonts w:ascii="Verdana" w:hAnsi="Verdana"/>
          <w:sz w:val="20"/>
          <w:szCs w:val="20"/>
        </w:rPr>
      </w:pPr>
      <w:r w:rsidRPr="00C01305">
        <w:rPr>
          <w:rFonts w:ascii="Verdana" w:hAnsi="Verdana"/>
          <w:sz w:val="20"/>
          <w:szCs w:val="20"/>
        </w:rPr>
        <w:t xml:space="preserve">En este sentido, la Corte entiende que </w:t>
      </w:r>
      <w:r w:rsidRPr="00C01305">
        <w:rPr>
          <w:rFonts w:ascii="Verdana" w:hAnsi="Verdana"/>
          <w:sz w:val="20"/>
          <w:szCs w:val="20"/>
          <w:lang w:val="es-CR"/>
        </w:rPr>
        <w:t xml:space="preserve">el despido puede constituir la máxima sanción de </w:t>
      </w:r>
      <w:r w:rsidR="00A528A6">
        <w:rPr>
          <w:rFonts w:ascii="Verdana" w:hAnsi="Verdana"/>
          <w:sz w:val="20"/>
          <w:szCs w:val="20"/>
          <w:lang w:val="es-CR"/>
        </w:rPr>
        <w:t xml:space="preserve">la relación </w:t>
      </w:r>
      <w:r w:rsidR="000D589F">
        <w:rPr>
          <w:rFonts w:ascii="Verdana" w:hAnsi="Verdana"/>
          <w:sz w:val="20"/>
          <w:szCs w:val="20"/>
          <w:lang w:val="es-CR"/>
        </w:rPr>
        <w:t>laboral</w:t>
      </w:r>
      <w:r w:rsidRPr="00C01305">
        <w:rPr>
          <w:rFonts w:ascii="Verdana" w:hAnsi="Verdana"/>
          <w:sz w:val="20"/>
          <w:szCs w:val="20"/>
          <w:vertAlign w:val="superscript"/>
          <w:lang w:val="es-CR"/>
        </w:rPr>
        <w:footnoteReference w:id="165"/>
      </w:r>
      <w:r w:rsidRPr="00C01305">
        <w:rPr>
          <w:rFonts w:ascii="Verdana" w:hAnsi="Verdana"/>
          <w:sz w:val="20"/>
          <w:szCs w:val="20"/>
          <w:lang w:val="es-CR"/>
        </w:rPr>
        <w:t>, por lo que es fundamental que la misma revista de una necesidad imperiosa frente a la libertad de expresión y que tal sanción esté debidamente justificada (“despido justificado”)</w:t>
      </w:r>
      <w:r w:rsidRPr="00C01305">
        <w:rPr>
          <w:rFonts w:ascii="Verdana" w:hAnsi="Verdana"/>
          <w:sz w:val="20"/>
          <w:szCs w:val="20"/>
          <w:vertAlign w:val="superscript"/>
          <w:lang w:val="es-CR"/>
        </w:rPr>
        <w:footnoteReference w:id="166"/>
      </w:r>
      <w:r w:rsidRPr="00C01305">
        <w:rPr>
          <w:rFonts w:ascii="Verdana" w:hAnsi="Verdana"/>
          <w:sz w:val="20"/>
          <w:szCs w:val="20"/>
          <w:lang w:val="es-CR"/>
        </w:rPr>
        <w:t xml:space="preserve">. </w:t>
      </w:r>
    </w:p>
    <w:p w14:paraId="2538095C" w14:textId="0649B586" w:rsidR="00A528A6" w:rsidRPr="00C01305" w:rsidRDefault="00A528A6" w:rsidP="005D0F69">
      <w:pPr>
        <w:contextualSpacing/>
        <w:jc w:val="both"/>
        <w:rPr>
          <w:rFonts w:ascii="Verdana" w:hAnsi="Verdana"/>
          <w:sz w:val="20"/>
          <w:szCs w:val="20"/>
        </w:rPr>
      </w:pPr>
    </w:p>
    <w:p w14:paraId="16363821" w14:textId="5D50BAFB" w:rsidR="00C01305" w:rsidRPr="00915ACA" w:rsidRDefault="00C01305" w:rsidP="00E66DD7">
      <w:pPr>
        <w:numPr>
          <w:ilvl w:val="0"/>
          <w:numId w:val="1"/>
        </w:numPr>
        <w:ind w:left="0" w:firstLine="0"/>
        <w:contextualSpacing/>
        <w:jc w:val="both"/>
        <w:rPr>
          <w:rFonts w:ascii="Verdana" w:hAnsi="Verdana"/>
          <w:sz w:val="20"/>
          <w:szCs w:val="20"/>
        </w:rPr>
      </w:pPr>
      <w:r w:rsidRPr="00915ACA">
        <w:rPr>
          <w:rFonts w:ascii="Verdana" w:hAnsi="Verdana"/>
          <w:sz w:val="20"/>
          <w:szCs w:val="20"/>
        </w:rPr>
        <w:lastRenderedPageBreak/>
        <w:t xml:space="preserve">Al respecto, resulta relevante la </w:t>
      </w:r>
      <w:r w:rsidR="00B86291" w:rsidRPr="00915ACA">
        <w:rPr>
          <w:rFonts w:ascii="Verdana" w:hAnsi="Verdana"/>
          <w:sz w:val="20"/>
          <w:szCs w:val="20"/>
        </w:rPr>
        <w:t>R</w:t>
      </w:r>
      <w:r w:rsidRPr="00915ACA">
        <w:rPr>
          <w:rFonts w:ascii="Verdana" w:hAnsi="Verdana"/>
          <w:sz w:val="20"/>
          <w:szCs w:val="20"/>
        </w:rPr>
        <w:t xml:space="preserve">ecomendación No. 143 de la OIT sobre los representantes de los trabajadores, mediante la cual (en sus puntos 5 y 6) </w:t>
      </w:r>
      <w:r w:rsidR="008D7ED4" w:rsidRPr="00915ACA">
        <w:rPr>
          <w:rFonts w:ascii="Verdana" w:hAnsi="Verdana"/>
          <w:sz w:val="20"/>
          <w:szCs w:val="20"/>
        </w:rPr>
        <w:t xml:space="preserve">establece </w:t>
      </w:r>
      <w:r w:rsidRPr="00915ACA">
        <w:rPr>
          <w:rFonts w:ascii="Verdana" w:hAnsi="Verdana"/>
          <w:sz w:val="20"/>
          <w:szCs w:val="20"/>
        </w:rPr>
        <w:t xml:space="preserve">una </w:t>
      </w:r>
      <w:r w:rsidRPr="005D0F69">
        <w:rPr>
          <w:rFonts w:ascii="Verdana" w:hAnsi="Verdana"/>
          <w:sz w:val="20"/>
          <w:szCs w:val="20"/>
        </w:rPr>
        <w:t>protección especial</w:t>
      </w:r>
      <w:r w:rsidRPr="00915ACA">
        <w:rPr>
          <w:rFonts w:ascii="Verdana" w:hAnsi="Verdana"/>
          <w:sz w:val="20"/>
          <w:szCs w:val="20"/>
        </w:rPr>
        <w:t xml:space="preserve"> que deben tener los representantes de los trabajadores contra todo acto que pueda perjudicarlos, incluido el despido por razón de su condición de representantes de los trabajadores, entre otras,</w:t>
      </w:r>
      <w:r w:rsidRPr="00BB752A">
        <w:rPr>
          <w:rFonts w:ascii="Verdana" w:hAnsi="Verdana"/>
          <w:sz w:val="20"/>
          <w:szCs w:val="20"/>
        </w:rPr>
        <w:t xml:space="preserve"> siempre que dichos representantes actúen conforme a las leyes, contratos colectivos u otros acuerdos comunes en vigor</w:t>
      </w:r>
      <w:r w:rsidRPr="00915ACA">
        <w:rPr>
          <w:rFonts w:ascii="Verdana" w:hAnsi="Verdana"/>
          <w:sz w:val="20"/>
          <w:szCs w:val="20"/>
          <w:vertAlign w:val="superscript"/>
        </w:rPr>
        <w:footnoteReference w:id="167"/>
      </w:r>
      <w:r w:rsidRPr="00915ACA">
        <w:rPr>
          <w:rFonts w:ascii="Verdana" w:hAnsi="Verdana"/>
          <w:sz w:val="20"/>
          <w:szCs w:val="20"/>
        </w:rPr>
        <w:t xml:space="preserve">. </w:t>
      </w:r>
    </w:p>
    <w:p w14:paraId="3913FC57" w14:textId="77777777" w:rsidR="00C01305" w:rsidRPr="00C01305" w:rsidRDefault="00C01305" w:rsidP="00CA58EF">
      <w:pPr>
        <w:contextualSpacing/>
        <w:jc w:val="both"/>
        <w:rPr>
          <w:rFonts w:ascii="Verdana" w:hAnsi="Verdana"/>
          <w:sz w:val="20"/>
          <w:szCs w:val="20"/>
        </w:rPr>
      </w:pPr>
    </w:p>
    <w:p w14:paraId="4EC471D7" w14:textId="308A22E9" w:rsidR="00C01305" w:rsidRPr="00C01305" w:rsidRDefault="00AA54B8" w:rsidP="00E66DD7">
      <w:pPr>
        <w:numPr>
          <w:ilvl w:val="0"/>
          <w:numId w:val="1"/>
        </w:numPr>
        <w:shd w:val="clear" w:color="auto" w:fill="FFFFFF"/>
        <w:ind w:left="0" w:firstLine="0"/>
        <w:contextualSpacing/>
        <w:jc w:val="both"/>
        <w:rPr>
          <w:rFonts w:ascii="Verdana" w:hAnsi="Verdana"/>
          <w:b/>
          <w:sz w:val="20"/>
          <w:szCs w:val="20"/>
        </w:rPr>
      </w:pPr>
      <w:r>
        <w:rPr>
          <w:rFonts w:ascii="Verdana" w:hAnsi="Verdana"/>
          <w:sz w:val="20"/>
          <w:szCs w:val="20"/>
          <w:lang w:val="es-CR"/>
        </w:rPr>
        <w:t>E</w:t>
      </w:r>
      <w:r w:rsidR="00C01305" w:rsidRPr="00C01305">
        <w:rPr>
          <w:rFonts w:ascii="Verdana" w:hAnsi="Verdana"/>
          <w:sz w:val="20"/>
          <w:szCs w:val="20"/>
          <w:lang w:val="es-CR"/>
        </w:rPr>
        <w:t xml:space="preserve">n primer término, </w:t>
      </w:r>
      <w:r>
        <w:rPr>
          <w:rFonts w:ascii="Verdana" w:hAnsi="Verdana"/>
          <w:sz w:val="20"/>
          <w:szCs w:val="20"/>
          <w:lang w:val="es-CR"/>
        </w:rPr>
        <w:t xml:space="preserve">en este caso, </w:t>
      </w:r>
      <w:r w:rsidR="00C01305" w:rsidRPr="00C01305">
        <w:rPr>
          <w:rFonts w:ascii="Verdana" w:hAnsi="Verdana"/>
          <w:sz w:val="20"/>
          <w:szCs w:val="20"/>
          <w:lang w:val="es-CR"/>
        </w:rPr>
        <w:t xml:space="preserve">mediante carta de </w:t>
      </w:r>
      <w:r w:rsidR="00C01305" w:rsidRPr="00C01305">
        <w:rPr>
          <w:rFonts w:ascii="Verdana" w:hAnsi="Verdana"/>
          <w:sz w:val="20"/>
          <w:szCs w:val="20"/>
        </w:rPr>
        <w:t>despido</w:t>
      </w:r>
      <w:r w:rsidR="00C01305" w:rsidRPr="00C01305">
        <w:rPr>
          <w:rFonts w:ascii="Verdana" w:hAnsi="Verdana"/>
          <w:sz w:val="20"/>
          <w:szCs w:val="20"/>
          <w:lang w:val="es-CR"/>
        </w:rPr>
        <w:t xml:space="preserve"> el empleador consideró que el señor Lagos del Ca</w:t>
      </w:r>
      <w:r w:rsidR="002F5C4C">
        <w:rPr>
          <w:rFonts w:ascii="Verdana" w:hAnsi="Verdana"/>
          <w:sz w:val="20"/>
          <w:szCs w:val="20"/>
          <w:lang w:val="es-CR"/>
        </w:rPr>
        <w:t>mpo no había logrado desvirtuar</w:t>
      </w:r>
      <w:r w:rsidR="00C01305" w:rsidRPr="00C01305">
        <w:rPr>
          <w:rFonts w:ascii="Verdana" w:hAnsi="Verdana"/>
          <w:sz w:val="20"/>
          <w:szCs w:val="20"/>
          <w:lang w:val="es-CR"/>
        </w:rPr>
        <w:t xml:space="preserve"> los cargos en su contra</w:t>
      </w:r>
      <w:r w:rsidR="000023EA">
        <w:rPr>
          <w:rFonts w:ascii="Verdana" w:hAnsi="Verdana"/>
          <w:sz w:val="20"/>
          <w:szCs w:val="20"/>
          <w:lang w:val="es-CR"/>
        </w:rPr>
        <w:t>,</w:t>
      </w:r>
      <w:r w:rsidR="00C01305" w:rsidRPr="00C01305">
        <w:rPr>
          <w:rFonts w:ascii="Verdana" w:hAnsi="Verdana"/>
          <w:sz w:val="20"/>
          <w:szCs w:val="20"/>
          <w:lang w:val="es-CR"/>
        </w:rPr>
        <w:t xml:space="preserve"> por lo que procedió a sancionarlo a través del despido, conforme al procedimiento dispuesto en el artículo 6º del Decreto-Ley (</w:t>
      </w:r>
      <w:r w:rsidR="00224537" w:rsidRPr="00224537">
        <w:rPr>
          <w:rFonts w:ascii="Verdana" w:hAnsi="Verdana"/>
          <w:i/>
          <w:sz w:val="20"/>
          <w:szCs w:val="20"/>
          <w:lang w:val="es-CR"/>
        </w:rPr>
        <w:t>supra</w:t>
      </w:r>
      <w:r w:rsidR="00C01305" w:rsidRPr="00C01305">
        <w:rPr>
          <w:rFonts w:ascii="Verdana" w:hAnsi="Verdana"/>
          <w:sz w:val="20"/>
          <w:szCs w:val="20"/>
          <w:lang w:val="es-CR"/>
        </w:rPr>
        <w:t xml:space="preserve">, </w:t>
      </w:r>
      <w:r w:rsidR="00C01305" w:rsidRPr="00333304">
        <w:rPr>
          <w:rFonts w:ascii="Verdana" w:hAnsi="Verdana"/>
          <w:sz w:val="20"/>
          <w:szCs w:val="20"/>
          <w:lang w:val="es-CR"/>
        </w:rPr>
        <w:t>párr.</w:t>
      </w:r>
      <w:r w:rsidR="00C01305" w:rsidRPr="00C01305">
        <w:rPr>
          <w:rFonts w:ascii="Verdana" w:hAnsi="Verdana"/>
          <w:sz w:val="20"/>
          <w:szCs w:val="20"/>
          <w:lang w:val="es-CR"/>
        </w:rPr>
        <w:t xml:space="preserve"> </w:t>
      </w:r>
      <w:r w:rsidR="00332EE5">
        <w:rPr>
          <w:rFonts w:ascii="Verdana" w:hAnsi="Verdana"/>
          <w:sz w:val="20"/>
          <w:szCs w:val="20"/>
          <w:lang w:val="es-CR"/>
        </w:rPr>
        <w:t>55</w:t>
      </w:r>
      <w:r w:rsidR="00C01305" w:rsidRPr="00C01305">
        <w:rPr>
          <w:rFonts w:ascii="Verdana" w:hAnsi="Verdana"/>
          <w:sz w:val="20"/>
          <w:szCs w:val="20"/>
          <w:lang w:val="es-CR"/>
        </w:rPr>
        <w:t>), dando aviso a la autoridad administrativa del trabajo, y con las consecuencias correspondientes (</w:t>
      </w:r>
      <w:r w:rsidR="004868B2">
        <w:rPr>
          <w:rFonts w:ascii="Verdana" w:hAnsi="Verdana"/>
          <w:i/>
          <w:sz w:val="20"/>
          <w:szCs w:val="20"/>
          <w:lang w:val="es-CR"/>
        </w:rPr>
        <w:t>supra</w:t>
      </w:r>
      <w:r w:rsidR="00C01305" w:rsidRPr="00C01305">
        <w:rPr>
          <w:rFonts w:ascii="Verdana" w:hAnsi="Verdana"/>
          <w:sz w:val="20"/>
          <w:szCs w:val="20"/>
          <w:lang w:val="es-CR"/>
        </w:rPr>
        <w:t xml:space="preserve">, párr. </w:t>
      </w:r>
      <w:r w:rsidR="00332EE5">
        <w:rPr>
          <w:rFonts w:ascii="Verdana" w:hAnsi="Verdana"/>
          <w:sz w:val="20"/>
          <w:szCs w:val="20"/>
          <w:lang w:val="es-CR"/>
        </w:rPr>
        <w:t>57</w:t>
      </w:r>
      <w:r w:rsidR="00C01305" w:rsidRPr="00C01305">
        <w:rPr>
          <w:rFonts w:ascii="Verdana" w:hAnsi="Verdana"/>
          <w:sz w:val="20"/>
          <w:szCs w:val="20"/>
          <w:lang w:val="es-CR"/>
        </w:rPr>
        <w:t xml:space="preserve">). </w:t>
      </w:r>
    </w:p>
    <w:p w14:paraId="615035F2" w14:textId="77777777" w:rsidR="00C01305" w:rsidRPr="00C01305" w:rsidRDefault="00C01305" w:rsidP="00CA58EF">
      <w:pPr>
        <w:contextualSpacing/>
        <w:rPr>
          <w:rFonts w:ascii="Verdana" w:hAnsi="Verdana"/>
          <w:b/>
          <w:sz w:val="20"/>
          <w:szCs w:val="20"/>
        </w:rPr>
      </w:pPr>
    </w:p>
    <w:p w14:paraId="5D3273E2" w14:textId="482E93E5" w:rsidR="00C01305" w:rsidRDefault="00C01305" w:rsidP="00E66DD7">
      <w:pPr>
        <w:numPr>
          <w:ilvl w:val="0"/>
          <w:numId w:val="1"/>
        </w:numPr>
        <w:shd w:val="clear" w:color="auto" w:fill="FFFFFF"/>
        <w:ind w:left="0" w:firstLine="0"/>
        <w:contextualSpacing/>
        <w:jc w:val="both"/>
        <w:rPr>
          <w:rFonts w:ascii="Verdana" w:hAnsi="Verdana"/>
          <w:sz w:val="20"/>
          <w:szCs w:val="20"/>
        </w:rPr>
      </w:pPr>
      <w:r w:rsidRPr="00C01305">
        <w:rPr>
          <w:rFonts w:ascii="Verdana" w:hAnsi="Verdana"/>
          <w:sz w:val="20"/>
          <w:szCs w:val="20"/>
        </w:rPr>
        <w:t xml:space="preserve">Mediante </w:t>
      </w:r>
      <w:r w:rsidR="002F5C4C">
        <w:rPr>
          <w:rFonts w:ascii="Verdana" w:hAnsi="Verdana"/>
          <w:sz w:val="20"/>
          <w:szCs w:val="20"/>
        </w:rPr>
        <w:t xml:space="preserve">demanda de 26 de julio de 1989 </w:t>
      </w:r>
      <w:r w:rsidRPr="00C01305">
        <w:rPr>
          <w:rFonts w:ascii="Verdana" w:hAnsi="Verdana"/>
          <w:sz w:val="20"/>
          <w:szCs w:val="20"/>
        </w:rPr>
        <w:t xml:space="preserve">el señor Lagos del Campo objetó el despido “injustificado e improcedente”, por lo que la </w:t>
      </w:r>
      <w:r w:rsidRPr="00EB5530">
        <w:rPr>
          <w:rFonts w:ascii="Verdana" w:hAnsi="Verdana"/>
          <w:sz w:val="20"/>
          <w:szCs w:val="20"/>
        </w:rPr>
        <w:t>justicia laboral del Perú estuvo llamada a valorar la necesidad de la restricción impuesta</w:t>
      </w:r>
      <w:r w:rsidRPr="004E38FB">
        <w:rPr>
          <w:rFonts w:ascii="Verdana" w:hAnsi="Verdana"/>
          <w:sz w:val="20"/>
          <w:szCs w:val="20"/>
        </w:rPr>
        <w:t>,</w:t>
      </w:r>
      <w:r w:rsidRPr="00C01305">
        <w:rPr>
          <w:rFonts w:ascii="Verdana" w:hAnsi="Verdana"/>
          <w:sz w:val="20"/>
          <w:szCs w:val="20"/>
        </w:rPr>
        <w:t xml:space="preserve"> solicitando expresamente </w:t>
      </w:r>
      <w:r w:rsidR="00AA54B8">
        <w:rPr>
          <w:rFonts w:ascii="Verdana" w:hAnsi="Verdana"/>
          <w:sz w:val="20"/>
          <w:szCs w:val="20"/>
        </w:rPr>
        <w:t>evaluar la necesidad de aplicar la sanción</w:t>
      </w:r>
      <w:r w:rsidRPr="00C01305">
        <w:rPr>
          <w:rFonts w:ascii="Verdana" w:hAnsi="Verdana"/>
          <w:sz w:val="20"/>
          <w:szCs w:val="20"/>
        </w:rPr>
        <w:t xml:space="preserve"> (</w:t>
      </w:r>
      <w:r w:rsidR="00224537" w:rsidRPr="00224537">
        <w:rPr>
          <w:rFonts w:ascii="Verdana" w:hAnsi="Verdana"/>
          <w:i/>
          <w:sz w:val="20"/>
          <w:szCs w:val="20"/>
        </w:rPr>
        <w:t>supra</w:t>
      </w:r>
      <w:r w:rsidRPr="00C01305">
        <w:rPr>
          <w:rFonts w:ascii="Verdana" w:hAnsi="Verdana"/>
          <w:sz w:val="20"/>
          <w:szCs w:val="20"/>
        </w:rPr>
        <w:t xml:space="preserve">, párr. </w:t>
      </w:r>
      <w:r w:rsidR="000023EA">
        <w:rPr>
          <w:rFonts w:ascii="Verdana" w:hAnsi="Verdana"/>
          <w:sz w:val="20"/>
          <w:szCs w:val="20"/>
        </w:rPr>
        <w:t>58</w:t>
      </w:r>
      <w:r w:rsidRPr="00C01305">
        <w:rPr>
          <w:rFonts w:ascii="Verdana" w:hAnsi="Verdana"/>
          <w:sz w:val="20"/>
          <w:szCs w:val="20"/>
        </w:rPr>
        <w:t xml:space="preserve">). </w:t>
      </w:r>
    </w:p>
    <w:p w14:paraId="3042D1F6" w14:textId="77777777" w:rsidR="00625FAD" w:rsidRDefault="00625FAD" w:rsidP="00CB5A95">
      <w:pPr>
        <w:pStyle w:val="ListParagraph"/>
        <w:rPr>
          <w:rFonts w:ascii="Verdana" w:hAnsi="Verdana"/>
          <w:sz w:val="20"/>
          <w:szCs w:val="20"/>
        </w:rPr>
      </w:pPr>
    </w:p>
    <w:p w14:paraId="110EFEB0" w14:textId="37891874" w:rsidR="00625FAD" w:rsidRPr="00CB5A95" w:rsidRDefault="00625FAD" w:rsidP="00E66DD7">
      <w:pPr>
        <w:numPr>
          <w:ilvl w:val="0"/>
          <w:numId w:val="1"/>
        </w:numPr>
        <w:shd w:val="clear" w:color="auto" w:fill="FFFFFF"/>
        <w:ind w:left="0" w:firstLine="0"/>
        <w:contextualSpacing/>
        <w:jc w:val="both"/>
        <w:rPr>
          <w:rFonts w:ascii="Verdana" w:hAnsi="Verdana"/>
          <w:sz w:val="20"/>
          <w:szCs w:val="20"/>
        </w:rPr>
      </w:pPr>
      <w:r>
        <w:rPr>
          <w:rFonts w:ascii="Verdana" w:hAnsi="Verdana"/>
          <w:kern w:val="1"/>
          <w:sz w:val="20"/>
          <w:szCs w:val="20"/>
          <w:lang w:val="es-CR"/>
        </w:rPr>
        <w:t>Frente a ello</w:t>
      </w:r>
      <w:r w:rsidRPr="00CB5A95">
        <w:rPr>
          <w:rFonts w:ascii="Verdana" w:hAnsi="Verdana"/>
          <w:kern w:val="1"/>
          <w:sz w:val="20"/>
          <w:szCs w:val="20"/>
          <w:lang w:val="es-CR"/>
        </w:rPr>
        <w:t xml:space="preserve">, el </w:t>
      </w:r>
      <w:r w:rsidRPr="00CB5A95">
        <w:rPr>
          <w:rFonts w:ascii="Verdana" w:hAnsi="Verdana"/>
          <w:sz w:val="20"/>
          <w:szCs w:val="20"/>
        </w:rPr>
        <w:t xml:space="preserve">Segundo Tribunal de Trabajo </w:t>
      </w:r>
      <w:r w:rsidR="00473B78">
        <w:rPr>
          <w:rFonts w:ascii="Verdana" w:hAnsi="Verdana"/>
          <w:sz w:val="20"/>
          <w:szCs w:val="20"/>
        </w:rPr>
        <w:t xml:space="preserve">que avaló el despido </w:t>
      </w:r>
      <w:r w:rsidRPr="00CB5A95">
        <w:rPr>
          <w:rFonts w:ascii="Verdana" w:hAnsi="Verdana"/>
          <w:sz w:val="20"/>
          <w:szCs w:val="20"/>
        </w:rPr>
        <w:t xml:space="preserve">señaló que </w:t>
      </w:r>
      <w:r w:rsidRPr="00CB5A95">
        <w:rPr>
          <w:rFonts w:ascii="Verdana" w:hAnsi="Verdana"/>
          <w:kern w:val="1"/>
          <w:sz w:val="20"/>
          <w:szCs w:val="20"/>
          <w:lang w:val="es-CR"/>
        </w:rPr>
        <w:t>“en reiteradas ejecutorias de es[e] Tribunal […] se ha</w:t>
      </w:r>
      <w:r>
        <w:rPr>
          <w:rFonts w:ascii="Verdana" w:hAnsi="Verdana"/>
          <w:kern w:val="1"/>
          <w:sz w:val="20"/>
          <w:szCs w:val="20"/>
          <w:lang w:val="es-CR"/>
        </w:rPr>
        <w:t>[</w:t>
      </w:r>
      <w:proofErr w:type="spellStart"/>
      <w:r>
        <w:rPr>
          <w:rFonts w:ascii="Verdana" w:hAnsi="Verdana"/>
          <w:kern w:val="1"/>
          <w:sz w:val="20"/>
          <w:szCs w:val="20"/>
          <w:lang w:val="es-CR"/>
        </w:rPr>
        <w:t>bía</w:t>
      </w:r>
      <w:proofErr w:type="spellEnd"/>
      <w:r>
        <w:rPr>
          <w:rFonts w:ascii="Verdana" w:hAnsi="Verdana"/>
          <w:kern w:val="1"/>
          <w:sz w:val="20"/>
          <w:szCs w:val="20"/>
          <w:lang w:val="es-CR"/>
        </w:rPr>
        <w:t>]</w:t>
      </w:r>
      <w:r w:rsidRPr="00CB5A95">
        <w:rPr>
          <w:rFonts w:ascii="Verdana" w:hAnsi="Verdana"/>
          <w:kern w:val="1"/>
          <w:sz w:val="20"/>
          <w:szCs w:val="20"/>
          <w:lang w:val="es-CR"/>
        </w:rPr>
        <w:t xml:space="preserve"> establecido que constituye falta grave contemplada en los incisos a) y h) del artículo 5° de la Ley 24514, el trabajador que hace declaraciones o publicaciones periodísticas que agravian el honor e imagen del empleador”. Asimismo, después de citar de forma textual algunas líneas de la entrevista controvertida concluyó que “los términos agraviantes señalados en el considerando anterior </w:t>
      </w:r>
      <w:proofErr w:type="spellStart"/>
      <w:proofErr w:type="gramStart"/>
      <w:r w:rsidRPr="00CB5A95">
        <w:rPr>
          <w:rFonts w:ascii="Verdana" w:hAnsi="Verdana"/>
          <w:kern w:val="1"/>
          <w:sz w:val="20"/>
          <w:szCs w:val="20"/>
          <w:lang w:val="es-CR"/>
        </w:rPr>
        <w:t>constitu</w:t>
      </w:r>
      <w:proofErr w:type="spellEnd"/>
      <w:r w:rsidRPr="00CB5A95">
        <w:rPr>
          <w:rFonts w:ascii="Verdana" w:hAnsi="Verdana"/>
          <w:kern w:val="1"/>
          <w:sz w:val="20"/>
          <w:szCs w:val="20"/>
          <w:lang w:val="es-CR"/>
        </w:rPr>
        <w:t>[</w:t>
      </w:r>
      <w:proofErr w:type="spellStart"/>
      <w:proofErr w:type="gramEnd"/>
      <w:r w:rsidRPr="00CB5A95">
        <w:rPr>
          <w:rFonts w:ascii="Verdana" w:hAnsi="Verdana"/>
          <w:kern w:val="1"/>
          <w:sz w:val="20"/>
          <w:szCs w:val="20"/>
          <w:lang w:val="es-CR"/>
        </w:rPr>
        <w:t>ían</w:t>
      </w:r>
      <w:proofErr w:type="spellEnd"/>
      <w:r w:rsidRPr="00CB5A95">
        <w:rPr>
          <w:rFonts w:ascii="Verdana" w:hAnsi="Verdana"/>
          <w:kern w:val="1"/>
          <w:sz w:val="20"/>
          <w:szCs w:val="20"/>
          <w:lang w:val="es-CR"/>
        </w:rPr>
        <w:t xml:space="preserve">] grave indisciplina o </w:t>
      </w:r>
      <w:proofErr w:type="spellStart"/>
      <w:r w:rsidRPr="00CB5A95">
        <w:rPr>
          <w:rFonts w:ascii="Verdana" w:hAnsi="Verdana"/>
          <w:kern w:val="1"/>
          <w:sz w:val="20"/>
          <w:szCs w:val="20"/>
          <w:lang w:val="es-CR"/>
        </w:rPr>
        <w:t>faltamiento</w:t>
      </w:r>
      <w:proofErr w:type="spellEnd"/>
      <w:r w:rsidRPr="00CB5A95">
        <w:rPr>
          <w:rFonts w:ascii="Verdana" w:hAnsi="Verdana"/>
          <w:kern w:val="1"/>
          <w:sz w:val="20"/>
          <w:szCs w:val="20"/>
          <w:lang w:val="es-CR"/>
        </w:rPr>
        <w:t xml:space="preserve"> grave de palabra en agravio del empleador, de sus representantes y compañeros de labor, cuyas declaraciones periodísticas del actor </w:t>
      </w:r>
      <w:r w:rsidR="00730D77" w:rsidRPr="00CB5A95">
        <w:rPr>
          <w:rFonts w:ascii="Verdana" w:hAnsi="Verdana"/>
          <w:kern w:val="1"/>
          <w:sz w:val="20"/>
          <w:szCs w:val="20"/>
          <w:lang w:val="es-CR"/>
        </w:rPr>
        <w:t>esta</w:t>
      </w:r>
      <w:r w:rsidR="00730D77">
        <w:rPr>
          <w:rFonts w:ascii="Verdana" w:hAnsi="Verdana"/>
          <w:kern w:val="1"/>
          <w:sz w:val="20"/>
          <w:szCs w:val="20"/>
          <w:lang w:val="es-CR"/>
        </w:rPr>
        <w:t>ban</w:t>
      </w:r>
      <w:r w:rsidRPr="00CB5A95">
        <w:rPr>
          <w:rFonts w:ascii="Verdana" w:hAnsi="Verdana"/>
          <w:kern w:val="1"/>
          <w:sz w:val="20"/>
          <w:szCs w:val="20"/>
          <w:lang w:val="es-CR"/>
        </w:rPr>
        <w:t xml:space="preserve"> referidas a los miembros del Directorio de la Gerencia y compañeros de su centro de trabajo</w:t>
      </w:r>
      <w:r w:rsidRPr="00CB5A95">
        <w:rPr>
          <w:rFonts w:ascii="Verdana" w:hAnsi="Verdana"/>
          <w:sz w:val="20"/>
          <w:szCs w:val="20"/>
        </w:rPr>
        <w:t>"</w:t>
      </w:r>
      <w:r w:rsidRPr="00CB5A95">
        <w:rPr>
          <w:rFonts w:ascii="Verdana" w:hAnsi="Verdana"/>
          <w:sz w:val="20"/>
          <w:szCs w:val="20"/>
          <w:vertAlign w:val="superscript"/>
        </w:rPr>
        <w:footnoteReference w:id="168"/>
      </w:r>
      <w:r w:rsidRPr="00CB5A95">
        <w:rPr>
          <w:rFonts w:ascii="Verdana" w:hAnsi="Verdana"/>
          <w:sz w:val="20"/>
          <w:szCs w:val="20"/>
        </w:rPr>
        <w:t>.</w:t>
      </w:r>
      <w:r>
        <w:rPr>
          <w:rFonts w:ascii="Verdana" w:hAnsi="Verdana"/>
          <w:sz w:val="20"/>
          <w:szCs w:val="20"/>
        </w:rPr>
        <w:t xml:space="preserve"> </w:t>
      </w:r>
      <w:r w:rsidR="00473B78">
        <w:rPr>
          <w:rFonts w:ascii="Verdana" w:hAnsi="Verdana"/>
          <w:sz w:val="20"/>
          <w:szCs w:val="20"/>
        </w:rPr>
        <w:t xml:space="preserve">Además, </w:t>
      </w:r>
      <w:r w:rsidR="00473B78">
        <w:rPr>
          <w:rFonts w:ascii="Verdana" w:hAnsi="Verdana"/>
          <w:kern w:val="1"/>
          <w:sz w:val="20"/>
          <w:szCs w:val="20"/>
          <w:lang w:val="es-CR"/>
        </w:rPr>
        <w:t>e</w:t>
      </w:r>
      <w:r w:rsidRPr="00CB5A95">
        <w:rPr>
          <w:rFonts w:ascii="Verdana" w:hAnsi="Verdana"/>
          <w:kern w:val="1"/>
          <w:sz w:val="20"/>
          <w:szCs w:val="20"/>
          <w:lang w:val="es-CR"/>
        </w:rPr>
        <w:t>n una línea se señaló que “la Constitución política garantizaba la libertad de expresión, pero no para agraviar el honor y la dignidad del personal jerárquico de la empresa empleadora”.</w:t>
      </w:r>
      <w:r w:rsidR="00473B78">
        <w:rPr>
          <w:rFonts w:ascii="Verdana" w:hAnsi="Verdana"/>
          <w:kern w:val="1"/>
          <w:sz w:val="20"/>
          <w:szCs w:val="20"/>
          <w:lang w:val="es-CR"/>
        </w:rPr>
        <w:t xml:space="preserve"> </w:t>
      </w:r>
    </w:p>
    <w:p w14:paraId="73947F50" w14:textId="77777777" w:rsidR="00C01305" w:rsidRPr="00C01305" w:rsidRDefault="00C01305" w:rsidP="00CA58EF">
      <w:pPr>
        <w:shd w:val="clear" w:color="auto" w:fill="FFFFFF"/>
        <w:contextualSpacing/>
        <w:jc w:val="both"/>
        <w:rPr>
          <w:rFonts w:ascii="Verdana" w:hAnsi="Verdana"/>
          <w:b/>
          <w:sz w:val="20"/>
          <w:szCs w:val="20"/>
        </w:rPr>
      </w:pPr>
    </w:p>
    <w:p w14:paraId="507AC225" w14:textId="4F3B715E" w:rsidR="00E6716F" w:rsidRDefault="00C01305" w:rsidP="00E66DD7">
      <w:pPr>
        <w:numPr>
          <w:ilvl w:val="0"/>
          <w:numId w:val="1"/>
        </w:numPr>
        <w:shd w:val="clear" w:color="auto" w:fill="FFFFFF"/>
        <w:ind w:left="0" w:firstLine="0"/>
        <w:contextualSpacing/>
        <w:jc w:val="both"/>
        <w:rPr>
          <w:rFonts w:ascii="Verdana" w:hAnsi="Verdana"/>
          <w:sz w:val="20"/>
          <w:szCs w:val="20"/>
          <w:lang w:val="es-CR"/>
        </w:rPr>
      </w:pPr>
      <w:r w:rsidRPr="00C01305">
        <w:rPr>
          <w:rFonts w:ascii="Verdana" w:hAnsi="Verdana"/>
          <w:sz w:val="20"/>
          <w:szCs w:val="20"/>
          <w:lang w:val="es-CR"/>
        </w:rPr>
        <w:t xml:space="preserve">Respecto de la sanción impuesta en relación con el requisito de necesidad, la Corte nota que </w:t>
      </w:r>
      <w:r w:rsidRPr="00C01305">
        <w:rPr>
          <w:rFonts w:ascii="Verdana" w:hAnsi="Verdana"/>
          <w:sz w:val="20"/>
          <w:szCs w:val="20"/>
        </w:rPr>
        <w:t>el Estado, a través del Segundo Tribunal de Trabajo, de quien derivó la decisión definitiva, no consideró los siguientes elementos fundamentales para su análisis: i) el señor Lagos</w:t>
      </w:r>
      <w:r w:rsidR="004E38FB">
        <w:rPr>
          <w:rFonts w:ascii="Verdana" w:hAnsi="Verdana"/>
          <w:sz w:val="20"/>
          <w:szCs w:val="20"/>
        </w:rPr>
        <w:t xml:space="preserve"> del Campo</w:t>
      </w:r>
      <w:r w:rsidRPr="00C01305">
        <w:rPr>
          <w:rFonts w:ascii="Verdana" w:hAnsi="Verdana"/>
          <w:sz w:val="20"/>
          <w:szCs w:val="20"/>
        </w:rPr>
        <w:t xml:space="preserve"> era un representante electo por los trabajadores y se encontraba en ejercicio de su mandato (</w:t>
      </w:r>
      <w:r w:rsidR="00224537" w:rsidRPr="00224537">
        <w:rPr>
          <w:rFonts w:ascii="Verdana" w:hAnsi="Verdana"/>
          <w:i/>
          <w:sz w:val="20"/>
          <w:szCs w:val="20"/>
        </w:rPr>
        <w:t>supra</w:t>
      </w:r>
      <w:r w:rsidR="00FC6BA5">
        <w:rPr>
          <w:rFonts w:ascii="Verdana" w:hAnsi="Verdana"/>
          <w:i/>
          <w:sz w:val="20"/>
          <w:szCs w:val="20"/>
        </w:rPr>
        <w:t xml:space="preserve"> </w:t>
      </w:r>
      <w:r w:rsidR="00FC6BA5" w:rsidRPr="00333304">
        <w:rPr>
          <w:rFonts w:ascii="Verdana" w:hAnsi="Verdana"/>
          <w:sz w:val="20"/>
          <w:szCs w:val="20"/>
        </w:rPr>
        <w:t>párr.</w:t>
      </w:r>
      <w:r w:rsidRPr="000023EA">
        <w:rPr>
          <w:rFonts w:ascii="Verdana" w:hAnsi="Verdana"/>
          <w:sz w:val="20"/>
          <w:szCs w:val="20"/>
        </w:rPr>
        <w:t xml:space="preserve"> </w:t>
      </w:r>
      <w:r w:rsidR="00050C63" w:rsidRPr="000023EA">
        <w:rPr>
          <w:rFonts w:ascii="Verdana" w:hAnsi="Verdana"/>
          <w:sz w:val="20"/>
          <w:szCs w:val="20"/>
        </w:rPr>
        <w:t>10</w:t>
      </w:r>
      <w:r w:rsidR="000023EA" w:rsidRPr="000023EA">
        <w:rPr>
          <w:rFonts w:ascii="Verdana" w:hAnsi="Verdana"/>
          <w:sz w:val="20"/>
          <w:szCs w:val="20"/>
        </w:rPr>
        <w:t>8</w:t>
      </w:r>
      <w:r w:rsidRPr="00C01305">
        <w:rPr>
          <w:rFonts w:ascii="Verdana" w:hAnsi="Verdana"/>
          <w:sz w:val="20"/>
          <w:szCs w:val="20"/>
        </w:rPr>
        <w:t xml:space="preserve">); ii) su manifestaciones se realizaron en el marco de sus funciones y un contexto de debate electoral y por ende tenían un interés </w:t>
      </w:r>
      <w:r w:rsidR="00CD0F88">
        <w:rPr>
          <w:rFonts w:ascii="Verdana" w:hAnsi="Verdana"/>
          <w:sz w:val="20"/>
          <w:szCs w:val="20"/>
        </w:rPr>
        <w:t>público</w:t>
      </w:r>
      <w:r w:rsidR="00CD0F88" w:rsidRPr="00C01305">
        <w:rPr>
          <w:rFonts w:ascii="Verdana" w:hAnsi="Verdana"/>
          <w:sz w:val="20"/>
          <w:szCs w:val="20"/>
        </w:rPr>
        <w:t xml:space="preserve"> </w:t>
      </w:r>
      <w:r w:rsidRPr="00C01305">
        <w:rPr>
          <w:rFonts w:ascii="Verdana" w:hAnsi="Verdana"/>
          <w:sz w:val="20"/>
          <w:szCs w:val="20"/>
        </w:rPr>
        <w:t>y colectivo; iii) sus declaraciones contaban con una protección reforzada en el ejercicio de sus funciones</w:t>
      </w:r>
      <w:r w:rsidR="00915ACA">
        <w:rPr>
          <w:rFonts w:ascii="Verdana" w:hAnsi="Verdana"/>
          <w:sz w:val="20"/>
          <w:szCs w:val="20"/>
        </w:rPr>
        <w:t>;</w:t>
      </w:r>
      <w:r w:rsidRPr="00C01305">
        <w:rPr>
          <w:rFonts w:ascii="Verdana" w:hAnsi="Verdana"/>
          <w:sz w:val="20"/>
          <w:szCs w:val="20"/>
        </w:rPr>
        <w:t xml:space="preserve"> iv) las mismas no fuer</w:t>
      </w:r>
      <w:r w:rsidR="00CD0F88">
        <w:rPr>
          <w:rFonts w:ascii="Verdana" w:hAnsi="Verdana"/>
          <w:sz w:val="20"/>
          <w:szCs w:val="20"/>
        </w:rPr>
        <w:t>on</w:t>
      </w:r>
      <w:r w:rsidRPr="00C01305">
        <w:rPr>
          <w:rFonts w:ascii="Verdana" w:hAnsi="Verdana"/>
          <w:sz w:val="20"/>
          <w:szCs w:val="20"/>
        </w:rPr>
        <w:t xml:space="preserve"> </w:t>
      </w:r>
      <w:r w:rsidR="008D7ED4">
        <w:rPr>
          <w:rFonts w:ascii="Verdana" w:hAnsi="Verdana"/>
          <w:sz w:val="20"/>
          <w:szCs w:val="20"/>
        </w:rPr>
        <w:t>de mayor entidad que</w:t>
      </w:r>
      <w:r w:rsidRPr="00C01305">
        <w:rPr>
          <w:rFonts w:ascii="Verdana" w:hAnsi="Verdana"/>
          <w:sz w:val="20"/>
          <w:szCs w:val="20"/>
        </w:rPr>
        <w:t xml:space="preserve"> traspasaran el umbral de protección en aras del contexto electoral y laboral</w:t>
      </w:r>
      <w:r w:rsidR="00DF7914">
        <w:rPr>
          <w:rFonts w:ascii="Verdana" w:hAnsi="Verdana"/>
          <w:sz w:val="20"/>
          <w:szCs w:val="20"/>
        </w:rPr>
        <w:t>, y v) tampoco se habría demostrado una necesidad imperiosa para proteger los derechos a la reputación y la honra</w:t>
      </w:r>
      <w:r w:rsidR="00915ACA">
        <w:rPr>
          <w:rFonts w:ascii="Verdana" w:hAnsi="Verdana"/>
          <w:sz w:val="20"/>
          <w:szCs w:val="20"/>
        </w:rPr>
        <w:t xml:space="preserve"> en el caso particular</w:t>
      </w:r>
      <w:r w:rsidRPr="00C01305">
        <w:rPr>
          <w:rFonts w:ascii="Verdana" w:hAnsi="Verdana"/>
          <w:sz w:val="20"/>
          <w:szCs w:val="20"/>
        </w:rPr>
        <w:t xml:space="preserve">. </w:t>
      </w:r>
      <w:r w:rsidR="00473B78" w:rsidRPr="00DB35CB">
        <w:rPr>
          <w:rFonts w:ascii="Verdana" w:hAnsi="Verdana"/>
          <w:kern w:val="1"/>
          <w:sz w:val="20"/>
          <w:szCs w:val="20"/>
          <w:lang w:val="es-CR"/>
        </w:rPr>
        <w:t xml:space="preserve">Si bien se </w:t>
      </w:r>
      <w:r w:rsidR="00915ACA">
        <w:rPr>
          <w:rFonts w:ascii="Verdana" w:hAnsi="Verdana"/>
          <w:kern w:val="1"/>
          <w:sz w:val="20"/>
          <w:szCs w:val="20"/>
          <w:lang w:val="es-CR"/>
        </w:rPr>
        <w:t xml:space="preserve">hizo alusión </w:t>
      </w:r>
      <w:r w:rsidR="00473B78" w:rsidRPr="00DB35CB">
        <w:rPr>
          <w:rFonts w:ascii="Verdana" w:hAnsi="Verdana"/>
          <w:kern w:val="1"/>
          <w:sz w:val="20"/>
          <w:szCs w:val="20"/>
          <w:lang w:val="es-CR"/>
        </w:rPr>
        <w:t>expresa</w:t>
      </w:r>
      <w:r w:rsidR="00915ACA">
        <w:rPr>
          <w:rFonts w:ascii="Verdana" w:hAnsi="Verdana"/>
          <w:kern w:val="1"/>
          <w:sz w:val="20"/>
          <w:szCs w:val="20"/>
          <w:lang w:val="es-CR"/>
        </w:rPr>
        <w:t xml:space="preserve"> a</w:t>
      </w:r>
      <w:r w:rsidR="00473B78" w:rsidRPr="00DB35CB">
        <w:rPr>
          <w:rFonts w:ascii="Verdana" w:hAnsi="Verdana"/>
          <w:kern w:val="1"/>
          <w:sz w:val="20"/>
          <w:szCs w:val="20"/>
          <w:lang w:val="es-CR"/>
        </w:rPr>
        <w:t xml:space="preserve"> la libertad de expresión, no consta en el fallo que se hayan </w:t>
      </w:r>
      <w:r w:rsidR="00473B78">
        <w:rPr>
          <w:rFonts w:ascii="Verdana" w:hAnsi="Verdana"/>
          <w:kern w:val="1"/>
          <w:sz w:val="20"/>
          <w:szCs w:val="20"/>
          <w:lang w:val="es-CR"/>
        </w:rPr>
        <w:t>ponderado los</w:t>
      </w:r>
      <w:r w:rsidR="00473B78" w:rsidRPr="00DB35CB">
        <w:rPr>
          <w:rFonts w:ascii="Verdana" w:hAnsi="Verdana"/>
          <w:kern w:val="1"/>
          <w:sz w:val="20"/>
          <w:szCs w:val="20"/>
          <w:lang w:val="es-CR"/>
        </w:rPr>
        <w:t xml:space="preserve"> derechos </w:t>
      </w:r>
      <w:r w:rsidR="00473B78">
        <w:rPr>
          <w:rFonts w:ascii="Verdana" w:hAnsi="Verdana"/>
          <w:kern w:val="1"/>
          <w:sz w:val="20"/>
          <w:szCs w:val="20"/>
          <w:lang w:val="es-CR"/>
        </w:rPr>
        <w:t xml:space="preserve">en juego </w:t>
      </w:r>
      <w:r w:rsidR="00473B78" w:rsidRPr="00DB35CB">
        <w:rPr>
          <w:rFonts w:ascii="Verdana" w:hAnsi="Verdana"/>
          <w:kern w:val="1"/>
          <w:sz w:val="20"/>
          <w:szCs w:val="20"/>
          <w:lang w:val="es-CR"/>
        </w:rPr>
        <w:t>y/o sus consecuencias, a la luz del requisito de necesidad (</w:t>
      </w:r>
      <w:r w:rsidR="00224537" w:rsidRPr="00224537">
        <w:rPr>
          <w:rFonts w:ascii="Verdana" w:hAnsi="Verdana"/>
          <w:i/>
          <w:kern w:val="1"/>
          <w:sz w:val="20"/>
          <w:szCs w:val="20"/>
          <w:lang w:val="es-CR"/>
        </w:rPr>
        <w:t>supra</w:t>
      </w:r>
      <w:r w:rsidR="00473B78" w:rsidRPr="00DB35CB">
        <w:rPr>
          <w:rFonts w:ascii="Verdana" w:hAnsi="Verdana"/>
          <w:kern w:val="1"/>
          <w:sz w:val="20"/>
          <w:szCs w:val="20"/>
          <w:lang w:val="es-CR"/>
        </w:rPr>
        <w:t xml:space="preserve">, párr. </w:t>
      </w:r>
      <w:r w:rsidR="00050C63">
        <w:rPr>
          <w:rFonts w:ascii="Verdana" w:hAnsi="Verdana"/>
          <w:kern w:val="1"/>
          <w:sz w:val="20"/>
          <w:szCs w:val="20"/>
          <w:lang w:val="es-CR"/>
        </w:rPr>
        <w:t>1</w:t>
      </w:r>
      <w:r w:rsidR="000023EA">
        <w:rPr>
          <w:rFonts w:ascii="Verdana" w:hAnsi="Verdana"/>
          <w:kern w:val="1"/>
          <w:sz w:val="20"/>
          <w:szCs w:val="20"/>
          <w:lang w:val="es-CR"/>
        </w:rPr>
        <w:t>24</w:t>
      </w:r>
      <w:r w:rsidR="00473B78" w:rsidRPr="00DB35CB">
        <w:rPr>
          <w:rFonts w:ascii="Verdana" w:hAnsi="Verdana"/>
          <w:kern w:val="1"/>
          <w:sz w:val="20"/>
          <w:szCs w:val="20"/>
          <w:lang w:val="es-CR"/>
        </w:rPr>
        <w:t xml:space="preserve">) (expresamente dispuesto por el artículo 13.2 de la Convención Americana). Tampoco se </w:t>
      </w:r>
      <w:r w:rsidR="00473B78" w:rsidRPr="00DB35CB">
        <w:rPr>
          <w:rFonts w:ascii="Verdana" w:hAnsi="Verdana"/>
          <w:kern w:val="1"/>
          <w:sz w:val="20"/>
          <w:szCs w:val="20"/>
          <w:lang w:val="es-CR"/>
        </w:rPr>
        <w:lastRenderedPageBreak/>
        <w:t xml:space="preserve">desvirtuaron los argumentos que motivaron la decisión de primera instancia, a fin de que se hiciera </w:t>
      </w:r>
      <w:r w:rsidR="00915ACA">
        <w:rPr>
          <w:rFonts w:ascii="Verdana" w:hAnsi="Verdana"/>
          <w:kern w:val="1"/>
          <w:sz w:val="20"/>
          <w:szCs w:val="20"/>
          <w:lang w:val="es-CR"/>
        </w:rPr>
        <w:t>indispensable</w:t>
      </w:r>
      <w:r w:rsidR="00915ACA" w:rsidRPr="00DB35CB">
        <w:rPr>
          <w:rFonts w:ascii="Verdana" w:hAnsi="Verdana"/>
          <w:kern w:val="1"/>
          <w:sz w:val="20"/>
          <w:szCs w:val="20"/>
          <w:lang w:val="es-CR"/>
        </w:rPr>
        <w:t xml:space="preserve"> </w:t>
      </w:r>
      <w:r w:rsidR="00473B78" w:rsidRPr="00DB35CB">
        <w:rPr>
          <w:rFonts w:ascii="Verdana" w:hAnsi="Verdana"/>
          <w:kern w:val="1"/>
          <w:sz w:val="20"/>
          <w:szCs w:val="20"/>
          <w:lang w:val="es-CR"/>
        </w:rPr>
        <w:t>revocarla.</w:t>
      </w:r>
      <w:r w:rsidR="00CD0F88">
        <w:rPr>
          <w:rFonts w:ascii="Verdana" w:hAnsi="Verdana"/>
          <w:sz w:val="20"/>
          <w:szCs w:val="20"/>
          <w:lang w:val="es-CR"/>
        </w:rPr>
        <w:t xml:space="preserve"> </w:t>
      </w:r>
      <w:r w:rsidRPr="00C01305">
        <w:rPr>
          <w:rFonts w:ascii="Verdana" w:hAnsi="Verdana"/>
          <w:sz w:val="20"/>
          <w:szCs w:val="20"/>
          <w:lang w:val="es-CR"/>
        </w:rPr>
        <w:t xml:space="preserve">En vista de ello, la sanción gravosa del despido fue avalada por dicho tribunal, sin considerar tales elementos fundamentales de </w:t>
      </w:r>
      <w:r w:rsidR="00CD0F88">
        <w:rPr>
          <w:rFonts w:ascii="Verdana" w:hAnsi="Verdana"/>
          <w:sz w:val="20"/>
          <w:szCs w:val="20"/>
          <w:lang w:val="es-CR"/>
        </w:rPr>
        <w:t xml:space="preserve">especial </w:t>
      </w:r>
      <w:r w:rsidRPr="00C01305">
        <w:rPr>
          <w:rFonts w:ascii="Verdana" w:hAnsi="Verdana"/>
          <w:sz w:val="20"/>
          <w:szCs w:val="20"/>
          <w:lang w:val="es-CR"/>
        </w:rPr>
        <w:t>protección</w:t>
      </w:r>
      <w:r w:rsidR="00CD0F88">
        <w:rPr>
          <w:rFonts w:ascii="Verdana" w:hAnsi="Verdana"/>
          <w:sz w:val="20"/>
          <w:szCs w:val="20"/>
          <w:lang w:val="es-CR"/>
        </w:rPr>
        <w:t xml:space="preserve"> (</w:t>
      </w:r>
      <w:r w:rsidR="00224537" w:rsidRPr="00224537">
        <w:rPr>
          <w:rFonts w:ascii="Verdana" w:hAnsi="Verdana"/>
          <w:i/>
          <w:sz w:val="20"/>
          <w:szCs w:val="20"/>
          <w:lang w:val="es-CR"/>
        </w:rPr>
        <w:t>supra</w:t>
      </w:r>
      <w:r w:rsidR="00CD0F88">
        <w:rPr>
          <w:rFonts w:ascii="Verdana" w:hAnsi="Verdana"/>
          <w:sz w:val="20"/>
          <w:szCs w:val="20"/>
          <w:lang w:val="es-CR"/>
        </w:rPr>
        <w:t xml:space="preserve"> </w:t>
      </w:r>
      <w:proofErr w:type="spellStart"/>
      <w:r w:rsidR="00CD0F88">
        <w:rPr>
          <w:rFonts w:ascii="Verdana" w:hAnsi="Verdana"/>
          <w:sz w:val="20"/>
          <w:szCs w:val="20"/>
          <w:lang w:val="es-CR"/>
        </w:rPr>
        <w:t>párr</w:t>
      </w:r>
      <w:r w:rsidR="000023EA">
        <w:rPr>
          <w:rFonts w:ascii="Verdana" w:hAnsi="Verdana"/>
          <w:sz w:val="20"/>
          <w:szCs w:val="20"/>
          <w:lang w:val="es-CR"/>
        </w:rPr>
        <w:t>s</w:t>
      </w:r>
      <w:proofErr w:type="spellEnd"/>
      <w:r w:rsidR="00CD0F88">
        <w:rPr>
          <w:rFonts w:ascii="Verdana" w:hAnsi="Verdana"/>
          <w:sz w:val="20"/>
          <w:szCs w:val="20"/>
          <w:lang w:val="es-CR"/>
        </w:rPr>
        <w:t xml:space="preserve">. </w:t>
      </w:r>
      <w:r w:rsidR="00050C63">
        <w:rPr>
          <w:rFonts w:ascii="Verdana" w:hAnsi="Verdana"/>
          <w:sz w:val="20"/>
          <w:szCs w:val="20"/>
          <w:lang w:val="es-CR"/>
        </w:rPr>
        <w:t>1</w:t>
      </w:r>
      <w:r w:rsidR="00587B73">
        <w:rPr>
          <w:rFonts w:ascii="Verdana" w:hAnsi="Verdana"/>
          <w:sz w:val="20"/>
          <w:szCs w:val="20"/>
          <w:lang w:val="es-CR"/>
        </w:rPr>
        <w:t>08 y 116</w:t>
      </w:r>
      <w:r w:rsidR="00CD0F88">
        <w:rPr>
          <w:rFonts w:ascii="Verdana" w:hAnsi="Verdana"/>
          <w:sz w:val="20"/>
          <w:szCs w:val="20"/>
          <w:lang w:val="es-CR"/>
        </w:rPr>
        <w:t>)</w:t>
      </w:r>
      <w:r w:rsidR="00024BA4">
        <w:rPr>
          <w:rFonts w:ascii="Verdana" w:hAnsi="Verdana"/>
          <w:sz w:val="20"/>
          <w:szCs w:val="20"/>
          <w:lang w:val="es-CR"/>
        </w:rPr>
        <w:t>,</w:t>
      </w:r>
      <w:r w:rsidR="00197772">
        <w:rPr>
          <w:rFonts w:ascii="Verdana" w:hAnsi="Verdana"/>
          <w:sz w:val="20"/>
          <w:szCs w:val="20"/>
          <w:lang w:val="es-CR"/>
        </w:rPr>
        <w:t xml:space="preserve"> por lo que la sanción impuesta resultaba</w:t>
      </w:r>
      <w:r w:rsidR="00024BA4">
        <w:rPr>
          <w:rFonts w:ascii="Verdana" w:hAnsi="Verdana"/>
          <w:sz w:val="20"/>
          <w:szCs w:val="20"/>
          <w:lang w:val="es-CR"/>
        </w:rPr>
        <w:t xml:space="preserve"> innecesaria</w:t>
      </w:r>
      <w:r w:rsidR="00915ACA">
        <w:rPr>
          <w:rFonts w:ascii="Verdana" w:hAnsi="Verdana"/>
          <w:sz w:val="20"/>
          <w:szCs w:val="20"/>
          <w:lang w:val="es-CR"/>
        </w:rPr>
        <w:t xml:space="preserve"> en el caso concreto</w:t>
      </w:r>
      <w:r w:rsidR="00024BA4">
        <w:rPr>
          <w:rFonts w:ascii="Verdana" w:hAnsi="Verdana"/>
          <w:sz w:val="20"/>
          <w:szCs w:val="20"/>
          <w:lang w:val="es-CR"/>
        </w:rPr>
        <w:t xml:space="preserve">. </w:t>
      </w:r>
    </w:p>
    <w:p w14:paraId="14B85B96" w14:textId="77777777" w:rsidR="00197772" w:rsidRDefault="00197772" w:rsidP="005D0F69">
      <w:pPr>
        <w:shd w:val="clear" w:color="auto" w:fill="FFFFFF"/>
        <w:contextualSpacing/>
        <w:jc w:val="both"/>
        <w:rPr>
          <w:rFonts w:ascii="Verdana" w:hAnsi="Verdana"/>
          <w:sz w:val="20"/>
          <w:szCs w:val="20"/>
          <w:lang w:val="es-CR"/>
        </w:rPr>
      </w:pPr>
    </w:p>
    <w:p w14:paraId="4D57C80A" w14:textId="592F975C" w:rsidR="00197772" w:rsidRDefault="00BB752A" w:rsidP="00E66DD7">
      <w:pPr>
        <w:numPr>
          <w:ilvl w:val="0"/>
          <w:numId w:val="1"/>
        </w:numPr>
        <w:shd w:val="clear" w:color="auto" w:fill="FFFFFF"/>
        <w:ind w:left="0" w:firstLine="0"/>
        <w:contextualSpacing/>
        <w:jc w:val="both"/>
        <w:rPr>
          <w:rFonts w:ascii="Verdana" w:hAnsi="Verdana"/>
          <w:sz w:val="20"/>
          <w:szCs w:val="20"/>
          <w:lang w:val="es-CR"/>
        </w:rPr>
      </w:pPr>
      <w:r>
        <w:rPr>
          <w:rFonts w:ascii="Verdana" w:hAnsi="Verdana"/>
          <w:sz w:val="20"/>
          <w:szCs w:val="20"/>
          <w:lang w:val="es-CR"/>
        </w:rPr>
        <w:t>Ante ello</w:t>
      </w:r>
      <w:r w:rsidR="00197772" w:rsidRPr="00C464D5">
        <w:rPr>
          <w:rFonts w:ascii="Verdana" w:hAnsi="Verdana"/>
          <w:sz w:val="20"/>
          <w:szCs w:val="20"/>
          <w:lang w:val="es-CR"/>
        </w:rPr>
        <w:t>, la Corte estima que la sentencia del Segundo Tribunal de Trabajo careció de una debida motivación</w:t>
      </w:r>
      <w:r w:rsidR="00197772">
        <w:rPr>
          <w:rStyle w:val="FootnoteReference"/>
          <w:szCs w:val="20"/>
          <w:lang w:val="es-CR"/>
        </w:rPr>
        <w:footnoteReference w:id="169"/>
      </w:r>
      <w:r w:rsidR="00197772" w:rsidRPr="00C464D5">
        <w:rPr>
          <w:rFonts w:ascii="Verdana" w:hAnsi="Verdana"/>
          <w:sz w:val="20"/>
          <w:szCs w:val="20"/>
          <w:lang w:val="es-CR"/>
        </w:rPr>
        <w:t xml:space="preserve"> que analizara los derechos en juego a la luz de los elementos antes señalados, así como que valorara los argumentos de las partes y la decisión revocada, por lo que la falta de motivación tuvo un impacto directo en el debido proceso del trabajador, puesto que dejó de brindar las razones jurídicas por las cuales se acreditó el despido del señor Lagos del Campo en el contexto planteado</w:t>
      </w:r>
      <w:r w:rsidR="00197772" w:rsidRPr="003B277C">
        <w:rPr>
          <w:rFonts w:ascii="Verdana" w:hAnsi="Verdana"/>
          <w:sz w:val="20"/>
          <w:szCs w:val="20"/>
          <w:lang w:val="es-CR"/>
        </w:rPr>
        <w:t>.</w:t>
      </w:r>
    </w:p>
    <w:p w14:paraId="41EDB291" w14:textId="77777777" w:rsidR="00C01305" w:rsidRPr="00C464D5" w:rsidRDefault="00C01305" w:rsidP="00CA58EF">
      <w:pPr>
        <w:contextualSpacing/>
        <w:jc w:val="both"/>
        <w:rPr>
          <w:rFonts w:ascii="Verdana" w:hAnsi="Verdana"/>
          <w:sz w:val="20"/>
          <w:szCs w:val="20"/>
        </w:rPr>
      </w:pPr>
    </w:p>
    <w:p w14:paraId="753BCAF7" w14:textId="36D70924" w:rsidR="00365853" w:rsidRPr="00CB5A95" w:rsidRDefault="00C01305" w:rsidP="00E66DD7">
      <w:pPr>
        <w:numPr>
          <w:ilvl w:val="0"/>
          <w:numId w:val="1"/>
        </w:numPr>
        <w:ind w:left="0" w:hanging="11"/>
        <w:contextualSpacing/>
        <w:jc w:val="both"/>
        <w:rPr>
          <w:rFonts w:ascii="Verdana" w:hAnsi="Verdana"/>
          <w:sz w:val="20"/>
          <w:szCs w:val="20"/>
          <w:lang w:val="es-CR"/>
        </w:rPr>
      </w:pPr>
      <w:r w:rsidRPr="00C01305">
        <w:rPr>
          <w:rFonts w:ascii="Verdana" w:hAnsi="Verdana" w:cs="Arial"/>
          <w:snapToGrid w:val="0"/>
          <w:sz w:val="20"/>
          <w:szCs w:val="20"/>
          <w:lang w:val="es-ES" w:eastAsia="es-ES"/>
        </w:rPr>
        <w:t>En</w:t>
      </w:r>
      <w:r w:rsidRPr="00C01305">
        <w:rPr>
          <w:rFonts w:ascii="Verdana" w:hAnsi="Verdana"/>
          <w:sz w:val="20"/>
          <w:szCs w:val="20"/>
          <w:lang w:val="es-CR"/>
        </w:rPr>
        <w:t xml:space="preserve"> vista de lo anterior, </w:t>
      </w:r>
      <w:r w:rsidR="003F44BE" w:rsidRPr="00C01305">
        <w:rPr>
          <w:rFonts w:ascii="Verdana" w:hAnsi="Verdana"/>
          <w:sz w:val="20"/>
          <w:szCs w:val="20"/>
          <w:lang w:val="es-CR"/>
        </w:rPr>
        <w:t>la Corte concluye que</w:t>
      </w:r>
      <w:r w:rsidR="003F44BE" w:rsidRPr="00C01305">
        <w:rPr>
          <w:rFonts w:ascii="Verdana" w:hAnsi="Verdana"/>
          <w:sz w:val="20"/>
        </w:rPr>
        <w:t xml:space="preserve"> </w:t>
      </w:r>
      <w:r w:rsidR="003F44BE">
        <w:rPr>
          <w:rFonts w:ascii="Verdana" w:hAnsi="Verdana"/>
          <w:sz w:val="20"/>
        </w:rPr>
        <w:t>el Estado</w:t>
      </w:r>
      <w:r w:rsidR="005967AA" w:rsidRPr="00C01305">
        <w:rPr>
          <w:rFonts w:ascii="Verdana" w:hAnsi="Verdana"/>
          <w:sz w:val="20"/>
        </w:rPr>
        <w:t xml:space="preserve"> avaló </w:t>
      </w:r>
      <w:r w:rsidR="005967AA">
        <w:rPr>
          <w:rFonts w:ascii="Verdana" w:hAnsi="Verdana"/>
          <w:sz w:val="20"/>
        </w:rPr>
        <w:t>una</w:t>
      </w:r>
      <w:r w:rsidR="005967AA" w:rsidRPr="00C01305">
        <w:rPr>
          <w:rFonts w:ascii="Verdana" w:hAnsi="Verdana"/>
          <w:sz w:val="20"/>
        </w:rPr>
        <w:t xml:space="preserve"> </w:t>
      </w:r>
      <w:r w:rsidR="003F44BE" w:rsidRPr="00C01305">
        <w:rPr>
          <w:rFonts w:ascii="Verdana" w:hAnsi="Verdana"/>
          <w:color w:val="000000"/>
          <w:sz w:val="20"/>
        </w:rPr>
        <w:t>restricción al derecho a la libertad de pensamiento y de expresión del señor Lagos del Campo</w:t>
      </w:r>
      <w:r w:rsidR="005967AA" w:rsidRPr="00C01305">
        <w:rPr>
          <w:rFonts w:ascii="Verdana" w:hAnsi="Verdana"/>
          <w:sz w:val="20"/>
        </w:rPr>
        <w:t xml:space="preserve">, </w:t>
      </w:r>
      <w:r w:rsidR="00B86291">
        <w:rPr>
          <w:rFonts w:ascii="Verdana" w:hAnsi="Verdana"/>
          <w:sz w:val="20"/>
        </w:rPr>
        <w:t xml:space="preserve">a través de una </w:t>
      </w:r>
      <w:r w:rsidR="005967AA" w:rsidRPr="00C01305">
        <w:rPr>
          <w:rFonts w:ascii="Verdana" w:hAnsi="Verdana"/>
          <w:sz w:val="20"/>
        </w:rPr>
        <w:t xml:space="preserve">sanción </w:t>
      </w:r>
      <w:r w:rsidR="00637639">
        <w:rPr>
          <w:rFonts w:ascii="Verdana" w:hAnsi="Verdana"/>
          <w:sz w:val="20"/>
        </w:rPr>
        <w:t>innecesaria</w:t>
      </w:r>
      <w:r w:rsidR="00637639" w:rsidRPr="00C01305">
        <w:rPr>
          <w:rFonts w:ascii="Verdana" w:hAnsi="Verdana"/>
          <w:sz w:val="20"/>
        </w:rPr>
        <w:t xml:space="preserve"> </w:t>
      </w:r>
      <w:r w:rsidR="00637639">
        <w:rPr>
          <w:rFonts w:ascii="Verdana" w:hAnsi="Verdana"/>
          <w:sz w:val="20"/>
        </w:rPr>
        <w:t xml:space="preserve">en relación con </w:t>
      </w:r>
      <w:r w:rsidR="005967AA" w:rsidRPr="00C01305">
        <w:rPr>
          <w:rFonts w:ascii="Verdana" w:hAnsi="Verdana"/>
          <w:sz w:val="20"/>
        </w:rPr>
        <w:t>el fin perseguido</w:t>
      </w:r>
      <w:r w:rsidR="003F44BE">
        <w:rPr>
          <w:rFonts w:ascii="Verdana" w:hAnsi="Verdana"/>
          <w:sz w:val="20"/>
        </w:rPr>
        <w:t xml:space="preserve"> y</w:t>
      </w:r>
      <w:r w:rsidR="005967AA" w:rsidRPr="00C01305">
        <w:rPr>
          <w:rFonts w:ascii="Verdana" w:hAnsi="Verdana"/>
          <w:sz w:val="20"/>
        </w:rPr>
        <w:t xml:space="preserve"> sin una debida motivación. </w:t>
      </w:r>
      <w:r w:rsidR="003F44BE">
        <w:rPr>
          <w:rFonts w:ascii="Verdana" w:hAnsi="Verdana"/>
          <w:sz w:val="20"/>
        </w:rPr>
        <w:t>Lo anterior debido a que</w:t>
      </w:r>
      <w:r w:rsidRPr="00C01305">
        <w:rPr>
          <w:rFonts w:ascii="Verdana" w:hAnsi="Verdana"/>
          <w:sz w:val="20"/>
          <w:szCs w:val="20"/>
          <w:lang w:val="es-CR"/>
        </w:rPr>
        <w:t xml:space="preserve">, </w:t>
      </w:r>
      <w:r w:rsidRPr="00C01305">
        <w:rPr>
          <w:rFonts w:ascii="Verdana" w:hAnsi="Verdana"/>
          <w:sz w:val="20"/>
        </w:rPr>
        <w:t>de acuerdo con las circunstancias del presente caso, no existió un</w:t>
      </w:r>
      <w:r w:rsidR="00637639">
        <w:rPr>
          <w:rFonts w:ascii="Verdana" w:hAnsi="Verdana"/>
          <w:sz w:val="20"/>
        </w:rPr>
        <w:t xml:space="preserve">a necesidad </w:t>
      </w:r>
      <w:r w:rsidRPr="00C01305">
        <w:rPr>
          <w:rFonts w:ascii="Verdana" w:hAnsi="Verdana"/>
          <w:sz w:val="20"/>
        </w:rPr>
        <w:t>impera</w:t>
      </w:r>
      <w:r w:rsidR="00637639">
        <w:rPr>
          <w:rFonts w:ascii="Verdana" w:hAnsi="Verdana"/>
          <w:sz w:val="20"/>
        </w:rPr>
        <w:t>n</w:t>
      </w:r>
      <w:r w:rsidRPr="00C01305">
        <w:rPr>
          <w:rFonts w:ascii="Verdana" w:hAnsi="Verdana"/>
          <w:sz w:val="20"/>
        </w:rPr>
        <w:t>t</w:t>
      </w:r>
      <w:r w:rsidR="00637639">
        <w:rPr>
          <w:rFonts w:ascii="Verdana" w:hAnsi="Verdana"/>
          <w:sz w:val="20"/>
        </w:rPr>
        <w:t>e</w:t>
      </w:r>
      <w:r w:rsidRPr="00C01305">
        <w:rPr>
          <w:rFonts w:ascii="Verdana" w:hAnsi="Verdana"/>
          <w:sz w:val="20"/>
        </w:rPr>
        <w:t xml:space="preserve"> que justificara el despido del señor Lagos del Campo. En particular, </w:t>
      </w:r>
      <w:r w:rsidR="00637639">
        <w:rPr>
          <w:rFonts w:ascii="Verdana" w:hAnsi="Verdana"/>
          <w:sz w:val="20"/>
        </w:rPr>
        <w:t xml:space="preserve">se restringió su </w:t>
      </w:r>
      <w:r w:rsidRPr="00C01305">
        <w:rPr>
          <w:rFonts w:ascii="Verdana" w:hAnsi="Verdana"/>
          <w:sz w:val="20"/>
        </w:rPr>
        <w:t>libertad de expresión sin tomar en consideración que sus declaraciones se referían a cuestiones de interés público, en el marco de sus competencias</w:t>
      </w:r>
      <w:r w:rsidR="003D72A5">
        <w:rPr>
          <w:rFonts w:ascii="Verdana" w:hAnsi="Verdana"/>
          <w:sz w:val="20"/>
        </w:rPr>
        <w:t>, las cuales</w:t>
      </w:r>
      <w:r w:rsidRPr="00C01305">
        <w:rPr>
          <w:rFonts w:ascii="Verdana" w:hAnsi="Verdana"/>
          <w:sz w:val="20"/>
        </w:rPr>
        <w:t xml:space="preserve"> estaban protegidas además por su calidad de representante de los trabajadores como Presidente del Comité Electoral. </w:t>
      </w:r>
      <w:r w:rsidR="003F44BE">
        <w:rPr>
          <w:rFonts w:ascii="Verdana" w:hAnsi="Verdana"/>
          <w:sz w:val="20"/>
        </w:rPr>
        <w:t>Por tanto</w:t>
      </w:r>
      <w:r w:rsidR="00637639">
        <w:rPr>
          <w:rFonts w:ascii="Verdana" w:hAnsi="Verdana"/>
          <w:sz w:val="20"/>
        </w:rPr>
        <w:t>,</w:t>
      </w:r>
      <w:r w:rsidR="003F44BE">
        <w:rPr>
          <w:rFonts w:ascii="Verdana" w:hAnsi="Verdana"/>
          <w:sz w:val="20"/>
        </w:rPr>
        <w:t xml:space="preserve"> el Estado peruano </w:t>
      </w:r>
      <w:r w:rsidR="003F44BE">
        <w:rPr>
          <w:rFonts w:ascii="Verdana" w:hAnsi="Verdana"/>
          <w:color w:val="000000"/>
          <w:sz w:val="20"/>
        </w:rPr>
        <w:t xml:space="preserve">violó los </w:t>
      </w:r>
      <w:r w:rsidRPr="00C01305">
        <w:rPr>
          <w:rFonts w:ascii="Verdana" w:hAnsi="Verdana"/>
          <w:color w:val="000000"/>
          <w:sz w:val="20"/>
        </w:rPr>
        <w:t>artículos 13.2 y 8.2 de la Convención Americana</w:t>
      </w:r>
      <w:r w:rsidR="0050364F">
        <w:rPr>
          <w:rFonts w:ascii="Verdana" w:hAnsi="Verdana"/>
          <w:color w:val="000000"/>
          <w:sz w:val="20"/>
        </w:rPr>
        <w:t xml:space="preserve">, </w:t>
      </w:r>
      <w:r w:rsidRPr="00C01305">
        <w:rPr>
          <w:rFonts w:ascii="Verdana" w:hAnsi="Verdana"/>
          <w:color w:val="000000"/>
          <w:sz w:val="20"/>
        </w:rPr>
        <w:t>en perjuicio del señor Lagos del Campo.</w:t>
      </w:r>
    </w:p>
    <w:p w14:paraId="5960277C" w14:textId="77777777" w:rsidR="00365853" w:rsidRDefault="00365853" w:rsidP="00CB5A95">
      <w:pPr>
        <w:contextualSpacing/>
        <w:jc w:val="both"/>
        <w:rPr>
          <w:rFonts w:ascii="Verdana" w:hAnsi="Verdana"/>
          <w:color w:val="000000"/>
          <w:sz w:val="20"/>
        </w:rPr>
      </w:pPr>
    </w:p>
    <w:p w14:paraId="34B236BC" w14:textId="4FCBCC91" w:rsidR="0088700B" w:rsidRPr="00801513" w:rsidRDefault="00C82CC4" w:rsidP="00E66DD7">
      <w:pPr>
        <w:pStyle w:val="Heading3"/>
        <w:numPr>
          <w:ilvl w:val="0"/>
          <w:numId w:val="11"/>
        </w:numPr>
        <w:ind w:left="714" w:hanging="357"/>
        <w:rPr>
          <w:b w:val="0"/>
          <w:i/>
          <w:szCs w:val="20"/>
        </w:rPr>
      </w:pPr>
      <w:bookmarkStart w:id="49" w:name="_Toc498333506"/>
      <w:r w:rsidRPr="00801513">
        <w:rPr>
          <w:i/>
          <w:szCs w:val="20"/>
        </w:rPr>
        <w:t>Vulneración</w:t>
      </w:r>
      <w:r w:rsidR="0088700B" w:rsidRPr="00801513">
        <w:rPr>
          <w:i/>
          <w:szCs w:val="20"/>
        </w:rPr>
        <w:t xml:space="preserve"> a la estabilidad laboral</w:t>
      </w:r>
      <w:bookmarkEnd w:id="49"/>
      <w:r w:rsidR="0088700B" w:rsidRPr="00801513">
        <w:rPr>
          <w:i/>
          <w:szCs w:val="20"/>
        </w:rPr>
        <w:t xml:space="preserve"> </w:t>
      </w:r>
    </w:p>
    <w:p w14:paraId="33EA8E08" w14:textId="77777777" w:rsidR="0088700B" w:rsidRDefault="0088700B" w:rsidP="00801513">
      <w:pPr>
        <w:tabs>
          <w:tab w:val="left" w:pos="426"/>
        </w:tabs>
        <w:rPr>
          <w:rFonts w:ascii="Verdana" w:hAnsi="Verdana"/>
          <w:sz w:val="20"/>
          <w:szCs w:val="20"/>
        </w:rPr>
      </w:pPr>
    </w:p>
    <w:p w14:paraId="4857AA8A" w14:textId="77777777" w:rsidR="0088700B" w:rsidRPr="00423D89" w:rsidRDefault="0088700B" w:rsidP="00E66DD7">
      <w:pPr>
        <w:pStyle w:val="Heading3"/>
        <w:numPr>
          <w:ilvl w:val="1"/>
          <w:numId w:val="11"/>
        </w:numPr>
        <w:ind w:hanging="229"/>
        <w:rPr>
          <w:i/>
          <w:szCs w:val="20"/>
        </w:rPr>
      </w:pPr>
      <w:bookmarkStart w:id="50" w:name="_Toc498333507"/>
      <w:r w:rsidRPr="00423D89">
        <w:rPr>
          <w:i/>
          <w:color w:val="000000"/>
          <w:szCs w:val="20"/>
        </w:rPr>
        <w:t>Alegatos</w:t>
      </w:r>
      <w:r w:rsidRPr="00423D89">
        <w:rPr>
          <w:i/>
          <w:szCs w:val="20"/>
        </w:rPr>
        <w:t xml:space="preserve"> relativos a derechos laborales</w:t>
      </w:r>
      <w:bookmarkEnd w:id="50"/>
    </w:p>
    <w:p w14:paraId="66363D9B" w14:textId="77777777" w:rsidR="0088700B" w:rsidRPr="00113ABE" w:rsidRDefault="0088700B" w:rsidP="0088700B">
      <w:pPr>
        <w:ind w:left="1068"/>
        <w:contextualSpacing/>
        <w:jc w:val="both"/>
        <w:rPr>
          <w:rFonts w:ascii="Verdana" w:hAnsi="Verdana"/>
          <w:b/>
          <w:i/>
          <w:sz w:val="20"/>
          <w:szCs w:val="20"/>
        </w:rPr>
      </w:pPr>
    </w:p>
    <w:p w14:paraId="49E65C78" w14:textId="2745DF13" w:rsidR="0088700B" w:rsidRPr="002607D9" w:rsidRDefault="0088700B" w:rsidP="00E66DD7">
      <w:pPr>
        <w:numPr>
          <w:ilvl w:val="0"/>
          <w:numId w:val="1"/>
        </w:numPr>
        <w:ind w:left="0" w:firstLine="0"/>
        <w:contextualSpacing/>
        <w:jc w:val="both"/>
        <w:rPr>
          <w:rFonts w:ascii="Verdana" w:hAnsi="Verdana"/>
          <w:b/>
          <w:sz w:val="20"/>
          <w:szCs w:val="20"/>
        </w:rPr>
      </w:pPr>
      <w:r w:rsidRPr="002607D9">
        <w:rPr>
          <w:rFonts w:ascii="Verdana" w:hAnsi="Verdana"/>
          <w:sz w:val="20"/>
          <w:szCs w:val="20"/>
        </w:rPr>
        <w:t xml:space="preserve">En el presente caso, la Corte </w:t>
      </w:r>
      <w:r>
        <w:rPr>
          <w:rFonts w:ascii="Verdana" w:hAnsi="Verdana"/>
          <w:sz w:val="20"/>
          <w:szCs w:val="20"/>
        </w:rPr>
        <w:t>nota</w:t>
      </w:r>
      <w:r w:rsidRPr="002607D9">
        <w:rPr>
          <w:rFonts w:ascii="Verdana" w:hAnsi="Verdana"/>
          <w:sz w:val="20"/>
          <w:szCs w:val="20"/>
        </w:rPr>
        <w:t xml:space="preserve"> que en el litigio ante esta Corte, ni los representantes ni la Comisión hicieron alusión expresa a la presunta violación de los derechos laborales a la luz de la Convención Americana. Sin embargo, este Tribunal constató que la presunta víctima en todas las instancias</w:t>
      </w:r>
      <w:r w:rsidR="00E41369">
        <w:rPr>
          <w:rFonts w:ascii="Verdana" w:hAnsi="Verdana"/>
          <w:sz w:val="20"/>
          <w:szCs w:val="20"/>
        </w:rPr>
        <w:t>,</w:t>
      </w:r>
      <w:r w:rsidRPr="002607D9">
        <w:rPr>
          <w:rFonts w:ascii="Verdana" w:hAnsi="Verdana"/>
          <w:sz w:val="20"/>
          <w:szCs w:val="20"/>
        </w:rPr>
        <w:t xml:space="preserve"> tanto internas como ante la Comisión</w:t>
      </w:r>
      <w:r w:rsidR="00E41369">
        <w:rPr>
          <w:rFonts w:ascii="Verdana" w:hAnsi="Verdana"/>
          <w:sz w:val="20"/>
          <w:szCs w:val="20"/>
        </w:rPr>
        <w:t>,</w:t>
      </w:r>
      <w:r w:rsidRPr="002607D9">
        <w:rPr>
          <w:rFonts w:ascii="Verdana" w:hAnsi="Verdana"/>
          <w:sz w:val="20"/>
          <w:szCs w:val="20"/>
        </w:rPr>
        <w:t xml:space="preserve"> alegó reiteradamente la violación a sus derechos laborales, en particular a la estabilidad laboral, así como las consecuencias derivadas del despido. A saber</w:t>
      </w:r>
      <w:r w:rsidRPr="002607D9">
        <w:rPr>
          <w:rStyle w:val="FootnoteReference"/>
          <w:szCs w:val="20"/>
        </w:rPr>
        <w:footnoteReference w:id="170"/>
      </w:r>
      <w:r w:rsidRPr="002607D9">
        <w:rPr>
          <w:rFonts w:ascii="Verdana" w:hAnsi="Verdana"/>
          <w:sz w:val="20"/>
          <w:szCs w:val="20"/>
        </w:rPr>
        <w:t xml:space="preserve">: </w:t>
      </w:r>
    </w:p>
    <w:p w14:paraId="2576366C" w14:textId="77777777" w:rsidR="0088700B" w:rsidRPr="002607D9" w:rsidRDefault="0088700B" w:rsidP="0088700B">
      <w:pPr>
        <w:jc w:val="both"/>
        <w:rPr>
          <w:rFonts w:ascii="Verdana" w:hAnsi="Verdana"/>
          <w:sz w:val="18"/>
          <w:szCs w:val="20"/>
        </w:rPr>
      </w:pPr>
    </w:p>
    <w:p w14:paraId="43128402" w14:textId="2EBEBA1C" w:rsidR="0088700B" w:rsidRPr="002607D9" w:rsidRDefault="0088700B" w:rsidP="00E66DD7">
      <w:pPr>
        <w:pStyle w:val="ListParagraph"/>
        <w:numPr>
          <w:ilvl w:val="2"/>
          <w:numId w:val="21"/>
        </w:numPr>
        <w:ind w:left="851" w:firstLine="0"/>
        <w:jc w:val="both"/>
        <w:rPr>
          <w:rFonts w:ascii="Verdana" w:hAnsi="Verdana"/>
          <w:b/>
          <w:sz w:val="18"/>
          <w:szCs w:val="20"/>
        </w:rPr>
      </w:pPr>
      <w:r w:rsidRPr="002607D9">
        <w:rPr>
          <w:rFonts w:ascii="Verdana" w:hAnsi="Verdana"/>
          <w:sz w:val="18"/>
          <w:szCs w:val="20"/>
          <w:lang w:val="es-CR"/>
        </w:rPr>
        <w:t xml:space="preserve">Mediante escrito de 13 de octubre de 1993, dirigido al Presidente de la Comisión Interamericana, recibido en la oficina de la OEA en el Perú el 14 de octubre de 1993, el </w:t>
      </w:r>
      <w:r w:rsidR="008644E8">
        <w:rPr>
          <w:rFonts w:ascii="Verdana" w:hAnsi="Verdana"/>
          <w:sz w:val="18"/>
          <w:szCs w:val="20"/>
          <w:lang w:val="es-CR"/>
        </w:rPr>
        <w:t>s</w:t>
      </w:r>
      <w:r w:rsidR="00A31F26">
        <w:rPr>
          <w:rFonts w:ascii="Verdana" w:hAnsi="Verdana"/>
          <w:sz w:val="18"/>
          <w:szCs w:val="20"/>
          <w:lang w:val="es-CR"/>
        </w:rPr>
        <w:t>eñor</w:t>
      </w:r>
      <w:r w:rsidRPr="002607D9">
        <w:rPr>
          <w:rFonts w:ascii="Verdana" w:hAnsi="Verdana"/>
          <w:sz w:val="18"/>
          <w:szCs w:val="20"/>
          <w:lang w:val="es-CR"/>
        </w:rPr>
        <w:t xml:space="preserve"> Lagos del Campo afirmó que en la sentencia emitida por el Segundo Tribunal del Trabajo “[</w:t>
      </w:r>
      <w:r w:rsidR="00E41369">
        <w:rPr>
          <w:rFonts w:ascii="Verdana" w:hAnsi="Verdana"/>
          <w:sz w:val="18"/>
          <w:szCs w:val="20"/>
          <w:lang w:val="es-CR"/>
        </w:rPr>
        <w:t>h</w:t>
      </w:r>
      <w:r w:rsidRPr="002607D9">
        <w:rPr>
          <w:rFonts w:ascii="Verdana" w:hAnsi="Verdana"/>
          <w:sz w:val="18"/>
          <w:szCs w:val="20"/>
          <w:lang w:val="es-CR"/>
        </w:rPr>
        <w:t xml:space="preserve">ubo] vicios procesales que recortaron [su] tutela jurídica, violando de [esa] manera lo que establece la Constitución Política de [su] país, que garantiza a todo ciudadano peruano, </w:t>
      </w:r>
      <w:r w:rsidRPr="002607D9">
        <w:rPr>
          <w:rFonts w:ascii="Verdana" w:hAnsi="Verdana"/>
          <w:i/>
          <w:sz w:val="18"/>
          <w:szCs w:val="20"/>
          <w:lang w:val="es-CR"/>
        </w:rPr>
        <w:t xml:space="preserve">el derecho a un </w:t>
      </w:r>
      <w:r w:rsidRPr="002607D9">
        <w:rPr>
          <w:rFonts w:ascii="Verdana" w:hAnsi="Verdana"/>
          <w:i/>
          <w:sz w:val="18"/>
          <w:szCs w:val="20"/>
          <w:lang w:val="es-CR"/>
        </w:rPr>
        <w:lastRenderedPageBreak/>
        <w:t xml:space="preserve">debido proceso legal y el </w:t>
      </w:r>
      <w:r w:rsidRPr="006D5D16">
        <w:rPr>
          <w:rFonts w:ascii="Verdana" w:hAnsi="Verdana"/>
          <w:b/>
          <w:i/>
          <w:sz w:val="18"/>
          <w:szCs w:val="20"/>
          <w:lang w:val="es-CR"/>
        </w:rPr>
        <w:t>derecho al trabajo</w:t>
      </w:r>
      <w:r w:rsidRPr="002607D9">
        <w:rPr>
          <w:rFonts w:ascii="Verdana" w:hAnsi="Verdana"/>
          <w:sz w:val="18"/>
          <w:szCs w:val="20"/>
          <w:lang w:val="es-CR"/>
        </w:rPr>
        <w:t>”</w:t>
      </w:r>
      <w:r w:rsidR="008E18C3">
        <w:rPr>
          <w:rFonts w:ascii="Verdana" w:hAnsi="Verdana"/>
          <w:sz w:val="18"/>
          <w:szCs w:val="20"/>
          <w:lang w:val="es-CR"/>
        </w:rPr>
        <w:t>.</w:t>
      </w:r>
      <w:r w:rsidRPr="002607D9">
        <w:rPr>
          <w:rFonts w:ascii="Verdana" w:hAnsi="Verdana"/>
          <w:sz w:val="18"/>
          <w:szCs w:val="20"/>
          <w:lang w:val="es-CR"/>
        </w:rPr>
        <w:t xml:space="preserve"> En el anexo 1 de ese mismo escrito, el peticionario precisó, entre otros, que se había violado “[su] derecho a la </w:t>
      </w:r>
      <w:r w:rsidRPr="006D5D16">
        <w:rPr>
          <w:rFonts w:ascii="Verdana" w:hAnsi="Verdana"/>
          <w:b/>
          <w:i/>
          <w:sz w:val="18"/>
          <w:szCs w:val="20"/>
          <w:lang w:val="es-CR"/>
        </w:rPr>
        <w:t>estabilidad en el trabajo</w:t>
      </w:r>
      <w:r w:rsidRPr="002607D9">
        <w:rPr>
          <w:rFonts w:ascii="Verdana" w:hAnsi="Verdana"/>
          <w:sz w:val="18"/>
          <w:szCs w:val="20"/>
          <w:lang w:val="es-CR"/>
        </w:rPr>
        <w:t xml:space="preserve">, señalado en el </w:t>
      </w:r>
      <w:proofErr w:type="gramStart"/>
      <w:r w:rsidRPr="002607D9">
        <w:rPr>
          <w:rFonts w:ascii="Verdana" w:hAnsi="Verdana"/>
          <w:sz w:val="18"/>
          <w:szCs w:val="20"/>
          <w:lang w:val="es-CR"/>
        </w:rPr>
        <w:t>art[</w:t>
      </w:r>
      <w:proofErr w:type="spellStart"/>
      <w:proofErr w:type="gramEnd"/>
      <w:r w:rsidRPr="002607D9">
        <w:rPr>
          <w:rFonts w:ascii="Verdana" w:hAnsi="Verdana"/>
          <w:sz w:val="18"/>
          <w:szCs w:val="20"/>
          <w:lang w:val="es-CR"/>
        </w:rPr>
        <w:t>ículo</w:t>
      </w:r>
      <w:proofErr w:type="spellEnd"/>
      <w:r w:rsidRPr="002607D9">
        <w:rPr>
          <w:rFonts w:ascii="Verdana" w:hAnsi="Verdana"/>
          <w:sz w:val="18"/>
          <w:szCs w:val="20"/>
          <w:lang w:val="es-CR"/>
        </w:rPr>
        <w:t xml:space="preserve">] 48 de la Constitución y </w:t>
      </w:r>
      <w:r w:rsidR="00A31F26">
        <w:rPr>
          <w:rFonts w:ascii="Verdana" w:hAnsi="Verdana"/>
          <w:sz w:val="18"/>
          <w:szCs w:val="20"/>
          <w:lang w:val="es-CR"/>
        </w:rPr>
        <w:t xml:space="preserve">los </w:t>
      </w:r>
      <w:r w:rsidRPr="002607D9">
        <w:rPr>
          <w:rFonts w:ascii="Verdana" w:hAnsi="Verdana"/>
          <w:sz w:val="18"/>
          <w:szCs w:val="20"/>
          <w:lang w:val="es-CR"/>
        </w:rPr>
        <w:t>art[</w:t>
      </w:r>
      <w:proofErr w:type="spellStart"/>
      <w:r w:rsidRPr="002607D9">
        <w:rPr>
          <w:rFonts w:ascii="Verdana" w:hAnsi="Verdana"/>
          <w:sz w:val="18"/>
          <w:szCs w:val="20"/>
          <w:lang w:val="es-CR"/>
        </w:rPr>
        <w:t>ículos</w:t>
      </w:r>
      <w:proofErr w:type="spellEnd"/>
      <w:r w:rsidRPr="002607D9">
        <w:rPr>
          <w:rFonts w:ascii="Verdana" w:hAnsi="Verdana"/>
          <w:sz w:val="18"/>
          <w:szCs w:val="20"/>
          <w:lang w:val="es-CR"/>
        </w:rPr>
        <w:t>] 27 y 26 del nuevo proyecto”</w:t>
      </w:r>
      <w:r w:rsidRPr="002607D9">
        <w:rPr>
          <w:rStyle w:val="FootnoteReference"/>
          <w:sz w:val="18"/>
          <w:szCs w:val="20"/>
          <w:lang w:val="es-CR"/>
        </w:rPr>
        <w:footnoteReference w:id="171"/>
      </w:r>
      <w:r w:rsidRPr="002607D9">
        <w:rPr>
          <w:rFonts w:ascii="Verdana" w:hAnsi="Verdana"/>
          <w:sz w:val="18"/>
          <w:szCs w:val="20"/>
          <w:lang w:val="es-CR"/>
        </w:rPr>
        <w:t>.</w:t>
      </w:r>
    </w:p>
    <w:p w14:paraId="385F1219" w14:textId="77777777" w:rsidR="0088700B" w:rsidRPr="00E26F81" w:rsidRDefault="0088700B" w:rsidP="0088700B">
      <w:pPr>
        <w:pStyle w:val="ListParagraph"/>
        <w:ind w:left="851"/>
        <w:jc w:val="both"/>
        <w:rPr>
          <w:rFonts w:ascii="Verdana" w:hAnsi="Verdana"/>
          <w:b/>
          <w:sz w:val="18"/>
          <w:szCs w:val="20"/>
        </w:rPr>
      </w:pPr>
    </w:p>
    <w:p w14:paraId="32462CF6" w14:textId="65F6988A" w:rsidR="0088700B" w:rsidRPr="002607D9" w:rsidRDefault="0088700B" w:rsidP="00E66DD7">
      <w:pPr>
        <w:pStyle w:val="ListParagraph"/>
        <w:numPr>
          <w:ilvl w:val="2"/>
          <w:numId w:val="21"/>
        </w:numPr>
        <w:ind w:left="851" w:firstLine="0"/>
        <w:jc w:val="both"/>
        <w:rPr>
          <w:rFonts w:ascii="Verdana" w:hAnsi="Verdana"/>
          <w:b/>
          <w:sz w:val="18"/>
          <w:szCs w:val="20"/>
        </w:rPr>
      </w:pPr>
      <w:r w:rsidRPr="002607D9">
        <w:rPr>
          <w:rFonts w:ascii="Verdana" w:hAnsi="Verdana"/>
          <w:sz w:val="18"/>
          <w:szCs w:val="20"/>
          <w:lang w:val="es-CR"/>
        </w:rPr>
        <w:t xml:space="preserve">Mediante escrito dirigido a la Comisión Interamericana de 30 de septiembre de 1994, recibido por la Oficina de la OEA en el Perú el 4 de octubre de 1994, la parte actora expuso, “[que] la violación de [sus] derechos constitucionales y humanos, como son </w:t>
      </w:r>
      <w:r w:rsidRPr="002607D9">
        <w:rPr>
          <w:rFonts w:ascii="Verdana" w:hAnsi="Verdana"/>
          <w:i/>
          <w:sz w:val="18"/>
          <w:szCs w:val="20"/>
          <w:lang w:val="es-CR"/>
        </w:rPr>
        <w:t xml:space="preserve">el derecho a un juicio justo y el </w:t>
      </w:r>
      <w:r w:rsidRPr="006D5D16">
        <w:rPr>
          <w:rFonts w:ascii="Verdana" w:hAnsi="Verdana"/>
          <w:b/>
          <w:i/>
          <w:sz w:val="18"/>
          <w:szCs w:val="20"/>
          <w:lang w:val="es-CR"/>
        </w:rPr>
        <w:t>derecho al trabajo</w:t>
      </w:r>
      <w:r w:rsidRPr="002607D9">
        <w:rPr>
          <w:rFonts w:ascii="Verdana" w:hAnsi="Verdana"/>
          <w:sz w:val="18"/>
          <w:szCs w:val="20"/>
          <w:lang w:val="es-CR"/>
        </w:rPr>
        <w:t xml:space="preserve">, que [fueron] de conocimiento de las altas autoridades de [su] país, </w:t>
      </w:r>
      <w:r w:rsidR="00A31F26">
        <w:rPr>
          <w:rFonts w:ascii="Verdana" w:hAnsi="Verdana"/>
          <w:sz w:val="18"/>
          <w:szCs w:val="20"/>
          <w:lang w:val="es-CR"/>
        </w:rPr>
        <w:t xml:space="preserve">[y] </w:t>
      </w:r>
      <w:r w:rsidRPr="002607D9">
        <w:rPr>
          <w:rFonts w:ascii="Verdana" w:hAnsi="Verdana"/>
          <w:sz w:val="18"/>
          <w:szCs w:val="20"/>
          <w:lang w:val="es-CR"/>
        </w:rPr>
        <w:t>hasta [aquel] momento no media</w:t>
      </w:r>
      <w:r w:rsidR="00A31F26">
        <w:rPr>
          <w:rFonts w:ascii="Verdana" w:hAnsi="Verdana"/>
          <w:sz w:val="18"/>
          <w:szCs w:val="20"/>
          <w:lang w:val="es-CR"/>
        </w:rPr>
        <w:t>[</w:t>
      </w:r>
      <w:proofErr w:type="spellStart"/>
      <w:r w:rsidR="00A31F26">
        <w:rPr>
          <w:rFonts w:ascii="Verdana" w:hAnsi="Verdana"/>
          <w:sz w:val="18"/>
          <w:szCs w:val="20"/>
          <w:lang w:val="es-CR"/>
        </w:rPr>
        <w:t>ba</w:t>
      </w:r>
      <w:proofErr w:type="spellEnd"/>
      <w:r w:rsidR="00A31F26">
        <w:rPr>
          <w:rFonts w:ascii="Verdana" w:hAnsi="Verdana"/>
          <w:sz w:val="18"/>
          <w:szCs w:val="20"/>
          <w:lang w:val="es-CR"/>
        </w:rPr>
        <w:t>]</w:t>
      </w:r>
      <w:r w:rsidRPr="002607D9">
        <w:rPr>
          <w:rFonts w:ascii="Verdana" w:hAnsi="Verdana"/>
          <w:sz w:val="18"/>
          <w:szCs w:val="20"/>
          <w:lang w:val="es-CR"/>
        </w:rPr>
        <w:t>n ninguna acción o presencia de justicia […]”</w:t>
      </w:r>
      <w:r w:rsidRPr="002607D9">
        <w:rPr>
          <w:rStyle w:val="FootnoteReference"/>
          <w:sz w:val="18"/>
          <w:szCs w:val="20"/>
          <w:lang w:val="es-CR"/>
        </w:rPr>
        <w:footnoteReference w:id="172"/>
      </w:r>
      <w:r w:rsidR="00E41369">
        <w:rPr>
          <w:rFonts w:ascii="Verdana" w:hAnsi="Verdana"/>
          <w:sz w:val="18"/>
          <w:szCs w:val="20"/>
          <w:lang w:val="es-CR"/>
        </w:rPr>
        <w:t>.</w:t>
      </w:r>
    </w:p>
    <w:p w14:paraId="4937B814" w14:textId="77777777" w:rsidR="0088700B" w:rsidRPr="00932C8E" w:rsidRDefault="0088700B" w:rsidP="0088700B">
      <w:pPr>
        <w:ind w:left="851"/>
        <w:jc w:val="both"/>
        <w:rPr>
          <w:rFonts w:ascii="Verdana" w:hAnsi="Verdana"/>
          <w:b/>
          <w:sz w:val="18"/>
          <w:szCs w:val="20"/>
        </w:rPr>
      </w:pPr>
    </w:p>
    <w:p w14:paraId="799DA184" w14:textId="58887B5C" w:rsidR="0088700B" w:rsidRPr="00932C8E" w:rsidRDefault="0088700B" w:rsidP="00E66DD7">
      <w:pPr>
        <w:pStyle w:val="ListParagraph"/>
        <w:numPr>
          <w:ilvl w:val="2"/>
          <w:numId w:val="21"/>
        </w:numPr>
        <w:ind w:left="851" w:firstLine="0"/>
        <w:jc w:val="both"/>
        <w:rPr>
          <w:rFonts w:ascii="Verdana" w:hAnsi="Verdana"/>
          <w:b/>
          <w:sz w:val="18"/>
          <w:szCs w:val="20"/>
        </w:rPr>
      </w:pPr>
      <w:r>
        <w:rPr>
          <w:rFonts w:ascii="Verdana" w:hAnsi="Verdana"/>
          <w:sz w:val="18"/>
          <w:szCs w:val="20"/>
          <w:lang w:val="es-CR"/>
        </w:rPr>
        <w:t xml:space="preserve">Mediante </w:t>
      </w:r>
      <w:r w:rsidRPr="00932C8E">
        <w:rPr>
          <w:rFonts w:ascii="Verdana" w:hAnsi="Verdana"/>
          <w:sz w:val="18"/>
          <w:szCs w:val="20"/>
          <w:lang w:val="es-CR"/>
        </w:rPr>
        <w:t xml:space="preserve">escrito </w:t>
      </w:r>
      <w:r>
        <w:rPr>
          <w:rFonts w:ascii="Verdana" w:hAnsi="Verdana"/>
          <w:sz w:val="18"/>
          <w:szCs w:val="20"/>
          <w:lang w:val="es-CR"/>
        </w:rPr>
        <w:t xml:space="preserve">de </w:t>
      </w:r>
      <w:r w:rsidRPr="00932C8E">
        <w:rPr>
          <w:rFonts w:ascii="Verdana" w:hAnsi="Verdana"/>
          <w:sz w:val="18"/>
          <w:szCs w:val="20"/>
        </w:rPr>
        <w:t xml:space="preserve">la Federación de Trabajadores de la Industria Metalúrgica del Perú (FETIMP) en representación del </w:t>
      </w:r>
      <w:r w:rsidR="008644E8">
        <w:rPr>
          <w:rFonts w:ascii="Verdana" w:hAnsi="Verdana"/>
          <w:sz w:val="18"/>
          <w:szCs w:val="20"/>
        </w:rPr>
        <w:t>s</w:t>
      </w:r>
      <w:r w:rsidR="00D3263C">
        <w:rPr>
          <w:rFonts w:ascii="Verdana" w:hAnsi="Verdana"/>
          <w:sz w:val="18"/>
          <w:szCs w:val="20"/>
        </w:rPr>
        <w:t>eñor</w:t>
      </w:r>
      <w:r w:rsidRPr="00932C8E">
        <w:rPr>
          <w:rFonts w:ascii="Verdana" w:hAnsi="Verdana"/>
          <w:sz w:val="18"/>
          <w:szCs w:val="20"/>
        </w:rPr>
        <w:t xml:space="preserve"> Lagos del Campo, </w:t>
      </w:r>
      <w:r w:rsidRPr="00932C8E">
        <w:rPr>
          <w:rFonts w:ascii="Verdana" w:hAnsi="Verdana"/>
          <w:sz w:val="18"/>
          <w:szCs w:val="20"/>
          <w:lang w:val="es-CR"/>
        </w:rPr>
        <w:t>dirigido al Presidente de la Comisión Interamericana de 4 de junio de 1997 y recibid</w:t>
      </w:r>
      <w:r>
        <w:rPr>
          <w:rFonts w:ascii="Verdana" w:hAnsi="Verdana"/>
          <w:sz w:val="18"/>
          <w:szCs w:val="20"/>
          <w:lang w:val="es-CR"/>
        </w:rPr>
        <w:t>o</w:t>
      </w:r>
      <w:r w:rsidRPr="00932C8E">
        <w:rPr>
          <w:rFonts w:ascii="Verdana" w:hAnsi="Verdana"/>
          <w:sz w:val="18"/>
          <w:szCs w:val="20"/>
          <w:lang w:val="es-CR"/>
        </w:rPr>
        <w:t xml:space="preserve"> el 5 de agosto de 1998 en la </w:t>
      </w:r>
      <w:r>
        <w:rPr>
          <w:rFonts w:ascii="Verdana" w:hAnsi="Verdana"/>
          <w:sz w:val="18"/>
          <w:szCs w:val="20"/>
          <w:lang w:val="es-CR"/>
        </w:rPr>
        <w:t>Comisión,</w:t>
      </w:r>
      <w:r w:rsidRPr="00932C8E">
        <w:rPr>
          <w:rFonts w:ascii="Verdana" w:hAnsi="Verdana"/>
          <w:sz w:val="18"/>
          <w:szCs w:val="20"/>
          <w:lang w:val="es-CR"/>
        </w:rPr>
        <w:t xml:space="preserve"> “</w:t>
      </w:r>
      <w:proofErr w:type="spellStart"/>
      <w:r w:rsidRPr="00932C8E">
        <w:rPr>
          <w:rFonts w:ascii="Verdana" w:hAnsi="Verdana"/>
          <w:sz w:val="18"/>
          <w:szCs w:val="20"/>
          <w:lang w:val="es-CR"/>
        </w:rPr>
        <w:t>exp</w:t>
      </w:r>
      <w:proofErr w:type="spellEnd"/>
      <w:r>
        <w:rPr>
          <w:rFonts w:ascii="Verdana" w:hAnsi="Verdana"/>
          <w:sz w:val="18"/>
          <w:szCs w:val="20"/>
          <w:lang w:val="es-CR"/>
        </w:rPr>
        <w:t>[uso]</w:t>
      </w:r>
      <w:r w:rsidRPr="00932C8E">
        <w:rPr>
          <w:rFonts w:ascii="Verdana" w:hAnsi="Verdana"/>
          <w:sz w:val="18"/>
          <w:szCs w:val="20"/>
          <w:lang w:val="es-CR"/>
        </w:rPr>
        <w:t xml:space="preserve"> el caso del </w:t>
      </w:r>
      <w:r w:rsidR="00E41369">
        <w:rPr>
          <w:rFonts w:ascii="Verdana" w:hAnsi="Verdana"/>
          <w:sz w:val="18"/>
          <w:szCs w:val="20"/>
          <w:lang w:val="es-CR"/>
        </w:rPr>
        <w:t>[</w:t>
      </w:r>
      <w:r w:rsidRPr="00932C8E">
        <w:rPr>
          <w:rFonts w:ascii="Verdana" w:hAnsi="Verdana"/>
          <w:sz w:val="18"/>
          <w:szCs w:val="20"/>
          <w:lang w:val="es-CR"/>
        </w:rPr>
        <w:t>c</w:t>
      </w:r>
      <w:r w:rsidR="00E41369">
        <w:rPr>
          <w:rFonts w:ascii="Verdana" w:hAnsi="Verdana"/>
          <w:sz w:val="18"/>
          <w:szCs w:val="20"/>
          <w:lang w:val="es-CR"/>
        </w:rPr>
        <w:t>]</w:t>
      </w:r>
      <w:proofErr w:type="spellStart"/>
      <w:r w:rsidRPr="00932C8E">
        <w:rPr>
          <w:rFonts w:ascii="Verdana" w:hAnsi="Verdana"/>
          <w:sz w:val="18"/>
          <w:szCs w:val="20"/>
          <w:lang w:val="es-CR"/>
        </w:rPr>
        <w:t>iudadano</w:t>
      </w:r>
      <w:proofErr w:type="spellEnd"/>
      <w:r w:rsidRPr="00932C8E">
        <w:rPr>
          <w:rFonts w:ascii="Verdana" w:hAnsi="Verdana"/>
          <w:sz w:val="18"/>
          <w:szCs w:val="20"/>
          <w:lang w:val="es-CR"/>
        </w:rPr>
        <w:t xml:space="preserve"> </w:t>
      </w:r>
      <w:r w:rsidR="00E41369">
        <w:rPr>
          <w:rFonts w:ascii="Verdana" w:hAnsi="Verdana"/>
          <w:sz w:val="18"/>
          <w:szCs w:val="20"/>
          <w:lang w:val="es-CR"/>
        </w:rPr>
        <w:t>[</w:t>
      </w:r>
      <w:r w:rsidRPr="00932C8E">
        <w:rPr>
          <w:rFonts w:ascii="Verdana" w:hAnsi="Verdana"/>
          <w:sz w:val="18"/>
          <w:szCs w:val="20"/>
          <w:lang w:val="es-CR"/>
        </w:rPr>
        <w:t>p</w:t>
      </w:r>
      <w:r w:rsidR="00E41369">
        <w:rPr>
          <w:rFonts w:ascii="Verdana" w:hAnsi="Verdana"/>
          <w:sz w:val="18"/>
          <w:szCs w:val="20"/>
          <w:lang w:val="es-CR"/>
        </w:rPr>
        <w:t>]</w:t>
      </w:r>
      <w:proofErr w:type="spellStart"/>
      <w:r w:rsidRPr="00932C8E">
        <w:rPr>
          <w:rFonts w:ascii="Verdana" w:hAnsi="Verdana"/>
          <w:sz w:val="18"/>
          <w:szCs w:val="20"/>
          <w:lang w:val="es-CR"/>
        </w:rPr>
        <w:t>eruano</w:t>
      </w:r>
      <w:proofErr w:type="spellEnd"/>
      <w:r w:rsidRPr="00932C8E">
        <w:rPr>
          <w:rFonts w:ascii="Verdana" w:hAnsi="Verdana"/>
          <w:sz w:val="18"/>
          <w:szCs w:val="20"/>
          <w:lang w:val="es-CR"/>
        </w:rPr>
        <w:t xml:space="preserve"> y afiliado a [su] organización sindical, </w:t>
      </w:r>
      <w:r w:rsidR="008644E8">
        <w:rPr>
          <w:rFonts w:ascii="Verdana" w:hAnsi="Verdana"/>
          <w:sz w:val="18"/>
          <w:szCs w:val="20"/>
          <w:lang w:val="es-CR"/>
        </w:rPr>
        <w:t>s</w:t>
      </w:r>
      <w:r w:rsidR="00D3263C">
        <w:rPr>
          <w:rFonts w:ascii="Verdana" w:hAnsi="Verdana"/>
          <w:sz w:val="18"/>
          <w:szCs w:val="20"/>
          <w:lang w:val="es-CR"/>
        </w:rPr>
        <w:t>eñor</w:t>
      </w:r>
      <w:r w:rsidRPr="00932C8E">
        <w:rPr>
          <w:rFonts w:ascii="Verdana" w:hAnsi="Verdana"/>
          <w:sz w:val="18"/>
          <w:szCs w:val="20"/>
          <w:lang w:val="es-CR"/>
        </w:rPr>
        <w:t xml:space="preserve"> Lagos del Campo, quien fue</w:t>
      </w:r>
      <w:r w:rsidR="00E41369">
        <w:rPr>
          <w:rFonts w:ascii="Verdana" w:hAnsi="Verdana"/>
          <w:sz w:val="18"/>
          <w:szCs w:val="20"/>
          <w:lang w:val="es-CR"/>
        </w:rPr>
        <w:t xml:space="preserve"> […]</w:t>
      </w:r>
      <w:r w:rsidRPr="00932C8E">
        <w:rPr>
          <w:rFonts w:ascii="Verdana" w:hAnsi="Verdana"/>
          <w:sz w:val="18"/>
          <w:szCs w:val="20"/>
          <w:lang w:val="es-CR"/>
        </w:rPr>
        <w:t xml:space="preserve"> </w:t>
      </w:r>
      <w:r w:rsidRPr="008E104E">
        <w:rPr>
          <w:rFonts w:ascii="Verdana" w:hAnsi="Verdana"/>
          <w:i/>
          <w:sz w:val="18"/>
          <w:szCs w:val="20"/>
          <w:lang w:val="es-CR"/>
        </w:rPr>
        <w:t>injustamente despedido de su centro de labores</w:t>
      </w:r>
      <w:r w:rsidRPr="00932C8E">
        <w:rPr>
          <w:rFonts w:ascii="Verdana" w:hAnsi="Verdana"/>
          <w:sz w:val="18"/>
          <w:szCs w:val="20"/>
          <w:lang w:val="es-CR"/>
        </w:rPr>
        <w:t xml:space="preserve"> </w:t>
      </w:r>
      <w:r>
        <w:rPr>
          <w:rFonts w:ascii="Verdana" w:hAnsi="Verdana"/>
          <w:sz w:val="18"/>
          <w:szCs w:val="20"/>
          <w:lang w:val="es-CR"/>
        </w:rPr>
        <w:t>en la</w:t>
      </w:r>
      <w:r w:rsidRPr="00932C8E">
        <w:rPr>
          <w:rFonts w:ascii="Verdana" w:hAnsi="Verdana"/>
          <w:sz w:val="18"/>
          <w:szCs w:val="20"/>
          <w:lang w:val="es-CR"/>
        </w:rPr>
        <w:t xml:space="preserve"> empresa CEPER PIRELLI, S.A. el 26 de junio de 1989. Habiendo acudido a los tribunales nacionales fue víctima de la mala administración de justicia y hasta la fecha clama por una respuesta a la acción de amparo </w:t>
      </w:r>
      <w:proofErr w:type="gramStart"/>
      <w:r w:rsidRPr="00932C8E">
        <w:rPr>
          <w:rFonts w:ascii="Verdana" w:hAnsi="Verdana"/>
          <w:sz w:val="18"/>
          <w:szCs w:val="20"/>
          <w:lang w:val="es-CR"/>
        </w:rPr>
        <w:t>n[</w:t>
      </w:r>
      <w:proofErr w:type="spellStart"/>
      <w:proofErr w:type="gramEnd"/>
      <w:r w:rsidRPr="00932C8E">
        <w:rPr>
          <w:rFonts w:ascii="Verdana" w:hAnsi="Verdana"/>
          <w:sz w:val="18"/>
          <w:szCs w:val="20"/>
          <w:lang w:val="es-CR"/>
        </w:rPr>
        <w:t>úmero</w:t>
      </w:r>
      <w:proofErr w:type="spellEnd"/>
      <w:r w:rsidRPr="00932C8E">
        <w:rPr>
          <w:rFonts w:ascii="Verdana" w:hAnsi="Verdana"/>
          <w:sz w:val="18"/>
          <w:szCs w:val="20"/>
          <w:lang w:val="es-CR"/>
        </w:rPr>
        <w:t>] 2651-91”. Además se mencionó que a la fecha no habían recibido respuesta de la carta que se envió a la C</w:t>
      </w:r>
      <w:r>
        <w:rPr>
          <w:rFonts w:ascii="Verdana" w:hAnsi="Verdana"/>
          <w:sz w:val="18"/>
          <w:szCs w:val="20"/>
          <w:lang w:val="es-CR"/>
        </w:rPr>
        <w:t>omisión</w:t>
      </w:r>
      <w:r w:rsidRPr="00932C8E">
        <w:rPr>
          <w:rFonts w:ascii="Verdana" w:hAnsi="Verdana"/>
          <w:sz w:val="18"/>
          <w:szCs w:val="20"/>
          <w:lang w:val="es-CR"/>
        </w:rPr>
        <w:t xml:space="preserve"> </w:t>
      </w:r>
      <w:r>
        <w:rPr>
          <w:rFonts w:ascii="Verdana" w:hAnsi="Verdana"/>
          <w:sz w:val="18"/>
          <w:szCs w:val="20"/>
          <w:lang w:val="es-CR"/>
        </w:rPr>
        <w:t>el</w:t>
      </w:r>
      <w:r w:rsidRPr="00932C8E">
        <w:rPr>
          <w:rFonts w:ascii="Verdana" w:hAnsi="Verdana"/>
          <w:sz w:val="18"/>
          <w:szCs w:val="20"/>
          <w:lang w:val="es-CR"/>
        </w:rPr>
        <w:t xml:space="preserve"> 14 de octubre de 1993, tramitada por la oficina de la OEA en Lima</w:t>
      </w:r>
      <w:r w:rsidRPr="00932C8E">
        <w:rPr>
          <w:rStyle w:val="FootnoteReference"/>
          <w:sz w:val="18"/>
          <w:szCs w:val="20"/>
          <w:lang w:val="es-CR"/>
        </w:rPr>
        <w:footnoteReference w:id="173"/>
      </w:r>
      <w:r w:rsidR="00E41369">
        <w:rPr>
          <w:rFonts w:ascii="Verdana" w:hAnsi="Verdana"/>
          <w:sz w:val="18"/>
          <w:szCs w:val="20"/>
          <w:lang w:val="es-CR"/>
        </w:rPr>
        <w:t>.</w:t>
      </w:r>
    </w:p>
    <w:p w14:paraId="2F4A4562" w14:textId="77777777" w:rsidR="0088700B" w:rsidRPr="00932C8E" w:rsidRDefault="0088700B" w:rsidP="0088700B">
      <w:pPr>
        <w:ind w:left="851"/>
        <w:jc w:val="both"/>
        <w:rPr>
          <w:rFonts w:ascii="Verdana" w:hAnsi="Verdana"/>
          <w:b/>
          <w:sz w:val="18"/>
          <w:szCs w:val="20"/>
        </w:rPr>
      </w:pPr>
    </w:p>
    <w:p w14:paraId="4F5480D1" w14:textId="067DD3C5" w:rsidR="0088700B" w:rsidRPr="00932C8E" w:rsidRDefault="0088700B" w:rsidP="00E66DD7">
      <w:pPr>
        <w:pStyle w:val="ListParagraph"/>
        <w:numPr>
          <w:ilvl w:val="2"/>
          <w:numId w:val="21"/>
        </w:numPr>
        <w:ind w:left="851" w:firstLine="0"/>
        <w:jc w:val="both"/>
        <w:rPr>
          <w:rFonts w:ascii="Verdana" w:hAnsi="Verdana"/>
          <w:b/>
          <w:sz w:val="18"/>
          <w:szCs w:val="20"/>
        </w:rPr>
      </w:pPr>
      <w:r>
        <w:rPr>
          <w:rFonts w:ascii="Verdana" w:hAnsi="Verdana"/>
          <w:sz w:val="18"/>
          <w:szCs w:val="20"/>
        </w:rPr>
        <w:t>Mediante p</w:t>
      </w:r>
      <w:r w:rsidRPr="00932C8E">
        <w:rPr>
          <w:rFonts w:ascii="Verdana" w:hAnsi="Verdana"/>
          <w:sz w:val="18"/>
          <w:szCs w:val="20"/>
        </w:rPr>
        <w:t xml:space="preserve">etición dirigida a la Comisión de 30 de </w:t>
      </w:r>
      <w:r w:rsidR="00E41369">
        <w:rPr>
          <w:rFonts w:ascii="Verdana" w:hAnsi="Verdana"/>
          <w:sz w:val="18"/>
          <w:szCs w:val="20"/>
        </w:rPr>
        <w:t>j</w:t>
      </w:r>
      <w:r w:rsidRPr="00932C8E">
        <w:rPr>
          <w:rFonts w:ascii="Verdana" w:hAnsi="Verdana"/>
          <w:sz w:val="18"/>
          <w:szCs w:val="20"/>
        </w:rPr>
        <w:t xml:space="preserve">ulio de 1997, el </w:t>
      </w:r>
      <w:r w:rsidR="008644E8">
        <w:rPr>
          <w:rFonts w:ascii="Verdana" w:hAnsi="Verdana"/>
          <w:sz w:val="18"/>
          <w:szCs w:val="20"/>
        </w:rPr>
        <w:t>s</w:t>
      </w:r>
      <w:r w:rsidR="00D3263C">
        <w:rPr>
          <w:rFonts w:ascii="Verdana" w:hAnsi="Verdana"/>
          <w:sz w:val="18"/>
          <w:szCs w:val="20"/>
        </w:rPr>
        <w:t>eñor</w:t>
      </w:r>
      <w:r w:rsidRPr="00932C8E">
        <w:rPr>
          <w:rFonts w:ascii="Verdana" w:hAnsi="Verdana"/>
          <w:sz w:val="18"/>
          <w:szCs w:val="20"/>
        </w:rPr>
        <w:t xml:space="preserve"> Lagos del Campo “</w:t>
      </w:r>
      <w:proofErr w:type="spellStart"/>
      <w:proofErr w:type="gramStart"/>
      <w:r w:rsidRPr="00932C8E">
        <w:rPr>
          <w:rFonts w:ascii="Verdana" w:hAnsi="Verdana"/>
          <w:sz w:val="18"/>
          <w:szCs w:val="20"/>
        </w:rPr>
        <w:t>interp</w:t>
      </w:r>
      <w:proofErr w:type="spellEnd"/>
      <w:r w:rsidRPr="00932C8E">
        <w:rPr>
          <w:rFonts w:ascii="Verdana" w:hAnsi="Verdana"/>
          <w:sz w:val="18"/>
          <w:szCs w:val="20"/>
          <w:lang w:val="es-CR"/>
        </w:rPr>
        <w:t>[</w:t>
      </w:r>
      <w:proofErr w:type="gramEnd"/>
      <w:r w:rsidRPr="00932C8E">
        <w:rPr>
          <w:rFonts w:ascii="Verdana" w:hAnsi="Verdana"/>
          <w:sz w:val="18"/>
          <w:szCs w:val="20"/>
          <w:lang w:val="es-CR"/>
        </w:rPr>
        <w:t xml:space="preserve">uso] denuncia de violación de derecho humano, en contra del gobierno peruano por haber violado el </w:t>
      </w:r>
      <w:r w:rsidRPr="00932C8E">
        <w:rPr>
          <w:rFonts w:ascii="Verdana" w:hAnsi="Verdana"/>
          <w:i/>
          <w:sz w:val="18"/>
          <w:szCs w:val="20"/>
          <w:lang w:val="es-CR"/>
        </w:rPr>
        <w:t>derecho a la igualdad y protección de la ley (</w:t>
      </w:r>
      <w:r w:rsidR="00E41369">
        <w:rPr>
          <w:rFonts w:ascii="Verdana" w:hAnsi="Verdana"/>
          <w:i/>
          <w:sz w:val="18"/>
          <w:szCs w:val="20"/>
          <w:lang w:val="es-CR"/>
        </w:rPr>
        <w:t>[</w:t>
      </w:r>
      <w:r w:rsidRPr="00932C8E">
        <w:rPr>
          <w:rFonts w:ascii="Verdana" w:hAnsi="Verdana"/>
          <w:i/>
          <w:sz w:val="18"/>
          <w:szCs w:val="20"/>
          <w:lang w:val="es-CR"/>
        </w:rPr>
        <w:t>a</w:t>
      </w:r>
      <w:r w:rsidR="00E41369">
        <w:rPr>
          <w:rFonts w:ascii="Verdana" w:hAnsi="Verdana"/>
          <w:i/>
          <w:sz w:val="18"/>
          <w:szCs w:val="20"/>
          <w:lang w:val="es-CR"/>
        </w:rPr>
        <w:t>]</w:t>
      </w:r>
      <w:proofErr w:type="spellStart"/>
      <w:r w:rsidRPr="00932C8E">
        <w:rPr>
          <w:rFonts w:ascii="Verdana" w:hAnsi="Verdana"/>
          <w:i/>
          <w:sz w:val="18"/>
          <w:szCs w:val="20"/>
          <w:lang w:val="es-CR"/>
        </w:rPr>
        <w:t>rt</w:t>
      </w:r>
      <w:proofErr w:type="spellEnd"/>
      <w:r w:rsidRPr="00932C8E">
        <w:rPr>
          <w:rFonts w:ascii="Verdana" w:hAnsi="Verdana"/>
          <w:i/>
          <w:sz w:val="18"/>
          <w:szCs w:val="20"/>
          <w:lang w:val="es-CR"/>
        </w:rPr>
        <w:t>[</w:t>
      </w:r>
      <w:proofErr w:type="spellStart"/>
      <w:r w:rsidRPr="00932C8E">
        <w:rPr>
          <w:rFonts w:ascii="Verdana" w:hAnsi="Verdana"/>
          <w:i/>
          <w:sz w:val="18"/>
          <w:szCs w:val="20"/>
          <w:lang w:val="es-CR"/>
        </w:rPr>
        <w:t>ículo</w:t>
      </w:r>
      <w:proofErr w:type="spellEnd"/>
      <w:r w:rsidRPr="00932C8E">
        <w:rPr>
          <w:rFonts w:ascii="Verdana" w:hAnsi="Verdana"/>
          <w:i/>
          <w:sz w:val="18"/>
          <w:szCs w:val="20"/>
          <w:lang w:val="es-CR"/>
        </w:rPr>
        <w:t>] 22) y así mismo el derecho a la protección judicial contra violaciones de derechos fundamentales (</w:t>
      </w:r>
      <w:r w:rsidR="00E41369">
        <w:rPr>
          <w:rFonts w:ascii="Verdana" w:hAnsi="Verdana"/>
          <w:i/>
          <w:sz w:val="18"/>
          <w:szCs w:val="20"/>
          <w:lang w:val="es-CR"/>
        </w:rPr>
        <w:t>[</w:t>
      </w:r>
      <w:r w:rsidRPr="00932C8E">
        <w:rPr>
          <w:rFonts w:ascii="Verdana" w:hAnsi="Verdana"/>
          <w:i/>
          <w:sz w:val="18"/>
          <w:szCs w:val="20"/>
          <w:lang w:val="es-CR"/>
        </w:rPr>
        <w:t>a</w:t>
      </w:r>
      <w:r w:rsidR="00E41369">
        <w:rPr>
          <w:rFonts w:ascii="Verdana" w:hAnsi="Verdana"/>
          <w:i/>
          <w:sz w:val="18"/>
          <w:szCs w:val="20"/>
          <w:lang w:val="es-CR"/>
        </w:rPr>
        <w:t>]</w:t>
      </w:r>
      <w:proofErr w:type="spellStart"/>
      <w:r w:rsidRPr="00932C8E">
        <w:rPr>
          <w:rFonts w:ascii="Verdana" w:hAnsi="Verdana"/>
          <w:i/>
          <w:sz w:val="18"/>
          <w:szCs w:val="20"/>
          <w:lang w:val="es-CR"/>
        </w:rPr>
        <w:t>rt</w:t>
      </w:r>
      <w:proofErr w:type="spellEnd"/>
      <w:r w:rsidRPr="00932C8E">
        <w:rPr>
          <w:rFonts w:ascii="Verdana" w:hAnsi="Verdana"/>
          <w:i/>
          <w:sz w:val="18"/>
          <w:szCs w:val="20"/>
          <w:lang w:val="es-CR"/>
        </w:rPr>
        <w:t>[</w:t>
      </w:r>
      <w:proofErr w:type="spellStart"/>
      <w:r w:rsidRPr="00932C8E">
        <w:rPr>
          <w:rFonts w:ascii="Verdana" w:hAnsi="Verdana"/>
          <w:i/>
          <w:sz w:val="18"/>
          <w:szCs w:val="20"/>
          <w:lang w:val="es-CR"/>
        </w:rPr>
        <w:t>ículo</w:t>
      </w:r>
      <w:proofErr w:type="spellEnd"/>
      <w:r w:rsidRPr="00932C8E">
        <w:rPr>
          <w:rFonts w:ascii="Verdana" w:hAnsi="Verdana"/>
          <w:i/>
          <w:sz w:val="18"/>
          <w:szCs w:val="20"/>
          <w:lang w:val="es-CR"/>
        </w:rPr>
        <w:t>] 23) […]”.</w:t>
      </w:r>
      <w:r w:rsidRPr="00932C8E">
        <w:rPr>
          <w:rFonts w:ascii="Verdana" w:hAnsi="Verdana"/>
          <w:sz w:val="18"/>
          <w:szCs w:val="20"/>
          <w:lang w:val="es-CR"/>
        </w:rPr>
        <w:t xml:space="preserve"> En ese mismo escrito se pido que la petición fuera admitida y tramitada “</w:t>
      </w:r>
      <w:r w:rsidRPr="006D5D16">
        <w:rPr>
          <w:rFonts w:ascii="Verdana" w:hAnsi="Verdana"/>
          <w:b/>
          <w:sz w:val="18"/>
          <w:szCs w:val="20"/>
          <w:lang w:val="es-CR"/>
        </w:rPr>
        <w:t xml:space="preserve">para lograr restablecer [sus] </w:t>
      </w:r>
      <w:r w:rsidRPr="006D5D16">
        <w:rPr>
          <w:rFonts w:ascii="Verdana" w:hAnsi="Verdana"/>
          <w:b/>
          <w:i/>
          <w:sz w:val="18"/>
          <w:szCs w:val="20"/>
          <w:lang w:val="es-CR"/>
        </w:rPr>
        <w:t>derechos a la igualdad ante la ley, la del debido proceso y del derecho al trabajo</w:t>
      </w:r>
      <w:r w:rsidRPr="00932C8E">
        <w:rPr>
          <w:rFonts w:ascii="Verdana" w:hAnsi="Verdana"/>
          <w:i/>
          <w:sz w:val="18"/>
          <w:szCs w:val="20"/>
          <w:lang w:val="es-CR"/>
        </w:rPr>
        <w:t>,</w:t>
      </w:r>
      <w:r w:rsidRPr="00932C8E">
        <w:rPr>
          <w:rFonts w:ascii="Verdana" w:hAnsi="Verdana"/>
          <w:sz w:val="18"/>
          <w:szCs w:val="20"/>
          <w:lang w:val="es-CR"/>
        </w:rPr>
        <w:t xml:space="preserve"> que </w:t>
      </w:r>
      <w:proofErr w:type="gramStart"/>
      <w:r w:rsidRPr="00932C8E">
        <w:rPr>
          <w:rFonts w:ascii="Verdana" w:hAnsi="Verdana"/>
          <w:sz w:val="18"/>
          <w:szCs w:val="20"/>
          <w:lang w:val="es-CR"/>
        </w:rPr>
        <w:t>fue[</w:t>
      </w:r>
      <w:proofErr w:type="gramEnd"/>
      <w:r w:rsidRPr="00932C8E">
        <w:rPr>
          <w:rFonts w:ascii="Verdana" w:hAnsi="Verdana"/>
          <w:sz w:val="18"/>
          <w:szCs w:val="20"/>
          <w:lang w:val="es-CR"/>
        </w:rPr>
        <w:t>ron] violado[s] por el Segundo Tribunal de Trabajo y CC.LL., con la sentencia nacida de un proceso irregular</w:t>
      </w:r>
      <w:r>
        <w:rPr>
          <w:rFonts w:ascii="Verdana" w:hAnsi="Verdana"/>
          <w:sz w:val="18"/>
          <w:szCs w:val="20"/>
          <w:lang w:val="es-CR"/>
        </w:rPr>
        <w:t xml:space="preserve"> [</w:t>
      </w:r>
      <w:r w:rsidRPr="00932C8E">
        <w:rPr>
          <w:rFonts w:ascii="Verdana" w:hAnsi="Verdana"/>
          <w:sz w:val="18"/>
          <w:szCs w:val="20"/>
          <w:lang w:val="es-CR"/>
        </w:rPr>
        <w:t>…</w:t>
      </w:r>
      <w:r>
        <w:rPr>
          <w:rFonts w:ascii="Verdana" w:hAnsi="Verdana"/>
          <w:sz w:val="18"/>
          <w:szCs w:val="20"/>
          <w:lang w:val="es-CR"/>
        </w:rPr>
        <w:t>]</w:t>
      </w:r>
      <w:r w:rsidRPr="00932C8E">
        <w:rPr>
          <w:rFonts w:ascii="Verdana" w:hAnsi="Verdana"/>
          <w:sz w:val="18"/>
          <w:szCs w:val="20"/>
          <w:lang w:val="es-CR"/>
        </w:rPr>
        <w:t>”</w:t>
      </w:r>
      <w:r w:rsidRPr="00932C8E">
        <w:rPr>
          <w:rStyle w:val="FootnoteReference"/>
          <w:sz w:val="18"/>
          <w:szCs w:val="20"/>
          <w:lang w:val="es-CR"/>
        </w:rPr>
        <w:footnoteReference w:id="174"/>
      </w:r>
      <w:r w:rsidR="00E41369">
        <w:rPr>
          <w:rFonts w:ascii="Verdana" w:hAnsi="Verdana"/>
          <w:sz w:val="18"/>
          <w:szCs w:val="20"/>
          <w:lang w:val="es-CR"/>
        </w:rPr>
        <w:t>.</w:t>
      </w:r>
    </w:p>
    <w:p w14:paraId="77DE9EF3" w14:textId="77777777" w:rsidR="0088700B" w:rsidRPr="00932C8E" w:rsidRDefault="0088700B" w:rsidP="0088700B">
      <w:pPr>
        <w:ind w:left="851"/>
        <w:jc w:val="both"/>
        <w:rPr>
          <w:rFonts w:ascii="Verdana" w:hAnsi="Verdana"/>
          <w:b/>
          <w:sz w:val="18"/>
          <w:szCs w:val="20"/>
        </w:rPr>
      </w:pPr>
    </w:p>
    <w:p w14:paraId="3284C5FE" w14:textId="7DCFCA14" w:rsidR="0088700B" w:rsidRPr="00932C8E" w:rsidRDefault="0088700B" w:rsidP="00E66DD7">
      <w:pPr>
        <w:pStyle w:val="ListParagraph"/>
        <w:numPr>
          <w:ilvl w:val="2"/>
          <w:numId w:val="21"/>
        </w:numPr>
        <w:ind w:left="851" w:firstLine="0"/>
        <w:jc w:val="both"/>
        <w:rPr>
          <w:rFonts w:ascii="Verdana" w:hAnsi="Verdana"/>
          <w:b/>
          <w:sz w:val="18"/>
          <w:szCs w:val="20"/>
        </w:rPr>
      </w:pPr>
      <w:r>
        <w:rPr>
          <w:rFonts w:ascii="Verdana" w:hAnsi="Verdana"/>
          <w:sz w:val="18"/>
          <w:szCs w:val="20"/>
        </w:rPr>
        <w:t>Al respecto, l</w:t>
      </w:r>
      <w:r w:rsidRPr="00932C8E">
        <w:rPr>
          <w:rFonts w:ascii="Verdana" w:hAnsi="Verdana"/>
          <w:sz w:val="18"/>
          <w:szCs w:val="20"/>
        </w:rPr>
        <w:t>a C</w:t>
      </w:r>
      <w:r>
        <w:rPr>
          <w:rFonts w:ascii="Verdana" w:hAnsi="Verdana"/>
          <w:sz w:val="18"/>
          <w:szCs w:val="20"/>
        </w:rPr>
        <w:t xml:space="preserve">omisión respondió </w:t>
      </w:r>
      <w:r w:rsidRPr="00932C8E">
        <w:rPr>
          <w:rFonts w:ascii="Verdana" w:hAnsi="Verdana"/>
          <w:sz w:val="18"/>
          <w:szCs w:val="20"/>
        </w:rPr>
        <w:t xml:space="preserve">al </w:t>
      </w:r>
      <w:r w:rsidR="008644E8">
        <w:rPr>
          <w:rFonts w:ascii="Verdana" w:hAnsi="Verdana"/>
          <w:sz w:val="18"/>
          <w:szCs w:val="20"/>
        </w:rPr>
        <w:t>s</w:t>
      </w:r>
      <w:r w:rsidR="00D3263C">
        <w:rPr>
          <w:rFonts w:ascii="Verdana" w:hAnsi="Verdana"/>
          <w:sz w:val="18"/>
          <w:szCs w:val="20"/>
        </w:rPr>
        <w:t>eñor</w:t>
      </w:r>
      <w:r w:rsidRPr="00932C8E">
        <w:rPr>
          <w:rFonts w:ascii="Verdana" w:hAnsi="Verdana"/>
          <w:sz w:val="18"/>
          <w:szCs w:val="20"/>
        </w:rPr>
        <w:t xml:space="preserve"> Lagos del Campo </w:t>
      </w:r>
      <w:r w:rsidR="00E41369">
        <w:rPr>
          <w:rFonts w:ascii="Verdana" w:hAnsi="Verdana"/>
          <w:sz w:val="18"/>
          <w:szCs w:val="20"/>
        </w:rPr>
        <w:t xml:space="preserve">mediante escrito de </w:t>
      </w:r>
      <w:r w:rsidRPr="00932C8E">
        <w:rPr>
          <w:rFonts w:ascii="Verdana" w:hAnsi="Verdana"/>
          <w:sz w:val="18"/>
          <w:szCs w:val="20"/>
        </w:rPr>
        <w:t>2 de septiembre de 1997</w:t>
      </w:r>
      <w:r w:rsidR="00E41369">
        <w:rPr>
          <w:rFonts w:ascii="Verdana" w:hAnsi="Verdana"/>
          <w:sz w:val="18"/>
          <w:szCs w:val="20"/>
        </w:rPr>
        <w:t>,</w:t>
      </w:r>
      <w:r w:rsidRPr="00932C8E">
        <w:rPr>
          <w:rFonts w:ascii="Verdana" w:hAnsi="Verdana"/>
          <w:sz w:val="18"/>
          <w:szCs w:val="20"/>
        </w:rPr>
        <w:t xml:space="preserve"> recibid</w:t>
      </w:r>
      <w:r>
        <w:rPr>
          <w:rFonts w:ascii="Verdana" w:hAnsi="Verdana"/>
          <w:sz w:val="18"/>
          <w:szCs w:val="20"/>
        </w:rPr>
        <w:t>o</w:t>
      </w:r>
      <w:r w:rsidRPr="00932C8E">
        <w:rPr>
          <w:rFonts w:ascii="Verdana" w:hAnsi="Verdana"/>
          <w:sz w:val="18"/>
          <w:szCs w:val="20"/>
        </w:rPr>
        <w:t xml:space="preserve"> el 24 de septiembre de 1997 por la FETIMP</w:t>
      </w:r>
      <w:r w:rsidR="008E18C3">
        <w:rPr>
          <w:rFonts w:ascii="Verdana" w:hAnsi="Verdana"/>
          <w:sz w:val="18"/>
          <w:szCs w:val="20"/>
        </w:rPr>
        <w:t xml:space="preserve">, </w:t>
      </w:r>
      <w:r w:rsidR="00E41369">
        <w:rPr>
          <w:rFonts w:ascii="Verdana" w:hAnsi="Verdana"/>
          <w:sz w:val="18"/>
          <w:szCs w:val="20"/>
        </w:rPr>
        <w:t xml:space="preserve">y </w:t>
      </w:r>
      <w:r w:rsidR="008E18C3">
        <w:rPr>
          <w:rFonts w:ascii="Verdana" w:hAnsi="Verdana"/>
          <w:sz w:val="18"/>
          <w:szCs w:val="20"/>
        </w:rPr>
        <w:t>m</w:t>
      </w:r>
      <w:r>
        <w:rPr>
          <w:rFonts w:ascii="Verdana" w:hAnsi="Verdana"/>
          <w:sz w:val="18"/>
          <w:szCs w:val="20"/>
        </w:rPr>
        <w:t xml:space="preserve">ediante el cual, la Comisión </w:t>
      </w:r>
      <w:r w:rsidRPr="00932C8E">
        <w:rPr>
          <w:rFonts w:ascii="Verdana" w:hAnsi="Verdana"/>
          <w:sz w:val="18"/>
          <w:szCs w:val="20"/>
        </w:rPr>
        <w:t>di</w:t>
      </w:r>
      <w:r>
        <w:rPr>
          <w:rFonts w:ascii="Verdana" w:hAnsi="Verdana"/>
          <w:sz w:val="18"/>
          <w:szCs w:val="20"/>
        </w:rPr>
        <w:t>o</w:t>
      </w:r>
      <w:r w:rsidRPr="00932C8E">
        <w:rPr>
          <w:rFonts w:ascii="Verdana" w:hAnsi="Verdana"/>
          <w:sz w:val="18"/>
          <w:szCs w:val="20"/>
        </w:rPr>
        <w:t xml:space="preserve"> a conocer al demandante que “no </w:t>
      </w:r>
      <w:proofErr w:type="spellStart"/>
      <w:proofErr w:type="gramStart"/>
      <w:r w:rsidRPr="00932C8E">
        <w:rPr>
          <w:rFonts w:ascii="Verdana" w:hAnsi="Verdana"/>
          <w:sz w:val="18"/>
          <w:szCs w:val="20"/>
        </w:rPr>
        <w:t>satisfac</w:t>
      </w:r>
      <w:proofErr w:type="spellEnd"/>
      <w:r>
        <w:rPr>
          <w:rFonts w:ascii="Verdana" w:hAnsi="Verdana"/>
          <w:sz w:val="18"/>
          <w:szCs w:val="20"/>
        </w:rPr>
        <w:t>[</w:t>
      </w:r>
      <w:proofErr w:type="spellStart"/>
      <w:proofErr w:type="gramEnd"/>
      <w:r>
        <w:rPr>
          <w:rFonts w:ascii="Verdana" w:hAnsi="Verdana"/>
          <w:sz w:val="18"/>
          <w:szCs w:val="20"/>
        </w:rPr>
        <w:t>ían</w:t>
      </w:r>
      <w:proofErr w:type="spellEnd"/>
      <w:r>
        <w:rPr>
          <w:rFonts w:ascii="Verdana" w:hAnsi="Verdana"/>
          <w:sz w:val="18"/>
          <w:szCs w:val="20"/>
        </w:rPr>
        <w:t>]</w:t>
      </w:r>
      <w:r w:rsidRPr="00932C8E">
        <w:rPr>
          <w:rFonts w:ascii="Verdana" w:hAnsi="Verdana"/>
          <w:sz w:val="18"/>
          <w:szCs w:val="20"/>
        </w:rPr>
        <w:t xml:space="preserve"> los requisitos establecidos en el Reglamento de la </w:t>
      </w:r>
      <w:r w:rsidR="008E18C3">
        <w:rPr>
          <w:rFonts w:ascii="Verdana" w:hAnsi="Verdana"/>
          <w:sz w:val="18"/>
          <w:szCs w:val="20"/>
        </w:rPr>
        <w:t>[CIDH]</w:t>
      </w:r>
      <w:r w:rsidRPr="00932C8E">
        <w:rPr>
          <w:rFonts w:ascii="Verdana" w:hAnsi="Verdana"/>
          <w:sz w:val="18"/>
          <w:szCs w:val="20"/>
        </w:rPr>
        <w:t>, en es</w:t>
      </w:r>
      <w:r w:rsidR="00E41369">
        <w:rPr>
          <w:rFonts w:ascii="Verdana" w:hAnsi="Verdana"/>
          <w:sz w:val="18"/>
          <w:szCs w:val="20"/>
        </w:rPr>
        <w:t>p</w:t>
      </w:r>
      <w:r w:rsidRPr="00932C8E">
        <w:rPr>
          <w:rFonts w:ascii="Verdana" w:hAnsi="Verdana"/>
          <w:sz w:val="18"/>
          <w:szCs w:val="20"/>
        </w:rPr>
        <w:t>ecial</w:t>
      </w:r>
      <w:r w:rsidR="00E41369">
        <w:rPr>
          <w:rFonts w:ascii="Verdana" w:hAnsi="Verdana"/>
          <w:sz w:val="18"/>
          <w:szCs w:val="20"/>
        </w:rPr>
        <w:t>,</w:t>
      </w:r>
      <w:r w:rsidRPr="00932C8E">
        <w:rPr>
          <w:rFonts w:ascii="Verdana" w:hAnsi="Verdana"/>
          <w:sz w:val="18"/>
          <w:szCs w:val="20"/>
        </w:rPr>
        <w:t xml:space="preserve"> </w:t>
      </w:r>
      <w:r w:rsidR="00E41369">
        <w:rPr>
          <w:rFonts w:ascii="Verdana" w:hAnsi="Verdana"/>
          <w:sz w:val="18"/>
          <w:szCs w:val="20"/>
        </w:rPr>
        <w:t>e</w:t>
      </w:r>
      <w:r w:rsidRPr="00932C8E">
        <w:rPr>
          <w:rFonts w:ascii="Verdana" w:hAnsi="Verdana"/>
          <w:sz w:val="18"/>
          <w:szCs w:val="20"/>
        </w:rPr>
        <w:t>n los artículos 32, 33, 34 y 37</w:t>
      </w:r>
      <w:r w:rsidR="00E41369">
        <w:rPr>
          <w:rFonts w:ascii="Verdana" w:hAnsi="Verdana"/>
          <w:sz w:val="18"/>
          <w:szCs w:val="20"/>
        </w:rPr>
        <w:t xml:space="preserve"> [</w:t>
      </w:r>
      <w:r w:rsidRPr="00932C8E">
        <w:rPr>
          <w:rFonts w:ascii="Verdana" w:hAnsi="Verdana"/>
          <w:sz w:val="18"/>
          <w:szCs w:val="20"/>
        </w:rPr>
        <w:t>…</w:t>
      </w:r>
      <w:r w:rsidR="00E41369">
        <w:rPr>
          <w:rFonts w:ascii="Verdana" w:hAnsi="Verdana"/>
          <w:sz w:val="18"/>
          <w:szCs w:val="20"/>
        </w:rPr>
        <w:t>]</w:t>
      </w:r>
      <w:r w:rsidRPr="00932C8E">
        <w:rPr>
          <w:rFonts w:ascii="Verdana" w:hAnsi="Verdana"/>
          <w:sz w:val="18"/>
          <w:szCs w:val="20"/>
        </w:rPr>
        <w:t>”</w:t>
      </w:r>
      <w:r w:rsidR="00E41369">
        <w:rPr>
          <w:rFonts w:ascii="Verdana" w:hAnsi="Verdana"/>
          <w:sz w:val="18"/>
          <w:szCs w:val="20"/>
        </w:rPr>
        <w:t>.</w:t>
      </w:r>
      <w:r w:rsidRPr="00932C8E">
        <w:rPr>
          <w:rFonts w:ascii="Verdana" w:hAnsi="Verdana"/>
          <w:sz w:val="18"/>
          <w:szCs w:val="20"/>
        </w:rPr>
        <w:t xml:space="preserve"> Además, en dicho escrito se le pidió a la parte actora que le enviaran los hechos y artículos que consideraba violatorios a la Convención y la sentencia definitiva de la jurisdicción interna</w:t>
      </w:r>
      <w:r w:rsidRPr="00932C8E">
        <w:rPr>
          <w:rStyle w:val="FootnoteReference"/>
          <w:sz w:val="18"/>
          <w:szCs w:val="20"/>
        </w:rPr>
        <w:footnoteReference w:id="175"/>
      </w:r>
      <w:r w:rsidRPr="00932C8E">
        <w:rPr>
          <w:rFonts w:ascii="Verdana" w:hAnsi="Verdana"/>
          <w:sz w:val="18"/>
          <w:szCs w:val="20"/>
        </w:rPr>
        <w:t>.</w:t>
      </w:r>
    </w:p>
    <w:p w14:paraId="2AAC628A" w14:textId="77777777" w:rsidR="0088700B" w:rsidRPr="00932C8E" w:rsidRDefault="0088700B" w:rsidP="0088700B">
      <w:pPr>
        <w:ind w:left="851"/>
        <w:jc w:val="both"/>
        <w:rPr>
          <w:rFonts w:ascii="Verdana" w:hAnsi="Verdana"/>
          <w:b/>
          <w:sz w:val="18"/>
          <w:szCs w:val="20"/>
        </w:rPr>
      </w:pPr>
    </w:p>
    <w:p w14:paraId="324D03A1" w14:textId="14D73043" w:rsidR="0088700B" w:rsidRPr="00932C8E" w:rsidRDefault="0088700B" w:rsidP="00E66DD7">
      <w:pPr>
        <w:pStyle w:val="ListParagraph"/>
        <w:numPr>
          <w:ilvl w:val="2"/>
          <w:numId w:val="21"/>
        </w:numPr>
        <w:ind w:left="851" w:firstLine="0"/>
        <w:jc w:val="both"/>
        <w:rPr>
          <w:rFonts w:ascii="Verdana" w:hAnsi="Verdana"/>
          <w:b/>
          <w:sz w:val="18"/>
          <w:szCs w:val="20"/>
        </w:rPr>
      </w:pPr>
      <w:r>
        <w:rPr>
          <w:rFonts w:ascii="Verdana" w:hAnsi="Verdana"/>
          <w:sz w:val="18"/>
          <w:szCs w:val="20"/>
          <w:lang w:val="es-CR"/>
        </w:rPr>
        <w:t>Mediante petición “</w:t>
      </w:r>
      <w:r w:rsidRPr="00932C8E">
        <w:rPr>
          <w:rFonts w:ascii="Verdana" w:hAnsi="Verdana"/>
          <w:sz w:val="18"/>
          <w:szCs w:val="20"/>
          <w:lang w:val="es-CR"/>
        </w:rPr>
        <w:t>actualizada y regularizada</w:t>
      </w:r>
      <w:r>
        <w:rPr>
          <w:rFonts w:ascii="Verdana" w:hAnsi="Verdana"/>
          <w:sz w:val="18"/>
          <w:szCs w:val="20"/>
          <w:lang w:val="es-CR"/>
        </w:rPr>
        <w:t>”</w:t>
      </w:r>
      <w:r w:rsidRPr="00932C8E">
        <w:rPr>
          <w:rFonts w:ascii="Verdana" w:hAnsi="Verdana"/>
          <w:sz w:val="18"/>
          <w:szCs w:val="20"/>
          <w:lang w:val="es-CR"/>
        </w:rPr>
        <w:t xml:space="preserve"> de 22 de </w:t>
      </w:r>
      <w:r w:rsidR="00E41369">
        <w:rPr>
          <w:rFonts w:ascii="Verdana" w:hAnsi="Verdana"/>
          <w:sz w:val="18"/>
          <w:szCs w:val="20"/>
          <w:lang w:val="es-CR"/>
        </w:rPr>
        <w:t>j</w:t>
      </w:r>
      <w:r w:rsidRPr="00932C8E">
        <w:rPr>
          <w:rFonts w:ascii="Verdana" w:hAnsi="Verdana"/>
          <w:sz w:val="18"/>
          <w:szCs w:val="20"/>
          <w:lang w:val="es-CR"/>
        </w:rPr>
        <w:t>ulio de 1998 dirigida al Presidente de la Comisión Interamericana</w:t>
      </w:r>
      <w:r>
        <w:rPr>
          <w:rFonts w:ascii="Verdana" w:hAnsi="Verdana"/>
          <w:sz w:val="18"/>
          <w:szCs w:val="20"/>
          <w:lang w:val="es-CR"/>
        </w:rPr>
        <w:t xml:space="preserve"> (</w:t>
      </w:r>
      <w:r w:rsidRPr="008E104E">
        <w:rPr>
          <w:rFonts w:ascii="Verdana" w:hAnsi="Verdana"/>
          <w:sz w:val="18"/>
          <w:szCs w:val="20"/>
          <w:lang w:val="es-CR"/>
        </w:rPr>
        <w:t>sin fecha de recibido</w:t>
      </w:r>
      <w:r>
        <w:rPr>
          <w:rFonts w:ascii="Verdana" w:hAnsi="Verdana"/>
          <w:sz w:val="18"/>
          <w:szCs w:val="20"/>
          <w:lang w:val="es-CR"/>
        </w:rPr>
        <w:t>)</w:t>
      </w:r>
      <w:r w:rsidRPr="00932C8E">
        <w:rPr>
          <w:rFonts w:ascii="Verdana" w:hAnsi="Verdana"/>
          <w:sz w:val="18"/>
          <w:szCs w:val="20"/>
          <w:lang w:val="es-CR"/>
        </w:rPr>
        <w:t xml:space="preserve">, el </w:t>
      </w:r>
      <w:r w:rsidR="008644E8">
        <w:rPr>
          <w:rFonts w:ascii="Verdana" w:hAnsi="Verdana"/>
          <w:sz w:val="18"/>
          <w:szCs w:val="20"/>
          <w:lang w:val="es-CR"/>
        </w:rPr>
        <w:t>s</w:t>
      </w:r>
      <w:r w:rsidR="00D3263C">
        <w:rPr>
          <w:rFonts w:ascii="Verdana" w:hAnsi="Verdana"/>
          <w:sz w:val="18"/>
          <w:szCs w:val="20"/>
          <w:lang w:val="es-CR"/>
        </w:rPr>
        <w:t>eñor</w:t>
      </w:r>
      <w:r w:rsidRPr="00932C8E">
        <w:rPr>
          <w:rFonts w:ascii="Verdana" w:hAnsi="Verdana"/>
          <w:sz w:val="18"/>
          <w:szCs w:val="20"/>
          <w:lang w:val="es-CR"/>
        </w:rPr>
        <w:t xml:space="preserve"> Lagos del Campo exp</w:t>
      </w:r>
      <w:r>
        <w:rPr>
          <w:rFonts w:ascii="Verdana" w:hAnsi="Verdana"/>
          <w:sz w:val="18"/>
          <w:szCs w:val="20"/>
          <w:lang w:val="es-CR"/>
        </w:rPr>
        <w:t>uso</w:t>
      </w:r>
      <w:r w:rsidRPr="00932C8E">
        <w:rPr>
          <w:rFonts w:ascii="Verdana" w:hAnsi="Verdana"/>
          <w:sz w:val="18"/>
          <w:szCs w:val="20"/>
          <w:lang w:val="es-CR"/>
        </w:rPr>
        <w:t xml:space="preserve"> “</w:t>
      </w:r>
      <w:r w:rsidR="00E41369">
        <w:rPr>
          <w:rFonts w:ascii="Verdana" w:hAnsi="Verdana"/>
          <w:sz w:val="18"/>
          <w:szCs w:val="20"/>
          <w:lang w:val="es-CR"/>
        </w:rPr>
        <w:t>[q]</w:t>
      </w:r>
      <w:proofErr w:type="spellStart"/>
      <w:r w:rsidRPr="00932C8E">
        <w:rPr>
          <w:rFonts w:ascii="Verdana" w:hAnsi="Verdana"/>
          <w:sz w:val="18"/>
          <w:szCs w:val="20"/>
          <w:lang w:val="es-CR"/>
        </w:rPr>
        <w:t>ue</w:t>
      </w:r>
      <w:proofErr w:type="spellEnd"/>
      <w:r w:rsidRPr="00932C8E">
        <w:rPr>
          <w:rFonts w:ascii="Verdana" w:hAnsi="Verdana"/>
          <w:sz w:val="18"/>
          <w:szCs w:val="20"/>
          <w:lang w:val="es-CR"/>
        </w:rPr>
        <w:t xml:space="preserve"> de conformidad con lo señalado por la Convención Americana de Derechos Humanos que suscribió [su] </w:t>
      </w:r>
      <w:r w:rsidR="00E41369">
        <w:rPr>
          <w:rFonts w:ascii="Verdana" w:hAnsi="Verdana"/>
          <w:sz w:val="18"/>
          <w:szCs w:val="20"/>
          <w:lang w:val="es-CR"/>
        </w:rPr>
        <w:t>[</w:t>
      </w:r>
      <w:r w:rsidRPr="00932C8E">
        <w:rPr>
          <w:rFonts w:ascii="Verdana" w:hAnsi="Verdana"/>
          <w:sz w:val="18"/>
          <w:szCs w:val="20"/>
          <w:lang w:val="es-CR"/>
        </w:rPr>
        <w:t>p</w:t>
      </w:r>
      <w:r w:rsidR="00E41369">
        <w:rPr>
          <w:rFonts w:ascii="Verdana" w:hAnsi="Verdana"/>
          <w:sz w:val="18"/>
          <w:szCs w:val="20"/>
          <w:lang w:val="es-CR"/>
        </w:rPr>
        <w:t>]</w:t>
      </w:r>
      <w:proofErr w:type="spellStart"/>
      <w:r w:rsidRPr="00932C8E">
        <w:rPr>
          <w:rFonts w:ascii="Verdana" w:hAnsi="Verdana"/>
          <w:sz w:val="18"/>
          <w:szCs w:val="20"/>
          <w:lang w:val="es-CR"/>
        </w:rPr>
        <w:t>aís</w:t>
      </w:r>
      <w:proofErr w:type="spellEnd"/>
      <w:r w:rsidRPr="00932C8E">
        <w:rPr>
          <w:rFonts w:ascii="Verdana" w:hAnsi="Verdana"/>
          <w:sz w:val="18"/>
          <w:szCs w:val="20"/>
          <w:lang w:val="es-CR"/>
        </w:rPr>
        <w:t xml:space="preserve">, </w:t>
      </w:r>
      <w:proofErr w:type="spellStart"/>
      <w:r w:rsidRPr="00932C8E">
        <w:rPr>
          <w:rFonts w:ascii="Verdana" w:hAnsi="Verdana"/>
          <w:sz w:val="18"/>
          <w:szCs w:val="20"/>
          <w:lang w:val="es-CR"/>
        </w:rPr>
        <w:t>interp</w:t>
      </w:r>
      <w:proofErr w:type="spellEnd"/>
      <w:r w:rsidRPr="00932C8E">
        <w:rPr>
          <w:rFonts w:ascii="Verdana" w:hAnsi="Verdana"/>
          <w:sz w:val="18"/>
          <w:szCs w:val="20"/>
          <w:lang w:val="es-CR"/>
        </w:rPr>
        <w:t xml:space="preserve">[uso] denuncia de violación de derecho humano, en contra del gobierno peruano por haber violado el </w:t>
      </w:r>
      <w:r w:rsidR="00E41369">
        <w:rPr>
          <w:rFonts w:ascii="Verdana" w:hAnsi="Verdana"/>
          <w:sz w:val="18"/>
          <w:szCs w:val="20"/>
          <w:lang w:val="es-CR"/>
        </w:rPr>
        <w:t>`</w:t>
      </w:r>
      <w:r w:rsidRPr="00932C8E">
        <w:rPr>
          <w:rFonts w:ascii="Verdana" w:hAnsi="Verdana"/>
          <w:i/>
          <w:sz w:val="18"/>
          <w:szCs w:val="20"/>
          <w:lang w:val="es-CR"/>
        </w:rPr>
        <w:t>derecho a la igualdad y protección de la ley</w:t>
      </w:r>
      <w:r w:rsidR="00F6453B">
        <w:rPr>
          <w:rFonts w:ascii="Verdana" w:hAnsi="Verdana"/>
          <w:i/>
          <w:sz w:val="18"/>
          <w:szCs w:val="20"/>
          <w:lang w:val="es-CR"/>
        </w:rPr>
        <w:t>´</w:t>
      </w:r>
      <w:r w:rsidRPr="00932C8E">
        <w:rPr>
          <w:rFonts w:ascii="Verdana" w:hAnsi="Verdana"/>
          <w:i/>
          <w:sz w:val="18"/>
          <w:szCs w:val="20"/>
          <w:lang w:val="es-CR"/>
        </w:rPr>
        <w:t xml:space="preserve"> (</w:t>
      </w:r>
      <w:r w:rsidR="00F6453B">
        <w:rPr>
          <w:rFonts w:ascii="Verdana" w:hAnsi="Verdana"/>
          <w:i/>
          <w:sz w:val="18"/>
          <w:szCs w:val="20"/>
          <w:lang w:val="es-CR"/>
        </w:rPr>
        <w:t>[</w:t>
      </w:r>
      <w:r w:rsidRPr="00932C8E">
        <w:rPr>
          <w:rFonts w:ascii="Verdana" w:hAnsi="Verdana"/>
          <w:i/>
          <w:sz w:val="18"/>
          <w:szCs w:val="20"/>
          <w:lang w:val="es-CR"/>
        </w:rPr>
        <w:t>a</w:t>
      </w:r>
      <w:r w:rsidR="00F6453B">
        <w:rPr>
          <w:rFonts w:ascii="Verdana" w:hAnsi="Verdana"/>
          <w:i/>
          <w:sz w:val="18"/>
          <w:szCs w:val="20"/>
          <w:lang w:val="es-CR"/>
        </w:rPr>
        <w:t>]</w:t>
      </w:r>
      <w:proofErr w:type="spellStart"/>
      <w:r w:rsidRPr="00932C8E">
        <w:rPr>
          <w:rFonts w:ascii="Verdana" w:hAnsi="Verdana"/>
          <w:i/>
          <w:sz w:val="18"/>
          <w:szCs w:val="20"/>
          <w:lang w:val="es-CR"/>
        </w:rPr>
        <w:t>rt</w:t>
      </w:r>
      <w:proofErr w:type="spellEnd"/>
      <w:r w:rsidRPr="00932C8E">
        <w:rPr>
          <w:rFonts w:ascii="Verdana" w:hAnsi="Verdana"/>
          <w:i/>
          <w:sz w:val="18"/>
          <w:szCs w:val="20"/>
          <w:lang w:val="es-CR"/>
        </w:rPr>
        <w:t>[</w:t>
      </w:r>
      <w:proofErr w:type="spellStart"/>
      <w:r w:rsidRPr="00932C8E">
        <w:rPr>
          <w:rFonts w:ascii="Verdana" w:hAnsi="Verdana"/>
          <w:i/>
          <w:sz w:val="18"/>
          <w:szCs w:val="20"/>
          <w:lang w:val="es-CR"/>
        </w:rPr>
        <w:t>ículo</w:t>
      </w:r>
      <w:proofErr w:type="spellEnd"/>
      <w:r w:rsidRPr="00932C8E">
        <w:rPr>
          <w:rFonts w:ascii="Verdana" w:hAnsi="Verdana"/>
          <w:i/>
          <w:sz w:val="18"/>
          <w:szCs w:val="20"/>
          <w:lang w:val="es-CR"/>
        </w:rPr>
        <w:t>] 2</w:t>
      </w:r>
      <w:r w:rsidR="00F6453B">
        <w:rPr>
          <w:rFonts w:ascii="Verdana" w:hAnsi="Verdana"/>
          <w:i/>
          <w:sz w:val="18"/>
          <w:szCs w:val="20"/>
          <w:lang w:val="es-CR"/>
        </w:rPr>
        <w:t>2</w:t>
      </w:r>
      <w:r w:rsidRPr="00932C8E">
        <w:rPr>
          <w:rFonts w:ascii="Verdana" w:hAnsi="Verdana"/>
          <w:i/>
          <w:sz w:val="18"/>
          <w:szCs w:val="20"/>
          <w:lang w:val="es-CR"/>
        </w:rPr>
        <w:t xml:space="preserve">) y así mismo el </w:t>
      </w:r>
      <w:r w:rsidR="00F6453B">
        <w:rPr>
          <w:rFonts w:ascii="Verdana" w:hAnsi="Verdana"/>
          <w:i/>
          <w:sz w:val="18"/>
          <w:szCs w:val="20"/>
          <w:lang w:val="es-CR"/>
        </w:rPr>
        <w:t>`</w:t>
      </w:r>
      <w:r w:rsidRPr="00932C8E">
        <w:rPr>
          <w:rFonts w:ascii="Verdana" w:hAnsi="Verdana"/>
          <w:i/>
          <w:sz w:val="18"/>
          <w:szCs w:val="20"/>
          <w:lang w:val="es-CR"/>
        </w:rPr>
        <w:t>derecho a la protección judicial contra violaciones de derechos fundamentales</w:t>
      </w:r>
      <w:r w:rsidR="00F6453B">
        <w:rPr>
          <w:rFonts w:ascii="Verdana" w:hAnsi="Verdana"/>
          <w:i/>
          <w:sz w:val="18"/>
          <w:szCs w:val="20"/>
          <w:lang w:val="es-CR"/>
        </w:rPr>
        <w:t>´</w:t>
      </w:r>
      <w:r w:rsidRPr="00932C8E">
        <w:rPr>
          <w:rFonts w:ascii="Verdana" w:hAnsi="Verdana"/>
          <w:i/>
          <w:sz w:val="18"/>
          <w:szCs w:val="20"/>
          <w:lang w:val="es-CR"/>
        </w:rPr>
        <w:t xml:space="preserve"> (art[</w:t>
      </w:r>
      <w:proofErr w:type="spellStart"/>
      <w:r w:rsidRPr="00932C8E">
        <w:rPr>
          <w:rFonts w:ascii="Verdana" w:hAnsi="Verdana"/>
          <w:i/>
          <w:sz w:val="18"/>
          <w:szCs w:val="20"/>
          <w:lang w:val="es-CR"/>
        </w:rPr>
        <w:t>ículo</w:t>
      </w:r>
      <w:proofErr w:type="spellEnd"/>
      <w:r w:rsidRPr="00932C8E">
        <w:rPr>
          <w:rFonts w:ascii="Verdana" w:hAnsi="Verdana"/>
          <w:i/>
          <w:sz w:val="18"/>
          <w:szCs w:val="20"/>
          <w:lang w:val="es-CR"/>
        </w:rPr>
        <w:t>] 2</w:t>
      </w:r>
      <w:r w:rsidR="00F6453B">
        <w:rPr>
          <w:rFonts w:ascii="Verdana" w:hAnsi="Verdana"/>
          <w:i/>
          <w:sz w:val="18"/>
          <w:szCs w:val="20"/>
          <w:lang w:val="es-CR"/>
        </w:rPr>
        <w:t>3</w:t>
      </w:r>
      <w:r w:rsidRPr="00932C8E">
        <w:rPr>
          <w:rFonts w:ascii="Verdana" w:hAnsi="Verdana"/>
          <w:i/>
          <w:sz w:val="18"/>
          <w:szCs w:val="20"/>
          <w:lang w:val="es-CR"/>
        </w:rPr>
        <w:t>) […]</w:t>
      </w:r>
      <w:r w:rsidRPr="00932C8E">
        <w:rPr>
          <w:rFonts w:ascii="Verdana" w:hAnsi="Verdana"/>
          <w:sz w:val="18"/>
          <w:szCs w:val="20"/>
          <w:lang w:val="es-CR"/>
        </w:rPr>
        <w:t>”. En el mismo documento, el demandante pidió que la petición presentada fuera admitida y tramitada “</w:t>
      </w:r>
      <w:r w:rsidRPr="00932C8E">
        <w:rPr>
          <w:rFonts w:ascii="Verdana" w:hAnsi="Verdana"/>
          <w:i/>
          <w:sz w:val="18"/>
          <w:szCs w:val="20"/>
          <w:lang w:val="es-CR"/>
        </w:rPr>
        <w:t xml:space="preserve">para lograr restablecer [sus] derechos a la igualdad ante la ley, </w:t>
      </w:r>
      <w:r w:rsidR="00D3263C">
        <w:rPr>
          <w:rFonts w:ascii="Verdana" w:hAnsi="Verdana"/>
          <w:i/>
          <w:sz w:val="18"/>
          <w:szCs w:val="20"/>
          <w:lang w:val="es-CR"/>
        </w:rPr>
        <w:t>a</w:t>
      </w:r>
      <w:r w:rsidRPr="00932C8E">
        <w:rPr>
          <w:rFonts w:ascii="Verdana" w:hAnsi="Verdana"/>
          <w:i/>
          <w:sz w:val="18"/>
          <w:szCs w:val="20"/>
          <w:lang w:val="es-CR"/>
        </w:rPr>
        <w:t>l debido proceso</w:t>
      </w:r>
      <w:r w:rsidR="00F6453B">
        <w:rPr>
          <w:rFonts w:ascii="Verdana" w:hAnsi="Verdana"/>
          <w:i/>
          <w:sz w:val="18"/>
          <w:szCs w:val="20"/>
          <w:lang w:val="es-CR"/>
        </w:rPr>
        <w:t>,</w:t>
      </w:r>
      <w:r w:rsidRPr="00932C8E">
        <w:rPr>
          <w:rFonts w:ascii="Verdana" w:hAnsi="Verdana"/>
          <w:i/>
          <w:sz w:val="18"/>
          <w:szCs w:val="20"/>
          <w:lang w:val="es-CR"/>
        </w:rPr>
        <w:t xml:space="preserve"> y del </w:t>
      </w:r>
      <w:r w:rsidRPr="006D5D16">
        <w:rPr>
          <w:rFonts w:ascii="Verdana" w:hAnsi="Verdana"/>
          <w:b/>
          <w:i/>
          <w:sz w:val="18"/>
          <w:szCs w:val="20"/>
          <w:lang w:val="es-CR"/>
        </w:rPr>
        <w:t>derecho al trabajo</w:t>
      </w:r>
      <w:r w:rsidRPr="00932C8E">
        <w:rPr>
          <w:rFonts w:ascii="Verdana" w:hAnsi="Verdana"/>
          <w:sz w:val="18"/>
          <w:szCs w:val="20"/>
          <w:lang w:val="es-CR"/>
        </w:rPr>
        <w:t xml:space="preserve">, que </w:t>
      </w:r>
      <w:proofErr w:type="gramStart"/>
      <w:r w:rsidRPr="00932C8E">
        <w:rPr>
          <w:rFonts w:ascii="Verdana" w:hAnsi="Verdana"/>
          <w:sz w:val="18"/>
          <w:szCs w:val="20"/>
          <w:lang w:val="es-CR"/>
        </w:rPr>
        <w:t>fue[</w:t>
      </w:r>
      <w:proofErr w:type="gramEnd"/>
      <w:r w:rsidRPr="00932C8E">
        <w:rPr>
          <w:rFonts w:ascii="Verdana" w:hAnsi="Verdana"/>
          <w:sz w:val="18"/>
          <w:szCs w:val="20"/>
          <w:lang w:val="es-CR"/>
        </w:rPr>
        <w:t>ron] violado[s] por el Segundo Tribunal del Trabajo y CC.LL., con la sentencia nacida de un proceso irregular […]”</w:t>
      </w:r>
      <w:r w:rsidRPr="00932C8E">
        <w:rPr>
          <w:rStyle w:val="FootnoteReference"/>
          <w:sz w:val="18"/>
          <w:szCs w:val="20"/>
          <w:lang w:val="es-CR"/>
        </w:rPr>
        <w:footnoteReference w:id="176"/>
      </w:r>
      <w:r w:rsidRPr="00932C8E">
        <w:rPr>
          <w:rFonts w:ascii="Verdana" w:hAnsi="Verdana"/>
          <w:sz w:val="18"/>
          <w:szCs w:val="20"/>
          <w:lang w:val="es-CR"/>
        </w:rPr>
        <w:t>.</w:t>
      </w:r>
    </w:p>
    <w:p w14:paraId="4F90F381" w14:textId="77777777" w:rsidR="0088700B" w:rsidRPr="00932C8E" w:rsidRDefault="0088700B" w:rsidP="0088700B">
      <w:pPr>
        <w:ind w:left="851"/>
        <w:jc w:val="both"/>
        <w:rPr>
          <w:rFonts w:ascii="Verdana" w:hAnsi="Verdana"/>
          <w:b/>
          <w:sz w:val="18"/>
          <w:szCs w:val="20"/>
        </w:rPr>
      </w:pPr>
    </w:p>
    <w:p w14:paraId="06DA88AA" w14:textId="1E6336F6" w:rsidR="0088700B" w:rsidRPr="00932C8E" w:rsidRDefault="0088700B" w:rsidP="00E66DD7">
      <w:pPr>
        <w:pStyle w:val="ListParagraph"/>
        <w:numPr>
          <w:ilvl w:val="2"/>
          <w:numId w:val="21"/>
        </w:numPr>
        <w:ind w:left="851" w:firstLine="0"/>
        <w:jc w:val="both"/>
        <w:rPr>
          <w:rFonts w:ascii="Verdana" w:hAnsi="Verdana"/>
          <w:b/>
          <w:sz w:val="18"/>
          <w:szCs w:val="20"/>
        </w:rPr>
      </w:pPr>
      <w:r w:rsidRPr="00932C8E">
        <w:rPr>
          <w:rFonts w:ascii="Verdana" w:hAnsi="Verdana"/>
          <w:sz w:val="18"/>
          <w:szCs w:val="20"/>
          <w:lang w:val="es-CR"/>
        </w:rPr>
        <w:lastRenderedPageBreak/>
        <w:t xml:space="preserve">En la petición dirigida al Secretario Ejecutivo de la Comisión </w:t>
      </w:r>
      <w:r>
        <w:rPr>
          <w:rFonts w:ascii="Verdana" w:hAnsi="Verdana"/>
          <w:sz w:val="18"/>
          <w:szCs w:val="20"/>
          <w:lang w:val="es-CR"/>
        </w:rPr>
        <w:t>de</w:t>
      </w:r>
      <w:r w:rsidRPr="00932C8E">
        <w:rPr>
          <w:rFonts w:ascii="Verdana" w:hAnsi="Verdana"/>
          <w:sz w:val="18"/>
          <w:szCs w:val="20"/>
          <w:lang w:val="es-CR"/>
        </w:rPr>
        <w:t xml:space="preserve"> 21 de enero de 2002, recibida </w:t>
      </w:r>
      <w:r w:rsidR="00FF7414">
        <w:rPr>
          <w:rFonts w:ascii="Verdana" w:hAnsi="Verdana"/>
          <w:sz w:val="18"/>
          <w:szCs w:val="20"/>
          <w:lang w:val="es-CR"/>
        </w:rPr>
        <w:t>en esa misma fecha</w:t>
      </w:r>
      <w:r w:rsidRPr="00932C8E">
        <w:rPr>
          <w:rFonts w:ascii="Verdana" w:hAnsi="Verdana"/>
          <w:sz w:val="18"/>
          <w:szCs w:val="20"/>
          <w:lang w:val="es-CR"/>
        </w:rPr>
        <w:t xml:space="preserve"> por la </w:t>
      </w:r>
      <w:r>
        <w:rPr>
          <w:rFonts w:ascii="Verdana" w:hAnsi="Verdana"/>
          <w:sz w:val="18"/>
          <w:szCs w:val="20"/>
          <w:lang w:val="es-CR"/>
        </w:rPr>
        <w:t>Comisión</w:t>
      </w:r>
      <w:r w:rsidRPr="00932C8E">
        <w:rPr>
          <w:rFonts w:ascii="Verdana" w:hAnsi="Verdana"/>
          <w:sz w:val="18"/>
          <w:szCs w:val="20"/>
          <w:lang w:val="es-CR"/>
        </w:rPr>
        <w:t xml:space="preserve">, el </w:t>
      </w:r>
      <w:r>
        <w:rPr>
          <w:rFonts w:ascii="Verdana" w:hAnsi="Verdana"/>
          <w:sz w:val="18"/>
          <w:szCs w:val="20"/>
          <w:lang w:val="es-CR"/>
        </w:rPr>
        <w:t>peticionario</w:t>
      </w:r>
      <w:r w:rsidRPr="00932C8E">
        <w:rPr>
          <w:rFonts w:ascii="Verdana" w:hAnsi="Verdana"/>
          <w:sz w:val="18"/>
          <w:szCs w:val="20"/>
          <w:lang w:val="es-CR"/>
        </w:rPr>
        <w:t xml:space="preserve"> expuso que “la violación de [sus] derechos </w:t>
      </w:r>
      <w:r w:rsidR="00FF7414">
        <w:rPr>
          <w:rFonts w:ascii="Verdana" w:hAnsi="Verdana"/>
          <w:sz w:val="18"/>
          <w:szCs w:val="20"/>
          <w:lang w:val="es-CR"/>
        </w:rPr>
        <w:t>[</w:t>
      </w:r>
      <w:r w:rsidRPr="00932C8E">
        <w:rPr>
          <w:rFonts w:ascii="Verdana" w:hAnsi="Verdana"/>
          <w:sz w:val="18"/>
          <w:szCs w:val="20"/>
          <w:lang w:val="es-CR"/>
        </w:rPr>
        <w:t>c</w:t>
      </w:r>
      <w:r w:rsidR="00FF7414">
        <w:rPr>
          <w:rFonts w:ascii="Verdana" w:hAnsi="Verdana"/>
          <w:sz w:val="18"/>
          <w:szCs w:val="20"/>
          <w:lang w:val="es-CR"/>
        </w:rPr>
        <w:t>]</w:t>
      </w:r>
      <w:proofErr w:type="spellStart"/>
      <w:r w:rsidRPr="00932C8E">
        <w:rPr>
          <w:rFonts w:ascii="Verdana" w:hAnsi="Verdana"/>
          <w:sz w:val="18"/>
          <w:szCs w:val="20"/>
          <w:lang w:val="es-CR"/>
        </w:rPr>
        <w:t>onstitucionales</w:t>
      </w:r>
      <w:proofErr w:type="spellEnd"/>
      <w:r w:rsidRPr="00932C8E">
        <w:rPr>
          <w:rFonts w:ascii="Verdana" w:hAnsi="Verdana"/>
          <w:sz w:val="18"/>
          <w:szCs w:val="20"/>
          <w:lang w:val="es-CR"/>
        </w:rPr>
        <w:t xml:space="preserve"> y </w:t>
      </w:r>
      <w:r w:rsidR="00FF7414">
        <w:rPr>
          <w:rFonts w:ascii="Verdana" w:hAnsi="Verdana"/>
          <w:sz w:val="18"/>
          <w:szCs w:val="20"/>
          <w:lang w:val="es-CR"/>
        </w:rPr>
        <w:t>[</w:t>
      </w:r>
      <w:r w:rsidRPr="00932C8E">
        <w:rPr>
          <w:rFonts w:ascii="Verdana" w:hAnsi="Verdana"/>
          <w:sz w:val="18"/>
          <w:szCs w:val="20"/>
          <w:lang w:val="es-CR"/>
        </w:rPr>
        <w:t>h</w:t>
      </w:r>
      <w:r w:rsidR="00FF7414">
        <w:rPr>
          <w:rFonts w:ascii="Verdana" w:hAnsi="Verdana"/>
          <w:sz w:val="18"/>
          <w:szCs w:val="20"/>
          <w:lang w:val="es-CR"/>
        </w:rPr>
        <w:t>]</w:t>
      </w:r>
      <w:proofErr w:type="spellStart"/>
      <w:r w:rsidRPr="00932C8E">
        <w:rPr>
          <w:rFonts w:ascii="Verdana" w:hAnsi="Verdana"/>
          <w:sz w:val="18"/>
          <w:szCs w:val="20"/>
          <w:lang w:val="es-CR"/>
        </w:rPr>
        <w:t>umanos</w:t>
      </w:r>
      <w:proofErr w:type="spellEnd"/>
      <w:r w:rsidRPr="00932C8E">
        <w:rPr>
          <w:rFonts w:ascii="Verdana" w:hAnsi="Verdana"/>
          <w:sz w:val="18"/>
          <w:szCs w:val="20"/>
          <w:lang w:val="es-CR"/>
        </w:rPr>
        <w:t xml:space="preserve">, como son: </w:t>
      </w:r>
      <w:r w:rsidRPr="00932C8E">
        <w:rPr>
          <w:rFonts w:ascii="Verdana" w:hAnsi="Verdana"/>
          <w:i/>
          <w:sz w:val="18"/>
          <w:szCs w:val="20"/>
          <w:lang w:val="es-CR"/>
        </w:rPr>
        <w:t xml:space="preserve">el derecho a un juicio justo y el </w:t>
      </w:r>
      <w:r w:rsidRPr="006D5D16">
        <w:rPr>
          <w:rFonts w:ascii="Verdana" w:hAnsi="Verdana"/>
          <w:b/>
          <w:i/>
          <w:sz w:val="18"/>
          <w:szCs w:val="20"/>
          <w:lang w:val="es-CR"/>
        </w:rPr>
        <w:t>derecho al trabajo</w:t>
      </w:r>
      <w:r w:rsidRPr="00932C8E">
        <w:rPr>
          <w:rFonts w:ascii="Verdana" w:hAnsi="Verdana"/>
          <w:i/>
          <w:sz w:val="18"/>
          <w:szCs w:val="20"/>
          <w:lang w:val="es-CR"/>
        </w:rPr>
        <w:t xml:space="preserve"> </w:t>
      </w:r>
      <w:r w:rsidRPr="00932C8E">
        <w:rPr>
          <w:rFonts w:ascii="Verdana" w:hAnsi="Verdana"/>
          <w:sz w:val="18"/>
          <w:szCs w:val="20"/>
          <w:lang w:val="es-CR"/>
        </w:rPr>
        <w:t>ha[n] sido y [fueron] de conocimiento de las autoridades competentes y opinión pública en general”</w:t>
      </w:r>
      <w:r w:rsidRPr="00932C8E">
        <w:rPr>
          <w:rStyle w:val="FootnoteReference"/>
          <w:sz w:val="18"/>
          <w:szCs w:val="20"/>
          <w:lang w:val="es-CR"/>
        </w:rPr>
        <w:footnoteReference w:id="177"/>
      </w:r>
      <w:r w:rsidRPr="00932C8E">
        <w:rPr>
          <w:rFonts w:ascii="Verdana" w:hAnsi="Verdana"/>
          <w:sz w:val="18"/>
          <w:szCs w:val="20"/>
          <w:lang w:val="es-CR"/>
        </w:rPr>
        <w:t xml:space="preserve">. </w:t>
      </w:r>
    </w:p>
    <w:p w14:paraId="08B98B59" w14:textId="77777777" w:rsidR="0088700B" w:rsidRPr="00932C8E" w:rsidRDefault="0088700B" w:rsidP="0088700B">
      <w:pPr>
        <w:ind w:left="851"/>
        <w:jc w:val="both"/>
        <w:rPr>
          <w:rFonts w:ascii="Verdana" w:hAnsi="Verdana"/>
          <w:b/>
          <w:sz w:val="18"/>
          <w:szCs w:val="20"/>
        </w:rPr>
      </w:pPr>
    </w:p>
    <w:p w14:paraId="5123818A" w14:textId="1A2ED72C" w:rsidR="0088700B" w:rsidRDefault="00D3263C" w:rsidP="00E66DD7">
      <w:pPr>
        <w:pStyle w:val="ListParagraph"/>
        <w:numPr>
          <w:ilvl w:val="2"/>
          <w:numId w:val="21"/>
        </w:numPr>
        <w:ind w:left="851" w:firstLine="0"/>
        <w:jc w:val="both"/>
        <w:rPr>
          <w:rFonts w:ascii="Verdana" w:hAnsi="Verdana"/>
          <w:sz w:val="18"/>
          <w:szCs w:val="20"/>
          <w:lang w:val="es-CR"/>
        </w:rPr>
      </w:pPr>
      <w:r>
        <w:rPr>
          <w:rFonts w:ascii="Verdana" w:hAnsi="Verdana"/>
          <w:sz w:val="18"/>
          <w:szCs w:val="20"/>
        </w:rPr>
        <w:t>Mediante</w:t>
      </w:r>
      <w:r w:rsidR="0088700B" w:rsidRPr="00932C8E">
        <w:rPr>
          <w:rFonts w:ascii="Verdana" w:hAnsi="Verdana"/>
          <w:sz w:val="18"/>
          <w:szCs w:val="20"/>
          <w:lang w:val="es-CR"/>
        </w:rPr>
        <w:t xml:space="preserve"> escrito de 20 de </w:t>
      </w:r>
      <w:r w:rsidR="0088700B">
        <w:rPr>
          <w:rFonts w:ascii="Verdana" w:hAnsi="Verdana"/>
          <w:sz w:val="18"/>
          <w:szCs w:val="20"/>
          <w:lang w:val="es-CR"/>
        </w:rPr>
        <w:t>f</w:t>
      </w:r>
      <w:r w:rsidR="0088700B" w:rsidRPr="00932C8E">
        <w:rPr>
          <w:rFonts w:ascii="Verdana" w:hAnsi="Verdana"/>
          <w:sz w:val="18"/>
          <w:szCs w:val="20"/>
          <w:lang w:val="es-CR"/>
        </w:rPr>
        <w:t xml:space="preserve">ebrero del 2003 dirigido al Presidente de la Comisión, recibido el 26 de febrero de 2003, </w:t>
      </w:r>
      <w:r>
        <w:rPr>
          <w:rFonts w:ascii="Verdana" w:hAnsi="Verdana"/>
          <w:sz w:val="18"/>
          <w:szCs w:val="20"/>
          <w:lang w:val="es-CR"/>
        </w:rPr>
        <w:t xml:space="preserve">el </w:t>
      </w:r>
      <w:r w:rsidR="00DD5817">
        <w:rPr>
          <w:rFonts w:ascii="Verdana" w:hAnsi="Verdana"/>
          <w:sz w:val="18"/>
          <w:szCs w:val="20"/>
          <w:lang w:val="es-CR"/>
        </w:rPr>
        <w:t>s</w:t>
      </w:r>
      <w:r>
        <w:rPr>
          <w:rFonts w:ascii="Verdana" w:hAnsi="Verdana"/>
          <w:sz w:val="18"/>
          <w:szCs w:val="20"/>
          <w:lang w:val="es-CR"/>
        </w:rPr>
        <w:t>eñor</w:t>
      </w:r>
      <w:r w:rsidR="00FF7414">
        <w:rPr>
          <w:rFonts w:ascii="Verdana" w:hAnsi="Verdana"/>
          <w:sz w:val="18"/>
          <w:szCs w:val="20"/>
          <w:lang w:val="es-CR"/>
        </w:rPr>
        <w:t xml:space="preserve"> </w:t>
      </w:r>
      <w:r w:rsidR="0088700B">
        <w:rPr>
          <w:rFonts w:ascii="Verdana" w:hAnsi="Verdana"/>
          <w:sz w:val="18"/>
          <w:szCs w:val="20"/>
          <w:lang w:val="es-CR"/>
        </w:rPr>
        <w:t>Lagos del Campo</w:t>
      </w:r>
      <w:r w:rsidR="0088700B" w:rsidRPr="00932C8E">
        <w:rPr>
          <w:rFonts w:ascii="Verdana" w:hAnsi="Verdana"/>
          <w:sz w:val="18"/>
          <w:szCs w:val="20"/>
          <w:lang w:val="es-CR"/>
        </w:rPr>
        <w:t xml:space="preserve"> manifestó que “como </w:t>
      </w:r>
      <w:proofErr w:type="spellStart"/>
      <w:r w:rsidR="0088700B" w:rsidRPr="00932C8E">
        <w:rPr>
          <w:rFonts w:ascii="Verdana" w:hAnsi="Verdana"/>
          <w:sz w:val="18"/>
          <w:szCs w:val="20"/>
          <w:lang w:val="es-CR"/>
        </w:rPr>
        <w:t>sustent</w:t>
      </w:r>
      <w:proofErr w:type="spellEnd"/>
      <w:r w:rsidR="0088700B" w:rsidRPr="00932C8E">
        <w:rPr>
          <w:rFonts w:ascii="Verdana" w:hAnsi="Verdana"/>
          <w:sz w:val="18"/>
          <w:szCs w:val="20"/>
          <w:lang w:val="es-CR"/>
        </w:rPr>
        <w:t>[</w:t>
      </w:r>
      <w:proofErr w:type="spellStart"/>
      <w:r w:rsidR="0088700B" w:rsidRPr="00932C8E">
        <w:rPr>
          <w:rFonts w:ascii="Verdana" w:hAnsi="Verdana"/>
          <w:sz w:val="18"/>
          <w:szCs w:val="20"/>
          <w:lang w:val="es-CR"/>
        </w:rPr>
        <w:t>ó</w:t>
      </w:r>
      <w:proofErr w:type="spellEnd"/>
      <w:r w:rsidR="0088700B" w:rsidRPr="00932C8E">
        <w:rPr>
          <w:rFonts w:ascii="Verdana" w:hAnsi="Verdana"/>
          <w:sz w:val="18"/>
          <w:szCs w:val="20"/>
          <w:lang w:val="es-CR"/>
        </w:rPr>
        <w:t xml:space="preserve">] oportunamente en la denuncia actualizada y regularizada de 23 de julio de 1998, ante la jurisdicción internacional de su acertada conducción, en forma flagrante en el Perú se han violado [sus] </w:t>
      </w:r>
      <w:r w:rsidR="00FF7414">
        <w:rPr>
          <w:rFonts w:ascii="Verdana" w:hAnsi="Verdana"/>
          <w:sz w:val="18"/>
          <w:szCs w:val="20"/>
          <w:lang w:val="es-CR"/>
        </w:rPr>
        <w:t>[</w:t>
      </w:r>
      <w:r w:rsidR="0088700B" w:rsidRPr="00932C8E">
        <w:rPr>
          <w:rFonts w:ascii="Verdana" w:hAnsi="Verdana"/>
          <w:sz w:val="18"/>
          <w:szCs w:val="20"/>
          <w:lang w:val="es-CR"/>
        </w:rPr>
        <w:t>d</w:t>
      </w:r>
      <w:r w:rsidR="00FF7414">
        <w:rPr>
          <w:rFonts w:ascii="Verdana" w:hAnsi="Verdana"/>
          <w:sz w:val="18"/>
          <w:szCs w:val="20"/>
          <w:lang w:val="es-CR"/>
        </w:rPr>
        <w:t>]</w:t>
      </w:r>
      <w:proofErr w:type="spellStart"/>
      <w:r w:rsidR="0088700B" w:rsidRPr="00932C8E">
        <w:rPr>
          <w:rFonts w:ascii="Verdana" w:hAnsi="Verdana"/>
          <w:sz w:val="18"/>
          <w:szCs w:val="20"/>
          <w:lang w:val="es-CR"/>
        </w:rPr>
        <w:t>erechos</w:t>
      </w:r>
      <w:proofErr w:type="spellEnd"/>
      <w:r w:rsidR="0088700B" w:rsidRPr="00932C8E">
        <w:rPr>
          <w:rFonts w:ascii="Verdana" w:hAnsi="Verdana"/>
          <w:sz w:val="18"/>
          <w:szCs w:val="20"/>
          <w:lang w:val="es-CR"/>
        </w:rPr>
        <w:t xml:space="preserve"> </w:t>
      </w:r>
      <w:r w:rsidR="00FF7414">
        <w:rPr>
          <w:rFonts w:ascii="Verdana" w:hAnsi="Verdana"/>
          <w:sz w:val="18"/>
          <w:szCs w:val="20"/>
          <w:lang w:val="es-CR"/>
        </w:rPr>
        <w:t>[</w:t>
      </w:r>
      <w:r w:rsidR="0088700B" w:rsidRPr="00932C8E">
        <w:rPr>
          <w:rFonts w:ascii="Verdana" w:hAnsi="Verdana"/>
          <w:sz w:val="18"/>
          <w:szCs w:val="20"/>
          <w:lang w:val="es-CR"/>
        </w:rPr>
        <w:t>h</w:t>
      </w:r>
      <w:r w:rsidR="00FF7414">
        <w:rPr>
          <w:rFonts w:ascii="Verdana" w:hAnsi="Verdana"/>
          <w:sz w:val="18"/>
          <w:szCs w:val="20"/>
          <w:lang w:val="es-CR"/>
        </w:rPr>
        <w:t>]</w:t>
      </w:r>
      <w:proofErr w:type="spellStart"/>
      <w:r w:rsidR="0088700B" w:rsidRPr="00932C8E">
        <w:rPr>
          <w:rFonts w:ascii="Verdana" w:hAnsi="Verdana"/>
          <w:sz w:val="18"/>
          <w:szCs w:val="20"/>
          <w:lang w:val="es-CR"/>
        </w:rPr>
        <w:t>umanos</w:t>
      </w:r>
      <w:proofErr w:type="spellEnd"/>
      <w:r w:rsidR="0088700B" w:rsidRPr="00932C8E">
        <w:rPr>
          <w:rFonts w:ascii="Verdana" w:hAnsi="Verdana"/>
          <w:sz w:val="18"/>
          <w:szCs w:val="20"/>
          <w:lang w:val="es-CR"/>
        </w:rPr>
        <w:t xml:space="preserve"> como son</w:t>
      </w:r>
      <w:r w:rsidR="00FF7414">
        <w:rPr>
          <w:rFonts w:ascii="Verdana" w:hAnsi="Verdana"/>
          <w:sz w:val="18"/>
          <w:szCs w:val="20"/>
          <w:lang w:val="es-CR"/>
        </w:rPr>
        <w:t>:</w:t>
      </w:r>
      <w:r w:rsidR="0088700B" w:rsidRPr="00932C8E">
        <w:rPr>
          <w:rFonts w:ascii="Verdana" w:hAnsi="Verdana"/>
          <w:sz w:val="18"/>
          <w:szCs w:val="20"/>
          <w:lang w:val="es-CR"/>
        </w:rPr>
        <w:t xml:space="preserve"> </w:t>
      </w:r>
      <w:r w:rsidR="0088700B" w:rsidRPr="00932C8E">
        <w:rPr>
          <w:rFonts w:ascii="Verdana" w:hAnsi="Verdana"/>
          <w:i/>
          <w:sz w:val="18"/>
          <w:szCs w:val="20"/>
          <w:lang w:val="es-CR"/>
        </w:rPr>
        <w:t xml:space="preserve">derecho a ser oído por un tribunal competente, derecho a igual protección de la ley, derecho a la protección de la familia, derecho a la protección judicial contra violaciones de los derechos fundamentales y </w:t>
      </w:r>
      <w:r w:rsidR="0088700B" w:rsidRPr="00333304">
        <w:rPr>
          <w:rFonts w:ascii="Verdana" w:hAnsi="Verdana"/>
          <w:b/>
          <w:i/>
          <w:sz w:val="18"/>
          <w:szCs w:val="20"/>
          <w:lang w:val="es-CR"/>
        </w:rPr>
        <w:t>derecho al trabajo</w:t>
      </w:r>
      <w:r w:rsidR="0088700B" w:rsidRPr="00932C8E">
        <w:rPr>
          <w:rFonts w:ascii="Verdana" w:hAnsi="Verdana"/>
          <w:sz w:val="18"/>
          <w:szCs w:val="20"/>
          <w:lang w:val="es-CR"/>
        </w:rPr>
        <w:t xml:space="preserve">. Estos derechos amparados por la Convención Americana sobre Derechos Humanos, </w:t>
      </w:r>
      <w:r w:rsidR="00FF7414">
        <w:rPr>
          <w:rFonts w:ascii="Verdana" w:hAnsi="Verdana"/>
          <w:sz w:val="18"/>
          <w:szCs w:val="20"/>
          <w:lang w:val="es-CR"/>
        </w:rPr>
        <w:t>P</w:t>
      </w:r>
      <w:r w:rsidR="0088700B" w:rsidRPr="00932C8E">
        <w:rPr>
          <w:rFonts w:ascii="Verdana" w:hAnsi="Verdana"/>
          <w:sz w:val="18"/>
          <w:szCs w:val="20"/>
          <w:lang w:val="es-CR"/>
        </w:rPr>
        <w:t xml:space="preserve">rotocolo </w:t>
      </w:r>
      <w:r w:rsidR="00FF7414">
        <w:rPr>
          <w:rFonts w:ascii="Verdana" w:hAnsi="Verdana"/>
          <w:sz w:val="18"/>
          <w:szCs w:val="20"/>
          <w:lang w:val="es-CR"/>
        </w:rPr>
        <w:t>A</w:t>
      </w:r>
      <w:r w:rsidR="0088700B" w:rsidRPr="00932C8E">
        <w:rPr>
          <w:rFonts w:ascii="Verdana" w:hAnsi="Verdana"/>
          <w:sz w:val="18"/>
          <w:szCs w:val="20"/>
          <w:lang w:val="es-CR"/>
        </w:rPr>
        <w:t>dicional a la Convención Americana sobre Derechos Humanos en materia de Derechos Económicos, Sociales y Culturales</w:t>
      </w:r>
      <w:r w:rsidR="008644E8">
        <w:rPr>
          <w:rFonts w:ascii="Verdana" w:hAnsi="Verdana"/>
          <w:sz w:val="18"/>
          <w:szCs w:val="20"/>
          <w:lang w:val="es-CR"/>
        </w:rPr>
        <w:t xml:space="preserve"> </w:t>
      </w:r>
      <w:r w:rsidR="00FF7414">
        <w:rPr>
          <w:rFonts w:ascii="Verdana" w:hAnsi="Verdana"/>
          <w:sz w:val="18"/>
          <w:szCs w:val="20"/>
          <w:lang w:val="es-CR"/>
        </w:rPr>
        <w:t>`</w:t>
      </w:r>
      <w:r w:rsidR="0088700B" w:rsidRPr="00932C8E">
        <w:rPr>
          <w:rFonts w:ascii="Verdana" w:hAnsi="Verdana"/>
          <w:sz w:val="18"/>
          <w:szCs w:val="20"/>
          <w:lang w:val="es-CR"/>
        </w:rPr>
        <w:t>Protocolo de San Salvador</w:t>
      </w:r>
      <w:r w:rsidR="00FF7414">
        <w:rPr>
          <w:rFonts w:ascii="Verdana" w:hAnsi="Verdana"/>
          <w:sz w:val="18"/>
          <w:szCs w:val="20"/>
          <w:lang w:val="es-CR"/>
        </w:rPr>
        <w:t>´</w:t>
      </w:r>
      <w:r w:rsidR="0088700B" w:rsidRPr="00932C8E">
        <w:rPr>
          <w:rFonts w:ascii="Verdana" w:hAnsi="Verdana"/>
          <w:sz w:val="18"/>
          <w:szCs w:val="20"/>
          <w:lang w:val="es-CR"/>
        </w:rPr>
        <w:t>, y otros instrumentos internacionales de Derechos Humanos”</w:t>
      </w:r>
      <w:r w:rsidR="0088700B" w:rsidRPr="00932C8E">
        <w:rPr>
          <w:rStyle w:val="FootnoteReference"/>
          <w:sz w:val="18"/>
          <w:szCs w:val="20"/>
          <w:lang w:val="es-CR"/>
        </w:rPr>
        <w:footnoteReference w:id="178"/>
      </w:r>
      <w:r w:rsidR="0088700B" w:rsidRPr="00932C8E">
        <w:rPr>
          <w:rFonts w:ascii="Verdana" w:hAnsi="Verdana"/>
          <w:sz w:val="18"/>
          <w:szCs w:val="20"/>
          <w:lang w:val="es-CR"/>
        </w:rPr>
        <w:t>.</w:t>
      </w:r>
    </w:p>
    <w:p w14:paraId="5A2D6B6A" w14:textId="77777777" w:rsidR="0088700B" w:rsidRPr="006D5D16" w:rsidRDefault="0088700B" w:rsidP="0088700B">
      <w:pPr>
        <w:jc w:val="both"/>
        <w:rPr>
          <w:rFonts w:ascii="Verdana" w:hAnsi="Verdana"/>
          <w:sz w:val="18"/>
          <w:szCs w:val="20"/>
          <w:lang w:val="es-CR"/>
        </w:rPr>
      </w:pPr>
    </w:p>
    <w:p w14:paraId="1B7EAB02" w14:textId="12017034" w:rsidR="0088700B" w:rsidRPr="00D57FAE" w:rsidRDefault="0088700B" w:rsidP="00E66DD7">
      <w:pPr>
        <w:pStyle w:val="ListParagraph"/>
        <w:numPr>
          <w:ilvl w:val="2"/>
          <w:numId w:val="21"/>
        </w:numPr>
        <w:ind w:left="851" w:firstLine="0"/>
        <w:jc w:val="both"/>
        <w:rPr>
          <w:rFonts w:ascii="Verdana" w:hAnsi="Verdana"/>
          <w:sz w:val="18"/>
          <w:szCs w:val="20"/>
          <w:lang w:val="es-CR"/>
        </w:rPr>
      </w:pPr>
      <w:r w:rsidRPr="00D57FAE">
        <w:rPr>
          <w:rFonts w:ascii="Verdana" w:hAnsi="Verdana"/>
          <w:sz w:val="18"/>
          <w:szCs w:val="20"/>
          <w:lang w:val="es-CR"/>
        </w:rPr>
        <w:t xml:space="preserve">Mediante Informes No. </w:t>
      </w:r>
      <w:r w:rsidRPr="00D57FAE">
        <w:rPr>
          <w:rFonts w:ascii="Verdana" w:hAnsi="Verdana"/>
          <w:bCs/>
          <w:sz w:val="18"/>
          <w:szCs w:val="20"/>
          <w:lang w:val="es-ES"/>
        </w:rPr>
        <w:t xml:space="preserve">21 -2003-JUS/CNDH-SE y </w:t>
      </w:r>
      <w:r w:rsidRPr="00D57FAE">
        <w:rPr>
          <w:rFonts w:ascii="Verdana" w:hAnsi="Verdana"/>
          <w:sz w:val="18"/>
          <w:szCs w:val="20"/>
          <w:lang w:val="es-CR"/>
        </w:rPr>
        <w:t xml:space="preserve">No. 57-2007-JUS/CNDH/SE/CESAPI de </w:t>
      </w:r>
      <w:r w:rsidRPr="00D57FAE">
        <w:rPr>
          <w:rFonts w:ascii="Verdana" w:hAnsi="Verdana"/>
          <w:sz w:val="18"/>
          <w:szCs w:val="20"/>
          <w:lang w:val="es-ES"/>
        </w:rPr>
        <w:t>la Secretaría Ejecutiva del Consejo Nacional de Derechos Humanos</w:t>
      </w:r>
      <w:r w:rsidRPr="00D57FAE">
        <w:rPr>
          <w:rFonts w:ascii="Verdana" w:hAnsi="Verdana"/>
          <w:sz w:val="18"/>
          <w:szCs w:val="20"/>
          <w:lang w:val="es-CR"/>
        </w:rPr>
        <w:t xml:space="preserve"> de Perú </w:t>
      </w:r>
      <w:r w:rsidRPr="00333304">
        <w:rPr>
          <w:rFonts w:ascii="Verdana" w:hAnsi="Verdana"/>
          <w:sz w:val="18"/>
          <w:szCs w:val="20"/>
          <w:lang w:val="es-CR"/>
        </w:rPr>
        <w:t>(</w:t>
      </w:r>
      <w:r w:rsidR="00052EDE" w:rsidRPr="00333304">
        <w:rPr>
          <w:rFonts w:ascii="Verdana" w:hAnsi="Verdana"/>
          <w:sz w:val="18"/>
          <w:szCs w:val="20"/>
          <w:lang w:val="es-CR"/>
        </w:rPr>
        <w:t xml:space="preserve">el </w:t>
      </w:r>
      <w:r w:rsidRPr="00333304">
        <w:rPr>
          <w:rFonts w:ascii="Verdana" w:hAnsi="Verdana"/>
          <w:sz w:val="18"/>
          <w:szCs w:val="20"/>
          <w:lang w:val="es-CR"/>
        </w:rPr>
        <w:t>Estado)</w:t>
      </w:r>
      <w:r>
        <w:rPr>
          <w:rFonts w:ascii="Verdana" w:hAnsi="Verdana"/>
          <w:sz w:val="18"/>
          <w:szCs w:val="20"/>
          <w:lang w:val="es-CR"/>
        </w:rPr>
        <w:t xml:space="preserve"> </w:t>
      </w:r>
      <w:r w:rsidRPr="00D57FAE">
        <w:rPr>
          <w:rFonts w:ascii="Verdana" w:hAnsi="Verdana"/>
          <w:sz w:val="18"/>
          <w:szCs w:val="20"/>
          <w:lang w:val="es-CR"/>
        </w:rPr>
        <w:t>de 7 de marzo de 2003 y 15 de mayo de 2007</w:t>
      </w:r>
      <w:r w:rsidRPr="00D43A62">
        <w:rPr>
          <w:rFonts w:ascii="Verdana" w:hAnsi="Verdana"/>
          <w:sz w:val="18"/>
          <w:szCs w:val="20"/>
          <w:lang w:val="es-CR"/>
        </w:rPr>
        <w:t>, señaló</w:t>
      </w:r>
      <w:r>
        <w:rPr>
          <w:rFonts w:ascii="Verdana" w:hAnsi="Verdana"/>
          <w:sz w:val="18"/>
          <w:szCs w:val="20"/>
          <w:lang w:val="es-CR"/>
        </w:rPr>
        <w:t xml:space="preserve"> </w:t>
      </w:r>
      <w:r w:rsidRPr="00C33EE0">
        <w:rPr>
          <w:rFonts w:ascii="Verdana" w:hAnsi="Verdana"/>
          <w:sz w:val="18"/>
          <w:szCs w:val="20"/>
          <w:lang w:val="es-CR"/>
        </w:rPr>
        <w:t>en el apartado “</w:t>
      </w:r>
      <w:r w:rsidRPr="00C33EE0">
        <w:rPr>
          <w:rFonts w:ascii="Verdana" w:hAnsi="Verdana"/>
          <w:sz w:val="18"/>
          <w:szCs w:val="20"/>
          <w:lang w:val="es-ES"/>
        </w:rPr>
        <w:t>Motivos de la petición o derechos presuntamente violados”</w:t>
      </w:r>
      <w:r w:rsidRPr="00C33EE0">
        <w:rPr>
          <w:rFonts w:ascii="Verdana" w:hAnsi="Verdana"/>
          <w:sz w:val="18"/>
          <w:szCs w:val="20"/>
          <w:lang w:val="es-CR"/>
        </w:rPr>
        <w:t xml:space="preserve"> que el señor Lagos del Campo en su denuncia ante la CIDH solicitó “</w:t>
      </w:r>
      <w:r w:rsidRPr="00C33EE0">
        <w:rPr>
          <w:rFonts w:ascii="Verdana" w:hAnsi="Verdana"/>
          <w:sz w:val="18"/>
          <w:szCs w:val="20"/>
          <w:lang w:val="es-ES"/>
        </w:rPr>
        <w:t xml:space="preserve">su inmediata </w:t>
      </w:r>
      <w:r w:rsidRPr="00801513">
        <w:rPr>
          <w:rFonts w:ascii="Verdana" w:hAnsi="Verdana"/>
          <w:i/>
          <w:sz w:val="18"/>
          <w:szCs w:val="20"/>
          <w:lang w:val="es-ES"/>
        </w:rPr>
        <w:t>reposición a su puesto de trabajo</w:t>
      </w:r>
      <w:r w:rsidRPr="00C33EE0">
        <w:rPr>
          <w:rFonts w:ascii="Verdana" w:hAnsi="Verdana"/>
          <w:sz w:val="18"/>
          <w:szCs w:val="20"/>
          <w:lang w:val="es-ES"/>
        </w:rPr>
        <w:t xml:space="preserve"> en la empresa CEPER-PIRELLI, </w:t>
      </w:r>
      <w:r>
        <w:rPr>
          <w:rFonts w:ascii="Verdana" w:hAnsi="Verdana"/>
          <w:sz w:val="18"/>
          <w:szCs w:val="20"/>
          <w:lang w:val="es-ES"/>
        </w:rPr>
        <w:t>c</w:t>
      </w:r>
      <w:r w:rsidRPr="00C33EE0">
        <w:rPr>
          <w:rFonts w:ascii="Verdana" w:hAnsi="Verdana"/>
          <w:sz w:val="18"/>
          <w:szCs w:val="20"/>
          <w:lang w:val="es-ES"/>
        </w:rPr>
        <w:t>on el salario y los beneficios</w:t>
      </w:r>
      <w:r>
        <w:rPr>
          <w:rFonts w:ascii="Verdana" w:hAnsi="Verdana"/>
          <w:sz w:val="18"/>
          <w:szCs w:val="20"/>
          <w:lang w:val="es-ES"/>
        </w:rPr>
        <w:t xml:space="preserve"> correspondientes”</w:t>
      </w:r>
      <w:r>
        <w:rPr>
          <w:rStyle w:val="FootnoteReference"/>
          <w:lang w:val="es-ES"/>
        </w:rPr>
        <w:footnoteReference w:id="179"/>
      </w:r>
      <w:r w:rsidRPr="00C0211C">
        <w:rPr>
          <w:rFonts w:ascii="Verdana" w:hAnsi="Verdana"/>
          <w:sz w:val="18"/>
          <w:szCs w:val="20"/>
          <w:lang w:val="es-ES"/>
        </w:rPr>
        <w:t>.</w:t>
      </w:r>
    </w:p>
    <w:p w14:paraId="65733BF9" w14:textId="77777777" w:rsidR="0088700B" w:rsidRPr="00932C8E" w:rsidRDefault="0088700B" w:rsidP="0088700B">
      <w:pPr>
        <w:pStyle w:val="ListParagraph"/>
        <w:ind w:left="851"/>
        <w:rPr>
          <w:rFonts w:ascii="Verdana" w:hAnsi="Verdana"/>
          <w:sz w:val="18"/>
          <w:szCs w:val="20"/>
          <w:lang w:val="es-CR"/>
        </w:rPr>
      </w:pPr>
    </w:p>
    <w:p w14:paraId="10D0ADE8" w14:textId="3E6A1245" w:rsidR="0088700B" w:rsidRPr="00932C8E" w:rsidRDefault="0088700B" w:rsidP="00E66DD7">
      <w:pPr>
        <w:pStyle w:val="ListParagraph"/>
        <w:numPr>
          <w:ilvl w:val="2"/>
          <w:numId w:val="21"/>
        </w:numPr>
        <w:ind w:left="851" w:firstLine="0"/>
        <w:jc w:val="both"/>
        <w:rPr>
          <w:rFonts w:ascii="Verdana" w:hAnsi="Verdana"/>
          <w:sz w:val="18"/>
          <w:szCs w:val="20"/>
          <w:lang w:val="es-CR"/>
        </w:rPr>
      </w:pPr>
      <w:r>
        <w:rPr>
          <w:rFonts w:ascii="Verdana" w:hAnsi="Verdana"/>
          <w:sz w:val="18"/>
          <w:szCs w:val="20"/>
          <w:lang w:val="es-CR"/>
        </w:rPr>
        <w:t xml:space="preserve">Mediante </w:t>
      </w:r>
      <w:r w:rsidRPr="00932C8E">
        <w:rPr>
          <w:rFonts w:ascii="Verdana" w:hAnsi="Verdana"/>
          <w:sz w:val="18"/>
          <w:szCs w:val="20"/>
          <w:lang w:val="es-CR"/>
        </w:rPr>
        <w:t xml:space="preserve">comunicación </w:t>
      </w:r>
      <w:r>
        <w:rPr>
          <w:rFonts w:ascii="Verdana" w:hAnsi="Verdana"/>
          <w:sz w:val="18"/>
          <w:szCs w:val="20"/>
          <w:lang w:val="es-CR"/>
        </w:rPr>
        <w:t>de la Comisión d</w:t>
      </w:r>
      <w:r w:rsidRPr="00932C8E">
        <w:rPr>
          <w:rFonts w:ascii="Verdana" w:hAnsi="Verdana"/>
          <w:sz w:val="18"/>
          <w:szCs w:val="20"/>
          <w:lang w:val="es-CR"/>
        </w:rPr>
        <w:t>e 12 de noviembre de 2010 dirigid</w:t>
      </w:r>
      <w:r>
        <w:rPr>
          <w:rFonts w:ascii="Verdana" w:hAnsi="Verdana"/>
          <w:sz w:val="18"/>
          <w:szCs w:val="20"/>
          <w:lang w:val="es-CR"/>
        </w:rPr>
        <w:t>a</w:t>
      </w:r>
      <w:r w:rsidRPr="00932C8E">
        <w:rPr>
          <w:rFonts w:ascii="Verdana" w:hAnsi="Verdana"/>
          <w:sz w:val="18"/>
          <w:szCs w:val="20"/>
          <w:lang w:val="es-CR"/>
        </w:rPr>
        <w:t xml:space="preserve"> al Lagos del Campo se </w:t>
      </w:r>
      <w:r>
        <w:rPr>
          <w:rFonts w:ascii="Verdana" w:hAnsi="Verdana"/>
          <w:sz w:val="18"/>
          <w:szCs w:val="20"/>
          <w:lang w:val="es-CR"/>
        </w:rPr>
        <w:t>señaló</w:t>
      </w:r>
      <w:r w:rsidRPr="00932C8E">
        <w:rPr>
          <w:rFonts w:ascii="Verdana" w:hAnsi="Verdana"/>
          <w:sz w:val="18"/>
          <w:szCs w:val="20"/>
          <w:lang w:val="es-CR"/>
        </w:rPr>
        <w:t xml:space="preserve"> “que la Comisión </w:t>
      </w:r>
      <w:r>
        <w:rPr>
          <w:rFonts w:ascii="Verdana" w:hAnsi="Verdana"/>
          <w:sz w:val="18"/>
          <w:szCs w:val="20"/>
          <w:lang w:val="es-CR"/>
        </w:rPr>
        <w:t>[…]</w:t>
      </w:r>
      <w:r w:rsidR="008644E8">
        <w:rPr>
          <w:rFonts w:ascii="Verdana" w:hAnsi="Verdana"/>
          <w:sz w:val="18"/>
          <w:szCs w:val="20"/>
          <w:lang w:val="es-CR"/>
        </w:rPr>
        <w:t xml:space="preserve"> </w:t>
      </w:r>
      <w:r w:rsidRPr="00932C8E">
        <w:rPr>
          <w:rFonts w:ascii="Verdana" w:hAnsi="Verdana"/>
          <w:sz w:val="18"/>
          <w:szCs w:val="20"/>
          <w:lang w:val="es-CR"/>
        </w:rPr>
        <w:t xml:space="preserve">examinó la </w:t>
      </w:r>
      <w:r w:rsidR="00857C27">
        <w:rPr>
          <w:rFonts w:ascii="Verdana" w:hAnsi="Verdana"/>
          <w:sz w:val="18"/>
          <w:szCs w:val="20"/>
          <w:lang w:val="es-CR"/>
        </w:rPr>
        <w:t>[</w:t>
      </w:r>
      <w:r w:rsidRPr="00932C8E">
        <w:rPr>
          <w:rFonts w:ascii="Verdana" w:hAnsi="Verdana"/>
          <w:sz w:val="18"/>
          <w:szCs w:val="20"/>
          <w:lang w:val="es-CR"/>
        </w:rPr>
        <w:t>p</w:t>
      </w:r>
      <w:r w:rsidR="00857C27">
        <w:rPr>
          <w:rFonts w:ascii="Verdana" w:hAnsi="Verdana"/>
          <w:sz w:val="18"/>
          <w:szCs w:val="20"/>
          <w:lang w:val="es-CR"/>
        </w:rPr>
        <w:t>]</w:t>
      </w:r>
      <w:proofErr w:type="spellStart"/>
      <w:r w:rsidRPr="00932C8E">
        <w:rPr>
          <w:rFonts w:ascii="Verdana" w:hAnsi="Verdana"/>
          <w:sz w:val="18"/>
          <w:szCs w:val="20"/>
          <w:lang w:val="es-CR"/>
        </w:rPr>
        <w:t>etición</w:t>
      </w:r>
      <w:proofErr w:type="spellEnd"/>
      <w:r w:rsidRPr="00932C8E">
        <w:rPr>
          <w:rFonts w:ascii="Verdana" w:hAnsi="Verdana"/>
          <w:sz w:val="18"/>
          <w:szCs w:val="20"/>
          <w:lang w:val="es-CR"/>
        </w:rPr>
        <w:t xml:space="preserve"> </w:t>
      </w:r>
      <w:proofErr w:type="gramStart"/>
      <w:r w:rsidRPr="00932C8E">
        <w:rPr>
          <w:rFonts w:ascii="Verdana" w:hAnsi="Verdana"/>
          <w:sz w:val="18"/>
          <w:szCs w:val="20"/>
          <w:lang w:val="es-CR"/>
        </w:rPr>
        <w:t>n[</w:t>
      </w:r>
      <w:proofErr w:type="spellStart"/>
      <w:proofErr w:type="gramEnd"/>
      <w:r w:rsidRPr="00932C8E">
        <w:rPr>
          <w:rFonts w:ascii="Verdana" w:hAnsi="Verdana"/>
          <w:sz w:val="18"/>
          <w:szCs w:val="20"/>
          <w:lang w:val="es-CR"/>
        </w:rPr>
        <w:t>úmero</w:t>
      </w:r>
      <w:proofErr w:type="spellEnd"/>
      <w:r w:rsidRPr="00932C8E">
        <w:rPr>
          <w:rFonts w:ascii="Verdana" w:hAnsi="Verdana"/>
          <w:sz w:val="18"/>
          <w:szCs w:val="20"/>
          <w:lang w:val="es-CR"/>
        </w:rPr>
        <w:t>] 459-97 y aprobó el Informe sobre Admisibilidad n[</w:t>
      </w:r>
      <w:proofErr w:type="spellStart"/>
      <w:r w:rsidRPr="00932C8E">
        <w:rPr>
          <w:rFonts w:ascii="Verdana" w:hAnsi="Verdana"/>
          <w:sz w:val="18"/>
          <w:szCs w:val="20"/>
          <w:lang w:val="es-CR"/>
        </w:rPr>
        <w:t>úmero</w:t>
      </w:r>
      <w:proofErr w:type="spellEnd"/>
      <w:r w:rsidRPr="00932C8E">
        <w:rPr>
          <w:rFonts w:ascii="Verdana" w:hAnsi="Verdana"/>
          <w:sz w:val="18"/>
          <w:szCs w:val="20"/>
          <w:lang w:val="es-CR"/>
        </w:rPr>
        <w:t>] 152/10 el 1 de noviembre de 2010</w:t>
      </w:r>
      <w:r w:rsidR="00857C27">
        <w:rPr>
          <w:rFonts w:ascii="Verdana" w:hAnsi="Verdana"/>
          <w:sz w:val="18"/>
          <w:szCs w:val="20"/>
          <w:lang w:val="es-CR"/>
        </w:rPr>
        <w:t>.</w:t>
      </w:r>
      <w:r w:rsidRPr="00932C8E">
        <w:rPr>
          <w:rFonts w:ascii="Verdana" w:hAnsi="Verdana"/>
          <w:sz w:val="18"/>
          <w:szCs w:val="20"/>
          <w:lang w:val="es-CR"/>
        </w:rPr>
        <w:t xml:space="preserve"> […] De acuerdo a lo establecido en el artículo 37(1) de su </w:t>
      </w:r>
      <w:r w:rsidR="00857C27">
        <w:rPr>
          <w:rFonts w:ascii="Verdana" w:hAnsi="Verdana"/>
          <w:sz w:val="18"/>
          <w:szCs w:val="20"/>
          <w:lang w:val="es-CR"/>
        </w:rPr>
        <w:t>R</w:t>
      </w:r>
      <w:r w:rsidRPr="00932C8E">
        <w:rPr>
          <w:rFonts w:ascii="Verdana" w:hAnsi="Verdana"/>
          <w:sz w:val="18"/>
          <w:szCs w:val="20"/>
          <w:lang w:val="es-CR"/>
        </w:rPr>
        <w:t xml:space="preserve">eglamento, la CIDH </w:t>
      </w:r>
      <w:proofErr w:type="spellStart"/>
      <w:r w:rsidRPr="00932C8E">
        <w:rPr>
          <w:rFonts w:ascii="Verdana" w:hAnsi="Verdana"/>
          <w:sz w:val="18"/>
          <w:szCs w:val="20"/>
          <w:lang w:val="es-CR"/>
        </w:rPr>
        <w:t>fij</w:t>
      </w:r>
      <w:proofErr w:type="spellEnd"/>
      <w:r w:rsidR="00857C27">
        <w:rPr>
          <w:rFonts w:ascii="Verdana" w:hAnsi="Verdana"/>
          <w:sz w:val="18"/>
          <w:szCs w:val="20"/>
          <w:lang w:val="es-CR"/>
        </w:rPr>
        <w:t>[</w:t>
      </w:r>
      <w:proofErr w:type="spellStart"/>
      <w:r w:rsidRPr="00932C8E">
        <w:rPr>
          <w:rFonts w:ascii="Verdana" w:hAnsi="Verdana"/>
          <w:sz w:val="18"/>
          <w:szCs w:val="20"/>
          <w:lang w:val="es-CR"/>
        </w:rPr>
        <w:t>ó</w:t>
      </w:r>
      <w:proofErr w:type="spellEnd"/>
      <w:r w:rsidRPr="00932C8E">
        <w:rPr>
          <w:rFonts w:ascii="Verdana" w:hAnsi="Verdana"/>
          <w:sz w:val="18"/>
          <w:szCs w:val="20"/>
          <w:lang w:val="es-CR"/>
        </w:rPr>
        <w:t>] el plazo de tres meses, contados a partir de la fecha de transmisión de la presente comunicación</w:t>
      </w:r>
      <w:r w:rsidR="00857C27">
        <w:rPr>
          <w:rFonts w:ascii="Verdana" w:hAnsi="Verdana"/>
          <w:sz w:val="18"/>
          <w:szCs w:val="20"/>
          <w:lang w:val="es-CR"/>
        </w:rPr>
        <w:t>,</w:t>
      </w:r>
      <w:r w:rsidRPr="00932C8E">
        <w:rPr>
          <w:rFonts w:ascii="Verdana" w:hAnsi="Verdana"/>
          <w:sz w:val="18"/>
          <w:szCs w:val="20"/>
          <w:lang w:val="es-CR"/>
        </w:rPr>
        <w:t xml:space="preserve"> para que presenten sus observaciones adicionales sobre el fondo”</w:t>
      </w:r>
      <w:r w:rsidRPr="00932C8E">
        <w:rPr>
          <w:rStyle w:val="FootnoteReference"/>
          <w:sz w:val="18"/>
          <w:szCs w:val="20"/>
          <w:lang w:val="es-CR"/>
        </w:rPr>
        <w:footnoteReference w:id="180"/>
      </w:r>
      <w:r w:rsidRPr="00932C8E">
        <w:rPr>
          <w:rFonts w:ascii="Verdana" w:hAnsi="Verdana"/>
          <w:sz w:val="18"/>
          <w:szCs w:val="20"/>
          <w:lang w:val="es-CR"/>
        </w:rPr>
        <w:t>.</w:t>
      </w:r>
    </w:p>
    <w:p w14:paraId="30AC46B8" w14:textId="77777777" w:rsidR="0088700B" w:rsidRPr="00932C8E" w:rsidRDefault="0088700B" w:rsidP="0088700B">
      <w:pPr>
        <w:pStyle w:val="ListParagraph"/>
        <w:ind w:left="851"/>
        <w:jc w:val="both"/>
        <w:rPr>
          <w:rFonts w:ascii="Verdana" w:hAnsi="Verdana"/>
          <w:sz w:val="18"/>
          <w:szCs w:val="20"/>
          <w:lang w:val="es-CR"/>
        </w:rPr>
      </w:pPr>
    </w:p>
    <w:p w14:paraId="5C21C57A" w14:textId="449D5D01" w:rsidR="0088700B" w:rsidRPr="00932C8E" w:rsidRDefault="0088700B" w:rsidP="00E66DD7">
      <w:pPr>
        <w:pStyle w:val="ListParagraph"/>
        <w:numPr>
          <w:ilvl w:val="2"/>
          <w:numId w:val="21"/>
        </w:numPr>
        <w:ind w:left="851" w:firstLine="0"/>
        <w:jc w:val="both"/>
        <w:rPr>
          <w:rFonts w:ascii="Verdana" w:hAnsi="Verdana"/>
          <w:sz w:val="18"/>
          <w:szCs w:val="20"/>
          <w:lang w:val="es-CR"/>
        </w:rPr>
      </w:pPr>
      <w:r>
        <w:rPr>
          <w:rFonts w:ascii="Verdana" w:hAnsi="Verdana"/>
          <w:sz w:val="18"/>
          <w:szCs w:val="20"/>
          <w:lang w:val="es-CR"/>
        </w:rPr>
        <w:t xml:space="preserve">Mediante </w:t>
      </w:r>
      <w:r w:rsidRPr="00932C8E">
        <w:rPr>
          <w:rFonts w:ascii="Verdana" w:hAnsi="Verdana"/>
          <w:sz w:val="18"/>
          <w:szCs w:val="20"/>
          <w:lang w:val="es-CR"/>
        </w:rPr>
        <w:t xml:space="preserve">el </w:t>
      </w:r>
      <w:r>
        <w:rPr>
          <w:rFonts w:ascii="Verdana" w:hAnsi="Verdana"/>
          <w:sz w:val="18"/>
          <w:szCs w:val="20"/>
          <w:lang w:val="es-CR"/>
        </w:rPr>
        <w:t>I</w:t>
      </w:r>
      <w:r w:rsidRPr="00932C8E">
        <w:rPr>
          <w:rFonts w:ascii="Verdana" w:hAnsi="Verdana"/>
          <w:sz w:val="18"/>
          <w:szCs w:val="20"/>
          <w:lang w:val="es-CR"/>
        </w:rPr>
        <w:t xml:space="preserve">nforme de </w:t>
      </w:r>
      <w:r>
        <w:rPr>
          <w:rFonts w:ascii="Verdana" w:hAnsi="Verdana"/>
          <w:sz w:val="18"/>
          <w:szCs w:val="20"/>
          <w:lang w:val="es-CR"/>
        </w:rPr>
        <w:t>A</w:t>
      </w:r>
      <w:r w:rsidRPr="00932C8E">
        <w:rPr>
          <w:rFonts w:ascii="Verdana" w:hAnsi="Verdana"/>
          <w:sz w:val="18"/>
          <w:szCs w:val="20"/>
          <w:lang w:val="es-CR"/>
        </w:rPr>
        <w:t xml:space="preserve">dmisibilidad </w:t>
      </w:r>
      <w:r w:rsidR="00857C27">
        <w:rPr>
          <w:rFonts w:ascii="Verdana" w:hAnsi="Verdana"/>
          <w:sz w:val="18"/>
          <w:szCs w:val="20"/>
          <w:lang w:val="es-CR"/>
        </w:rPr>
        <w:t xml:space="preserve">No. </w:t>
      </w:r>
      <w:r w:rsidRPr="00932C8E">
        <w:rPr>
          <w:rFonts w:ascii="Verdana" w:hAnsi="Verdana"/>
          <w:sz w:val="18"/>
          <w:szCs w:val="20"/>
          <w:lang w:val="es-CR"/>
        </w:rPr>
        <w:t>152/10</w:t>
      </w:r>
      <w:r>
        <w:rPr>
          <w:rFonts w:ascii="Verdana" w:hAnsi="Verdana"/>
          <w:sz w:val="18"/>
          <w:szCs w:val="20"/>
          <w:lang w:val="es-CR"/>
        </w:rPr>
        <w:t>,</w:t>
      </w:r>
      <w:r w:rsidRPr="00932C8E">
        <w:rPr>
          <w:rFonts w:ascii="Verdana" w:hAnsi="Verdana"/>
          <w:sz w:val="18"/>
          <w:szCs w:val="20"/>
          <w:lang w:val="es-CR"/>
        </w:rPr>
        <w:t xml:space="preserve"> petición 459-97, aprobado el 1 de noviembre de 2010, la CIDH decid</w:t>
      </w:r>
      <w:r w:rsidR="00D3263C">
        <w:rPr>
          <w:rFonts w:ascii="Verdana" w:hAnsi="Verdana"/>
          <w:sz w:val="18"/>
          <w:szCs w:val="20"/>
          <w:lang w:val="es-CR"/>
        </w:rPr>
        <w:t>ió</w:t>
      </w:r>
      <w:r w:rsidRPr="00932C8E">
        <w:rPr>
          <w:rFonts w:ascii="Verdana" w:hAnsi="Verdana"/>
          <w:sz w:val="18"/>
          <w:szCs w:val="20"/>
          <w:lang w:val="es-CR"/>
        </w:rPr>
        <w:t xml:space="preserve"> “</w:t>
      </w:r>
      <w:r w:rsidR="00857C27">
        <w:rPr>
          <w:rFonts w:ascii="Verdana" w:hAnsi="Verdana"/>
          <w:sz w:val="18"/>
          <w:szCs w:val="20"/>
          <w:lang w:val="es-CR"/>
        </w:rPr>
        <w:t>[d]</w:t>
      </w:r>
      <w:proofErr w:type="spellStart"/>
      <w:r w:rsidRPr="00932C8E">
        <w:rPr>
          <w:rFonts w:ascii="Verdana" w:hAnsi="Verdana"/>
          <w:sz w:val="18"/>
          <w:szCs w:val="20"/>
          <w:lang w:val="es-CR"/>
        </w:rPr>
        <w:t>eclarar</w:t>
      </w:r>
      <w:proofErr w:type="spellEnd"/>
      <w:r w:rsidRPr="00932C8E">
        <w:rPr>
          <w:rFonts w:ascii="Verdana" w:hAnsi="Verdana"/>
          <w:sz w:val="18"/>
          <w:szCs w:val="20"/>
          <w:lang w:val="es-CR"/>
        </w:rPr>
        <w:t xml:space="preserve"> admisible el caso de autos en relación con las violaciones que se alegan de los derechos reconocidos en los artículos 8 y 13 con relación al 1(1) de la Convención Americana. Por otra parte, la Comisión </w:t>
      </w:r>
      <w:proofErr w:type="gramStart"/>
      <w:r w:rsidRPr="00932C8E">
        <w:rPr>
          <w:rFonts w:ascii="Verdana" w:hAnsi="Verdana"/>
          <w:sz w:val="18"/>
          <w:szCs w:val="20"/>
          <w:lang w:val="es-CR"/>
        </w:rPr>
        <w:t>decid</w:t>
      </w:r>
      <w:r w:rsidR="00364E76">
        <w:rPr>
          <w:rFonts w:ascii="Verdana" w:hAnsi="Verdana"/>
          <w:sz w:val="18"/>
          <w:szCs w:val="20"/>
          <w:lang w:val="es-CR"/>
        </w:rPr>
        <w:t>[</w:t>
      </w:r>
      <w:proofErr w:type="spellStart"/>
      <w:proofErr w:type="gramEnd"/>
      <w:r w:rsidR="00364E76">
        <w:rPr>
          <w:rFonts w:ascii="Verdana" w:hAnsi="Verdana"/>
          <w:sz w:val="18"/>
          <w:szCs w:val="20"/>
          <w:lang w:val="es-CR"/>
        </w:rPr>
        <w:t>ió</w:t>
      </w:r>
      <w:proofErr w:type="spellEnd"/>
      <w:r w:rsidR="00364E76">
        <w:rPr>
          <w:rFonts w:ascii="Verdana" w:hAnsi="Verdana"/>
          <w:sz w:val="18"/>
          <w:szCs w:val="20"/>
          <w:lang w:val="es-CR"/>
        </w:rPr>
        <w:t>]</w:t>
      </w:r>
      <w:r w:rsidRPr="00932C8E">
        <w:rPr>
          <w:rFonts w:ascii="Verdana" w:hAnsi="Verdana"/>
          <w:sz w:val="18"/>
          <w:szCs w:val="20"/>
          <w:lang w:val="es-CR"/>
        </w:rPr>
        <w:t xml:space="preserve"> declarar inadmisible los alegatos respecto de la presunta caracterización de violaciones </w:t>
      </w:r>
      <w:r w:rsidR="00364E76">
        <w:rPr>
          <w:rFonts w:ascii="Verdana" w:hAnsi="Verdana"/>
          <w:sz w:val="18"/>
          <w:szCs w:val="20"/>
          <w:lang w:val="es-CR"/>
        </w:rPr>
        <w:t>de</w:t>
      </w:r>
      <w:r w:rsidRPr="00932C8E">
        <w:rPr>
          <w:rFonts w:ascii="Verdana" w:hAnsi="Verdana"/>
          <w:sz w:val="18"/>
          <w:szCs w:val="20"/>
          <w:lang w:val="es-CR"/>
        </w:rPr>
        <w:t xml:space="preserve"> los artículos 24 y 25”</w:t>
      </w:r>
      <w:r w:rsidRPr="00932C8E">
        <w:rPr>
          <w:rStyle w:val="FootnoteReference"/>
          <w:sz w:val="18"/>
          <w:szCs w:val="20"/>
          <w:lang w:val="es-CR"/>
        </w:rPr>
        <w:footnoteReference w:id="181"/>
      </w:r>
      <w:r w:rsidRPr="00932C8E">
        <w:rPr>
          <w:rFonts w:ascii="Verdana" w:hAnsi="Verdana"/>
          <w:sz w:val="18"/>
          <w:szCs w:val="20"/>
          <w:lang w:val="es-CR"/>
        </w:rPr>
        <w:t xml:space="preserve">. En el párrafo 15 del Informe de Admisibilidad, la Comisión señaló que: </w:t>
      </w:r>
    </w:p>
    <w:p w14:paraId="16A1C1D9" w14:textId="77777777" w:rsidR="0088700B" w:rsidRPr="00932C8E" w:rsidRDefault="0088700B" w:rsidP="0088700B">
      <w:pPr>
        <w:pStyle w:val="ListParagraph"/>
        <w:rPr>
          <w:rFonts w:ascii="Verdana" w:hAnsi="Verdana"/>
          <w:sz w:val="16"/>
          <w:szCs w:val="20"/>
          <w:lang w:val="es-CR"/>
        </w:rPr>
      </w:pPr>
    </w:p>
    <w:p w14:paraId="56966438" w14:textId="49976528" w:rsidR="0088700B" w:rsidRPr="00932C8E" w:rsidRDefault="0088700B" w:rsidP="0088700B">
      <w:pPr>
        <w:pStyle w:val="ListParagraph"/>
        <w:ind w:left="1440"/>
        <w:jc w:val="both"/>
        <w:rPr>
          <w:rFonts w:ascii="Verdana" w:hAnsi="Verdana"/>
          <w:sz w:val="16"/>
          <w:szCs w:val="20"/>
          <w:lang w:val="es-CR"/>
        </w:rPr>
      </w:pPr>
      <w:r w:rsidRPr="00932C8E">
        <w:rPr>
          <w:rFonts w:ascii="Verdana" w:hAnsi="Verdana"/>
          <w:sz w:val="16"/>
          <w:szCs w:val="20"/>
          <w:lang w:val="es-CR"/>
        </w:rPr>
        <w:t>“</w:t>
      </w:r>
      <w:r w:rsidR="00857C27">
        <w:rPr>
          <w:rFonts w:ascii="Verdana" w:hAnsi="Verdana"/>
          <w:sz w:val="16"/>
          <w:szCs w:val="20"/>
          <w:lang w:val="es-CR"/>
        </w:rPr>
        <w:t>E</w:t>
      </w:r>
      <w:r w:rsidRPr="00932C8E">
        <w:rPr>
          <w:rFonts w:ascii="Verdana" w:hAnsi="Verdana"/>
          <w:sz w:val="16"/>
          <w:szCs w:val="20"/>
          <w:lang w:val="es-CR"/>
        </w:rPr>
        <w:t xml:space="preserve">l peticionario consideró </w:t>
      </w:r>
      <w:r w:rsidR="00857C27">
        <w:rPr>
          <w:rFonts w:ascii="Verdana" w:hAnsi="Verdana"/>
          <w:sz w:val="16"/>
          <w:szCs w:val="20"/>
          <w:lang w:val="es-CR"/>
        </w:rPr>
        <w:t xml:space="preserve">que se </w:t>
      </w:r>
      <w:r w:rsidRPr="00932C8E">
        <w:rPr>
          <w:rFonts w:ascii="Verdana" w:hAnsi="Verdana"/>
          <w:sz w:val="16"/>
          <w:szCs w:val="20"/>
          <w:lang w:val="es-CR"/>
        </w:rPr>
        <w:t>viol</w:t>
      </w:r>
      <w:r w:rsidR="00857C27">
        <w:rPr>
          <w:rFonts w:ascii="Verdana" w:hAnsi="Verdana"/>
          <w:sz w:val="16"/>
          <w:szCs w:val="20"/>
          <w:lang w:val="es-CR"/>
        </w:rPr>
        <w:t>ó</w:t>
      </w:r>
      <w:r w:rsidRPr="00932C8E">
        <w:rPr>
          <w:rFonts w:ascii="Verdana" w:hAnsi="Verdana"/>
          <w:sz w:val="16"/>
          <w:szCs w:val="20"/>
          <w:lang w:val="es-CR"/>
        </w:rPr>
        <w:t xml:space="preserve"> su derecho al debido proceso </w:t>
      </w:r>
      <w:r w:rsidR="00857C27">
        <w:rPr>
          <w:rFonts w:ascii="Verdana" w:hAnsi="Verdana"/>
          <w:sz w:val="16"/>
          <w:szCs w:val="20"/>
          <w:lang w:val="es-CR"/>
        </w:rPr>
        <w:t xml:space="preserve">consagrado </w:t>
      </w:r>
      <w:r w:rsidRPr="00932C8E">
        <w:rPr>
          <w:rFonts w:ascii="Verdana" w:hAnsi="Verdana"/>
          <w:sz w:val="16"/>
          <w:szCs w:val="20"/>
          <w:lang w:val="es-CR"/>
        </w:rPr>
        <w:t>en el artículo 8 de la [CADH</w:t>
      </w:r>
      <w:r w:rsidR="00857C27">
        <w:rPr>
          <w:rFonts w:ascii="Verdana" w:hAnsi="Verdana"/>
          <w:sz w:val="16"/>
          <w:szCs w:val="20"/>
          <w:lang w:val="es-CR"/>
        </w:rPr>
        <w:t>]</w:t>
      </w:r>
      <w:r w:rsidRPr="00932C8E">
        <w:rPr>
          <w:rFonts w:ascii="Verdana" w:hAnsi="Verdana"/>
          <w:sz w:val="16"/>
          <w:szCs w:val="20"/>
          <w:lang w:val="es-CR"/>
        </w:rPr>
        <w:t xml:space="preserve"> </w:t>
      </w:r>
      <w:r w:rsidR="00857C27">
        <w:rPr>
          <w:rFonts w:ascii="Verdana" w:hAnsi="Verdana"/>
          <w:sz w:val="16"/>
          <w:szCs w:val="20"/>
          <w:lang w:val="es-CR"/>
        </w:rPr>
        <w:t xml:space="preserve">en conexión </w:t>
      </w:r>
      <w:r w:rsidRPr="00932C8E">
        <w:rPr>
          <w:rFonts w:ascii="Verdana" w:hAnsi="Verdana"/>
          <w:sz w:val="16"/>
          <w:szCs w:val="20"/>
          <w:lang w:val="es-CR"/>
        </w:rPr>
        <w:t xml:space="preserve">con el </w:t>
      </w:r>
      <w:r w:rsidR="00857C27">
        <w:rPr>
          <w:rFonts w:ascii="Verdana" w:hAnsi="Verdana"/>
          <w:sz w:val="16"/>
          <w:szCs w:val="20"/>
          <w:lang w:val="es-CR"/>
        </w:rPr>
        <w:t xml:space="preserve">artículo </w:t>
      </w:r>
      <w:r w:rsidRPr="00932C8E">
        <w:rPr>
          <w:rFonts w:ascii="Verdana" w:hAnsi="Verdana"/>
          <w:sz w:val="16"/>
          <w:szCs w:val="20"/>
          <w:lang w:val="es-CR"/>
        </w:rPr>
        <w:t>14.1 del Pacto Internacional de Derechos Civiles y Político</w:t>
      </w:r>
      <w:r w:rsidR="00857C27">
        <w:rPr>
          <w:rFonts w:ascii="Verdana" w:hAnsi="Verdana"/>
          <w:sz w:val="16"/>
          <w:szCs w:val="20"/>
          <w:lang w:val="es-CR"/>
        </w:rPr>
        <w:t>s</w:t>
      </w:r>
      <w:r w:rsidRPr="00932C8E">
        <w:rPr>
          <w:rFonts w:ascii="Verdana" w:hAnsi="Verdana"/>
          <w:sz w:val="16"/>
          <w:szCs w:val="20"/>
          <w:lang w:val="es-CR"/>
        </w:rPr>
        <w:t xml:space="preserve">; </w:t>
      </w:r>
      <w:r w:rsidRPr="00333304">
        <w:rPr>
          <w:rFonts w:ascii="Verdana" w:hAnsi="Verdana"/>
          <w:b/>
          <w:i/>
          <w:sz w:val="16"/>
          <w:szCs w:val="20"/>
          <w:lang w:val="es-CR"/>
        </w:rPr>
        <w:t>el derecho al trabajo</w:t>
      </w:r>
      <w:r w:rsidRPr="00932C8E">
        <w:rPr>
          <w:rFonts w:ascii="Verdana" w:hAnsi="Verdana"/>
          <w:sz w:val="16"/>
          <w:szCs w:val="20"/>
          <w:lang w:val="es-CR"/>
        </w:rPr>
        <w:t>; el derecho a la igualdad y el derecho a la protección judicial. Asimismo, el peticionario seña</w:t>
      </w:r>
      <w:r w:rsidR="00857C27">
        <w:rPr>
          <w:rFonts w:ascii="Verdana" w:hAnsi="Verdana"/>
          <w:sz w:val="16"/>
          <w:szCs w:val="20"/>
          <w:lang w:val="es-CR"/>
        </w:rPr>
        <w:t>l[</w:t>
      </w:r>
      <w:proofErr w:type="spellStart"/>
      <w:r w:rsidRPr="00932C8E">
        <w:rPr>
          <w:rFonts w:ascii="Verdana" w:hAnsi="Verdana"/>
          <w:sz w:val="16"/>
          <w:szCs w:val="20"/>
          <w:lang w:val="es-CR"/>
        </w:rPr>
        <w:t>ó</w:t>
      </w:r>
      <w:proofErr w:type="spellEnd"/>
      <w:r w:rsidRPr="00932C8E">
        <w:rPr>
          <w:rFonts w:ascii="Verdana" w:hAnsi="Verdana"/>
          <w:sz w:val="16"/>
          <w:szCs w:val="20"/>
          <w:lang w:val="es-CR"/>
        </w:rPr>
        <w:t xml:space="preserve">] que, de conformidad con el artículo 39 de la Ley de Amparo, concordado con el artículo 303 de la </w:t>
      </w:r>
      <w:r w:rsidR="00857C27">
        <w:rPr>
          <w:rFonts w:ascii="Verdana" w:hAnsi="Verdana"/>
          <w:sz w:val="16"/>
          <w:szCs w:val="20"/>
          <w:lang w:val="es-CR"/>
        </w:rPr>
        <w:t>C</w:t>
      </w:r>
      <w:r w:rsidRPr="00932C8E">
        <w:rPr>
          <w:rFonts w:ascii="Verdana" w:hAnsi="Verdana"/>
          <w:sz w:val="16"/>
          <w:szCs w:val="20"/>
          <w:lang w:val="es-CR"/>
        </w:rPr>
        <w:t>onstitución, se violaron sus derecho</w:t>
      </w:r>
      <w:r w:rsidR="005D72FB">
        <w:rPr>
          <w:rFonts w:ascii="Verdana" w:hAnsi="Verdana"/>
          <w:sz w:val="16"/>
          <w:szCs w:val="20"/>
          <w:lang w:val="es-CR"/>
        </w:rPr>
        <w:t>s</w:t>
      </w:r>
      <w:r w:rsidRPr="00932C8E">
        <w:rPr>
          <w:rFonts w:ascii="Verdana" w:hAnsi="Verdana"/>
          <w:sz w:val="16"/>
          <w:szCs w:val="20"/>
          <w:lang w:val="es-CR"/>
        </w:rPr>
        <w:t xml:space="preserve"> constitucionales.</w:t>
      </w:r>
    </w:p>
    <w:p w14:paraId="628F8FA2" w14:textId="77777777" w:rsidR="0088700B" w:rsidRPr="00932C8E" w:rsidRDefault="0088700B" w:rsidP="0088700B">
      <w:pPr>
        <w:pStyle w:val="ListParagraph"/>
        <w:ind w:left="1440"/>
        <w:jc w:val="both"/>
        <w:rPr>
          <w:rFonts w:ascii="Verdana" w:hAnsi="Verdana"/>
          <w:sz w:val="18"/>
          <w:szCs w:val="20"/>
          <w:lang w:val="es-CR"/>
        </w:rPr>
      </w:pPr>
    </w:p>
    <w:p w14:paraId="38862B25" w14:textId="688AA550" w:rsidR="0088700B" w:rsidRDefault="0088700B" w:rsidP="00E66DD7">
      <w:pPr>
        <w:pStyle w:val="ListParagraph"/>
        <w:numPr>
          <w:ilvl w:val="2"/>
          <w:numId w:val="21"/>
        </w:numPr>
        <w:ind w:left="851" w:firstLine="0"/>
        <w:jc w:val="both"/>
        <w:rPr>
          <w:rFonts w:ascii="Verdana" w:hAnsi="Verdana"/>
          <w:sz w:val="18"/>
          <w:szCs w:val="20"/>
          <w:lang w:val="es-CR"/>
        </w:rPr>
      </w:pPr>
      <w:r w:rsidRPr="00932C8E">
        <w:rPr>
          <w:rFonts w:ascii="Verdana" w:hAnsi="Verdana"/>
          <w:sz w:val="18"/>
          <w:szCs w:val="20"/>
          <w:lang w:val="es-CR"/>
        </w:rPr>
        <w:t xml:space="preserve"> En el escrito </w:t>
      </w:r>
      <w:r w:rsidR="00D3263C">
        <w:rPr>
          <w:rFonts w:ascii="Verdana" w:hAnsi="Verdana"/>
          <w:sz w:val="18"/>
          <w:szCs w:val="20"/>
          <w:lang w:val="es-CR"/>
        </w:rPr>
        <w:t xml:space="preserve">de </w:t>
      </w:r>
      <w:r w:rsidRPr="00932C8E">
        <w:rPr>
          <w:rFonts w:ascii="Verdana" w:hAnsi="Verdana"/>
          <w:sz w:val="18"/>
          <w:szCs w:val="20"/>
          <w:lang w:val="es-CR"/>
        </w:rPr>
        <w:t>APRODEH</w:t>
      </w:r>
      <w:r w:rsidR="00857C27">
        <w:rPr>
          <w:rFonts w:ascii="Verdana" w:hAnsi="Verdana"/>
          <w:sz w:val="18"/>
          <w:szCs w:val="20"/>
          <w:lang w:val="es-CR"/>
        </w:rPr>
        <w:t>,</w:t>
      </w:r>
      <w:r w:rsidRPr="00932C8E">
        <w:rPr>
          <w:rFonts w:ascii="Verdana" w:hAnsi="Verdana"/>
          <w:sz w:val="18"/>
          <w:szCs w:val="20"/>
          <w:lang w:val="es-CR"/>
        </w:rPr>
        <w:t xml:space="preserve"> en representación del </w:t>
      </w:r>
      <w:r w:rsidR="00DD5817">
        <w:rPr>
          <w:rFonts w:ascii="Verdana" w:hAnsi="Verdana"/>
          <w:sz w:val="18"/>
          <w:szCs w:val="20"/>
          <w:lang w:val="es-CR"/>
        </w:rPr>
        <w:t>s</w:t>
      </w:r>
      <w:r w:rsidR="00364E76">
        <w:rPr>
          <w:rFonts w:ascii="Verdana" w:hAnsi="Verdana"/>
          <w:sz w:val="18"/>
          <w:szCs w:val="20"/>
          <w:lang w:val="es-CR"/>
        </w:rPr>
        <w:t>eñor</w:t>
      </w:r>
      <w:r w:rsidRPr="00932C8E">
        <w:rPr>
          <w:rFonts w:ascii="Verdana" w:hAnsi="Verdana"/>
          <w:sz w:val="18"/>
          <w:szCs w:val="20"/>
          <w:lang w:val="es-CR"/>
        </w:rPr>
        <w:t xml:space="preserve"> Lagos del Campo de 16 de marzo de 2011</w:t>
      </w:r>
      <w:r>
        <w:rPr>
          <w:rFonts w:ascii="Verdana" w:hAnsi="Verdana"/>
          <w:sz w:val="18"/>
          <w:szCs w:val="20"/>
          <w:lang w:val="es-CR"/>
        </w:rPr>
        <w:t>,</w:t>
      </w:r>
      <w:r w:rsidRPr="00932C8E">
        <w:rPr>
          <w:rFonts w:ascii="Verdana" w:hAnsi="Verdana"/>
          <w:sz w:val="18"/>
          <w:szCs w:val="20"/>
          <w:lang w:val="es-CR"/>
        </w:rPr>
        <w:t xml:space="preserve"> dirigido al Secretario Ejecutivo de la Comisión, recibido el 24 de marzo de 2011</w:t>
      </w:r>
      <w:r>
        <w:rPr>
          <w:rFonts w:ascii="Verdana" w:hAnsi="Verdana"/>
          <w:sz w:val="18"/>
          <w:szCs w:val="20"/>
          <w:lang w:val="es-CR"/>
        </w:rPr>
        <w:t xml:space="preserve">, señaló que </w:t>
      </w:r>
      <w:r w:rsidRPr="00932C8E">
        <w:rPr>
          <w:rFonts w:ascii="Verdana" w:hAnsi="Verdana"/>
          <w:sz w:val="18"/>
          <w:szCs w:val="20"/>
          <w:lang w:val="es-CR"/>
        </w:rPr>
        <w:t>presenta</w:t>
      </w:r>
      <w:r>
        <w:rPr>
          <w:rFonts w:ascii="Verdana" w:hAnsi="Verdana"/>
          <w:sz w:val="18"/>
          <w:szCs w:val="20"/>
          <w:lang w:val="es-CR"/>
        </w:rPr>
        <w:t>ba</w:t>
      </w:r>
      <w:r w:rsidRPr="00932C8E">
        <w:rPr>
          <w:rFonts w:ascii="Verdana" w:hAnsi="Verdana"/>
          <w:sz w:val="18"/>
          <w:szCs w:val="20"/>
          <w:lang w:val="es-CR"/>
        </w:rPr>
        <w:t xml:space="preserve"> observaciones al Informe de Admisibilidad</w:t>
      </w:r>
      <w:r>
        <w:rPr>
          <w:rFonts w:ascii="Verdana" w:hAnsi="Verdana"/>
          <w:sz w:val="18"/>
          <w:szCs w:val="20"/>
          <w:lang w:val="es-CR"/>
        </w:rPr>
        <w:t>.</w:t>
      </w:r>
      <w:r w:rsidRPr="00932C8E">
        <w:rPr>
          <w:rFonts w:ascii="Verdana" w:hAnsi="Verdana"/>
          <w:sz w:val="18"/>
          <w:szCs w:val="20"/>
          <w:lang w:val="es-CR"/>
        </w:rPr>
        <w:t xml:space="preserve"> </w:t>
      </w:r>
      <w:r>
        <w:rPr>
          <w:rFonts w:ascii="Verdana" w:hAnsi="Verdana"/>
          <w:sz w:val="18"/>
          <w:szCs w:val="20"/>
          <w:lang w:val="es-CR"/>
        </w:rPr>
        <w:t>E</w:t>
      </w:r>
      <w:r w:rsidRPr="00932C8E">
        <w:rPr>
          <w:rFonts w:ascii="Verdana" w:hAnsi="Verdana"/>
          <w:sz w:val="18"/>
          <w:szCs w:val="20"/>
          <w:lang w:val="es-CR"/>
        </w:rPr>
        <w:t>n la parte de petitorios se exp</w:t>
      </w:r>
      <w:r>
        <w:rPr>
          <w:rFonts w:ascii="Verdana" w:hAnsi="Verdana"/>
          <w:sz w:val="18"/>
          <w:szCs w:val="20"/>
          <w:lang w:val="es-CR"/>
        </w:rPr>
        <w:t>uso</w:t>
      </w:r>
      <w:r w:rsidRPr="00932C8E">
        <w:rPr>
          <w:rFonts w:ascii="Verdana" w:hAnsi="Verdana"/>
          <w:sz w:val="18"/>
          <w:szCs w:val="20"/>
          <w:lang w:val="es-CR"/>
        </w:rPr>
        <w:t xml:space="preserve"> “</w:t>
      </w:r>
      <w:r>
        <w:rPr>
          <w:rFonts w:ascii="Verdana" w:hAnsi="Verdana"/>
          <w:sz w:val="18"/>
          <w:szCs w:val="20"/>
          <w:lang w:val="es-CR"/>
        </w:rPr>
        <w:t>[q]</w:t>
      </w:r>
      <w:proofErr w:type="spellStart"/>
      <w:r w:rsidRPr="00932C8E">
        <w:rPr>
          <w:rFonts w:ascii="Verdana" w:hAnsi="Verdana"/>
          <w:sz w:val="18"/>
          <w:szCs w:val="20"/>
          <w:lang w:val="es-CR"/>
        </w:rPr>
        <w:t>ue</w:t>
      </w:r>
      <w:proofErr w:type="spellEnd"/>
      <w:r w:rsidRPr="00932C8E">
        <w:rPr>
          <w:rFonts w:ascii="Verdana" w:hAnsi="Verdana"/>
          <w:sz w:val="18"/>
          <w:szCs w:val="20"/>
          <w:lang w:val="es-CR"/>
        </w:rPr>
        <w:t xml:space="preserve"> </w:t>
      </w:r>
      <w:r>
        <w:rPr>
          <w:rFonts w:ascii="Verdana" w:hAnsi="Verdana"/>
          <w:sz w:val="18"/>
          <w:szCs w:val="20"/>
          <w:lang w:val="es-CR"/>
        </w:rPr>
        <w:t>[con]</w:t>
      </w:r>
      <w:r w:rsidRPr="00932C8E">
        <w:rPr>
          <w:rFonts w:ascii="Verdana" w:hAnsi="Verdana"/>
          <w:sz w:val="18"/>
          <w:szCs w:val="20"/>
          <w:lang w:val="es-CR"/>
        </w:rPr>
        <w:t xml:space="preserve"> base a estas conclusiones, ordenar al Estado: </w:t>
      </w:r>
      <w:r w:rsidR="00C954CF">
        <w:rPr>
          <w:rFonts w:ascii="Verdana" w:hAnsi="Verdana"/>
          <w:sz w:val="18"/>
          <w:szCs w:val="20"/>
          <w:lang w:val="es-CR"/>
        </w:rPr>
        <w:t xml:space="preserve">a. </w:t>
      </w:r>
      <w:r w:rsidRPr="00932C8E">
        <w:rPr>
          <w:rFonts w:ascii="Verdana" w:hAnsi="Verdana"/>
          <w:sz w:val="18"/>
          <w:szCs w:val="20"/>
          <w:lang w:val="es-CR"/>
        </w:rPr>
        <w:t xml:space="preserve">facilitar las condiciones para que </w:t>
      </w:r>
      <w:r w:rsidRPr="00932C8E">
        <w:rPr>
          <w:rFonts w:ascii="Verdana" w:hAnsi="Verdana"/>
          <w:sz w:val="18"/>
          <w:szCs w:val="20"/>
          <w:lang w:val="es-CR"/>
        </w:rPr>
        <w:lastRenderedPageBreak/>
        <w:t xml:space="preserve">Alfredo Lagos del Campo pueda realizar las gestiones necesarias para recuperar </w:t>
      </w:r>
      <w:r w:rsidRPr="00333304">
        <w:rPr>
          <w:rFonts w:ascii="Verdana" w:hAnsi="Verdana"/>
          <w:b/>
          <w:i/>
          <w:sz w:val="18"/>
          <w:szCs w:val="20"/>
          <w:lang w:val="es-CR"/>
        </w:rPr>
        <w:t>el uso y goce de sus derechos laborales</w:t>
      </w:r>
      <w:r w:rsidRPr="00932C8E">
        <w:rPr>
          <w:rFonts w:ascii="Verdana" w:hAnsi="Verdana"/>
          <w:sz w:val="18"/>
          <w:szCs w:val="20"/>
          <w:lang w:val="es-CR"/>
        </w:rPr>
        <w:t>, como consecuencia del despido […]”</w:t>
      </w:r>
      <w:r w:rsidRPr="00932C8E">
        <w:rPr>
          <w:rStyle w:val="FootnoteReference"/>
          <w:sz w:val="18"/>
          <w:szCs w:val="20"/>
          <w:lang w:val="es-CR"/>
        </w:rPr>
        <w:footnoteReference w:id="182"/>
      </w:r>
      <w:r>
        <w:rPr>
          <w:rFonts w:ascii="Verdana" w:hAnsi="Verdana"/>
          <w:sz w:val="18"/>
          <w:szCs w:val="20"/>
          <w:lang w:val="es-CR"/>
        </w:rPr>
        <w:t>.</w:t>
      </w:r>
    </w:p>
    <w:p w14:paraId="0E31F67F" w14:textId="77777777" w:rsidR="0088700B" w:rsidRDefault="0088700B" w:rsidP="0088700B">
      <w:pPr>
        <w:pStyle w:val="ListParagraph"/>
        <w:ind w:left="851"/>
        <w:jc w:val="both"/>
        <w:rPr>
          <w:rFonts w:ascii="Verdana" w:hAnsi="Verdana"/>
          <w:sz w:val="18"/>
          <w:szCs w:val="20"/>
          <w:lang w:val="es-CR"/>
        </w:rPr>
      </w:pPr>
    </w:p>
    <w:p w14:paraId="2DCA27A0" w14:textId="3334C616" w:rsidR="0088700B" w:rsidRPr="006D5D16" w:rsidRDefault="0088700B" w:rsidP="00E66DD7">
      <w:pPr>
        <w:numPr>
          <w:ilvl w:val="0"/>
          <w:numId w:val="1"/>
        </w:numPr>
        <w:ind w:left="0" w:firstLine="0"/>
        <w:contextualSpacing/>
        <w:jc w:val="both"/>
        <w:rPr>
          <w:rFonts w:ascii="Verdana" w:hAnsi="Verdana"/>
          <w:sz w:val="20"/>
          <w:szCs w:val="20"/>
          <w:lang w:val="es-MX"/>
        </w:rPr>
      </w:pPr>
      <w:r w:rsidRPr="00D43A62">
        <w:rPr>
          <w:rFonts w:ascii="Verdana" w:hAnsi="Verdana"/>
          <w:sz w:val="20"/>
          <w:szCs w:val="20"/>
        </w:rPr>
        <w:t>En</w:t>
      </w:r>
      <w:r w:rsidRPr="00AD638A">
        <w:rPr>
          <w:rFonts w:ascii="Verdana" w:hAnsi="Verdana"/>
          <w:sz w:val="20"/>
          <w:szCs w:val="20"/>
        </w:rPr>
        <w:t xml:space="preserve"> </w:t>
      </w:r>
      <w:r>
        <w:rPr>
          <w:rFonts w:ascii="Verdana" w:hAnsi="Verdana"/>
          <w:sz w:val="20"/>
          <w:szCs w:val="20"/>
        </w:rPr>
        <w:t>vista de todo lo anterior</w:t>
      </w:r>
      <w:r w:rsidRPr="00AD638A">
        <w:rPr>
          <w:rFonts w:ascii="Verdana" w:hAnsi="Verdana"/>
          <w:sz w:val="20"/>
          <w:szCs w:val="20"/>
        </w:rPr>
        <w:t xml:space="preserve">, </w:t>
      </w:r>
      <w:r>
        <w:rPr>
          <w:rFonts w:ascii="Verdana" w:hAnsi="Verdana"/>
          <w:sz w:val="20"/>
          <w:szCs w:val="20"/>
        </w:rPr>
        <w:t xml:space="preserve">este Tribunal constata que </w:t>
      </w:r>
      <w:r w:rsidRPr="002607D9">
        <w:rPr>
          <w:rFonts w:ascii="Verdana" w:hAnsi="Verdana"/>
          <w:sz w:val="20"/>
          <w:szCs w:val="20"/>
        </w:rPr>
        <w:t>desde sus primeros escritos ante la Comisión, el peticionario solicitó la protección de sus derechos “</w:t>
      </w:r>
      <w:r w:rsidRPr="00E26F81">
        <w:rPr>
          <w:rFonts w:ascii="Verdana" w:hAnsi="Verdana"/>
          <w:i/>
          <w:sz w:val="20"/>
          <w:szCs w:val="20"/>
        </w:rPr>
        <w:t>a un juicio justo [debido proceso] y el derecho al trabajo</w:t>
      </w:r>
      <w:r w:rsidRPr="002607D9">
        <w:rPr>
          <w:rFonts w:ascii="Verdana" w:hAnsi="Verdana"/>
          <w:sz w:val="20"/>
          <w:szCs w:val="20"/>
        </w:rPr>
        <w:t>”</w:t>
      </w:r>
      <w:r w:rsidRPr="00AD638A">
        <w:rPr>
          <w:rFonts w:ascii="Verdana" w:hAnsi="Verdana"/>
          <w:sz w:val="20"/>
          <w:szCs w:val="20"/>
        </w:rPr>
        <w:t xml:space="preserve">. </w:t>
      </w:r>
      <w:r>
        <w:rPr>
          <w:rFonts w:ascii="Verdana" w:hAnsi="Verdana"/>
          <w:sz w:val="20"/>
          <w:szCs w:val="20"/>
        </w:rPr>
        <w:t xml:space="preserve">Igualmente, el Estado señaló </w:t>
      </w:r>
      <w:r w:rsidRPr="00D43A62">
        <w:rPr>
          <w:rFonts w:ascii="Verdana" w:hAnsi="Verdana"/>
          <w:sz w:val="20"/>
          <w:szCs w:val="20"/>
        </w:rPr>
        <w:t xml:space="preserve">expresamente que </w:t>
      </w:r>
      <w:r w:rsidRPr="006D5D16">
        <w:rPr>
          <w:rFonts w:ascii="Verdana" w:hAnsi="Verdana"/>
          <w:sz w:val="20"/>
          <w:szCs w:val="20"/>
          <w:lang w:val="es-CR"/>
        </w:rPr>
        <w:t xml:space="preserve">el señor Lagos del Campo en su denuncia ante la </w:t>
      </w:r>
      <w:r>
        <w:rPr>
          <w:rFonts w:ascii="Verdana" w:hAnsi="Verdana"/>
          <w:sz w:val="20"/>
          <w:szCs w:val="20"/>
          <w:lang w:val="es-CR"/>
        </w:rPr>
        <w:t>Comisión</w:t>
      </w:r>
      <w:r w:rsidRPr="006D5D16">
        <w:rPr>
          <w:rFonts w:ascii="Verdana" w:hAnsi="Verdana"/>
          <w:sz w:val="20"/>
          <w:szCs w:val="20"/>
          <w:lang w:val="es-CR"/>
        </w:rPr>
        <w:t xml:space="preserve"> solicitó la “</w:t>
      </w:r>
      <w:r w:rsidRPr="006D5D16">
        <w:rPr>
          <w:rFonts w:ascii="Verdana" w:hAnsi="Verdana"/>
          <w:sz w:val="20"/>
          <w:szCs w:val="20"/>
          <w:lang w:val="es-ES"/>
        </w:rPr>
        <w:t>[i]</w:t>
      </w:r>
      <w:proofErr w:type="spellStart"/>
      <w:r w:rsidRPr="006D5D16">
        <w:rPr>
          <w:rFonts w:ascii="Verdana" w:hAnsi="Verdana"/>
          <w:sz w:val="20"/>
          <w:szCs w:val="20"/>
          <w:lang w:val="es-ES"/>
        </w:rPr>
        <w:t>nmediata</w:t>
      </w:r>
      <w:proofErr w:type="spellEnd"/>
      <w:r w:rsidRPr="006D5D16">
        <w:rPr>
          <w:rFonts w:ascii="Verdana" w:hAnsi="Verdana"/>
          <w:sz w:val="20"/>
          <w:szCs w:val="20"/>
          <w:lang w:val="es-ES"/>
        </w:rPr>
        <w:t xml:space="preserve"> reposición a su puesto de trabajo en la empresa CEPER-PIRELLI, con el salario y los beneficios correspondientes”</w:t>
      </w:r>
      <w:r>
        <w:rPr>
          <w:rFonts w:ascii="Verdana" w:hAnsi="Verdana"/>
          <w:sz w:val="20"/>
          <w:szCs w:val="20"/>
          <w:lang w:val="es-ES"/>
        </w:rPr>
        <w:t>.</w:t>
      </w:r>
    </w:p>
    <w:p w14:paraId="3F5EF586" w14:textId="77777777" w:rsidR="0088700B" w:rsidRDefault="0088700B" w:rsidP="0088700B">
      <w:pPr>
        <w:contextualSpacing/>
        <w:jc w:val="both"/>
        <w:rPr>
          <w:rFonts w:ascii="Verdana" w:hAnsi="Verdana"/>
          <w:sz w:val="20"/>
          <w:szCs w:val="20"/>
        </w:rPr>
      </w:pPr>
    </w:p>
    <w:p w14:paraId="38FDEBB3" w14:textId="790F0319" w:rsidR="0088700B" w:rsidRPr="00A63061" w:rsidRDefault="0088700B" w:rsidP="00E66DD7">
      <w:pPr>
        <w:numPr>
          <w:ilvl w:val="0"/>
          <w:numId w:val="1"/>
        </w:numPr>
        <w:ind w:left="0" w:firstLine="0"/>
        <w:contextualSpacing/>
        <w:jc w:val="both"/>
        <w:rPr>
          <w:rFonts w:ascii="Verdana" w:hAnsi="Verdana"/>
          <w:sz w:val="20"/>
          <w:szCs w:val="20"/>
        </w:rPr>
      </w:pPr>
      <w:r>
        <w:rPr>
          <w:rFonts w:ascii="Verdana" w:hAnsi="Verdana"/>
          <w:sz w:val="20"/>
          <w:szCs w:val="20"/>
        </w:rPr>
        <w:t xml:space="preserve">La Corte nota que si bien </w:t>
      </w:r>
      <w:r w:rsidRPr="00801513">
        <w:rPr>
          <w:rFonts w:ascii="Verdana" w:hAnsi="Verdana"/>
          <w:sz w:val="20"/>
          <w:szCs w:val="20"/>
        </w:rPr>
        <w:t xml:space="preserve">la Comisión observó dicha petición en su </w:t>
      </w:r>
      <w:r w:rsidR="00DE5D83">
        <w:rPr>
          <w:rFonts w:ascii="Verdana" w:hAnsi="Verdana"/>
          <w:sz w:val="20"/>
          <w:szCs w:val="20"/>
        </w:rPr>
        <w:t>I</w:t>
      </w:r>
      <w:r w:rsidRPr="00801513">
        <w:rPr>
          <w:rFonts w:ascii="Verdana" w:hAnsi="Verdana"/>
          <w:sz w:val="20"/>
          <w:szCs w:val="20"/>
        </w:rPr>
        <w:t xml:space="preserve">nforme de </w:t>
      </w:r>
      <w:r w:rsidR="00DE5D83">
        <w:rPr>
          <w:rFonts w:ascii="Verdana" w:hAnsi="Verdana"/>
          <w:sz w:val="20"/>
          <w:szCs w:val="20"/>
        </w:rPr>
        <w:t>A</w:t>
      </w:r>
      <w:r w:rsidRPr="00801513">
        <w:rPr>
          <w:rFonts w:ascii="Verdana" w:hAnsi="Verdana"/>
          <w:sz w:val="20"/>
          <w:szCs w:val="20"/>
        </w:rPr>
        <w:t>dmisibilidad (</w:t>
      </w:r>
      <w:r w:rsidRPr="00801513">
        <w:rPr>
          <w:rFonts w:ascii="Verdana" w:hAnsi="Verdana"/>
          <w:i/>
          <w:sz w:val="20"/>
          <w:szCs w:val="20"/>
        </w:rPr>
        <w:t>supra,</w:t>
      </w:r>
      <w:r w:rsidRPr="00801513">
        <w:rPr>
          <w:rFonts w:ascii="Verdana" w:hAnsi="Verdana"/>
          <w:sz w:val="20"/>
          <w:szCs w:val="20"/>
        </w:rPr>
        <w:t xml:space="preserve"> </w:t>
      </w:r>
      <w:r w:rsidR="00587B73">
        <w:rPr>
          <w:rFonts w:ascii="Verdana" w:hAnsi="Verdana"/>
          <w:sz w:val="20"/>
          <w:szCs w:val="20"/>
        </w:rPr>
        <w:t xml:space="preserve">párr. 133 </w:t>
      </w:r>
      <w:r w:rsidRPr="00801513">
        <w:rPr>
          <w:rFonts w:ascii="Verdana" w:hAnsi="Verdana"/>
          <w:sz w:val="20"/>
          <w:szCs w:val="20"/>
        </w:rPr>
        <w:t>inciso k) omitió pronunciarse respecto del alegado derecho al trabajo</w:t>
      </w:r>
      <w:r w:rsidRPr="00753933">
        <w:rPr>
          <w:rFonts w:ascii="Verdana" w:hAnsi="Verdana"/>
          <w:sz w:val="20"/>
          <w:szCs w:val="20"/>
        </w:rPr>
        <w:t xml:space="preserve">, y su eventual admisibilidad. Asimismo, este Tribunal nota que </w:t>
      </w:r>
      <w:r w:rsidRPr="00801513">
        <w:rPr>
          <w:rFonts w:ascii="Verdana" w:hAnsi="Verdana"/>
          <w:sz w:val="20"/>
          <w:szCs w:val="20"/>
        </w:rPr>
        <w:t xml:space="preserve">desde sus primeras instancias el Estado tuvo conocimiento de dicha pretensión de la presunta víctima </w:t>
      </w:r>
      <w:r w:rsidRPr="00753933">
        <w:rPr>
          <w:rFonts w:ascii="Verdana" w:hAnsi="Verdana"/>
          <w:sz w:val="20"/>
          <w:szCs w:val="20"/>
        </w:rPr>
        <w:t>(</w:t>
      </w:r>
      <w:r w:rsidRPr="006554B8">
        <w:rPr>
          <w:rFonts w:ascii="Verdana" w:hAnsi="Verdana"/>
          <w:i/>
          <w:sz w:val="20"/>
          <w:szCs w:val="20"/>
        </w:rPr>
        <w:t>supra</w:t>
      </w:r>
      <w:r w:rsidRPr="00A63061">
        <w:rPr>
          <w:rFonts w:ascii="Verdana" w:hAnsi="Verdana"/>
          <w:sz w:val="20"/>
          <w:szCs w:val="20"/>
        </w:rPr>
        <w:t xml:space="preserve">, </w:t>
      </w:r>
      <w:r w:rsidR="008644E8">
        <w:rPr>
          <w:rFonts w:ascii="Verdana" w:hAnsi="Verdana"/>
          <w:sz w:val="20"/>
          <w:szCs w:val="20"/>
        </w:rPr>
        <w:t>párr</w:t>
      </w:r>
      <w:r w:rsidR="00587B73">
        <w:rPr>
          <w:rFonts w:ascii="Verdana" w:hAnsi="Verdana"/>
          <w:sz w:val="20"/>
          <w:szCs w:val="20"/>
        </w:rPr>
        <w:t xml:space="preserve">. 133 </w:t>
      </w:r>
      <w:r w:rsidRPr="00A63061">
        <w:rPr>
          <w:rFonts w:ascii="Verdana" w:hAnsi="Verdana"/>
          <w:sz w:val="20"/>
          <w:szCs w:val="20"/>
        </w:rPr>
        <w:t xml:space="preserve">inciso i), la cual también se deriva del marco fáctico presentado por la Comisión. </w:t>
      </w:r>
    </w:p>
    <w:p w14:paraId="0047F997" w14:textId="77777777" w:rsidR="0088700B" w:rsidRPr="00A63061" w:rsidRDefault="0088700B" w:rsidP="0088700B">
      <w:pPr>
        <w:contextualSpacing/>
        <w:jc w:val="both"/>
        <w:rPr>
          <w:rFonts w:ascii="Verdana" w:hAnsi="Verdana"/>
          <w:sz w:val="20"/>
          <w:szCs w:val="20"/>
        </w:rPr>
      </w:pPr>
    </w:p>
    <w:p w14:paraId="643EB4E0" w14:textId="77777777" w:rsidR="0088700B" w:rsidRPr="006554B8" w:rsidRDefault="0088700B" w:rsidP="00E66DD7">
      <w:pPr>
        <w:numPr>
          <w:ilvl w:val="0"/>
          <w:numId w:val="1"/>
        </w:numPr>
        <w:ind w:left="0" w:firstLine="0"/>
        <w:contextualSpacing/>
        <w:jc w:val="both"/>
        <w:rPr>
          <w:rFonts w:ascii="Verdana" w:hAnsi="Verdana"/>
          <w:sz w:val="20"/>
          <w:szCs w:val="20"/>
        </w:rPr>
      </w:pPr>
      <w:r w:rsidRPr="00A63061">
        <w:rPr>
          <w:rFonts w:ascii="Verdana" w:hAnsi="Verdana"/>
          <w:sz w:val="20"/>
          <w:szCs w:val="20"/>
        </w:rPr>
        <w:t xml:space="preserve">Al respecto, el </w:t>
      </w:r>
      <w:r w:rsidRPr="00801513">
        <w:rPr>
          <w:rFonts w:ascii="Verdana" w:hAnsi="Verdana"/>
          <w:sz w:val="20"/>
          <w:szCs w:val="20"/>
        </w:rPr>
        <w:t>Estado</w:t>
      </w:r>
      <w:r w:rsidRPr="00753933">
        <w:rPr>
          <w:rFonts w:ascii="Verdana" w:hAnsi="Verdana"/>
          <w:sz w:val="20"/>
          <w:szCs w:val="20"/>
        </w:rPr>
        <w:t xml:space="preserve"> ha alegado expresamente ante la Corte que: </w:t>
      </w:r>
    </w:p>
    <w:p w14:paraId="54ADD6DB" w14:textId="77777777" w:rsidR="0088700B" w:rsidRPr="00A63061" w:rsidRDefault="0088700B" w:rsidP="0088700B">
      <w:pPr>
        <w:contextualSpacing/>
        <w:jc w:val="both"/>
        <w:rPr>
          <w:rFonts w:ascii="Verdana" w:hAnsi="Verdana"/>
          <w:sz w:val="20"/>
          <w:szCs w:val="20"/>
        </w:rPr>
      </w:pPr>
    </w:p>
    <w:p w14:paraId="2C1883D9" w14:textId="34675A3C" w:rsidR="0088700B" w:rsidRPr="006554B8" w:rsidRDefault="0088700B" w:rsidP="0088700B">
      <w:pPr>
        <w:ind w:left="720"/>
        <w:contextualSpacing/>
        <w:jc w:val="both"/>
        <w:rPr>
          <w:rFonts w:ascii="Verdana" w:hAnsi="Verdana"/>
          <w:sz w:val="18"/>
          <w:szCs w:val="20"/>
        </w:rPr>
      </w:pPr>
      <w:r w:rsidRPr="00A63061">
        <w:rPr>
          <w:rFonts w:ascii="Verdana" w:hAnsi="Verdana"/>
          <w:sz w:val="18"/>
          <w:szCs w:val="20"/>
        </w:rPr>
        <w:t xml:space="preserve"> “</w:t>
      </w:r>
      <w:r w:rsidRPr="00801513">
        <w:rPr>
          <w:rFonts w:ascii="Verdana" w:hAnsi="Verdana"/>
          <w:sz w:val="18"/>
          <w:szCs w:val="20"/>
        </w:rPr>
        <w:t>toda la controversia</w:t>
      </w:r>
      <w:r w:rsidRPr="00753933">
        <w:rPr>
          <w:rFonts w:ascii="Verdana" w:hAnsi="Verdana"/>
          <w:sz w:val="18"/>
          <w:szCs w:val="20"/>
        </w:rPr>
        <w:t xml:space="preserve"> </w:t>
      </w:r>
      <w:r w:rsidR="00DE5D83">
        <w:rPr>
          <w:rFonts w:ascii="Verdana" w:hAnsi="Verdana"/>
          <w:sz w:val="18"/>
          <w:szCs w:val="20"/>
        </w:rPr>
        <w:t>[</w:t>
      </w:r>
      <w:r w:rsidRPr="00753933">
        <w:rPr>
          <w:rFonts w:ascii="Verdana" w:hAnsi="Verdana"/>
          <w:sz w:val="18"/>
          <w:szCs w:val="20"/>
        </w:rPr>
        <w:t>ha</w:t>
      </w:r>
      <w:r w:rsidR="00DE5D83">
        <w:rPr>
          <w:rFonts w:ascii="Verdana" w:hAnsi="Verdana"/>
          <w:sz w:val="18"/>
          <w:szCs w:val="20"/>
        </w:rPr>
        <w:t>]</w:t>
      </w:r>
      <w:r w:rsidRPr="00753933">
        <w:rPr>
          <w:rFonts w:ascii="Verdana" w:hAnsi="Verdana"/>
          <w:sz w:val="18"/>
          <w:szCs w:val="20"/>
        </w:rPr>
        <w:t xml:space="preserve"> girado en torno al </w:t>
      </w:r>
      <w:r w:rsidRPr="00801513">
        <w:rPr>
          <w:rFonts w:ascii="Verdana" w:hAnsi="Verdana"/>
          <w:sz w:val="18"/>
          <w:szCs w:val="20"/>
        </w:rPr>
        <w:t>despido del señor Lagos del Campo</w:t>
      </w:r>
      <w:r w:rsidRPr="00753933">
        <w:rPr>
          <w:rFonts w:ascii="Verdana" w:hAnsi="Verdana"/>
          <w:sz w:val="18"/>
          <w:szCs w:val="20"/>
        </w:rPr>
        <w:t xml:space="preserve"> por parte de la empresa </w:t>
      </w:r>
      <w:proofErr w:type="spellStart"/>
      <w:r w:rsidRPr="00753933">
        <w:rPr>
          <w:rFonts w:ascii="Verdana" w:hAnsi="Verdana"/>
          <w:sz w:val="18"/>
          <w:szCs w:val="20"/>
        </w:rPr>
        <w:t>Ceper-Pirelli</w:t>
      </w:r>
      <w:proofErr w:type="spellEnd"/>
      <w:r w:rsidRPr="00753933">
        <w:rPr>
          <w:rFonts w:ascii="Verdana" w:hAnsi="Verdana"/>
          <w:sz w:val="18"/>
          <w:szCs w:val="20"/>
        </w:rPr>
        <w:t>, en tanto este cometió una falta que se encontraba prevista en el artículo 5 literales a) y h) de la Ley N</w:t>
      </w:r>
      <w:r w:rsidR="00DE5D83">
        <w:rPr>
          <w:rFonts w:ascii="Verdana" w:hAnsi="Verdana"/>
          <w:sz w:val="18"/>
          <w:szCs w:val="20"/>
          <w:vertAlign w:val="superscript"/>
        </w:rPr>
        <w:t>o</w:t>
      </w:r>
      <w:r w:rsidRPr="00753933">
        <w:rPr>
          <w:rFonts w:ascii="Verdana" w:hAnsi="Verdana"/>
          <w:sz w:val="18"/>
          <w:szCs w:val="20"/>
        </w:rPr>
        <w:t xml:space="preserve"> 24514 – Ley que regula el derecho de estabilidad en el trabajo” </w:t>
      </w:r>
      <w:r w:rsidRPr="00801513">
        <w:rPr>
          <w:rFonts w:ascii="Verdana" w:hAnsi="Verdana"/>
          <w:sz w:val="18"/>
          <w:szCs w:val="20"/>
        </w:rPr>
        <w:t>(</w:t>
      </w:r>
      <w:r w:rsidR="00DE5D83">
        <w:rPr>
          <w:rFonts w:ascii="Verdana" w:hAnsi="Verdana"/>
          <w:sz w:val="18"/>
          <w:szCs w:val="20"/>
        </w:rPr>
        <w:t>expediente de fondo</w:t>
      </w:r>
      <w:r w:rsidRPr="00801513">
        <w:rPr>
          <w:rFonts w:ascii="Verdana" w:hAnsi="Verdana"/>
          <w:sz w:val="18"/>
          <w:szCs w:val="20"/>
        </w:rPr>
        <w:t>, f</w:t>
      </w:r>
      <w:r w:rsidR="00DE5D83">
        <w:rPr>
          <w:rFonts w:ascii="Verdana" w:hAnsi="Verdana"/>
          <w:sz w:val="18"/>
          <w:szCs w:val="20"/>
        </w:rPr>
        <w:t>olio</w:t>
      </w:r>
      <w:r w:rsidRPr="00801513">
        <w:rPr>
          <w:rFonts w:ascii="Verdana" w:hAnsi="Verdana"/>
          <w:sz w:val="18"/>
          <w:szCs w:val="20"/>
        </w:rPr>
        <w:t xml:space="preserve"> 224)</w:t>
      </w:r>
      <w:r w:rsidRPr="00753933">
        <w:rPr>
          <w:rFonts w:ascii="Verdana" w:hAnsi="Verdana"/>
          <w:sz w:val="18"/>
          <w:szCs w:val="20"/>
        </w:rPr>
        <w:t>.</w:t>
      </w:r>
      <w:r w:rsidRPr="00801513">
        <w:rPr>
          <w:rFonts w:ascii="Verdana" w:hAnsi="Verdana"/>
          <w:sz w:val="18"/>
          <w:szCs w:val="20"/>
        </w:rPr>
        <w:t xml:space="preserve"> </w:t>
      </w:r>
      <w:r w:rsidRPr="00753933">
        <w:rPr>
          <w:rFonts w:ascii="Verdana" w:hAnsi="Verdana"/>
          <w:color w:val="000000"/>
          <w:sz w:val="18"/>
          <w:szCs w:val="20"/>
        </w:rPr>
        <w:t>En la audiencia pública, el Estado consideró que el caso se enmarcaba en un contexto en el cual existía una “</w:t>
      </w:r>
      <w:r w:rsidRPr="00801513">
        <w:rPr>
          <w:rFonts w:ascii="Verdana" w:hAnsi="Verdana"/>
          <w:color w:val="000000"/>
          <w:sz w:val="18"/>
          <w:szCs w:val="20"/>
        </w:rPr>
        <w:t>ley laboral muy protectora del trabajador</w:t>
      </w:r>
      <w:r w:rsidRPr="00753933">
        <w:rPr>
          <w:rFonts w:ascii="Verdana" w:hAnsi="Verdana"/>
          <w:color w:val="000000"/>
          <w:sz w:val="18"/>
          <w:szCs w:val="20"/>
        </w:rPr>
        <w:t xml:space="preserve">” dado que “ofrecía una modalidad legal de </w:t>
      </w:r>
      <w:r w:rsidRPr="00801513">
        <w:rPr>
          <w:rFonts w:ascii="Verdana" w:hAnsi="Verdana"/>
          <w:color w:val="000000"/>
          <w:sz w:val="18"/>
          <w:szCs w:val="20"/>
        </w:rPr>
        <w:t>protección absoluta de la estabilidad del trabajador</w:t>
      </w:r>
      <w:r w:rsidRPr="00753933">
        <w:rPr>
          <w:rFonts w:ascii="Verdana" w:hAnsi="Verdana"/>
          <w:color w:val="000000"/>
          <w:sz w:val="18"/>
          <w:szCs w:val="20"/>
        </w:rPr>
        <w:t>”.</w:t>
      </w:r>
    </w:p>
    <w:p w14:paraId="4386F213" w14:textId="77777777" w:rsidR="0088700B" w:rsidRPr="00A3303A" w:rsidRDefault="0088700B" w:rsidP="0088700B">
      <w:pPr>
        <w:contextualSpacing/>
        <w:jc w:val="both"/>
        <w:rPr>
          <w:rFonts w:ascii="Verdana" w:hAnsi="Verdana"/>
          <w:sz w:val="20"/>
          <w:szCs w:val="20"/>
        </w:rPr>
      </w:pPr>
    </w:p>
    <w:p w14:paraId="2B019F5E" w14:textId="3A9D5FBE" w:rsidR="0088700B" w:rsidRPr="00A3303A" w:rsidRDefault="0088700B" w:rsidP="00E66DD7">
      <w:pPr>
        <w:numPr>
          <w:ilvl w:val="0"/>
          <w:numId w:val="1"/>
        </w:numPr>
        <w:ind w:left="0" w:firstLine="0"/>
        <w:contextualSpacing/>
        <w:jc w:val="both"/>
        <w:rPr>
          <w:rFonts w:ascii="Verdana" w:hAnsi="Verdana"/>
          <w:b/>
          <w:sz w:val="20"/>
          <w:szCs w:val="20"/>
        </w:rPr>
      </w:pPr>
      <w:r w:rsidRPr="00A3303A">
        <w:rPr>
          <w:rFonts w:ascii="Verdana" w:hAnsi="Verdana"/>
          <w:sz w:val="20"/>
          <w:szCs w:val="20"/>
        </w:rPr>
        <w:t xml:space="preserve">En vista de lo anterior, </w:t>
      </w:r>
      <w:r>
        <w:rPr>
          <w:rFonts w:ascii="Verdana" w:hAnsi="Verdana"/>
          <w:sz w:val="20"/>
          <w:szCs w:val="20"/>
        </w:rPr>
        <w:t xml:space="preserve">la Corte constata que </w:t>
      </w:r>
      <w:r w:rsidRPr="00A3303A">
        <w:rPr>
          <w:rFonts w:ascii="Verdana" w:hAnsi="Verdana"/>
          <w:sz w:val="20"/>
          <w:szCs w:val="20"/>
        </w:rPr>
        <w:t>los hechos correspondientes al despido</w:t>
      </w:r>
      <w:r>
        <w:rPr>
          <w:rFonts w:ascii="Verdana" w:hAnsi="Verdana"/>
          <w:sz w:val="20"/>
          <w:szCs w:val="20"/>
        </w:rPr>
        <w:t xml:space="preserve"> del señor Lagos del Campo</w:t>
      </w:r>
      <w:r w:rsidRPr="00A3303A">
        <w:rPr>
          <w:rFonts w:ascii="Verdana" w:hAnsi="Verdana"/>
          <w:sz w:val="20"/>
          <w:szCs w:val="20"/>
        </w:rPr>
        <w:t xml:space="preserve"> han sido ventilados en todo momento </w:t>
      </w:r>
      <w:r w:rsidR="008E18C3" w:rsidRPr="00333304">
        <w:rPr>
          <w:rFonts w:ascii="Verdana" w:hAnsi="Verdana"/>
          <w:sz w:val="20"/>
          <w:szCs w:val="20"/>
        </w:rPr>
        <w:t xml:space="preserve">ante las instancias </w:t>
      </w:r>
      <w:r w:rsidR="001B481A" w:rsidRPr="00333304">
        <w:rPr>
          <w:rFonts w:ascii="Verdana" w:hAnsi="Verdana"/>
          <w:sz w:val="20"/>
          <w:szCs w:val="20"/>
        </w:rPr>
        <w:t xml:space="preserve">judiciales </w:t>
      </w:r>
      <w:r w:rsidR="008E18C3" w:rsidRPr="00333304">
        <w:rPr>
          <w:rFonts w:ascii="Verdana" w:hAnsi="Verdana"/>
          <w:sz w:val="20"/>
          <w:szCs w:val="20"/>
        </w:rPr>
        <w:t>nacionales</w:t>
      </w:r>
      <w:r w:rsidRPr="00A3303A">
        <w:rPr>
          <w:rStyle w:val="FootnoteReference"/>
          <w:szCs w:val="20"/>
        </w:rPr>
        <w:footnoteReference w:id="183"/>
      </w:r>
      <w:r>
        <w:rPr>
          <w:rFonts w:ascii="Verdana" w:hAnsi="Verdana"/>
          <w:sz w:val="20"/>
          <w:szCs w:val="20"/>
        </w:rPr>
        <w:t xml:space="preserve">, así como </w:t>
      </w:r>
      <w:r w:rsidRPr="00A3303A">
        <w:rPr>
          <w:rFonts w:ascii="Verdana" w:hAnsi="Verdana"/>
          <w:sz w:val="20"/>
          <w:szCs w:val="20"/>
        </w:rPr>
        <w:t>en el proceso ante el Sistema Interamericano</w:t>
      </w:r>
      <w:r w:rsidRPr="00A3303A">
        <w:rPr>
          <w:rStyle w:val="FootnoteReference"/>
          <w:szCs w:val="20"/>
        </w:rPr>
        <w:footnoteReference w:id="184"/>
      </w:r>
      <w:r w:rsidR="000909C0">
        <w:rPr>
          <w:rFonts w:ascii="Verdana" w:hAnsi="Verdana"/>
          <w:sz w:val="20"/>
          <w:szCs w:val="20"/>
        </w:rPr>
        <w:t xml:space="preserve"> (</w:t>
      </w:r>
      <w:r w:rsidR="000909C0" w:rsidRPr="00A532BE">
        <w:rPr>
          <w:rFonts w:ascii="Verdana" w:hAnsi="Verdana"/>
          <w:i/>
          <w:sz w:val="20"/>
          <w:szCs w:val="20"/>
        </w:rPr>
        <w:t>supra</w:t>
      </w:r>
      <w:r w:rsidR="000909C0">
        <w:rPr>
          <w:rFonts w:ascii="Verdana" w:hAnsi="Verdana"/>
          <w:sz w:val="20"/>
          <w:szCs w:val="20"/>
        </w:rPr>
        <w:t>, párr. 133)</w:t>
      </w:r>
      <w:r w:rsidRPr="00A3303A">
        <w:rPr>
          <w:rFonts w:ascii="Verdana" w:hAnsi="Verdana"/>
          <w:sz w:val="20"/>
          <w:szCs w:val="20"/>
        </w:rPr>
        <w:t>, as</w:t>
      </w:r>
      <w:r w:rsidR="00DE5D83">
        <w:rPr>
          <w:rFonts w:ascii="Verdana" w:hAnsi="Verdana"/>
          <w:sz w:val="20"/>
          <w:szCs w:val="20"/>
        </w:rPr>
        <w:t>imismo</w:t>
      </w:r>
      <w:r w:rsidRPr="00A3303A">
        <w:rPr>
          <w:rFonts w:ascii="Verdana" w:hAnsi="Verdana"/>
          <w:sz w:val="20"/>
          <w:szCs w:val="20"/>
        </w:rPr>
        <w:t xml:space="preserve"> </w:t>
      </w:r>
      <w:r>
        <w:rPr>
          <w:rFonts w:ascii="Verdana" w:hAnsi="Verdana"/>
          <w:sz w:val="20"/>
          <w:szCs w:val="20"/>
        </w:rPr>
        <w:t xml:space="preserve">el alegato relacionado con el derecho al trabajo </w:t>
      </w:r>
      <w:r w:rsidRPr="00A3303A">
        <w:rPr>
          <w:rFonts w:ascii="Verdana" w:hAnsi="Verdana"/>
          <w:sz w:val="20"/>
          <w:szCs w:val="20"/>
        </w:rPr>
        <w:t xml:space="preserve">fue </w:t>
      </w:r>
      <w:r>
        <w:rPr>
          <w:rFonts w:ascii="Verdana" w:hAnsi="Verdana"/>
          <w:sz w:val="20"/>
          <w:szCs w:val="20"/>
        </w:rPr>
        <w:t>fundado</w:t>
      </w:r>
      <w:r w:rsidRPr="00A3303A">
        <w:rPr>
          <w:rFonts w:ascii="Verdana" w:hAnsi="Verdana"/>
          <w:sz w:val="20"/>
          <w:szCs w:val="20"/>
        </w:rPr>
        <w:t xml:space="preserve"> por el peticionario reiteradamente desde las primeras etapas procesales</w:t>
      </w:r>
      <w:r>
        <w:rPr>
          <w:rFonts w:ascii="Verdana" w:hAnsi="Verdana"/>
          <w:sz w:val="20"/>
          <w:szCs w:val="20"/>
        </w:rPr>
        <w:t xml:space="preserve"> ante la Comisión</w:t>
      </w:r>
      <w:r w:rsidRPr="00A3303A">
        <w:rPr>
          <w:rFonts w:ascii="Verdana" w:hAnsi="Verdana"/>
          <w:sz w:val="20"/>
          <w:szCs w:val="20"/>
        </w:rPr>
        <w:t>. En este sentido, las partes han tenido amplia posibilidad de hacer referencia al alcance de los derechos que involucran los hechos analizados</w:t>
      </w:r>
      <w:r w:rsidRPr="00A3303A">
        <w:rPr>
          <w:rFonts w:ascii="Verdana" w:hAnsi="Verdana"/>
          <w:sz w:val="20"/>
          <w:szCs w:val="20"/>
          <w:vertAlign w:val="superscript"/>
        </w:rPr>
        <w:footnoteReference w:id="185"/>
      </w:r>
      <w:r w:rsidRPr="00A3303A">
        <w:rPr>
          <w:rFonts w:ascii="Verdana" w:hAnsi="Verdana"/>
          <w:sz w:val="20"/>
          <w:szCs w:val="20"/>
        </w:rPr>
        <w:t xml:space="preserve">. </w:t>
      </w:r>
    </w:p>
    <w:p w14:paraId="784B922A" w14:textId="77777777" w:rsidR="0088700B" w:rsidRPr="00A3303A" w:rsidRDefault="0088700B" w:rsidP="0088700B">
      <w:pPr>
        <w:contextualSpacing/>
        <w:jc w:val="both"/>
        <w:rPr>
          <w:rFonts w:ascii="Verdana" w:hAnsi="Verdana"/>
          <w:b/>
          <w:color w:val="800000"/>
          <w:sz w:val="20"/>
          <w:szCs w:val="20"/>
        </w:rPr>
      </w:pPr>
    </w:p>
    <w:p w14:paraId="7FAAFD35" w14:textId="1A6C3743" w:rsidR="00032FC5" w:rsidRPr="00801513" w:rsidRDefault="0088700B" w:rsidP="00E66DD7">
      <w:pPr>
        <w:numPr>
          <w:ilvl w:val="0"/>
          <w:numId w:val="1"/>
        </w:numPr>
        <w:ind w:left="0" w:firstLine="0"/>
        <w:contextualSpacing/>
        <w:jc w:val="both"/>
        <w:rPr>
          <w:rFonts w:ascii="Verdana" w:hAnsi="Verdana"/>
          <w:sz w:val="20"/>
          <w:szCs w:val="20"/>
          <w:lang w:val="es-EC"/>
        </w:rPr>
      </w:pPr>
      <w:r w:rsidRPr="00A3303A">
        <w:rPr>
          <w:rFonts w:ascii="Verdana" w:hAnsi="Verdana"/>
          <w:sz w:val="20"/>
          <w:szCs w:val="20"/>
        </w:rPr>
        <w:t>Asimismo</w:t>
      </w:r>
      <w:r>
        <w:rPr>
          <w:rFonts w:ascii="Verdana" w:hAnsi="Verdana"/>
          <w:sz w:val="20"/>
          <w:szCs w:val="20"/>
        </w:rPr>
        <w:t>, el Tribunal nota que, t</w:t>
      </w:r>
      <w:r w:rsidRPr="00B1128B">
        <w:rPr>
          <w:rFonts w:ascii="Verdana" w:hAnsi="Verdana"/>
          <w:sz w:val="20"/>
          <w:szCs w:val="20"/>
        </w:rPr>
        <w:t xml:space="preserve">anto la </w:t>
      </w:r>
      <w:r w:rsidRPr="00B1128B">
        <w:rPr>
          <w:rFonts w:ascii="Verdana" w:hAnsi="Verdana" w:cs="Arial Narrow"/>
          <w:color w:val="000000"/>
          <w:sz w:val="20"/>
          <w:szCs w:val="20"/>
          <w:lang w:eastAsia="es-MX"/>
        </w:rPr>
        <w:t>Constitución Política de 1979 como la de 1993 de Perú, y la ley laboral al momento de los hechos, reconocía</w:t>
      </w:r>
      <w:r>
        <w:rPr>
          <w:rFonts w:ascii="Verdana" w:hAnsi="Verdana" w:cs="Arial Narrow"/>
          <w:color w:val="000000"/>
          <w:sz w:val="20"/>
          <w:szCs w:val="20"/>
          <w:lang w:eastAsia="es-MX"/>
        </w:rPr>
        <w:t>n</w:t>
      </w:r>
      <w:r w:rsidRPr="00B1128B">
        <w:rPr>
          <w:rFonts w:ascii="Verdana" w:hAnsi="Verdana" w:cs="Arial Narrow"/>
          <w:color w:val="000000"/>
          <w:sz w:val="20"/>
          <w:szCs w:val="20"/>
          <w:lang w:eastAsia="es-MX"/>
        </w:rPr>
        <w:t xml:space="preserve"> explícitamente el derecho a la estabilidad laboral</w:t>
      </w:r>
      <w:r w:rsidRPr="00B1128B">
        <w:rPr>
          <w:rStyle w:val="FootnoteReference"/>
          <w:rFonts w:cs="Arial Narrow"/>
          <w:color w:val="000000"/>
          <w:szCs w:val="20"/>
          <w:lang w:eastAsia="es-MX"/>
        </w:rPr>
        <w:footnoteReference w:id="186"/>
      </w:r>
      <w:r>
        <w:rPr>
          <w:rFonts w:ascii="Verdana" w:hAnsi="Verdana" w:cs="Arial Narrow"/>
          <w:color w:val="000000"/>
          <w:sz w:val="20"/>
          <w:szCs w:val="20"/>
          <w:lang w:eastAsia="es-MX"/>
        </w:rPr>
        <w:t>;</w:t>
      </w:r>
      <w:r w:rsidRPr="00B1128B">
        <w:rPr>
          <w:rFonts w:ascii="Verdana" w:hAnsi="Verdana" w:cs="Arial Narrow"/>
          <w:color w:val="000000"/>
          <w:sz w:val="20"/>
          <w:szCs w:val="20"/>
          <w:lang w:eastAsia="es-MX"/>
        </w:rPr>
        <w:t xml:space="preserve"> </w:t>
      </w:r>
      <w:r>
        <w:rPr>
          <w:rFonts w:ascii="Verdana" w:hAnsi="Verdana" w:cs="Arial Narrow"/>
          <w:color w:val="000000"/>
          <w:sz w:val="20"/>
          <w:szCs w:val="20"/>
          <w:lang w:eastAsia="es-MX"/>
        </w:rPr>
        <w:t xml:space="preserve">a saber: </w:t>
      </w:r>
    </w:p>
    <w:p w14:paraId="7BB2B268" w14:textId="77777777" w:rsidR="0088700B" w:rsidRDefault="0088700B" w:rsidP="0088700B">
      <w:pPr>
        <w:pStyle w:val="ListParagraph"/>
        <w:ind w:left="540" w:right="332"/>
        <w:jc w:val="both"/>
        <w:rPr>
          <w:rFonts w:ascii="Verdana" w:hAnsi="Verdana" w:cs="Arial Narrow"/>
          <w:color w:val="000000"/>
          <w:sz w:val="18"/>
          <w:szCs w:val="20"/>
          <w:lang w:eastAsia="es-MX"/>
        </w:rPr>
      </w:pPr>
    </w:p>
    <w:p w14:paraId="117329BC" w14:textId="77777777" w:rsidR="0088700B" w:rsidRPr="008E49C6" w:rsidRDefault="0088700B" w:rsidP="0088700B">
      <w:pPr>
        <w:pStyle w:val="ListParagraph"/>
        <w:ind w:left="540" w:right="332"/>
        <w:jc w:val="both"/>
      </w:pPr>
      <w:r w:rsidRPr="00DD6DCC">
        <w:rPr>
          <w:rFonts w:ascii="Verdana" w:hAnsi="Verdana" w:cs="Arial Narrow"/>
          <w:color w:val="000000"/>
          <w:sz w:val="18"/>
          <w:szCs w:val="20"/>
          <w:lang w:eastAsia="es-MX"/>
        </w:rPr>
        <w:lastRenderedPageBreak/>
        <w:t>Constitución Política de 1979. Artículo 48. “El Estado reconoce el derecho de estabilidad en el trabajo. El trabajador solo puede ser despedido por causa justa, señalada en la ley debidamente comprobada”.</w:t>
      </w:r>
    </w:p>
    <w:p w14:paraId="0A14BEA2" w14:textId="77777777" w:rsidR="0088700B" w:rsidRDefault="0088700B" w:rsidP="0088700B">
      <w:pPr>
        <w:contextualSpacing/>
        <w:jc w:val="both"/>
        <w:rPr>
          <w:rFonts w:ascii="Verdana" w:hAnsi="Verdana"/>
          <w:b/>
          <w:sz w:val="20"/>
          <w:szCs w:val="20"/>
        </w:rPr>
      </w:pPr>
    </w:p>
    <w:p w14:paraId="338B5CEE" w14:textId="73C7828A" w:rsidR="00753933" w:rsidRPr="00DE5D83" w:rsidRDefault="005B0EF8" w:rsidP="00E66DD7">
      <w:pPr>
        <w:numPr>
          <w:ilvl w:val="0"/>
          <w:numId w:val="1"/>
        </w:numPr>
        <w:ind w:left="0" w:firstLine="0"/>
        <w:contextualSpacing/>
        <w:jc w:val="both"/>
        <w:rPr>
          <w:rFonts w:ascii="Verdana" w:hAnsi="Verdana"/>
          <w:bCs/>
          <w:color w:val="000000"/>
          <w:sz w:val="20"/>
          <w:szCs w:val="20"/>
        </w:rPr>
      </w:pPr>
      <w:r w:rsidRPr="00333304">
        <w:rPr>
          <w:rFonts w:ascii="Verdana" w:hAnsi="Verdana"/>
          <w:sz w:val="20"/>
          <w:szCs w:val="20"/>
        </w:rPr>
        <w:t>En vista de lo anterior, esta Corte tiene competencia</w:t>
      </w:r>
      <w:r w:rsidR="00D97397">
        <w:rPr>
          <w:rFonts w:ascii="Verdana" w:hAnsi="Verdana"/>
          <w:sz w:val="20"/>
          <w:szCs w:val="20"/>
        </w:rPr>
        <w:t xml:space="preserve"> —</w:t>
      </w:r>
      <w:r w:rsidRPr="00333304">
        <w:rPr>
          <w:rFonts w:ascii="Verdana" w:hAnsi="Verdana"/>
          <w:sz w:val="20"/>
          <w:szCs w:val="20"/>
        </w:rPr>
        <w:t xml:space="preserve">a la luz de la Convención Americana y con base en el principio </w:t>
      </w:r>
      <w:proofErr w:type="spellStart"/>
      <w:r w:rsidRPr="00333304">
        <w:rPr>
          <w:rFonts w:ascii="Verdana" w:hAnsi="Verdana"/>
          <w:i/>
          <w:sz w:val="20"/>
          <w:szCs w:val="20"/>
        </w:rPr>
        <w:t>iura</w:t>
      </w:r>
      <w:proofErr w:type="spellEnd"/>
      <w:r w:rsidRPr="00333304">
        <w:rPr>
          <w:rFonts w:ascii="Verdana" w:hAnsi="Verdana"/>
          <w:i/>
          <w:sz w:val="20"/>
          <w:szCs w:val="20"/>
        </w:rPr>
        <w:t xml:space="preserve"> </w:t>
      </w:r>
      <w:proofErr w:type="spellStart"/>
      <w:r w:rsidRPr="00333304">
        <w:rPr>
          <w:rFonts w:ascii="Verdana" w:hAnsi="Verdana"/>
          <w:i/>
          <w:sz w:val="20"/>
          <w:szCs w:val="20"/>
        </w:rPr>
        <w:t>novit</w:t>
      </w:r>
      <w:proofErr w:type="spellEnd"/>
      <w:r w:rsidRPr="00333304">
        <w:rPr>
          <w:rFonts w:ascii="Verdana" w:hAnsi="Verdana"/>
          <w:i/>
          <w:sz w:val="20"/>
          <w:szCs w:val="20"/>
        </w:rPr>
        <w:t xml:space="preserve"> curia</w:t>
      </w:r>
      <w:r w:rsidRPr="00333304">
        <w:rPr>
          <w:rFonts w:ascii="Verdana" w:hAnsi="Verdana"/>
          <w:sz w:val="20"/>
          <w:szCs w:val="20"/>
        </w:rPr>
        <w:t>, el cual se encuentra sólidamente respaldado en la jurisprudencia internaciona</w:t>
      </w:r>
      <w:r w:rsidR="00D97397" w:rsidRPr="00333304">
        <w:rPr>
          <w:rFonts w:ascii="Verdana" w:hAnsi="Verdana" w:cs="Arial"/>
          <w:color w:val="545454"/>
          <w:sz w:val="20"/>
          <w:szCs w:val="20"/>
          <w:shd w:val="clear" w:color="auto" w:fill="FFFFFF"/>
        </w:rPr>
        <w:t>l</w:t>
      </w:r>
      <w:r w:rsidR="00D97397" w:rsidRPr="00A532BE">
        <w:rPr>
          <w:rFonts w:ascii="Verdana" w:hAnsi="Verdana" w:cs="Arial"/>
          <w:color w:val="000000" w:themeColor="text1"/>
          <w:sz w:val="20"/>
          <w:szCs w:val="20"/>
          <w:shd w:val="clear" w:color="auto" w:fill="FFFFFF"/>
        </w:rPr>
        <w:t>—</w:t>
      </w:r>
      <w:r w:rsidR="00052EDE" w:rsidRPr="00333304">
        <w:rPr>
          <w:rStyle w:val="FootnoteReference"/>
          <w:szCs w:val="20"/>
        </w:rPr>
        <w:footnoteReference w:id="187"/>
      </w:r>
      <w:r w:rsidRPr="00333304">
        <w:rPr>
          <w:rFonts w:ascii="Verdana" w:hAnsi="Verdana"/>
          <w:sz w:val="20"/>
          <w:szCs w:val="20"/>
        </w:rPr>
        <w:t xml:space="preserve"> para estudiar la posible violación de las normas de la Convención que no han sido alegadas en los escritos presentados ante ella, en la inteligencia de que las partes hayan tenido la oportunidad de expresar sus respectivas posiciones en relación con los hechos que las sustentan</w:t>
      </w:r>
      <w:r w:rsidR="006554B8" w:rsidRPr="00333304">
        <w:rPr>
          <w:rFonts w:ascii="Verdana" w:hAnsi="Verdana"/>
          <w:sz w:val="20"/>
          <w:szCs w:val="20"/>
        </w:rPr>
        <w:t>, tal como ha sido aplicado en múltiples ocasiones por este Tribunal</w:t>
      </w:r>
      <w:r w:rsidRPr="00333304">
        <w:rPr>
          <w:rFonts w:ascii="Verdana" w:hAnsi="Verdana"/>
          <w:sz w:val="20"/>
          <w:szCs w:val="20"/>
          <w:vertAlign w:val="superscript"/>
        </w:rPr>
        <w:footnoteReference w:id="188"/>
      </w:r>
      <w:r w:rsidRPr="00333304">
        <w:rPr>
          <w:rFonts w:ascii="Verdana" w:hAnsi="Verdana"/>
          <w:sz w:val="20"/>
          <w:szCs w:val="20"/>
        </w:rPr>
        <w:t>.</w:t>
      </w:r>
    </w:p>
    <w:p w14:paraId="1CEB8AF8" w14:textId="77777777" w:rsidR="00032FC5" w:rsidRPr="00A90053" w:rsidRDefault="00032FC5" w:rsidP="00801513">
      <w:pPr>
        <w:contextualSpacing/>
        <w:jc w:val="both"/>
        <w:rPr>
          <w:rFonts w:ascii="Verdana" w:hAnsi="Verdana"/>
          <w:b/>
          <w:sz w:val="20"/>
          <w:szCs w:val="20"/>
        </w:rPr>
      </w:pPr>
    </w:p>
    <w:p w14:paraId="71A22A03" w14:textId="77777777" w:rsidR="00032FC5" w:rsidRPr="00A92D34" w:rsidRDefault="00032FC5" w:rsidP="00E66DD7">
      <w:pPr>
        <w:numPr>
          <w:ilvl w:val="0"/>
          <w:numId w:val="1"/>
        </w:numPr>
        <w:ind w:left="0" w:firstLine="0"/>
        <w:contextualSpacing/>
        <w:jc w:val="both"/>
        <w:rPr>
          <w:rFonts w:ascii="Verdana" w:hAnsi="Verdana"/>
          <w:sz w:val="20"/>
          <w:szCs w:val="20"/>
          <w:lang w:val="es-EC"/>
        </w:rPr>
      </w:pPr>
      <w:r w:rsidRPr="00032FC5">
        <w:rPr>
          <w:rFonts w:ascii="Verdana" w:hAnsi="Verdana"/>
          <w:bCs/>
          <w:color w:val="000000"/>
          <w:sz w:val="20"/>
          <w:szCs w:val="20"/>
        </w:rPr>
        <w:t>P</w:t>
      </w:r>
      <w:r w:rsidRPr="002A2C6C">
        <w:rPr>
          <w:rFonts w:ascii="Verdana" w:hAnsi="Verdana"/>
          <w:bCs/>
          <w:color w:val="000000"/>
          <w:sz w:val="20"/>
          <w:szCs w:val="20"/>
        </w:rPr>
        <w:t>or</w:t>
      </w:r>
      <w:r w:rsidRPr="00A90053">
        <w:rPr>
          <w:rFonts w:ascii="Verdana" w:hAnsi="Verdana"/>
          <w:bCs/>
          <w:color w:val="000000"/>
          <w:sz w:val="20"/>
          <w:szCs w:val="20"/>
        </w:rPr>
        <w:t xml:space="preserve"> ello, </w:t>
      </w:r>
      <w:r>
        <w:rPr>
          <w:rFonts w:ascii="Verdana" w:hAnsi="Verdana"/>
          <w:bCs/>
          <w:color w:val="000000"/>
          <w:sz w:val="20"/>
          <w:szCs w:val="20"/>
        </w:rPr>
        <w:t>para efectos del presente caso, a la luz del artículo 29 de la Convención Americana</w:t>
      </w:r>
      <w:r w:rsidRPr="004054C8">
        <w:rPr>
          <w:rStyle w:val="FootnoteReference"/>
          <w:rFonts w:cs="Helvetica"/>
          <w:szCs w:val="20"/>
        </w:rPr>
        <w:footnoteReference w:id="189"/>
      </w:r>
      <w:r>
        <w:rPr>
          <w:rFonts w:ascii="Verdana" w:hAnsi="Verdana"/>
          <w:bCs/>
          <w:color w:val="000000"/>
          <w:sz w:val="20"/>
          <w:szCs w:val="20"/>
        </w:rPr>
        <w:t xml:space="preserve">, </w:t>
      </w:r>
      <w:r w:rsidRPr="00A90053">
        <w:rPr>
          <w:rFonts w:ascii="Verdana" w:hAnsi="Verdana"/>
          <w:bCs/>
          <w:color w:val="000000"/>
          <w:sz w:val="20"/>
          <w:szCs w:val="20"/>
        </w:rPr>
        <w:t>el Tribunal</w:t>
      </w:r>
      <w:r w:rsidRPr="00A90053">
        <w:rPr>
          <w:rFonts w:ascii="Verdana" w:hAnsi="Verdana" w:cs="Verdana"/>
          <w:sz w:val="20"/>
          <w:szCs w:val="20"/>
          <w:lang w:eastAsia="es-MX"/>
        </w:rPr>
        <w:t xml:space="preserve"> procederá a examinar en este capítulo </w:t>
      </w:r>
      <w:r>
        <w:rPr>
          <w:rFonts w:ascii="Verdana" w:hAnsi="Verdana" w:cs="Verdana"/>
          <w:sz w:val="20"/>
          <w:szCs w:val="20"/>
          <w:lang w:eastAsia="es-MX"/>
        </w:rPr>
        <w:t>el</w:t>
      </w:r>
      <w:r>
        <w:rPr>
          <w:rFonts w:ascii="Verdana" w:hAnsi="Verdana"/>
          <w:bCs/>
          <w:color w:val="000000"/>
          <w:sz w:val="20"/>
          <w:szCs w:val="20"/>
        </w:rPr>
        <w:t xml:space="preserve"> alcance</w:t>
      </w:r>
      <w:r w:rsidRPr="00A90053">
        <w:rPr>
          <w:rFonts w:ascii="Verdana" w:hAnsi="Verdana"/>
          <w:bCs/>
          <w:color w:val="000000"/>
          <w:sz w:val="20"/>
          <w:szCs w:val="20"/>
        </w:rPr>
        <w:t xml:space="preserve"> </w:t>
      </w:r>
      <w:r>
        <w:rPr>
          <w:rFonts w:ascii="Verdana" w:hAnsi="Verdana"/>
          <w:bCs/>
          <w:color w:val="000000"/>
          <w:sz w:val="20"/>
          <w:szCs w:val="20"/>
        </w:rPr>
        <w:t>del derecho a la estabilidad laboral, de conformidad con el</w:t>
      </w:r>
      <w:r w:rsidRPr="00A90053">
        <w:rPr>
          <w:rFonts w:ascii="Verdana" w:hAnsi="Verdana"/>
          <w:bCs/>
          <w:color w:val="000000"/>
          <w:sz w:val="20"/>
          <w:szCs w:val="20"/>
        </w:rPr>
        <w:t xml:space="preserve"> artículo 26 de la Convención Americana</w:t>
      </w:r>
      <w:r>
        <w:rPr>
          <w:rFonts w:ascii="Verdana" w:hAnsi="Verdana"/>
          <w:bCs/>
          <w:color w:val="000000"/>
          <w:sz w:val="20"/>
          <w:szCs w:val="20"/>
        </w:rPr>
        <w:t>.</w:t>
      </w:r>
    </w:p>
    <w:p w14:paraId="70954F4C" w14:textId="77777777" w:rsidR="0088700B" w:rsidRDefault="0088700B" w:rsidP="00032FC5">
      <w:pPr>
        <w:contextualSpacing/>
        <w:jc w:val="both"/>
      </w:pPr>
    </w:p>
    <w:p w14:paraId="4D99F36F" w14:textId="77777777" w:rsidR="00032FC5" w:rsidRPr="00801513" w:rsidRDefault="00032FC5" w:rsidP="00E66DD7">
      <w:pPr>
        <w:pStyle w:val="Heading3"/>
        <w:numPr>
          <w:ilvl w:val="1"/>
          <w:numId w:val="11"/>
        </w:numPr>
        <w:ind w:hanging="229"/>
        <w:rPr>
          <w:i/>
          <w:color w:val="000000"/>
          <w:szCs w:val="20"/>
        </w:rPr>
      </w:pPr>
      <w:bookmarkStart w:id="51" w:name="_Toc498333508"/>
      <w:r w:rsidRPr="00801513">
        <w:rPr>
          <w:i/>
          <w:color w:val="000000"/>
          <w:szCs w:val="20"/>
        </w:rPr>
        <w:t>El derecho a la estabilidad laboral como derecho protegido</w:t>
      </w:r>
      <w:bookmarkEnd w:id="51"/>
    </w:p>
    <w:p w14:paraId="261CC50A" w14:textId="77777777" w:rsidR="00032FC5" w:rsidRPr="004B6343" w:rsidRDefault="00032FC5" w:rsidP="00032FC5">
      <w:pPr>
        <w:ind w:left="720"/>
        <w:contextualSpacing/>
        <w:jc w:val="both"/>
        <w:rPr>
          <w:rFonts w:ascii="Verdana" w:hAnsi="Verdana"/>
          <w:sz w:val="20"/>
          <w:szCs w:val="20"/>
        </w:rPr>
      </w:pPr>
    </w:p>
    <w:p w14:paraId="38BFD0B3" w14:textId="6C4F4B28" w:rsidR="00032FC5" w:rsidRPr="005824F1" w:rsidRDefault="00032FC5" w:rsidP="00E66DD7">
      <w:pPr>
        <w:numPr>
          <w:ilvl w:val="0"/>
          <w:numId w:val="1"/>
        </w:numPr>
        <w:ind w:left="0" w:firstLine="0"/>
        <w:contextualSpacing/>
        <w:jc w:val="both"/>
        <w:rPr>
          <w:rFonts w:ascii="Verdana" w:hAnsi="Verdana"/>
          <w:color w:val="000000"/>
          <w:sz w:val="20"/>
          <w:szCs w:val="20"/>
        </w:rPr>
      </w:pPr>
      <w:r>
        <w:rPr>
          <w:rFonts w:ascii="Verdana" w:hAnsi="Verdana" w:cs="Verdana"/>
          <w:sz w:val="20"/>
          <w:szCs w:val="20"/>
          <w:lang w:eastAsia="es-MX"/>
        </w:rPr>
        <w:t>E</w:t>
      </w:r>
      <w:r w:rsidRPr="00337E94">
        <w:rPr>
          <w:rFonts w:ascii="Verdana" w:hAnsi="Verdana" w:cs="Verdana"/>
          <w:sz w:val="20"/>
          <w:szCs w:val="20"/>
          <w:lang w:eastAsia="es-MX"/>
        </w:rPr>
        <w:t xml:space="preserve">sta Corte </w:t>
      </w:r>
      <w:r>
        <w:rPr>
          <w:rFonts w:ascii="Verdana" w:hAnsi="Verdana" w:cs="Verdana"/>
          <w:sz w:val="20"/>
          <w:szCs w:val="20"/>
          <w:lang w:eastAsia="es-MX"/>
        </w:rPr>
        <w:t>ha</w:t>
      </w:r>
      <w:r w:rsidRPr="00337E94">
        <w:rPr>
          <w:rFonts w:ascii="Verdana" w:hAnsi="Verdana" w:cs="Verdana"/>
          <w:sz w:val="20"/>
          <w:szCs w:val="20"/>
          <w:lang w:eastAsia="es-MX"/>
        </w:rPr>
        <w:t xml:space="preserve"> </w:t>
      </w:r>
      <w:r>
        <w:rPr>
          <w:rFonts w:ascii="Verdana" w:hAnsi="Verdana" w:cs="Verdana"/>
          <w:sz w:val="20"/>
          <w:szCs w:val="20"/>
          <w:lang w:eastAsia="es-MX"/>
        </w:rPr>
        <w:t>reiterado</w:t>
      </w:r>
      <w:r w:rsidRPr="00337E94">
        <w:rPr>
          <w:rFonts w:ascii="Verdana" w:hAnsi="Verdana" w:cs="Verdana"/>
          <w:sz w:val="20"/>
          <w:szCs w:val="20"/>
          <w:lang w:eastAsia="es-MX"/>
        </w:rPr>
        <w:t xml:space="preserve"> la interdependencia e indivisibilidad existente entre los derechos civiles y políticos</w:t>
      </w:r>
      <w:r w:rsidRPr="008827AD">
        <w:rPr>
          <w:rFonts w:ascii="Verdana" w:hAnsi="Verdana" w:cs="Verdana"/>
          <w:sz w:val="20"/>
          <w:szCs w:val="20"/>
          <w:lang w:eastAsia="es-MX"/>
        </w:rPr>
        <w:t>, y los económicos, sociales y c</w:t>
      </w:r>
      <w:r w:rsidRPr="00B3760D">
        <w:rPr>
          <w:rFonts w:ascii="Verdana" w:hAnsi="Verdana" w:cs="Verdana"/>
          <w:sz w:val="20"/>
          <w:szCs w:val="20"/>
          <w:lang w:eastAsia="es-MX"/>
        </w:rPr>
        <w:t xml:space="preserve">ulturales, </w:t>
      </w:r>
      <w:r w:rsidRPr="00333304">
        <w:rPr>
          <w:rFonts w:ascii="Verdana" w:hAnsi="Verdana" w:cs="Verdana"/>
          <w:sz w:val="20"/>
          <w:szCs w:val="20"/>
          <w:lang w:eastAsia="es-MX"/>
        </w:rPr>
        <w:t>puesto</w:t>
      </w:r>
      <w:r w:rsidRPr="00B3760D">
        <w:rPr>
          <w:rFonts w:ascii="Verdana" w:hAnsi="Verdana" w:cs="Verdana"/>
          <w:sz w:val="20"/>
          <w:szCs w:val="20"/>
          <w:lang w:eastAsia="es-MX"/>
        </w:rPr>
        <w:t xml:space="preserve"> que deben ser entendidos integralmente </w:t>
      </w:r>
      <w:r w:rsidR="006B1DAB">
        <w:rPr>
          <w:rFonts w:ascii="Verdana" w:hAnsi="Verdana" w:cs="Verdana"/>
          <w:sz w:val="20"/>
          <w:szCs w:val="20"/>
          <w:lang w:eastAsia="es-MX"/>
        </w:rPr>
        <w:t xml:space="preserve">y de forma conglobada </w:t>
      </w:r>
      <w:r w:rsidRPr="00B3760D">
        <w:rPr>
          <w:rFonts w:ascii="Verdana" w:hAnsi="Verdana" w:cs="Verdana"/>
          <w:sz w:val="20"/>
          <w:szCs w:val="20"/>
          <w:lang w:eastAsia="es-MX"/>
        </w:rPr>
        <w:t>como derechos humanos, sin jerarquía entre sí y exigibles en todos los casos ante aquellas autoridades que resulten competentes para ello</w:t>
      </w:r>
      <w:r w:rsidRPr="00A90053">
        <w:rPr>
          <w:rStyle w:val="FootnoteReference"/>
          <w:rFonts w:cs="Verdana"/>
          <w:szCs w:val="20"/>
          <w:lang w:eastAsia="es-MX"/>
        </w:rPr>
        <w:footnoteReference w:id="190"/>
      </w:r>
      <w:r w:rsidR="00547C2C" w:rsidRPr="00333304">
        <w:rPr>
          <w:rFonts w:ascii="Verdana" w:hAnsi="Verdana" w:cs="Verdana"/>
          <w:sz w:val="20"/>
          <w:szCs w:val="20"/>
          <w:lang w:eastAsia="es-MX"/>
        </w:rPr>
        <w:t>.</w:t>
      </w:r>
    </w:p>
    <w:p w14:paraId="31B6221E" w14:textId="77777777" w:rsidR="00032FC5" w:rsidRPr="00834E28" w:rsidRDefault="00032FC5" w:rsidP="00032FC5">
      <w:pPr>
        <w:contextualSpacing/>
        <w:jc w:val="both"/>
        <w:rPr>
          <w:rFonts w:ascii="Verdana" w:hAnsi="Verdana"/>
          <w:color w:val="000000"/>
          <w:sz w:val="20"/>
          <w:szCs w:val="20"/>
        </w:rPr>
      </w:pPr>
    </w:p>
    <w:p w14:paraId="3347B07E" w14:textId="77777777" w:rsidR="00032FC5" w:rsidRPr="005824F1" w:rsidRDefault="00032FC5" w:rsidP="00E66DD7">
      <w:pPr>
        <w:numPr>
          <w:ilvl w:val="0"/>
          <w:numId w:val="1"/>
        </w:numPr>
        <w:ind w:left="0" w:firstLine="0"/>
        <w:contextualSpacing/>
        <w:jc w:val="both"/>
        <w:rPr>
          <w:rFonts w:ascii="Verdana" w:hAnsi="Verdana"/>
          <w:b/>
          <w:sz w:val="20"/>
          <w:szCs w:val="20"/>
        </w:rPr>
      </w:pPr>
      <w:r w:rsidRPr="00A90053">
        <w:rPr>
          <w:rFonts w:ascii="Verdana" w:hAnsi="Verdana"/>
          <w:sz w:val="20"/>
          <w:szCs w:val="20"/>
          <w:lang w:val="es-ES"/>
        </w:rPr>
        <w:t xml:space="preserve">Tal como </w:t>
      </w:r>
      <w:r w:rsidRPr="00A90053">
        <w:rPr>
          <w:rFonts w:ascii="Verdana" w:hAnsi="Verdana"/>
          <w:sz w:val="20"/>
          <w:szCs w:val="20"/>
        </w:rPr>
        <w:t xml:space="preserve">fue señalado en el </w:t>
      </w:r>
      <w:r w:rsidRPr="00A90053">
        <w:rPr>
          <w:rFonts w:ascii="Verdana" w:hAnsi="Verdana"/>
          <w:i/>
          <w:sz w:val="20"/>
          <w:szCs w:val="20"/>
        </w:rPr>
        <w:t>Caso Acevedo Buendía y otros Vs. Perú</w:t>
      </w:r>
      <w:r w:rsidRPr="00A90053">
        <w:rPr>
          <w:rStyle w:val="FootnoteReference"/>
          <w:szCs w:val="20"/>
        </w:rPr>
        <w:footnoteReference w:id="191"/>
      </w:r>
      <w:r w:rsidRPr="00A90053">
        <w:rPr>
          <w:rFonts w:ascii="Verdana" w:hAnsi="Verdana"/>
          <w:sz w:val="20"/>
          <w:szCs w:val="20"/>
        </w:rPr>
        <w:t>,</w:t>
      </w:r>
      <w:r w:rsidRPr="00A90053">
        <w:rPr>
          <w:rFonts w:ascii="Verdana" w:hAnsi="Verdana"/>
          <w:i/>
          <w:sz w:val="20"/>
          <w:szCs w:val="20"/>
        </w:rPr>
        <w:t xml:space="preserve"> </w:t>
      </w:r>
      <w:r w:rsidRPr="00A90053">
        <w:rPr>
          <w:rFonts w:ascii="Verdana" w:hAnsi="Verdana" w:cs="Verdana"/>
          <w:sz w:val="20"/>
          <w:szCs w:val="20"/>
          <w:lang w:eastAsia="es-MX"/>
        </w:rPr>
        <w:t>este Tribunal tiene el derecho a resolver cualquier controversia relativa a su jurisdicción</w:t>
      </w:r>
      <w:r w:rsidRPr="00A90053">
        <w:rPr>
          <w:rStyle w:val="FootnoteReference"/>
          <w:rFonts w:cs="Verdana"/>
          <w:szCs w:val="20"/>
          <w:lang w:eastAsia="es-MX"/>
        </w:rPr>
        <w:footnoteReference w:id="192"/>
      </w:r>
      <w:r w:rsidRPr="00A90053">
        <w:rPr>
          <w:rFonts w:ascii="Verdana" w:hAnsi="Verdana" w:cs="Verdana"/>
          <w:sz w:val="20"/>
          <w:szCs w:val="20"/>
          <w:lang w:eastAsia="es-MX"/>
        </w:rPr>
        <w:t xml:space="preserve">. En este mismo </w:t>
      </w:r>
      <w:r w:rsidRPr="00A90053">
        <w:rPr>
          <w:rFonts w:ascii="Verdana" w:hAnsi="Verdana" w:cs="Verdana"/>
          <w:sz w:val="20"/>
          <w:szCs w:val="20"/>
          <w:lang w:eastAsia="es-MX"/>
        </w:rPr>
        <w:lastRenderedPageBreak/>
        <w:t>sentido, el Tribunal ha señalado anteriormente que los términos amplios en que está redactada la Convención indican que la Corte ejerce una jurisdicción plena sobre todos sus artículos y disposiciones</w:t>
      </w:r>
      <w:r w:rsidRPr="00A90053">
        <w:rPr>
          <w:rStyle w:val="FootnoteReference"/>
          <w:rFonts w:cs="Verdana"/>
          <w:szCs w:val="20"/>
          <w:lang w:eastAsia="es-MX"/>
        </w:rPr>
        <w:footnoteReference w:id="193"/>
      </w:r>
      <w:r w:rsidRPr="00A90053">
        <w:rPr>
          <w:rFonts w:ascii="Verdana" w:hAnsi="Verdana" w:cs="Verdana"/>
          <w:sz w:val="20"/>
          <w:szCs w:val="20"/>
          <w:lang w:eastAsia="es-MX"/>
        </w:rPr>
        <w:t xml:space="preserve">. </w:t>
      </w:r>
      <w:r w:rsidRPr="00A90053">
        <w:rPr>
          <w:rFonts w:ascii="Verdana" w:hAnsi="Verdana" w:cs="Verdana"/>
          <w:sz w:val="20"/>
          <w:szCs w:val="20"/>
        </w:rPr>
        <w:t xml:space="preserve">Asimismo, resulta pertinente </w:t>
      </w:r>
      <w:r>
        <w:rPr>
          <w:rFonts w:ascii="Verdana" w:hAnsi="Verdana" w:cs="Verdana"/>
          <w:sz w:val="20"/>
          <w:szCs w:val="20"/>
        </w:rPr>
        <w:t>notar</w:t>
      </w:r>
      <w:r w:rsidRPr="00A90053">
        <w:rPr>
          <w:rFonts w:ascii="Verdana" w:hAnsi="Verdana" w:cs="Verdana"/>
          <w:sz w:val="20"/>
          <w:szCs w:val="20"/>
        </w:rPr>
        <w:t xml:space="preserve"> que si bien el artículo 26 se encuentra en el capítulo III de la Convención, titulado “Derechos Económicos,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w:t>
      </w:r>
      <w:r w:rsidRPr="00A90053">
        <w:rPr>
          <w:rStyle w:val="FootnoteReference"/>
          <w:rFonts w:cs="Verdana"/>
          <w:szCs w:val="20"/>
        </w:rPr>
        <w:footnoteReference w:id="194"/>
      </w:r>
      <w:r w:rsidRPr="00A90053">
        <w:rPr>
          <w:rFonts w:ascii="Verdana" w:hAnsi="Verdana" w:cs="Verdana"/>
          <w:sz w:val="20"/>
          <w:szCs w:val="20"/>
        </w:rPr>
        <w:t xml:space="preserve">. </w:t>
      </w:r>
    </w:p>
    <w:p w14:paraId="604A9236" w14:textId="77777777" w:rsidR="00032FC5" w:rsidRPr="00A90053" w:rsidRDefault="00032FC5" w:rsidP="00032FC5">
      <w:pPr>
        <w:contextualSpacing/>
        <w:jc w:val="both"/>
        <w:rPr>
          <w:rFonts w:ascii="Verdana" w:hAnsi="Verdana"/>
          <w:b/>
          <w:sz w:val="20"/>
          <w:szCs w:val="20"/>
        </w:rPr>
      </w:pPr>
    </w:p>
    <w:p w14:paraId="27D8038D" w14:textId="773769EA" w:rsidR="00032FC5" w:rsidRDefault="00032FC5" w:rsidP="00E66DD7">
      <w:pPr>
        <w:numPr>
          <w:ilvl w:val="0"/>
          <w:numId w:val="1"/>
        </w:numPr>
        <w:ind w:left="0" w:firstLine="0"/>
        <w:contextualSpacing/>
        <w:jc w:val="both"/>
        <w:rPr>
          <w:rFonts w:ascii="Verdana" w:hAnsi="Verdana"/>
          <w:color w:val="000000"/>
          <w:sz w:val="20"/>
          <w:szCs w:val="20"/>
        </w:rPr>
      </w:pPr>
      <w:r w:rsidRPr="00A90053">
        <w:rPr>
          <w:rFonts w:ascii="Verdana" w:hAnsi="Verdana"/>
          <w:color w:val="000000"/>
          <w:sz w:val="20"/>
          <w:szCs w:val="20"/>
        </w:rPr>
        <w:t>Respecto a los derechos laborales específicos protegidos por el artículo 26 de la Convención Americana, la Corte</w:t>
      </w:r>
      <w:r w:rsidR="00334B6C">
        <w:rPr>
          <w:rFonts w:ascii="Verdana" w:hAnsi="Verdana"/>
          <w:color w:val="000000"/>
          <w:sz w:val="20"/>
          <w:szCs w:val="20"/>
        </w:rPr>
        <w:t xml:space="preserve"> observa que los términos del mismo </w:t>
      </w:r>
      <w:r w:rsidRPr="00A90053">
        <w:rPr>
          <w:rFonts w:ascii="Verdana" w:hAnsi="Verdana"/>
          <w:color w:val="000000"/>
          <w:sz w:val="20"/>
          <w:szCs w:val="20"/>
        </w:rPr>
        <w:t>indican que son aquello</w:t>
      </w:r>
      <w:r>
        <w:rPr>
          <w:rFonts w:ascii="Verdana" w:hAnsi="Verdana"/>
          <w:color w:val="000000"/>
          <w:sz w:val="20"/>
          <w:szCs w:val="20"/>
        </w:rPr>
        <w:t>s</w:t>
      </w:r>
      <w:r w:rsidRPr="00A90053">
        <w:rPr>
          <w:rFonts w:ascii="Verdana" w:hAnsi="Verdana"/>
          <w:color w:val="000000"/>
          <w:sz w:val="20"/>
          <w:szCs w:val="20"/>
        </w:rPr>
        <w:t xml:space="preserve"> </w:t>
      </w:r>
      <w:r w:rsidR="00334B6C">
        <w:rPr>
          <w:rFonts w:ascii="Verdana" w:hAnsi="Verdana"/>
          <w:color w:val="000000"/>
          <w:sz w:val="20"/>
          <w:szCs w:val="20"/>
        </w:rPr>
        <w:t xml:space="preserve">derechos </w:t>
      </w:r>
      <w:r w:rsidRPr="00A90053">
        <w:rPr>
          <w:rFonts w:ascii="Verdana" w:hAnsi="Verdana"/>
          <w:color w:val="000000"/>
          <w:sz w:val="20"/>
          <w:szCs w:val="20"/>
        </w:rPr>
        <w:t>que se derivan de las normas económicas, sociales y sobre educación, ciencia y cultura contenidas en la Carta de la OEA. Ahora bien, los artículos 45.b</w:t>
      </w:r>
      <w:r w:rsidR="00E67E7B">
        <w:rPr>
          <w:rFonts w:ascii="Verdana" w:hAnsi="Verdana"/>
          <w:color w:val="000000"/>
          <w:sz w:val="20"/>
          <w:szCs w:val="20"/>
        </w:rPr>
        <w:t xml:space="preserve"> y </w:t>
      </w:r>
      <w:r>
        <w:rPr>
          <w:rFonts w:ascii="Verdana" w:hAnsi="Verdana"/>
          <w:color w:val="000000"/>
          <w:sz w:val="20"/>
          <w:szCs w:val="20"/>
        </w:rPr>
        <w:t>c</w:t>
      </w:r>
      <w:r w:rsidRPr="00A90053">
        <w:rPr>
          <w:rStyle w:val="FootnoteReference"/>
          <w:color w:val="000000"/>
          <w:szCs w:val="20"/>
        </w:rPr>
        <w:footnoteReference w:id="195"/>
      </w:r>
      <w:r>
        <w:rPr>
          <w:rFonts w:ascii="Verdana" w:hAnsi="Verdana"/>
          <w:color w:val="000000"/>
          <w:sz w:val="20"/>
          <w:szCs w:val="20"/>
        </w:rPr>
        <w:t>, 46</w:t>
      </w:r>
      <w:r>
        <w:rPr>
          <w:rStyle w:val="FootnoteReference"/>
          <w:color w:val="000000"/>
          <w:szCs w:val="20"/>
        </w:rPr>
        <w:footnoteReference w:id="196"/>
      </w:r>
      <w:r w:rsidRPr="00A90053">
        <w:rPr>
          <w:rFonts w:ascii="Verdana" w:hAnsi="Verdana"/>
          <w:color w:val="000000"/>
          <w:sz w:val="20"/>
          <w:szCs w:val="20"/>
        </w:rPr>
        <w:t xml:space="preserve"> y 34.g</w:t>
      </w:r>
      <w:r w:rsidRPr="00A90053">
        <w:rPr>
          <w:rStyle w:val="FootnoteReference"/>
          <w:color w:val="000000"/>
          <w:szCs w:val="20"/>
        </w:rPr>
        <w:footnoteReference w:id="197"/>
      </w:r>
      <w:r w:rsidRPr="00A90053">
        <w:rPr>
          <w:rFonts w:ascii="Verdana" w:hAnsi="Verdana"/>
          <w:color w:val="000000"/>
          <w:sz w:val="20"/>
          <w:szCs w:val="20"/>
        </w:rPr>
        <w:t xml:space="preserve"> de la Carta establecen que “[e]l trabajo es un derecho y un deber social” y que ese debe prestarse con “</w:t>
      </w:r>
      <w:r w:rsidRPr="00A90053">
        <w:rPr>
          <w:rFonts w:ascii="Verdana" w:hAnsi="Verdana" w:cs="Tahoma"/>
          <w:color w:val="000000"/>
          <w:sz w:val="20"/>
          <w:szCs w:val="20"/>
          <w:lang w:val="es-ES"/>
        </w:rPr>
        <w:t xml:space="preserve">salarios justos, oportunidades de empleo y condiciones de trabajo </w:t>
      </w:r>
      <w:r w:rsidRPr="00801513">
        <w:rPr>
          <w:rFonts w:ascii="Verdana" w:hAnsi="Verdana" w:cs="Tahoma"/>
          <w:color w:val="000000"/>
          <w:sz w:val="20"/>
          <w:szCs w:val="20"/>
          <w:lang w:val="es-ES"/>
        </w:rPr>
        <w:t>aceptables para todos</w:t>
      </w:r>
      <w:r w:rsidRPr="00801513">
        <w:rPr>
          <w:rFonts w:ascii="Verdana" w:hAnsi="Verdana"/>
          <w:color w:val="000000"/>
          <w:sz w:val="20"/>
          <w:szCs w:val="20"/>
        </w:rPr>
        <w:t>”.</w:t>
      </w:r>
      <w:r w:rsidRPr="00A90053">
        <w:rPr>
          <w:rFonts w:ascii="Verdana" w:hAnsi="Verdana"/>
          <w:color w:val="000000"/>
          <w:sz w:val="20"/>
          <w:szCs w:val="20"/>
        </w:rPr>
        <w:t xml:space="preserve"> </w:t>
      </w:r>
      <w:r>
        <w:rPr>
          <w:rFonts w:ascii="Verdana" w:hAnsi="Verdana"/>
          <w:color w:val="000000"/>
          <w:sz w:val="20"/>
          <w:szCs w:val="20"/>
        </w:rPr>
        <w:t xml:space="preserve">Asimismo, </w:t>
      </w:r>
      <w:r w:rsidR="00E67E7B">
        <w:rPr>
          <w:rFonts w:ascii="Verdana" w:hAnsi="Verdana"/>
          <w:color w:val="000000"/>
          <w:sz w:val="20"/>
          <w:szCs w:val="20"/>
        </w:rPr>
        <w:t xml:space="preserve">señalan que </w:t>
      </w:r>
      <w:r>
        <w:rPr>
          <w:rFonts w:ascii="Verdana" w:hAnsi="Verdana"/>
          <w:color w:val="000000"/>
          <w:sz w:val="20"/>
          <w:szCs w:val="20"/>
        </w:rPr>
        <w:t xml:space="preserve">el derecho de los trabajadores y trabajadoras a “asociarse libremente para la defensa y promoción de sus intereses”. </w:t>
      </w:r>
      <w:r w:rsidR="00E67E7B">
        <w:rPr>
          <w:rFonts w:ascii="Verdana" w:hAnsi="Verdana"/>
          <w:color w:val="000000"/>
          <w:sz w:val="20"/>
          <w:szCs w:val="20"/>
        </w:rPr>
        <w:t>Además, indican que l</w:t>
      </w:r>
      <w:r>
        <w:rPr>
          <w:rFonts w:ascii="Verdana" w:hAnsi="Verdana"/>
          <w:color w:val="000000"/>
          <w:sz w:val="20"/>
          <w:szCs w:val="20"/>
        </w:rPr>
        <w:t xml:space="preserve">os Estados deben “armonizar la legislación social” para la protección de tales derechos. Desde su </w:t>
      </w:r>
      <w:r w:rsidRPr="008E18C3">
        <w:rPr>
          <w:rFonts w:ascii="Verdana" w:hAnsi="Verdana"/>
          <w:color w:val="000000"/>
          <w:sz w:val="20"/>
          <w:szCs w:val="20"/>
        </w:rPr>
        <w:t xml:space="preserve">Opinión Consultiva </w:t>
      </w:r>
      <w:r w:rsidRPr="003B45F4">
        <w:rPr>
          <w:rFonts w:ascii="Verdana" w:hAnsi="Verdana"/>
          <w:sz w:val="20"/>
          <w:szCs w:val="20"/>
          <w:lang w:val="es-CR"/>
        </w:rPr>
        <w:t>OC-10/89</w:t>
      </w:r>
      <w:r>
        <w:rPr>
          <w:rFonts w:ascii="Verdana" w:hAnsi="Verdana"/>
          <w:color w:val="000000"/>
          <w:sz w:val="20"/>
          <w:szCs w:val="20"/>
        </w:rPr>
        <w:t xml:space="preserve">, la Corte señaló que: </w:t>
      </w:r>
    </w:p>
    <w:p w14:paraId="250CFB36" w14:textId="77777777" w:rsidR="00032FC5" w:rsidRDefault="00032FC5" w:rsidP="00032FC5">
      <w:pPr>
        <w:contextualSpacing/>
        <w:jc w:val="both"/>
        <w:rPr>
          <w:rFonts w:ascii="Verdana" w:hAnsi="Verdana"/>
          <w:color w:val="000000"/>
          <w:sz w:val="20"/>
          <w:szCs w:val="20"/>
        </w:rPr>
      </w:pPr>
    </w:p>
    <w:p w14:paraId="7E0E08ED" w14:textId="77777777" w:rsidR="00032FC5" w:rsidRPr="005824F1" w:rsidRDefault="00032FC5" w:rsidP="00032FC5">
      <w:pPr>
        <w:autoSpaceDE w:val="0"/>
        <w:autoSpaceDN w:val="0"/>
        <w:adjustRightInd w:val="0"/>
        <w:ind w:left="708" w:right="390"/>
        <w:jc w:val="both"/>
        <w:rPr>
          <w:rFonts w:ascii="Verdana" w:eastAsiaTheme="minorHAnsi" w:hAnsi="Verdana" w:cs="Verdana"/>
          <w:sz w:val="18"/>
          <w:szCs w:val="20"/>
          <w:lang w:val="es-CR"/>
        </w:rPr>
      </w:pPr>
      <w:r>
        <w:rPr>
          <w:rFonts w:ascii="Verdana" w:eastAsiaTheme="minorHAnsi" w:hAnsi="Verdana" w:cs="Verdana"/>
          <w:sz w:val="18"/>
          <w:szCs w:val="20"/>
          <w:lang w:val="es-CR"/>
        </w:rPr>
        <w:t>[…] L</w:t>
      </w:r>
      <w:r w:rsidRPr="005824F1">
        <w:rPr>
          <w:rFonts w:ascii="Verdana" w:eastAsiaTheme="minorHAnsi" w:hAnsi="Verdana" w:cs="Verdana"/>
          <w:sz w:val="18"/>
          <w:szCs w:val="20"/>
          <w:lang w:val="es-CR"/>
        </w:rPr>
        <w:t>os</w:t>
      </w:r>
      <w:r>
        <w:rPr>
          <w:rFonts w:ascii="Verdana" w:eastAsiaTheme="minorHAnsi" w:hAnsi="Verdana" w:cs="Verdana"/>
          <w:sz w:val="18"/>
          <w:szCs w:val="20"/>
          <w:lang w:val="es-CR"/>
        </w:rPr>
        <w:t xml:space="preserve"> </w:t>
      </w:r>
      <w:r w:rsidRPr="005824F1">
        <w:rPr>
          <w:rFonts w:ascii="Verdana" w:eastAsiaTheme="minorHAnsi" w:hAnsi="Verdana" w:cs="Verdana"/>
          <w:sz w:val="18"/>
          <w:szCs w:val="20"/>
          <w:lang w:val="es-CR"/>
        </w:rPr>
        <w:t>Estados Miembros han entendido que la Declara</w:t>
      </w:r>
      <w:r w:rsidRPr="00B60728">
        <w:rPr>
          <w:rFonts w:ascii="Verdana" w:eastAsiaTheme="minorHAnsi" w:hAnsi="Verdana" w:cs="Verdana"/>
          <w:sz w:val="18"/>
          <w:szCs w:val="20"/>
          <w:lang w:val="es-CR"/>
        </w:rPr>
        <w:t>ción contiene y define aquellos</w:t>
      </w:r>
      <w:r>
        <w:rPr>
          <w:rFonts w:ascii="Verdana" w:eastAsiaTheme="minorHAnsi" w:hAnsi="Verdana" w:cs="Verdana"/>
          <w:sz w:val="18"/>
          <w:szCs w:val="20"/>
          <w:lang w:val="es-CR"/>
        </w:rPr>
        <w:t xml:space="preserve"> </w:t>
      </w:r>
      <w:r w:rsidRPr="005824F1">
        <w:rPr>
          <w:rFonts w:ascii="Verdana" w:eastAsiaTheme="minorHAnsi" w:hAnsi="Verdana" w:cs="Verdana"/>
          <w:sz w:val="18"/>
          <w:szCs w:val="20"/>
          <w:lang w:val="es-CR"/>
        </w:rPr>
        <w:t xml:space="preserve">derechos humanos esenciales a los que la Carta </w:t>
      </w:r>
      <w:r w:rsidRPr="00B60728">
        <w:rPr>
          <w:rFonts w:ascii="Verdana" w:eastAsiaTheme="minorHAnsi" w:hAnsi="Verdana" w:cs="Verdana"/>
          <w:sz w:val="18"/>
          <w:szCs w:val="20"/>
          <w:lang w:val="es-CR"/>
        </w:rPr>
        <w:t>se refiere, de manera que no se</w:t>
      </w:r>
      <w:r>
        <w:rPr>
          <w:rFonts w:ascii="Verdana" w:eastAsiaTheme="minorHAnsi" w:hAnsi="Verdana" w:cs="Verdana"/>
          <w:sz w:val="18"/>
          <w:szCs w:val="20"/>
          <w:lang w:val="es-CR"/>
        </w:rPr>
        <w:t xml:space="preserve"> </w:t>
      </w:r>
      <w:r w:rsidRPr="005824F1">
        <w:rPr>
          <w:rFonts w:ascii="Verdana" w:eastAsiaTheme="minorHAnsi" w:hAnsi="Verdana" w:cs="Verdana"/>
          <w:sz w:val="18"/>
          <w:szCs w:val="20"/>
          <w:lang w:val="es-CR"/>
        </w:rPr>
        <w:t>puede interpretar y aplicar la Carta de la Orga</w:t>
      </w:r>
      <w:r w:rsidRPr="00B60728">
        <w:rPr>
          <w:rFonts w:ascii="Verdana" w:eastAsiaTheme="minorHAnsi" w:hAnsi="Verdana" w:cs="Verdana"/>
          <w:sz w:val="18"/>
          <w:szCs w:val="20"/>
          <w:lang w:val="es-CR"/>
        </w:rPr>
        <w:t>nización en materia de derechos</w:t>
      </w:r>
      <w:r>
        <w:rPr>
          <w:rFonts w:ascii="Verdana" w:eastAsiaTheme="minorHAnsi" w:hAnsi="Verdana" w:cs="Verdana"/>
          <w:sz w:val="18"/>
          <w:szCs w:val="20"/>
          <w:lang w:val="es-CR"/>
        </w:rPr>
        <w:t xml:space="preserve"> </w:t>
      </w:r>
      <w:r w:rsidRPr="005824F1">
        <w:rPr>
          <w:rFonts w:ascii="Verdana" w:eastAsiaTheme="minorHAnsi" w:hAnsi="Verdana" w:cs="Verdana"/>
          <w:sz w:val="18"/>
          <w:szCs w:val="20"/>
          <w:lang w:val="es-CR"/>
        </w:rPr>
        <w:t>h</w:t>
      </w:r>
      <w:r w:rsidRPr="00B60728">
        <w:rPr>
          <w:rFonts w:ascii="Verdana" w:eastAsiaTheme="minorHAnsi" w:hAnsi="Verdana" w:cs="Verdana"/>
          <w:sz w:val="18"/>
          <w:szCs w:val="20"/>
          <w:lang w:val="es-CR"/>
        </w:rPr>
        <w:t>umanos, sin integrar las normas</w:t>
      </w:r>
      <w:r>
        <w:rPr>
          <w:rFonts w:ascii="Verdana" w:eastAsiaTheme="minorHAnsi" w:hAnsi="Verdana" w:cs="Verdana"/>
          <w:sz w:val="18"/>
          <w:szCs w:val="20"/>
          <w:lang w:val="es-CR"/>
        </w:rPr>
        <w:t xml:space="preserve"> </w:t>
      </w:r>
      <w:r w:rsidRPr="005824F1">
        <w:rPr>
          <w:rFonts w:ascii="Verdana" w:eastAsiaTheme="minorHAnsi" w:hAnsi="Verdana" w:cs="Verdana"/>
          <w:sz w:val="18"/>
          <w:szCs w:val="20"/>
          <w:lang w:val="es-CR"/>
        </w:rPr>
        <w:t>pertinentes d</w:t>
      </w:r>
      <w:r w:rsidRPr="00B60728">
        <w:rPr>
          <w:rFonts w:ascii="Verdana" w:eastAsiaTheme="minorHAnsi" w:hAnsi="Verdana" w:cs="Verdana"/>
          <w:sz w:val="18"/>
          <w:szCs w:val="20"/>
          <w:lang w:val="es-CR"/>
        </w:rPr>
        <w:t>e ella con las correspondientes</w:t>
      </w:r>
      <w:r>
        <w:rPr>
          <w:rFonts w:ascii="Verdana" w:eastAsiaTheme="minorHAnsi" w:hAnsi="Verdana" w:cs="Verdana"/>
          <w:sz w:val="18"/>
          <w:szCs w:val="20"/>
          <w:lang w:val="es-CR"/>
        </w:rPr>
        <w:t xml:space="preserve"> </w:t>
      </w:r>
      <w:r w:rsidRPr="005824F1">
        <w:rPr>
          <w:rFonts w:ascii="Verdana" w:eastAsiaTheme="minorHAnsi" w:hAnsi="Verdana" w:cs="Verdana"/>
          <w:sz w:val="18"/>
          <w:szCs w:val="20"/>
          <w:lang w:val="es-CR"/>
        </w:rPr>
        <w:t>disposiciones de la Declaración, como resulta de la p</w:t>
      </w:r>
      <w:r w:rsidRPr="000B0EBE">
        <w:rPr>
          <w:rFonts w:ascii="Verdana" w:eastAsiaTheme="minorHAnsi" w:hAnsi="Verdana" w:cs="Verdana"/>
          <w:sz w:val="18"/>
          <w:szCs w:val="20"/>
          <w:lang w:val="es-CR"/>
        </w:rPr>
        <w:t>ráctica seguida por los órganos</w:t>
      </w:r>
      <w:r>
        <w:rPr>
          <w:rFonts w:ascii="Verdana" w:eastAsiaTheme="minorHAnsi" w:hAnsi="Verdana" w:cs="Verdana"/>
          <w:sz w:val="18"/>
          <w:szCs w:val="20"/>
          <w:lang w:val="es-CR"/>
        </w:rPr>
        <w:t xml:space="preserve"> </w:t>
      </w:r>
      <w:r w:rsidRPr="005824F1">
        <w:rPr>
          <w:rFonts w:ascii="Verdana" w:eastAsiaTheme="minorHAnsi" w:hAnsi="Verdana" w:cs="Verdana"/>
          <w:sz w:val="18"/>
          <w:szCs w:val="20"/>
          <w:lang w:val="es-CR"/>
        </w:rPr>
        <w:t>de la OEA</w:t>
      </w:r>
      <w:r>
        <w:rPr>
          <w:rStyle w:val="FootnoteReference"/>
          <w:rFonts w:eastAsiaTheme="minorHAnsi" w:cs="Verdana"/>
          <w:szCs w:val="20"/>
          <w:lang w:val="es-CR"/>
        </w:rPr>
        <w:footnoteReference w:id="198"/>
      </w:r>
      <w:r w:rsidRPr="005824F1">
        <w:rPr>
          <w:rFonts w:ascii="Verdana" w:eastAsiaTheme="minorHAnsi" w:hAnsi="Verdana" w:cs="Verdana"/>
          <w:sz w:val="18"/>
          <w:szCs w:val="20"/>
          <w:lang w:val="es-CR"/>
        </w:rPr>
        <w:t>.</w:t>
      </w:r>
    </w:p>
    <w:p w14:paraId="7B7962C8" w14:textId="77777777" w:rsidR="00032FC5" w:rsidRPr="00A90053" w:rsidRDefault="00032FC5" w:rsidP="00032FC5">
      <w:pPr>
        <w:contextualSpacing/>
        <w:jc w:val="both"/>
        <w:rPr>
          <w:rFonts w:ascii="Verdana" w:hAnsi="Verdana" w:cs="Verdana"/>
          <w:sz w:val="20"/>
          <w:szCs w:val="20"/>
          <w:lang w:eastAsia="es-MX"/>
        </w:rPr>
      </w:pPr>
    </w:p>
    <w:p w14:paraId="7ACF8811" w14:textId="26999CAA" w:rsidR="00032FC5" w:rsidRPr="000B0EBE" w:rsidRDefault="00032FC5" w:rsidP="00E66DD7">
      <w:pPr>
        <w:numPr>
          <w:ilvl w:val="0"/>
          <w:numId w:val="1"/>
        </w:numPr>
        <w:ind w:left="0" w:firstLine="0"/>
        <w:contextualSpacing/>
        <w:jc w:val="both"/>
        <w:rPr>
          <w:rFonts w:ascii="Verdana" w:hAnsi="Verdana"/>
          <w:strike/>
          <w:color w:val="000000"/>
          <w:sz w:val="20"/>
          <w:szCs w:val="20"/>
        </w:rPr>
      </w:pPr>
      <w:r>
        <w:rPr>
          <w:rFonts w:ascii="Verdana" w:hAnsi="Verdana" w:cs="Verdana"/>
          <w:sz w:val="20"/>
          <w:szCs w:val="20"/>
          <w:lang w:eastAsia="es-MX"/>
        </w:rPr>
        <w:t>En este sentido</w:t>
      </w:r>
      <w:r w:rsidRPr="00337E94">
        <w:rPr>
          <w:rFonts w:ascii="Verdana" w:hAnsi="Verdana"/>
          <w:color w:val="000000"/>
          <w:sz w:val="20"/>
          <w:szCs w:val="20"/>
        </w:rPr>
        <w:t>, el artículo XIV de la Declaración Americana dispone</w:t>
      </w:r>
      <w:r w:rsidRPr="008827AD">
        <w:rPr>
          <w:rFonts w:ascii="Verdana" w:hAnsi="Verdana"/>
          <w:color w:val="000000"/>
          <w:sz w:val="20"/>
          <w:szCs w:val="20"/>
        </w:rPr>
        <w:t xml:space="preserve"> que “</w:t>
      </w:r>
      <w:r w:rsidR="00E67E7B">
        <w:rPr>
          <w:rFonts w:ascii="Verdana" w:hAnsi="Verdana" w:cs="Arial"/>
          <w:color w:val="000000"/>
          <w:sz w:val="20"/>
          <w:szCs w:val="20"/>
        </w:rPr>
        <w:t>[t]</w:t>
      </w:r>
      <w:r w:rsidRPr="008827AD">
        <w:rPr>
          <w:rFonts w:ascii="Verdana" w:hAnsi="Verdana" w:cs="Arial"/>
          <w:color w:val="000000"/>
          <w:sz w:val="20"/>
          <w:szCs w:val="20"/>
        </w:rPr>
        <w:t>oda persona tiene derecho al trabajo en condiciones dignas y a seguir libremente su vocación</w:t>
      </w:r>
      <w:r w:rsidR="00E67E7B">
        <w:rPr>
          <w:rFonts w:ascii="Verdana" w:hAnsi="Verdana" w:cs="Arial"/>
          <w:color w:val="000000"/>
          <w:sz w:val="20"/>
          <w:szCs w:val="20"/>
        </w:rPr>
        <w:t xml:space="preserve"> […]</w:t>
      </w:r>
      <w:r w:rsidRPr="008827AD">
        <w:rPr>
          <w:rFonts w:ascii="Verdana" w:hAnsi="Verdana" w:cs="Arial"/>
          <w:color w:val="000000"/>
          <w:sz w:val="20"/>
          <w:szCs w:val="20"/>
        </w:rPr>
        <w:t xml:space="preserve">”. </w:t>
      </w:r>
      <w:r w:rsidRPr="00B3760D">
        <w:rPr>
          <w:rFonts w:ascii="Verdana" w:hAnsi="Verdana"/>
          <w:color w:val="000000"/>
          <w:sz w:val="20"/>
          <w:szCs w:val="20"/>
        </w:rPr>
        <w:t xml:space="preserve">Tal </w:t>
      </w:r>
      <w:r w:rsidRPr="00B3760D">
        <w:rPr>
          <w:rFonts w:ascii="Verdana" w:hAnsi="Verdana"/>
          <w:color w:val="000000"/>
          <w:sz w:val="20"/>
          <w:szCs w:val="20"/>
        </w:rPr>
        <w:lastRenderedPageBreak/>
        <w:t>disposición resulta relevante para definir el alcance del artículo 26, dado que “la Declaración Americana, constituye, en lo pertinente y en relación con la Carta de la Organización, una fuente de obligaciones internacionales”</w:t>
      </w:r>
      <w:r w:rsidRPr="00033721">
        <w:rPr>
          <w:rStyle w:val="FootnoteReference"/>
          <w:color w:val="000000"/>
          <w:szCs w:val="20"/>
        </w:rPr>
        <w:footnoteReference w:id="199"/>
      </w:r>
      <w:r w:rsidRPr="00337E94">
        <w:rPr>
          <w:rFonts w:ascii="Verdana" w:hAnsi="Verdana"/>
          <w:color w:val="000000"/>
          <w:sz w:val="20"/>
          <w:szCs w:val="20"/>
        </w:rPr>
        <w:t xml:space="preserve">. </w:t>
      </w:r>
      <w:r w:rsidRPr="000B0EBE">
        <w:rPr>
          <w:rFonts w:ascii="Verdana" w:hAnsi="Verdana"/>
          <w:color w:val="000000"/>
          <w:sz w:val="20"/>
          <w:szCs w:val="20"/>
        </w:rPr>
        <w:t xml:space="preserve">Asimismo, el artículo 29.d de la Convención </w:t>
      </w:r>
      <w:r>
        <w:rPr>
          <w:rFonts w:ascii="Verdana" w:hAnsi="Verdana"/>
          <w:color w:val="000000"/>
          <w:sz w:val="20"/>
          <w:szCs w:val="20"/>
        </w:rPr>
        <w:t xml:space="preserve">Americana </w:t>
      </w:r>
      <w:r w:rsidRPr="000B0EBE">
        <w:rPr>
          <w:rFonts w:ascii="Verdana" w:hAnsi="Verdana"/>
          <w:color w:val="000000"/>
          <w:sz w:val="20"/>
          <w:szCs w:val="20"/>
        </w:rPr>
        <w:t xml:space="preserve">dispone </w:t>
      </w:r>
      <w:r w:rsidRPr="005824F1">
        <w:rPr>
          <w:rFonts w:ascii="Verdana" w:hAnsi="Verdana"/>
          <w:color w:val="000000"/>
          <w:sz w:val="20"/>
          <w:szCs w:val="20"/>
        </w:rPr>
        <w:t xml:space="preserve">expresamente que </w:t>
      </w:r>
      <w:r w:rsidRPr="000B0EBE">
        <w:rPr>
          <w:rFonts w:ascii="Verdana" w:hAnsi="Verdana"/>
          <w:color w:val="000000"/>
          <w:sz w:val="20"/>
          <w:szCs w:val="20"/>
        </w:rPr>
        <w:t>“</w:t>
      </w:r>
      <w:r w:rsidRPr="005824F1">
        <w:rPr>
          <w:rFonts w:ascii="Verdana" w:hAnsi="Verdana" w:cs="Tahoma"/>
          <w:color w:val="000000"/>
          <w:sz w:val="20"/>
          <w:szCs w:val="20"/>
        </w:rPr>
        <w:t>[n]</w:t>
      </w:r>
      <w:proofErr w:type="spellStart"/>
      <w:r w:rsidRPr="005824F1">
        <w:rPr>
          <w:rFonts w:ascii="Verdana" w:hAnsi="Verdana" w:cs="Tahoma"/>
          <w:color w:val="000000"/>
          <w:sz w:val="20"/>
          <w:szCs w:val="20"/>
        </w:rPr>
        <w:t>inguna</w:t>
      </w:r>
      <w:proofErr w:type="spellEnd"/>
      <w:r w:rsidRPr="005824F1">
        <w:rPr>
          <w:rFonts w:ascii="Verdana" w:hAnsi="Verdana" w:cs="Tahoma"/>
          <w:color w:val="000000"/>
          <w:sz w:val="20"/>
          <w:szCs w:val="20"/>
        </w:rPr>
        <w:t xml:space="preserve"> disposición de la presente Convención puede ser interpretada en el sentido de: […] d) excluir o limitar el efecto que puedan producir la Declaración Americana de Derechos y Deberes del Hombre y otros actos internacionales de la misma naturaleza</w:t>
      </w:r>
      <w:r w:rsidR="00E67E7B">
        <w:rPr>
          <w:rFonts w:ascii="Verdana" w:hAnsi="Verdana" w:cs="Tahoma"/>
          <w:color w:val="000000"/>
          <w:sz w:val="20"/>
          <w:szCs w:val="20"/>
        </w:rPr>
        <w:t>”</w:t>
      </w:r>
      <w:r w:rsidRPr="005824F1">
        <w:rPr>
          <w:rFonts w:ascii="Verdana" w:hAnsi="Verdana" w:cs="Tahoma"/>
          <w:color w:val="000000"/>
          <w:sz w:val="20"/>
          <w:szCs w:val="20"/>
        </w:rPr>
        <w:t>.</w:t>
      </w:r>
    </w:p>
    <w:p w14:paraId="06A3E64C" w14:textId="77777777" w:rsidR="00032FC5" w:rsidRPr="00337E94" w:rsidRDefault="00032FC5" w:rsidP="00032FC5">
      <w:pPr>
        <w:contextualSpacing/>
        <w:jc w:val="both"/>
        <w:rPr>
          <w:rFonts w:ascii="Verdana" w:hAnsi="Verdana"/>
          <w:sz w:val="20"/>
          <w:szCs w:val="20"/>
        </w:rPr>
      </w:pPr>
    </w:p>
    <w:p w14:paraId="58C6974C" w14:textId="6181BBF3" w:rsidR="00032FC5" w:rsidRPr="005824F1" w:rsidRDefault="00032FC5" w:rsidP="00E66DD7">
      <w:pPr>
        <w:numPr>
          <w:ilvl w:val="0"/>
          <w:numId w:val="1"/>
        </w:numPr>
        <w:ind w:left="0" w:firstLine="0"/>
        <w:contextualSpacing/>
        <w:jc w:val="both"/>
        <w:rPr>
          <w:rFonts w:ascii="Verdana" w:hAnsi="Verdana"/>
          <w:color w:val="000000"/>
          <w:sz w:val="20"/>
          <w:szCs w:val="20"/>
        </w:rPr>
      </w:pPr>
      <w:r w:rsidRPr="00033721">
        <w:rPr>
          <w:rFonts w:ascii="Verdana" w:hAnsi="Verdana"/>
          <w:sz w:val="20"/>
          <w:szCs w:val="20"/>
        </w:rPr>
        <w:t>Además de la derivación del derecho al trabajo a partir de una interpretación del artículo 26 en relación con la Carta de la OEA, junto con la Declaración Americana</w:t>
      </w:r>
      <w:r>
        <w:rPr>
          <w:rFonts w:ascii="Verdana" w:hAnsi="Verdana"/>
          <w:sz w:val="20"/>
          <w:szCs w:val="20"/>
        </w:rPr>
        <w:t xml:space="preserve">, </w:t>
      </w:r>
      <w:r w:rsidRPr="00033721">
        <w:rPr>
          <w:rFonts w:ascii="Verdana" w:hAnsi="Verdana"/>
          <w:sz w:val="20"/>
          <w:szCs w:val="20"/>
        </w:rPr>
        <w:t xml:space="preserve">el derecho al trabajo está reconocido explícitamente en </w:t>
      </w:r>
      <w:r>
        <w:rPr>
          <w:rFonts w:ascii="Verdana" w:hAnsi="Verdana"/>
          <w:sz w:val="20"/>
          <w:szCs w:val="20"/>
        </w:rPr>
        <w:t xml:space="preserve">diversas </w:t>
      </w:r>
      <w:r w:rsidRPr="00033721">
        <w:rPr>
          <w:rFonts w:ascii="Verdana" w:hAnsi="Verdana"/>
          <w:iCs/>
          <w:sz w:val="20"/>
          <w:szCs w:val="20"/>
          <w:bdr w:val="none" w:sz="0" w:space="0" w:color="auto" w:frame="1"/>
          <w:lang w:val="es-CO"/>
        </w:rPr>
        <w:t>leyes internas de los Estado</w:t>
      </w:r>
      <w:r>
        <w:rPr>
          <w:rFonts w:ascii="Verdana" w:hAnsi="Verdana"/>
          <w:iCs/>
          <w:sz w:val="20"/>
          <w:szCs w:val="20"/>
          <w:bdr w:val="none" w:sz="0" w:space="0" w:color="auto" w:frame="1"/>
          <w:lang w:val="es-CO"/>
        </w:rPr>
        <w:t>s</w:t>
      </w:r>
      <w:r w:rsidRPr="00033721">
        <w:rPr>
          <w:rFonts w:ascii="Verdana" w:hAnsi="Verdana"/>
          <w:iCs/>
          <w:sz w:val="20"/>
          <w:szCs w:val="20"/>
          <w:bdr w:val="none" w:sz="0" w:space="0" w:color="auto" w:frame="1"/>
          <w:lang w:val="es-CO"/>
        </w:rPr>
        <w:t xml:space="preserve"> de la región</w:t>
      </w:r>
      <w:r w:rsidRPr="00033721">
        <w:rPr>
          <w:rStyle w:val="FootnoteReference"/>
          <w:iCs/>
          <w:szCs w:val="20"/>
          <w:bdr w:val="none" w:sz="0" w:space="0" w:color="auto" w:frame="1"/>
          <w:lang w:val="es-CO"/>
        </w:rPr>
        <w:footnoteReference w:id="200"/>
      </w:r>
      <w:r>
        <w:rPr>
          <w:rFonts w:ascii="Verdana" w:hAnsi="Verdana"/>
          <w:iCs/>
          <w:sz w:val="20"/>
          <w:szCs w:val="20"/>
          <w:bdr w:val="none" w:sz="0" w:space="0" w:color="auto" w:frame="1"/>
          <w:lang w:val="es-CO"/>
        </w:rPr>
        <w:t xml:space="preserve">, así como </w:t>
      </w:r>
      <w:r w:rsidRPr="00033721">
        <w:rPr>
          <w:rFonts w:ascii="Verdana" w:hAnsi="Verdana"/>
          <w:sz w:val="20"/>
          <w:szCs w:val="20"/>
        </w:rPr>
        <w:t xml:space="preserve">un vasto </w:t>
      </w:r>
      <w:r w:rsidRPr="00033721">
        <w:rPr>
          <w:rFonts w:ascii="Verdana" w:hAnsi="Verdana"/>
          <w:i/>
          <w:iCs/>
          <w:sz w:val="20"/>
          <w:szCs w:val="20"/>
          <w:bdr w:val="none" w:sz="0" w:space="0" w:color="auto" w:frame="1"/>
          <w:lang w:val="es-CO"/>
        </w:rPr>
        <w:t>corpus iuris</w:t>
      </w:r>
      <w:r w:rsidR="00334B6C">
        <w:rPr>
          <w:rFonts w:ascii="Verdana" w:hAnsi="Verdana"/>
          <w:iCs/>
          <w:sz w:val="20"/>
          <w:szCs w:val="20"/>
          <w:bdr w:val="none" w:sz="0" w:space="0" w:color="auto" w:frame="1"/>
          <w:lang w:val="es-CO"/>
        </w:rPr>
        <w:t xml:space="preserve"> internacional</w:t>
      </w:r>
      <w:r>
        <w:rPr>
          <w:rFonts w:ascii="Verdana" w:hAnsi="Verdana"/>
          <w:iCs/>
          <w:sz w:val="20"/>
          <w:szCs w:val="20"/>
          <w:bdr w:val="none" w:sz="0" w:space="0" w:color="auto" w:frame="1"/>
          <w:lang w:val="es-CO"/>
        </w:rPr>
        <w:t xml:space="preserve">; </w:t>
      </w:r>
      <w:r w:rsidRPr="005824F1">
        <w:rPr>
          <w:rFonts w:ascii="Verdana" w:hAnsi="Verdana"/>
          <w:i/>
          <w:iCs/>
          <w:sz w:val="20"/>
          <w:szCs w:val="20"/>
          <w:bdr w:val="none" w:sz="0" w:space="0" w:color="auto" w:frame="1"/>
          <w:lang w:val="es-CO"/>
        </w:rPr>
        <w:t xml:space="preserve">inter </w:t>
      </w:r>
      <w:proofErr w:type="spellStart"/>
      <w:r w:rsidRPr="005824F1">
        <w:rPr>
          <w:rFonts w:ascii="Verdana" w:hAnsi="Verdana"/>
          <w:i/>
          <w:iCs/>
          <w:sz w:val="20"/>
          <w:szCs w:val="20"/>
          <w:bdr w:val="none" w:sz="0" w:space="0" w:color="auto" w:frame="1"/>
          <w:lang w:val="es-CO"/>
        </w:rPr>
        <w:t>alia</w:t>
      </w:r>
      <w:proofErr w:type="spellEnd"/>
      <w:r>
        <w:rPr>
          <w:rFonts w:ascii="Verdana" w:hAnsi="Verdana"/>
          <w:iCs/>
          <w:sz w:val="20"/>
          <w:szCs w:val="20"/>
          <w:bdr w:val="none" w:sz="0" w:space="0" w:color="auto" w:frame="1"/>
          <w:lang w:val="es-CO"/>
        </w:rPr>
        <w:t xml:space="preserve">: </w:t>
      </w:r>
      <w:r w:rsidRPr="005824F1">
        <w:rPr>
          <w:rFonts w:ascii="Verdana" w:hAnsi="Verdana"/>
          <w:sz w:val="20"/>
          <w:szCs w:val="20"/>
        </w:rPr>
        <w:t>el artículo 6 del Pacto Internacional de Derechos Económicos, Sociales y Culturales</w:t>
      </w:r>
      <w:r w:rsidRPr="005824F1">
        <w:rPr>
          <w:rStyle w:val="FootnoteReference"/>
          <w:szCs w:val="20"/>
        </w:rPr>
        <w:footnoteReference w:id="201"/>
      </w:r>
      <w:r w:rsidRPr="005824F1">
        <w:rPr>
          <w:rFonts w:ascii="Verdana" w:hAnsi="Verdana"/>
          <w:sz w:val="20"/>
          <w:szCs w:val="20"/>
        </w:rPr>
        <w:t>, el artículo 23 de la Declaración Universal de Derechos Humanos</w:t>
      </w:r>
      <w:r w:rsidRPr="005824F1">
        <w:rPr>
          <w:rStyle w:val="FootnoteReference"/>
          <w:szCs w:val="20"/>
        </w:rPr>
        <w:footnoteReference w:id="202"/>
      </w:r>
      <w:r w:rsidRPr="005824F1">
        <w:rPr>
          <w:rFonts w:ascii="Verdana" w:hAnsi="Verdana"/>
          <w:sz w:val="20"/>
          <w:szCs w:val="20"/>
        </w:rPr>
        <w:t>, los artículos 7 y 8 de la Carta Social de las Américas</w:t>
      </w:r>
      <w:r w:rsidRPr="005824F1">
        <w:rPr>
          <w:rStyle w:val="FootnoteReference"/>
          <w:szCs w:val="20"/>
        </w:rPr>
        <w:footnoteReference w:id="203"/>
      </w:r>
      <w:r w:rsidRPr="005824F1">
        <w:rPr>
          <w:rFonts w:ascii="Verdana" w:hAnsi="Verdana"/>
          <w:sz w:val="20"/>
          <w:szCs w:val="20"/>
        </w:rPr>
        <w:t>, los artículos 6 y 7 del Protocolo Adicional a la Convención Americana sobre Derechos Económicos, Sociales y Culturales</w:t>
      </w:r>
      <w:r w:rsidRPr="005824F1">
        <w:rPr>
          <w:rStyle w:val="FootnoteReference"/>
          <w:szCs w:val="20"/>
        </w:rPr>
        <w:footnoteReference w:id="204"/>
      </w:r>
      <w:r w:rsidRPr="005824F1">
        <w:rPr>
          <w:rFonts w:ascii="Verdana" w:hAnsi="Verdana"/>
          <w:sz w:val="20"/>
          <w:szCs w:val="20"/>
        </w:rPr>
        <w:t>, el artículo 11 de la Convención sobre la Eliminación de Todas las Formas de Discriminación contra la Mujer</w:t>
      </w:r>
      <w:r w:rsidRPr="005824F1">
        <w:rPr>
          <w:rStyle w:val="FootnoteReference"/>
          <w:szCs w:val="20"/>
        </w:rPr>
        <w:footnoteReference w:id="205"/>
      </w:r>
      <w:r w:rsidRPr="005824F1">
        <w:rPr>
          <w:rFonts w:ascii="Verdana" w:hAnsi="Verdana"/>
          <w:sz w:val="20"/>
          <w:szCs w:val="20"/>
        </w:rPr>
        <w:t>, el artículo 32.1 de la Convención sobre los Derechos del Niño</w:t>
      </w:r>
      <w:r w:rsidRPr="005824F1">
        <w:rPr>
          <w:rStyle w:val="FootnoteReference"/>
          <w:szCs w:val="20"/>
        </w:rPr>
        <w:footnoteReference w:id="206"/>
      </w:r>
      <w:r w:rsidRPr="00333304">
        <w:rPr>
          <w:rFonts w:ascii="Verdana" w:hAnsi="Verdana"/>
          <w:sz w:val="20"/>
          <w:szCs w:val="20"/>
        </w:rPr>
        <w:t xml:space="preserve">, </w:t>
      </w:r>
      <w:r w:rsidR="00A63061" w:rsidRPr="00333304">
        <w:rPr>
          <w:rFonts w:ascii="Verdana" w:hAnsi="Verdana"/>
          <w:sz w:val="20"/>
          <w:szCs w:val="20"/>
        </w:rPr>
        <w:t xml:space="preserve">así como </w:t>
      </w:r>
      <w:r w:rsidR="000002AB" w:rsidRPr="00333304">
        <w:rPr>
          <w:rFonts w:ascii="Verdana" w:hAnsi="Verdana"/>
          <w:sz w:val="20"/>
          <w:szCs w:val="20"/>
        </w:rPr>
        <w:t>el</w:t>
      </w:r>
      <w:r w:rsidRPr="00333304">
        <w:rPr>
          <w:rFonts w:ascii="Verdana" w:hAnsi="Verdana"/>
          <w:sz w:val="20"/>
          <w:szCs w:val="20"/>
        </w:rPr>
        <w:t xml:space="preserve"> artículo</w:t>
      </w:r>
      <w:r w:rsidR="00E606B9" w:rsidRPr="00333304">
        <w:rPr>
          <w:rFonts w:ascii="Verdana" w:hAnsi="Verdana"/>
          <w:sz w:val="20"/>
          <w:szCs w:val="20"/>
        </w:rPr>
        <w:t xml:space="preserve"> 1</w:t>
      </w:r>
      <w:r w:rsidRPr="00333304">
        <w:rPr>
          <w:rFonts w:ascii="Verdana" w:hAnsi="Verdana"/>
          <w:sz w:val="20"/>
          <w:szCs w:val="20"/>
        </w:rPr>
        <w:t xml:space="preserve"> de la Carta Social Europea</w:t>
      </w:r>
      <w:r w:rsidRPr="00333304">
        <w:rPr>
          <w:rStyle w:val="FootnoteReference"/>
          <w:szCs w:val="20"/>
        </w:rPr>
        <w:footnoteReference w:id="207"/>
      </w:r>
      <w:r w:rsidRPr="00333304">
        <w:rPr>
          <w:rFonts w:ascii="Verdana" w:hAnsi="Verdana"/>
          <w:sz w:val="20"/>
          <w:szCs w:val="20"/>
        </w:rPr>
        <w:t xml:space="preserve"> y el artículo 15 de la Carta Africana sobre los Derechos Humanos y de los Pueblos</w:t>
      </w:r>
      <w:r w:rsidRPr="00333304">
        <w:rPr>
          <w:rStyle w:val="FootnoteReference"/>
          <w:szCs w:val="20"/>
        </w:rPr>
        <w:footnoteReference w:id="208"/>
      </w:r>
      <w:r w:rsidRPr="00333304">
        <w:rPr>
          <w:rFonts w:ascii="Verdana" w:hAnsi="Verdana"/>
          <w:sz w:val="20"/>
          <w:szCs w:val="20"/>
        </w:rPr>
        <w:t>.</w:t>
      </w:r>
    </w:p>
    <w:p w14:paraId="55A72676" w14:textId="77777777" w:rsidR="00032FC5" w:rsidRPr="005824F1" w:rsidRDefault="00032FC5" w:rsidP="00032FC5">
      <w:pPr>
        <w:contextualSpacing/>
        <w:jc w:val="both"/>
        <w:rPr>
          <w:rFonts w:ascii="Verdana" w:hAnsi="Verdana"/>
          <w:color w:val="000000"/>
          <w:sz w:val="20"/>
          <w:szCs w:val="20"/>
        </w:rPr>
      </w:pPr>
    </w:p>
    <w:p w14:paraId="087B4D45" w14:textId="05710F12" w:rsidR="00032FC5" w:rsidRPr="00033721" w:rsidRDefault="00032FC5" w:rsidP="00E66DD7">
      <w:pPr>
        <w:numPr>
          <w:ilvl w:val="0"/>
          <w:numId w:val="1"/>
        </w:numPr>
        <w:ind w:left="0" w:firstLine="0"/>
        <w:contextualSpacing/>
        <w:jc w:val="both"/>
        <w:rPr>
          <w:rFonts w:ascii="Verdana" w:hAnsi="Verdana"/>
          <w:color w:val="000000"/>
          <w:sz w:val="20"/>
          <w:szCs w:val="20"/>
        </w:rPr>
      </w:pPr>
      <w:r w:rsidRPr="00033721">
        <w:rPr>
          <w:rFonts w:ascii="Verdana" w:hAnsi="Verdana" w:cs="Verdana"/>
          <w:sz w:val="20"/>
          <w:szCs w:val="20"/>
        </w:rPr>
        <w:t>Por tanto, al analizar el contenido y alcance del artículo 26 de la Convención en el presente caso, la Corte tomará en cuenta, a la luz de las reglas generales de interpretación establecidas en el artículo 29</w:t>
      </w:r>
      <w:r>
        <w:rPr>
          <w:rFonts w:ascii="Verdana" w:hAnsi="Verdana" w:cs="Verdana"/>
          <w:sz w:val="20"/>
          <w:szCs w:val="20"/>
        </w:rPr>
        <w:t xml:space="preserve"> </w:t>
      </w:r>
      <w:r w:rsidRPr="00033721">
        <w:rPr>
          <w:rFonts w:ascii="Verdana" w:hAnsi="Verdana" w:cs="Verdana"/>
          <w:sz w:val="20"/>
          <w:szCs w:val="20"/>
        </w:rPr>
        <w:t>b, c, y d de la misma</w:t>
      </w:r>
      <w:r w:rsidRPr="00033721">
        <w:rPr>
          <w:rStyle w:val="FootnoteReference"/>
          <w:rFonts w:cs="Verdana"/>
          <w:szCs w:val="20"/>
        </w:rPr>
        <w:footnoteReference w:id="209"/>
      </w:r>
      <w:r w:rsidRPr="00033721">
        <w:rPr>
          <w:rFonts w:ascii="Verdana" w:hAnsi="Verdana" w:cs="Verdana"/>
          <w:sz w:val="20"/>
          <w:szCs w:val="20"/>
        </w:rPr>
        <w:t xml:space="preserve">, </w:t>
      </w:r>
      <w:r>
        <w:rPr>
          <w:rFonts w:ascii="Verdana" w:hAnsi="Verdana" w:cs="Verdana"/>
          <w:sz w:val="20"/>
          <w:szCs w:val="20"/>
        </w:rPr>
        <w:t xml:space="preserve">la aludida protección a la </w:t>
      </w:r>
      <w:r w:rsidRPr="00033721">
        <w:rPr>
          <w:rFonts w:ascii="Verdana" w:hAnsi="Verdana" w:cs="Verdana"/>
          <w:sz w:val="20"/>
          <w:szCs w:val="20"/>
        </w:rPr>
        <w:t>estabilidad laboral</w:t>
      </w:r>
      <w:r w:rsidRPr="00033721">
        <w:rPr>
          <w:rStyle w:val="FootnoteReference"/>
          <w:rFonts w:cs="Verdana"/>
          <w:szCs w:val="20"/>
        </w:rPr>
        <w:footnoteReference w:id="210"/>
      </w:r>
      <w:r>
        <w:rPr>
          <w:rFonts w:ascii="Verdana" w:hAnsi="Verdana" w:cs="Verdana"/>
          <w:sz w:val="20"/>
          <w:szCs w:val="20"/>
        </w:rPr>
        <w:t xml:space="preserve"> aplicable al caso concreto</w:t>
      </w:r>
      <w:r w:rsidRPr="00033721">
        <w:rPr>
          <w:rFonts w:ascii="Verdana" w:hAnsi="Verdana" w:cs="Verdana"/>
          <w:sz w:val="20"/>
          <w:szCs w:val="20"/>
        </w:rPr>
        <w:t>.</w:t>
      </w:r>
      <w:r w:rsidRPr="00033721">
        <w:rPr>
          <w:rFonts w:ascii="Verdana" w:hAnsi="Verdana"/>
          <w:b/>
          <w:sz w:val="20"/>
          <w:szCs w:val="20"/>
        </w:rPr>
        <w:t xml:space="preserve"> </w:t>
      </w:r>
    </w:p>
    <w:p w14:paraId="7D4FFFB8" w14:textId="77777777" w:rsidR="00032FC5" w:rsidRPr="00033721" w:rsidRDefault="00032FC5" w:rsidP="00032FC5">
      <w:pPr>
        <w:contextualSpacing/>
        <w:jc w:val="both"/>
        <w:rPr>
          <w:rFonts w:ascii="Verdana" w:hAnsi="Verdana"/>
          <w:sz w:val="20"/>
          <w:szCs w:val="20"/>
        </w:rPr>
      </w:pPr>
    </w:p>
    <w:p w14:paraId="011223C5" w14:textId="77777777" w:rsidR="00032FC5" w:rsidRPr="002D2C40" w:rsidRDefault="00032FC5" w:rsidP="00E66DD7">
      <w:pPr>
        <w:numPr>
          <w:ilvl w:val="0"/>
          <w:numId w:val="1"/>
        </w:numPr>
        <w:ind w:left="0" w:firstLine="0"/>
        <w:contextualSpacing/>
        <w:jc w:val="both"/>
        <w:rPr>
          <w:rFonts w:ascii="Verdana" w:hAnsi="Verdana"/>
          <w:color w:val="000000"/>
          <w:sz w:val="20"/>
          <w:szCs w:val="20"/>
        </w:rPr>
      </w:pPr>
      <w:r w:rsidRPr="00033721">
        <w:rPr>
          <w:rFonts w:ascii="Verdana" w:hAnsi="Verdana"/>
          <w:sz w:val="20"/>
          <w:szCs w:val="20"/>
        </w:rPr>
        <w:t xml:space="preserve">En </w:t>
      </w:r>
      <w:r>
        <w:rPr>
          <w:rFonts w:ascii="Verdana" w:hAnsi="Verdana"/>
          <w:sz w:val="20"/>
          <w:szCs w:val="20"/>
        </w:rPr>
        <w:t>este</w:t>
      </w:r>
      <w:r w:rsidRPr="00033721">
        <w:rPr>
          <w:rFonts w:ascii="Verdana" w:hAnsi="Verdana"/>
          <w:sz w:val="20"/>
          <w:szCs w:val="20"/>
        </w:rPr>
        <w:t xml:space="preserve"> sentido, </w:t>
      </w:r>
      <w:r w:rsidRPr="00033721">
        <w:rPr>
          <w:rFonts w:ascii="Verdana" w:hAnsi="Verdana"/>
          <w:color w:val="000000"/>
          <w:sz w:val="20"/>
          <w:szCs w:val="20"/>
        </w:rPr>
        <w:t xml:space="preserve">el </w:t>
      </w:r>
      <w:r w:rsidRPr="00033721">
        <w:rPr>
          <w:rFonts w:ascii="Verdana" w:hAnsi="Verdana" w:cs="TimesNewRoman"/>
          <w:color w:val="000000"/>
          <w:sz w:val="20"/>
          <w:szCs w:val="20"/>
          <w:lang w:val="es-CR" w:eastAsia="es-CR"/>
        </w:rPr>
        <w:t>Comité de Derechos Económicos, Sociales y Culturales, en su Observación General</w:t>
      </w:r>
      <w:r w:rsidRPr="005A41BD">
        <w:rPr>
          <w:rFonts w:ascii="Verdana" w:hAnsi="Verdana" w:cs="TimesNewRoman"/>
          <w:color w:val="000000"/>
          <w:sz w:val="20"/>
          <w:szCs w:val="20"/>
          <w:lang w:val="es-CR" w:eastAsia="es-CR"/>
        </w:rPr>
        <w:t xml:space="preserve"> No. 18 sobre el derecho al trabajo, expresó que este mismo </w:t>
      </w:r>
      <w:r>
        <w:rPr>
          <w:rFonts w:ascii="Verdana" w:hAnsi="Verdana"/>
          <w:color w:val="000000"/>
          <w:sz w:val="20"/>
          <w:szCs w:val="20"/>
          <w:lang w:val="es-CR" w:eastAsia="es-CR"/>
        </w:rPr>
        <w:t>“</w:t>
      </w:r>
      <w:r w:rsidRPr="005A41BD">
        <w:rPr>
          <w:rFonts w:ascii="Verdana" w:hAnsi="Verdana"/>
          <w:color w:val="000000"/>
          <w:sz w:val="20"/>
          <w:szCs w:val="20"/>
          <w:lang w:val="es-CR" w:eastAsia="es-CR"/>
        </w:rPr>
        <w:t>implica el derecho a no ser privado injustamente del empleo</w:t>
      </w:r>
      <w:r>
        <w:rPr>
          <w:rFonts w:ascii="Verdana" w:hAnsi="Verdana"/>
          <w:color w:val="000000"/>
          <w:sz w:val="20"/>
          <w:szCs w:val="20"/>
          <w:lang w:val="es-CR" w:eastAsia="es-CR"/>
        </w:rPr>
        <w:t>”</w:t>
      </w:r>
      <w:r w:rsidRPr="00A90053">
        <w:rPr>
          <w:rStyle w:val="FootnoteReference"/>
          <w:rFonts w:cs="TimesNewRoman"/>
          <w:color w:val="000000"/>
          <w:szCs w:val="20"/>
          <w:lang w:val="es-CR" w:eastAsia="es-CR"/>
        </w:rPr>
        <w:footnoteReference w:id="211"/>
      </w:r>
      <w:r w:rsidRPr="005A41BD">
        <w:rPr>
          <w:rFonts w:ascii="Verdana" w:hAnsi="Verdana" w:cs="TimesNewRoman"/>
          <w:color w:val="000000"/>
          <w:sz w:val="20"/>
          <w:szCs w:val="20"/>
          <w:lang w:val="es-CR" w:eastAsia="es-CR"/>
        </w:rPr>
        <w:t xml:space="preserve">. </w:t>
      </w:r>
      <w:r>
        <w:rPr>
          <w:rFonts w:ascii="Verdana" w:hAnsi="Verdana" w:cs="TimesNewRoman"/>
          <w:color w:val="000000"/>
          <w:sz w:val="20"/>
          <w:szCs w:val="20"/>
          <w:lang w:val="es-CR" w:eastAsia="es-CR"/>
        </w:rPr>
        <w:t xml:space="preserve">Asimismo, ha </w:t>
      </w:r>
      <w:r>
        <w:rPr>
          <w:rFonts w:ascii="Verdana" w:hAnsi="Verdana"/>
          <w:color w:val="000000"/>
          <w:sz w:val="20"/>
          <w:szCs w:val="20"/>
          <w:lang w:val="es-CR" w:eastAsia="es-CR"/>
        </w:rPr>
        <w:t>s</w:t>
      </w:r>
      <w:r w:rsidRPr="005A41BD">
        <w:rPr>
          <w:rFonts w:ascii="Verdana" w:hAnsi="Verdana"/>
          <w:color w:val="000000"/>
          <w:sz w:val="20"/>
          <w:szCs w:val="20"/>
          <w:lang w:val="es-CR" w:eastAsia="es-CR"/>
        </w:rPr>
        <w:t>eñal</w:t>
      </w:r>
      <w:r>
        <w:rPr>
          <w:rFonts w:ascii="Verdana" w:hAnsi="Verdana"/>
          <w:color w:val="000000"/>
          <w:sz w:val="20"/>
          <w:szCs w:val="20"/>
          <w:lang w:val="es-CR" w:eastAsia="es-CR"/>
        </w:rPr>
        <w:t>ado</w:t>
      </w:r>
      <w:r w:rsidRPr="005A41BD">
        <w:rPr>
          <w:rFonts w:ascii="Verdana" w:hAnsi="Verdana"/>
          <w:color w:val="000000"/>
          <w:sz w:val="20"/>
          <w:szCs w:val="20"/>
          <w:lang w:val="es-CR" w:eastAsia="es-CR"/>
        </w:rPr>
        <w:t xml:space="preserve"> que el </w:t>
      </w:r>
      <w:r>
        <w:rPr>
          <w:rFonts w:ascii="Verdana" w:hAnsi="Verdana"/>
          <w:iCs/>
          <w:color w:val="000000"/>
          <w:sz w:val="20"/>
          <w:szCs w:val="20"/>
          <w:lang w:val="es-CR" w:eastAsia="es-CR"/>
        </w:rPr>
        <w:t>“</w:t>
      </w:r>
      <w:r w:rsidRPr="005A41BD">
        <w:rPr>
          <w:rFonts w:ascii="Verdana" w:hAnsi="Verdana"/>
          <w:color w:val="000000"/>
          <w:sz w:val="20"/>
          <w:szCs w:val="20"/>
        </w:rPr>
        <w:t xml:space="preserve">incumplimiento de la obligación de proteger se produce cuando los Estados Partes se abstienen de adoptar todas las medidas adecuadas para proteger a las personas sometidas a su </w:t>
      </w:r>
      <w:r w:rsidRPr="002D2C40">
        <w:rPr>
          <w:rFonts w:ascii="Verdana" w:hAnsi="Verdana"/>
          <w:color w:val="000000"/>
          <w:sz w:val="20"/>
          <w:szCs w:val="20"/>
        </w:rPr>
        <w:t>jurisdicción contra las vulneraciones del derecho al trabajo imputables a terceros</w:t>
      </w:r>
      <w:r w:rsidRPr="002D2C40">
        <w:rPr>
          <w:rFonts w:ascii="Verdana" w:hAnsi="Verdana"/>
          <w:color w:val="000000"/>
          <w:sz w:val="20"/>
          <w:szCs w:val="20"/>
          <w:lang w:eastAsia="es-CR"/>
        </w:rPr>
        <w:t>”</w:t>
      </w:r>
      <w:r w:rsidRPr="002D2C40">
        <w:rPr>
          <w:rFonts w:ascii="Verdana" w:hAnsi="Verdana"/>
          <w:color w:val="000000"/>
          <w:sz w:val="20"/>
          <w:szCs w:val="20"/>
          <w:lang w:val="es-CR" w:eastAsia="es-CR"/>
        </w:rPr>
        <w:t>, lo cual incluye “</w:t>
      </w:r>
      <w:r w:rsidRPr="002D2C40">
        <w:rPr>
          <w:rFonts w:ascii="Verdana" w:hAnsi="Verdana"/>
          <w:color w:val="000000"/>
          <w:sz w:val="20"/>
          <w:szCs w:val="20"/>
        </w:rPr>
        <w:t>el hecho de no proteger a los trabajadores frente al despido improcedente</w:t>
      </w:r>
      <w:r w:rsidRPr="002D2C40">
        <w:rPr>
          <w:rFonts w:ascii="Verdana" w:hAnsi="Verdana"/>
          <w:color w:val="000000"/>
          <w:sz w:val="20"/>
          <w:szCs w:val="20"/>
          <w:lang w:eastAsia="es-CR"/>
        </w:rPr>
        <w:t>”</w:t>
      </w:r>
      <w:r w:rsidRPr="002D2C40">
        <w:rPr>
          <w:rStyle w:val="FootnoteReference"/>
          <w:color w:val="000000"/>
          <w:szCs w:val="20"/>
          <w:lang w:val="es-CR" w:eastAsia="es-CR"/>
        </w:rPr>
        <w:footnoteReference w:id="212"/>
      </w:r>
      <w:r w:rsidRPr="002D2C40">
        <w:rPr>
          <w:rFonts w:ascii="Verdana" w:hAnsi="Verdana"/>
          <w:color w:val="000000"/>
          <w:sz w:val="20"/>
          <w:szCs w:val="20"/>
          <w:lang w:val="es-CR" w:eastAsia="es-CR"/>
        </w:rPr>
        <w:t xml:space="preserve">. </w:t>
      </w:r>
    </w:p>
    <w:p w14:paraId="2FF2DBAA" w14:textId="77777777" w:rsidR="00032FC5" w:rsidRPr="00E755D8" w:rsidRDefault="00032FC5" w:rsidP="00032FC5">
      <w:pPr>
        <w:contextualSpacing/>
        <w:jc w:val="both"/>
        <w:rPr>
          <w:rFonts w:ascii="Verdana" w:hAnsi="Verdana"/>
          <w:color w:val="000000"/>
          <w:sz w:val="20"/>
          <w:szCs w:val="20"/>
          <w:lang w:val="es-CR" w:eastAsia="es-CR"/>
        </w:rPr>
      </w:pPr>
    </w:p>
    <w:p w14:paraId="12E1CAD9" w14:textId="10AAD7B6" w:rsidR="00032FC5" w:rsidRPr="002D2C40" w:rsidRDefault="00A75D24" w:rsidP="00E66DD7">
      <w:pPr>
        <w:numPr>
          <w:ilvl w:val="0"/>
          <w:numId w:val="1"/>
        </w:numPr>
        <w:ind w:left="0" w:firstLine="0"/>
        <w:contextualSpacing/>
        <w:jc w:val="both"/>
        <w:rPr>
          <w:rFonts w:ascii="Verdana" w:hAnsi="Verdana"/>
          <w:color w:val="000000"/>
          <w:sz w:val="20"/>
          <w:szCs w:val="20"/>
        </w:rPr>
      </w:pPr>
      <w:r>
        <w:rPr>
          <w:rFonts w:ascii="Verdana" w:hAnsi="Verdana"/>
          <w:sz w:val="20"/>
          <w:szCs w:val="20"/>
        </w:rPr>
        <w:t>A manera ilustrativa</w:t>
      </w:r>
      <w:r w:rsidR="00032FC5" w:rsidRPr="00E755D8">
        <w:rPr>
          <w:rFonts w:ascii="Verdana" w:hAnsi="Verdana"/>
          <w:sz w:val="20"/>
          <w:szCs w:val="20"/>
        </w:rPr>
        <w:t xml:space="preserve">, el </w:t>
      </w:r>
      <w:r w:rsidR="00032FC5" w:rsidRPr="00333304">
        <w:rPr>
          <w:rFonts w:ascii="Verdana" w:hAnsi="Verdana" w:cs="TimesNewRoman"/>
          <w:sz w:val="20"/>
          <w:szCs w:val="20"/>
          <w:lang w:val="es-CR" w:eastAsia="es-CR"/>
        </w:rPr>
        <w:t>Convenio 158 de la Organización International del Trabajo</w:t>
      </w:r>
      <w:r w:rsidR="00815B20">
        <w:rPr>
          <w:rFonts w:ascii="Verdana" w:hAnsi="Verdana" w:cs="TimesNewRoman"/>
          <w:sz w:val="20"/>
          <w:szCs w:val="20"/>
          <w:lang w:val="es-CR" w:eastAsia="es-CR"/>
        </w:rPr>
        <w:t xml:space="preserve"> (</w:t>
      </w:r>
      <w:r w:rsidR="00DD5817">
        <w:rPr>
          <w:rFonts w:ascii="Verdana" w:hAnsi="Verdana" w:cs="TimesNewRoman"/>
          <w:sz w:val="20"/>
          <w:szCs w:val="20"/>
          <w:lang w:val="es-CR" w:eastAsia="es-CR"/>
        </w:rPr>
        <w:t xml:space="preserve">en adelante </w:t>
      </w:r>
      <w:r w:rsidR="00815B20">
        <w:rPr>
          <w:rFonts w:ascii="Verdana" w:hAnsi="Verdana" w:cs="TimesNewRoman"/>
          <w:sz w:val="20"/>
          <w:szCs w:val="20"/>
          <w:lang w:val="es-CR" w:eastAsia="es-CR"/>
        </w:rPr>
        <w:t>OIT)</w:t>
      </w:r>
      <w:r w:rsidR="00032FC5" w:rsidRPr="00E755D8">
        <w:rPr>
          <w:rFonts w:ascii="Verdana" w:hAnsi="Verdana" w:cs="TimesNewRoman"/>
          <w:sz w:val="20"/>
          <w:szCs w:val="20"/>
          <w:lang w:val="es-CR" w:eastAsia="es-CR"/>
        </w:rPr>
        <w:t>, sobre la terminación de la relación de trabajo (1982)</w:t>
      </w:r>
      <w:r w:rsidR="00032FC5" w:rsidRPr="002D2C40">
        <w:rPr>
          <w:rStyle w:val="FootnoteReference"/>
          <w:rFonts w:cs="TimesNewRoman"/>
          <w:szCs w:val="20"/>
          <w:lang w:val="es-CR" w:eastAsia="es-CR"/>
        </w:rPr>
        <w:footnoteReference w:id="213"/>
      </w:r>
      <w:r w:rsidR="00032FC5" w:rsidRPr="002D2C40">
        <w:rPr>
          <w:rFonts w:ascii="Verdana" w:hAnsi="Verdana" w:cs="TimesNewRoman"/>
          <w:sz w:val="20"/>
          <w:szCs w:val="20"/>
          <w:lang w:val="es-CR" w:eastAsia="es-CR"/>
        </w:rPr>
        <w:t xml:space="preserve">, </w:t>
      </w:r>
      <w:r w:rsidR="00032FC5">
        <w:rPr>
          <w:rFonts w:ascii="Verdana" w:hAnsi="Verdana" w:cs="TimesNewRoman"/>
          <w:sz w:val="20"/>
          <w:szCs w:val="20"/>
          <w:lang w:val="es-CR" w:eastAsia="es-CR"/>
        </w:rPr>
        <w:t xml:space="preserve">dispone que </w:t>
      </w:r>
      <w:r w:rsidR="00032FC5" w:rsidRPr="002D2C40">
        <w:rPr>
          <w:rFonts w:ascii="Verdana" w:hAnsi="Verdana" w:cs="TimesNewRoman"/>
          <w:sz w:val="20"/>
          <w:szCs w:val="20"/>
          <w:lang w:val="es-CR" w:eastAsia="es-CR"/>
        </w:rPr>
        <w:t>el derecho al trabajo incluye la legalidad del despido en su artículo 4</w:t>
      </w:r>
      <w:r w:rsidR="00032FC5" w:rsidRPr="002D2C40">
        <w:rPr>
          <w:rStyle w:val="FootnoteReference"/>
          <w:rFonts w:cs="TimesNewRoman"/>
          <w:szCs w:val="20"/>
          <w:lang w:val="es-CR" w:eastAsia="es-CR"/>
        </w:rPr>
        <w:footnoteReference w:id="214"/>
      </w:r>
      <w:r w:rsidR="00032FC5" w:rsidRPr="002D2C40">
        <w:rPr>
          <w:rFonts w:ascii="Verdana" w:hAnsi="Verdana" w:cs="TimesNewRoman"/>
          <w:sz w:val="20"/>
          <w:szCs w:val="20"/>
          <w:lang w:val="es-CR" w:eastAsia="es-CR"/>
        </w:rPr>
        <w:t xml:space="preserve"> e impone, en particular, la necesidad de ofrecer motivos válidos</w:t>
      </w:r>
      <w:r w:rsidR="00032FC5" w:rsidRPr="002D2C40">
        <w:rPr>
          <w:rStyle w:val="FootnoteReference"/>
          <w:rFonts w:cs="TimesNewRoman"/>
          <w:szCs w:val="20"/>
          <w:lang w:val="es-CR" w:eastAsia="es-CR"/>
        </w:rPr>
        <w:footnoteReference w:id="215"/>
      </w:r>
      <w:r w:rsidR="00032FC5" w:rsidRPr="002D2C40">
        <w:rPr>
          <w:rFonts w:ascii="Verdana" w:hAnsi="Verdana" w:cs="TimesNewRoman"/>
          <w:sz w:val="20"/>
          <w:szCs w:val="20"/>
          <w:lang w:val="es-CR" w:eastAsia="es-CR"/>
        </w:rPr>
        <w:t xml:space="preserve"> para el despido</w:t>
      </w:r>
      <w:r w:rsidR="00032FC5">
        <w:rPr>
          <w:rFonts w:ascii="Verdana" w:hAnsi="Verdana" w:cs="TimesNewRoman"/>
          <w:sz w:val="20"/>
          <w:szCs w:val="20"/>
          <w:lang w:val="es-CR" w:eastAsia="es-CR"/>
        </w:rPr>
        <w:t>,</w:t>
      </w:r>
      <w:r w:rsidR="00032FC5" w:rsidRPr="002D2C40">
        <w:rPr>
          <w:rFonts w:ascii="Verdana" w:hAnsi="Verdana" w:cs="TimesNewRoman"/>
          <w:sz w:val="20"/>
          <w:szCs w:val="20"/>
          <w:lang w:val="es-CR" w:eastAsia="es-CR"/>
        </w:rPr>
        <w:t xml:space="preserve"> </w:t>
      </w:r>
      <w:r w:rsidR="00032FC5" w:rsidRPr="00E755D8">
        <w:rPr>
          <w:rFonts w:ascii="Verdana" w:hAnsi="Verdana" w:cs="TimesNewRoman"/>
          <w:sz w:val="20"/>
          <w:szCs w:val="20"/>
          <w:lang w:val="es-CR" w:eastAsia="es-CR"/>
        </w:rPr>
        <w:t>así como el derecho a recursos jurídicos efectivos en caso de despido improcedente</w:t>
      </w:r>
      <w:r w:rsidR="00032FC5" w:rsidRPr="002D2C40">
        <w:rPr>
          <w:rFonts w:ascii="Verdana" w:hAnsi="Verdana" w:cs="TimesNewRoman"/>
          <w:sz w:val="20"/>
          <w:szCs w:val="20"/>
          <w:lang w:val="es-CR" w:eastAsia="es-CR"/>
        </w:rPr>
        <w:t xml:space="preserve">. </w:t>
      </w:r>
      <w:r w:rsidR="00A63061" w:rsidRPr="00333304">
        <w:rPr>
          <w:rFonts w:ascii="Verdana" w:hAnsi="Verdana" w:cs="TimesNewRoman"/>
          <w:sz w:val="20"/>
          <w:szCs w:val="20"/>
          <w:lang w:val="es-CR" w:eastAsia="es-CR"/>
        </w:rPr>
        <w:t xml:space="preserve">En similar sentido </w:t>
      </w:r>
      <w:r w:rsidR="000002AB" w:rsidRPr="00333304">
        <w:rPr>
          <w:rFonts w:ascii="Verdana" w:hAnsi="Verdana" w:cs="TimesNewRoman"/>
          <w:sz w:val="20"/>
          <w:szCs w:val="20"/>
          <w:lang w:val="es-CR" w:eastAsia="es-CR"/>
        </w:rPr>
        <w:t xml:space="preserve">se encuentra </w:t>
      </w:r>
      <w:r w:rsidR="00A63061" w:rsidRPr="00333304">
        <w:rPr>
          <w:rFonts w:ascii="Verdana" w:hAnsi="Verdana" w:cs="TimesNewRoman"/>
          <w:sz w:val="20"/>
          <w:szCs w:val="20"/>
          <w:lang w:val="es-CR" w:eastAsia="es-CR"/>
        </w:rPr>
        <w:t>lo dispuesto en la Recomendación No. 143 de la OIT</w:t>
      </w:r>
      <w:r w:rsidR="007422B9" w:rsidRPr="00333304">
        <w:rPr>
          <w:rStyle w:val="FootnoteReference"/>
          <w:szCs w:val="20"/>
          <w:lang w:val="es-CR" w:eastAsia="es-CR"/>
        </w:rPr>
        <w:footnoteReference w:id="216"/>
      </w:r>
      <w:r w:rsidR="00A63061" w:rsidRPr="00333304">
        <w:rPr>
          <w:rFonts w:ascii="Verdana" w:hAnsi="Verdana" w:cs="TimesNewRoman"/>
          <w:sz w:val="20"/>
          <w:szCs w:val="20"/>
          <w:lang w:val="es-CR" w:eastAsia="es-CR"/>
        </w:rPr>
        <w:t xml:space="preserve"> sobre representantes de los trabajadores</w:t>
      </w:r>
      <w:r w:rsidR="00062C2B" w:rsidRPr="00333304">
        <w:rPr>
          <w:rFonts w:ascii="Verdana" w:hAnsi="Verdana" w:cs="TimesNewRoman"/>
          <w:sz w:val="20"/>
          <w:szCs w:val="20"/>
          <w:lang w:val="es-CR" w:eastAsia="es-CR"/>
        </w:rPr>
        <w:t xml:space="preserve"> </w:t>
      </w:r>
      <w:r w:rsidR="00062C2B" w:rsidRPr="00333304">
        <w:rPr>
          <w:rFonts w:ascii="Verdana" w:hAnsi="Verdana" w:cs="TimesNewRoman"/>
          <w:sz w:val="20"/>
          <w:szCs w:val="20"/>
          <w:lang w:val="es-CR" w:eastAsia="es-CR"/>
        </w:rPr>
        <w:lastRenderedPageBreak/>
        <w:t xml:space="preserve">que requiere de adoptar </w:t>
      </w:r>
      <w:r w:rsidR="007C0391" w:rsidRPr="00333304">
        <w:rPr>
          <w:rFonts w:ascii="Verdana" w:hAnsi="Verdana" w:cs="TimesNewRoman"/>
          <w:sz w:val="20"/>
          <w:szCs w:val="20"/>
          <w:lang w:val="es-CR" w:eastAsia="es-CR"/>
        </w:rPr>
        <w:t>medidas apropiadas y recursos accesibles para la tutela de los representantes de los trabajadores</w:t>
      </w:r>
      <w:r w:rsidR="00A63061" w:rsidRPr="00333304">
        <w:rPr>
          <w:rFonts w:ascii="Verdana" w:hAnsi="Verdana" w:cs="TimesNewRoman"/>
          <w:sz w:val="20"/>
          <w:szCs w:val="20"/>
          <w:lang w:val="es-CR" w:eastAsia="es-CR"/>
        </w:rPr>
        <w:t xml:space="preserve"> (</w:t>
      </w:r>
      <w:r w:rsidR="00A63061" w:rsidRPr="00333304">
        <w:rPr>
          <w:rFonts w:ascii="Verdana" w:hAnsi="Verdana" w:cs="TimesNewRoman"/>
          <w:i/>
          <w:sz w:val="20"/>
          <w:szCs w:val="20"/>
          <w:lang w:val="es-CR" w:eastAsia="es-CR"/>
        </w:rPr>
        <w:t>supra</w:t>
      </w:r>
      <w:r w:rsidR="00A63061" w:rsidRPr="00333304">
        <w:rPr>
          <w:rFonts w:ascii="Verdana" w:hAnsi="Verdana" w:cs="TimesNewRoman"/>
          <w:sz w:val="20"/>
          <w:szCs w:val="20"/>
          <w:lang w:val="es-CR" w:eastAsia="es-CR"/>
        </w:rPr>
        <w:t xml:space="preserve">, párr. </w:t>
      </w:r>
      <w:r w:rsidR="004B01AC">
        <w:rPr>
          <w:rFonts w:ascii="Verdana" w:hAnsi="Verdana" w:cs="TimesNewRoman"/>
          <w:sz w:val="20"/>
          <w:szCs w:val="20"/>
          <w:lang w:val="es-CR" w:eastAsia="es-CR"/>
        </w:rPr>
        <w:t>126</w:t>
      </w:r>
      <w:r w:rsidR="00A63061" w:rsidRPr="00333304">
        <w:rPr>
          <w:rFonts w:ascii="Verdana" w:hAnsi="Verdana" w:cs="TimesNewRoman"/>
          <w:sz w:val="20"/>
          <w:szCs w:val="20"/>
          <w:lang w:val="es-CR" w:eastAsia="es-CR"/>
        </w:rPr>
        <w:t>)</w:t>
      </w:r>
      <w:r w:rsidR="007422B9" w:rsidRPr="00333304">
        <w:rPr>
          <w:rStyle w:val="FootnoteReference"/>
          <w:szCs w:val="20"/>
          <w:lang w:val="es-CR" w:eastAsia="es-CR"/>
        </w:rPr>
        <w:footnoteReference w:id="217"/>
      </w:r>
      <w:r w:rsidR="00A63061" w:rsidRPr="00333304">
        <w:rPr>
          <w:rFonts w:ascii="Verdana" w:hAnsi="Verdana" w:cs="TimesNewRoman"/>
          <w:sz w:val="20"/>
          <w:szCs w:val="20"/>
          <w:lang w:val="es-CR" w:eastAsia="es-CR"/>
        </w:rPr>
        <w:t>.</w:t>
      </w:r>
    </w:p>
    <w:p w14:paraId="7B2FADC0" w14:textId="77777777" w:rsidR="00032FC5" w:rsidRPr="00E755D8" w:rsidRDefault="00032FC5" w:rsidP="00032FC5">
      <w:pPr>
        <w:contextualSpacing/>
        <w:jc w:val="both"/>
        <w:rPr>
          <w:rFonts w:ascii="Verdana" w:hAnsi="Verdana"/>
          <w:color w:val="000000"/>
          <w:sz w:val="20"/>
          <w:szCs w:val="20"/>
        </w:rPr>
      </w:pPr>
    </w:p>
    <w:p w14:paraId="6F2988CF" w14:textId="064BC1CD" w:rsidR="00032FC5" w:rsidRPr="00B3760D" w:rsidRDefault="00032FC5" w:rsidP="00E66DD7">
      <w:pPr>
        <w:numPr>
          <w:ilvl w:val="0"/>
          <w:numId w:val="1"/>
        </w:numPr>
        <w:ind w:left="0" w:firstLine="0"/>
        <w:contextualSpacing/>
        <w:jc w:val="both"/>
        <w:rPr>
          <w:rFonts w:ascii="Verdana" w:hAnsi="Verdana"/>
          <w:sz w:val="20"/>
          <w:szCs w:val="20"/>
        </w:rPr>
      </w:pPr>
      <w:r w:rsidRPr="006C6933">
        <w:rPr>
          <w:rFonts w:ascii="Verdana" w:hAnsi="Verdana"/>
          <w:color w:val="000000"/>
          <w:sz w:val="20"/>
          <w:szCs w:val="20"/>
        </w:rPr>
        <w:t>Como</w:t>
      </w:r>
      <w:r w:rsidRPr="00181CD3">
        <w:rPr>
          <w:rFonts w:ascii="Verdana" w:hAnsi="Verdana"/>
          <w:color w:val="000000"/>
          <w:sz w:val="20"/>
          <w:szCs w:val="20"/>
        </w:rPr>
        <w:t xml:space="preserve"> correlato de lo anterior, se deprende que </w:t>
      </w:r>
      <w:r>
        <w:rPr>
          <w:rFonts w:ascii="Verdana" w:hAnsi="Verdana"/>
          <w:color w:val="000000"/>
          <w:sz w:val="20"/>
          <w:szCs w:val="20"/>
        </w:rPr>
        <w:t>las obligaciones del Estado</w:t>
      </w:r>
      <w:r w:rsidRPr="00181CD3">
        <w:rPr>
          <w:rFonts w:ascii="Verdana" w:hAnsi="Verdana"/>
          <w:color w:val="000000"/>
          <w:sz w:val="20"/>
          <w:szCs w:val="20"/>
        </w:rPr>
        <w:t xml:space="preserve"> en cuanto a la protección del derecho a la estabilidad laboral,</w:t>
      </w:r>
      <w:r>
        <w:rPr>
          <w:rFonts w:ascii="Verdana" w:hAnsi="Verdana"/>
          <w:color w:val="000000"/>
          <w:sz w:val="20"/>
          <w:szCs w:val="20"/>
        </w:rPr>
        <w:t xml:space="preserve"> en el ámbito privado,</w:t>
      </w:r>
      <w:r w:rsidRPr="00181CD3">
        <w:rPr>
          <w:rFonts w:ascii="Verdana" w:hAnsi="Verdana"/>
          <w:color w:val="000000"/>
          <w:sz w:val="20"/>
          <w:szCs w:val="20"/>
        </w:rPr>
        <w:t xml:space="preserve"> se traduce en principio en</w:t>
      </w:r>
      <w:r>
        <w:rPr>
          <w:rFonts w:ascii="Verdana" w:hAnsi="Verdana"/>
          <w:color w:val="000000"/>
          <w:sz w:val="20"/>
          <w:szCs w:val="20"/>
        </w:rPr>
        <w:t xml:space="preserve"> los siguientes deberes</w:t>
      </w:r>
      <w:r w:rsidRPr="00181CD3">
        <w:rPr>
          <w:rFonts w:ascii="Verdana" w:hAnsi="Verdana"/>
          <w:color w:val="000000"/>
          <w:sz w:val="20"/>
          <w:szCs w:val="20"/>
        </w:rPr>
        <w:t xml:space="preserve">: </w:t>
      </w:r>
      <w:r w:rsidRPr="00937CE3">
        <w:rPr>
          <w:rFonts w:ascii="Verdana" w:hAnsi="Verdana"/>
          <w:color w:val="000000"/>
          <w:sz w:val="20"/>
          <w:szCs w:val="20"/>
        </w:rPr>
        <w:t xml:space="preserve">a) </w:t>
      </w:r>
      <w:r w:rsidRPr="00A92D34">
        <w:rPr>
          <w:rFonts w:ascii="Verdana" w:hAnsi="Verdana"/>
          <w:color w:val="000000"/>
          <w:sz w:val="20"/>
          <w:szCs w:val="20"/>
        </w:rPr>
        <w:t>adoptar las medidas adecuadas para la debida regulación y fiscalización</w:t>
      </w:r>
      <w:r w:rsidRPr="00A92D34">
        <w:rPr>
          <w:rStyle w:val="FootnoteReference"/>
          <w:color w:val="000000"/>
          <w:szCs w:val="20"/>
        </w:rPr>
        <w:footnoteReference w:id="218"/>
      </w:r>
      <w:r>
        <w:rPr>
          <w:rFonts w:ascii="Verdana" w:hAnsi="Verdana"/>
          <w:color w:val="000000"/>
          <w:sz w:val="20"/>
          <w:szCs w:val="20"/>
        </w:rPr>
        <w:t xml:space="preserve"> </w:t>
      </w:r>
      <w:r w:rsidRPr="00A92D34">
        <w:rPr>
          <w:rFonts w:ascii="Verdana" w:hAnsi="Verdana"/>
          <w:color w:val="000000"/>
          <w:sz w:val="20"/>
          <w:szCs w:val="20"/>
        </w:rPr>
        <w:t>de dicho derecho</w:t>
      </w:r>
      <w:r w:rsidRPr="00937CE3">
        <w:rPr>
          <w:rFonts w:ascii="Verdana" w:hAnsi="Verdana"/>
          <w:color w:val="000000"/>
          <w:sz w:val="20"/>
          <w:szCs w:val="20"/>
        </w:rPr>
        <w:t xml:space="preserve">; </w:t>
      </w:r>
      <w:r w:rsidRPr="00A92D34">
        <w:rPr>
          <w:rFonts w:ascii="Verdana" w:hAnsi="Verdana"/>
          <w:color w:val="000000"/>
          <w:sz w:val="20"/>
          <w:szCs w:val="20"/>
        </w:rPr>
        <w:t xml:space="preserve">b) </w:t>
      </w:r>
      <w:r w:rsidRPr="00811D16">
        <w:rPr>
          <w:rFonts w:ascii="Verdana" w:hAnsi="Verdana"/>
          <w:color w:val="000000"/>
          <w:sz w:val="20"/>
          <w:szCs w:val="20"/>
        </w:rPr>
        <w:t>proteger al trabajador</w:t>
      </w:r>
      <w:r>
        <w:rPr>
          <w:rFonts w:ascii="Verdana" w:hAnsi="Verdana"/>
          <w:color w:val="000000"/>
          <w:sz w:val="20"/>
          <w:szCs w:val="20"/>
        </w:rPr>
        <w:t xml:space="preserve"> y trabajadora,</w:t>
      </w:r>
      <w:r w:rsidRPr="00937CE3">
        <w:rPr>
          <w:rFonts w:ascii="Verdana" w:hAnsi="Verdana"/>
          <w:color w:val="000000"/>
          <w:sz w:val="20"/>
          <w:szCs w:val="20"/>
        </w:rPr>
        <w:t xml:space="preserve"> </w:t>
      </w:r>
      <w:r w:rsidRPr="00A92D34">
        <w:rPr>
          <w:rFonts w:ascii="Verdana" w:hAnsi="Verdana"/>
          <w:color w:val="000000"/>
          <w:sz w:val="20"/>
          <w:szCs w:val="20"/>
        </w:rPr>
        <w:t>a través de sus órganos competentes</w:t>
      </w:r>
      <w:r>
        <w:rPr>
          <w:rFonts w:ascii="Verdana" w:hAnsi="Verdana"/>
          <w:color w:val="000000"/>
          <w:sz w:val="20"/>
          <w:szCs w:val="20"/>
        </w:rPr>
        <w:t>,</w:t>
      </w:r>
      <w:r w:rsidRPr="00A92D34">
        <w:rPr>
          <w:rFonts w:ascii="Verdana" w:hAnsi="Verdana"/>
          <w:color w:val="000000"/>
          <w:sz w:val="20"/>
          <w:szCs w:val="20"/>
        </w:rPr>
        <w:t xml:space="preserve"> contra el despido injustificado</w:t>
      </w:r>
      <w:r w:rsidR="00CE3ACC">
        <w:rPr>
          <w:rFonts w:ascii="Verdana" w:hAnsi="Verdana"/>
          <w:color w:val="000000"/>
          <w:sz w:val="20"/>
          <w:szCs w:val="20"/>
        </w:rPr>
        <w:t>;</w:t>
      </w:r>
      <w:r w:rsidRPr="00937CE3">
        <w:rPr>
          <w:rFonts w:ascii="Verdana" w:hAnsi="Verdana"/>
          <w:color w:val="000000"/>
          <w:sz w:val="20"/>
          <w:szCs w:val="20"/>
        </w:rPr>
        <w:t xml:space="preserve"> c) en caso de despido injustificado, remediar la situación</w:t>
      </w:r>
      <w:r>
        <w:rPr>
          <w:rFonts w:ascii="Verdana" w:hAnsi="Verdana"/>
          <w:color w:val="000000"/>
          <w:sz w:val="20"/>
          <w:szCs w:val="20"/>
        </w:rPr>
        <w:t xml:space="preserve"> (ya sea, a través de la reinstalación o, en su caso, mediante la </w:t>
      </w:r>
      <w:r w:rsidRPr="00937CE3">
        <w:rPr>
          <w:rFonts w:ascii="Verdana" w:hAnsi="Verdana"/>
          <w:color w:val="000000"/>
          <w:sz w:val="20"/>
          <w:szCs w:val="20"/>
        </w:rPr>
        <w:t xml:space="preserve">indemnización </w:t>
      </w:r>
      <w:r>
        <w:rPr>
          <w:rFonts w:ascii="Verdana" w:hAnsi="Verdana"/>
          <w:color w:val="000000"/>
          <w:sz w:val="20"/>
          <w:szCs w:val="20"/>
        </w:rPr>
        <w:t xml:space="preserve">y </w:t>
      </w:r>
      <w:r w:rsidRPr="00937CE3">
        <w:rPr>
          <w:rFonts w:ascii="Verdana" w:hAnsi="Verdana"/>
          <w:color w:val="000000"/>
          <w:sz w:val="20"/>
          <w:szCs w:val="20"/>
        </w:rPr>
        <w:t>otra</w:t>
      </w:r>
      <w:r>
        <w:rPr>
          <w:rFonts w:ascii="Verdana" w:hAnsi="Verdana"/>
          <w:color w:val="000000"/>
          <w:sz w:val="20"/>
          <w:szCs w:val="20"/>
        </w:rPr>
        <w:t>s</w:t>
      </w:r>
      <w:r w:rsidRPr="00937CE3">
        <w:rPr>
          <w:rFonts w:ascii="Verdana" w:hAnsi="Verdana"/>
          <w:color w:val="000000"/>
          <w:sz w:val="20"/>
          <w:szCs w:val="20"/>
        </w:rPr>
        <w:t xml:space="preserve"> prestaci</w:t>
      </w:r>
      <w:r>
        <w:rPr>
          <w:rFonts w:ascii="Verdana" w:hAnsi="Verdana"/>
          <w:color w:val="000000"/>
          <w:sz w:val="20"/>
          <w:szCs w:val="20"/>
        </w:rPr>
        <w:t>ones</w:t>
      </w:r>
      <w:r w:rsidRPr="00937CE3">
        <w:rPr>
          <w:rFonts w:ascii="Verdana" w:hAnsi="Verdana"/>
          <w:color w:val="000000"/>
          <w:sz w:val="20"/>
          <w:szCs w:val="20"/>
        </w:rPr>
        <w:t xml:space="preserve"> prevista</w:t>
      </w:r>
      <w:r>
        <w:rPr>
          <w:rFonts w:ascii="Verdana" w:hAnsi="Verdana"/>
          <w:color w:val="000000"/>
          <w:sz w:val="20"/>
          <w:szCs w:val="20"/>
        </w:rPr>
        <w:t>s</w:t>
      </w:r>
      <w:r w:rsidRPr="00937CE3">
        <w:rPr>
          <w:rFonts w:ascii="Verdana" w:hAnsi="Verdana"/>
          <w:color w:val="000000"/>
          <w:sz w:val="20"/>
          <w:szCs w:val="20"/>
        </w:rPr>
        <w:t xml:space="preserve"> en la legislación nacional</w:t>
      </w:r>
      <w:r>
        <w:rPr>
          <w:rFonts w:ascii="Verdana" w:hAnsi="Verdana"/>
          <w:color w:val="000000"/>
          <w:sz w:val="20"/>
          <w:szCs w:val="20"/>
        </w:rPr>
        <w:t>)</w:t>
      </w:r>
      <w:r w:rsidRPr="00937CE3">
        <w:rPr>
          <w:rFonts w:ascii="Verdana" w:hAnsi="Verdana"/>
          <w:color w:val="000000"/>
          <w:sz w:val="20"/>
          <w:szCs w:val="20"/>
        </w:rPr>
        <w:t>.</w:t>
      </w:r>
      <w:r w:rsidR="00B53BD8">
        <w:rPr>
          <w:rFonts w:ascii="Verdana" w:hAnsi="Verdana"/>
          <w:color w:val="000000"/>
          <w:sz w:val="20"/>
          <w:szCs w:val="20"/>
        </w:rPr>
        <w:t xml:space="preserve"> P</w:t>
      </w:r>
      <w:r w:rsidRPr="00937CE3">
        <w:rPr>
          <w:rFonts w:ascii="Verdana" w:hAnsi="Verdana"/>
          <w:color w:val="000000"/>
          <w:sz w:val="20"/>
          <w:szCs w:val="20"/>
        </w:rPr>
        <w:t xml:space="preserve">or ende, </w:t>
      </w:r>
      <w:r>
        <w:rPr>
          <w:rFonts w:ascii="Verdana" w:hAnsi="Verdana"/>
          <w:color w:val="000000"/>
          <w:sz w:val="20"/>
          <w:szCs w:val="20"/>
        </w:rPr>
        <w:t xml:space="preserve">d) </w:t>
      </w:r>
      <w:r w:rsidRPr="00937CE3">
        <w:rPr>
          <w:rFonts w:ascii="Verdana" w:hAnsi="Verdana"/>
          <w:color w:val="000000"/>
          <w:sz w:val="20"/>
          <w:szCs w:val="20"/>
        </w:rPr>
        <w:t xml:space="preserve">el Estado debe </w:t>
      </w:r>
      <w:r>
        <w:rPr>
          <w:rFonts w:ascii="Verdana" w:hAnsi="Verdana" w:cs="Verdana"/>
          <w:sz w:val="20"/>
          <w:szCs w:val="20"/>
        </w:rPr>
        <w:t xml:space="preserve">disponer </w:t>
      </w:r>
      <w:r w:rsidRPr="00937CE3">
        <w:rPr>
          <w:rFonts w:ascii="Verdana" w:hAnsi="Verdana" w:cs="Verdana"/>
          <w:sz w:val="20"/>
          <w:szCs w:val="20"/>
        </w:rPr>
        <w:t xml:space="preserve">de mecanismos efectivos de reclamo </w:t>
      </w:r>
      <w:r w:rsidRPr="008827AD">
        <w:rPr>
          <w:rFonts w:ascii="Verdana" w:hAnsi="Verdana" w:cs="Verdana"/>
          <w:sz w:val="20"/>
          <w:szCs w:val="20"/>
        </w:rPr>
        <w:t>frente</w:t>
      </w:r>
      <w:r w:rsidRPr="008827AD">
        <w:rPr>
          <w:rFonts w:ascii="Verdana" w:hAnsi="Verdana"/>
          <w:color w:val="000000"/>
          <w:sz w:val="20"/>
          <w:szCs w:val="20"/>
        </w:rPr>
        <w:t xml:space="preserve"> a una situación de despido injustificado, a fin de garantizar el acceso a la justicia y </w:t>
      </w:r>
      <w:r>
        <w:rPr>
          <w:rFonts w:ascii="Verdana" w:hAnsi="Verdana"/>
          <w:color w:val="000000"/>
          <w:sz w:val="20"/>
          <w:szCs w:val="20"/>
        </w:rPr>
        <w:t xml:space="preserve">la </w:t>
      </w:r>
      <w:r w:rsidRPr="008827AD">
        <w:rPr>
          <w:rFonts w:ascii="Verdana" w:hAnsi="Verdana"/>
          <w:color w:val="000000"/>
          <w:sz w:val="20"/>
          <w:szCs w:val="20"/>
        </w:rPr>
        <w:t>tutela judicial efectiva</w:t>
      </w:r>
      <w:r w:rsidRPr="00B3760D">
        <w:rPr>
          <w:rFonts w:ascii="Verdana" w:hAnsi="Verdana"/>
          <w:color w:val="000000"/>
          <w:sz w:val="20"/>
          <w:szCs w:val="20"/>
        </w:rPr>
        <w:t xml:space="preserve"> de tales derechos</w:t>
      </w:r>
      <w:r w:rsidR="00815B20">
        <w:rPr>
          <w:rFonts w:ascii="Verdana" w:hAnsi="Verdana"/>
          <w:color w:val="000000"/>
          <w:sz w:val="20"/>
          <w:szCs w:val="20"/>
        </w:rPr>
        <w:t xml:space="preserve"> (</w:t>
      </w:r>
      <w:r w:rsidR="00815B20">
        <w:rPr>
          <w:rFonts w:ascii="Verdana" w:hAnsi="Verdana"/>
          <w:i/>
          <w:color w:val="000000"/>
          <w:sz w:val="20"/>
          <w:szCs w:val="20"/>
        </w:rPr>
        <w:t>infra</w:t>
      </w:r>
      <w:r w:rsidR="00815B20">
        <w:rPr>
          <w:rFonts w:ascii="Verdana" w:hAnsi="Verdana"/>
          <w:color w:val="000000"/>
          <w:sz w:val="20"/>
          <w:szCs w:val="20"/>
        </w:rPr>
        <w:t xml:space="preserve">, </w:t>
      </w:r>
      <w:proofErr w:type="spellStart"/>
      <w:r w:rsidR="00815B20">
        <w:rPr>
          <w:rFonts w:ascii="Verdana" w:hAnsi="Verdana"/>
          <w:color w:val="000000"/>
          <w:sz w:val="20"/>
          <w:szCs w:val="20"/>
        </w:rPr>
        <w:t>p</w:t>
      </w:r>
      <w:r w:rsidR="000E13A2">
        <w:rPr>
          <w:rFonts w:ascii="Verdana" w:hAnsi="Verdana"/>
          <w:color w:val="000000"/>
          <w:sz w:val="20"/>
          <w:szCs w:val="20"/>
        </w:rPr>
        <w:t>árr</w:t>
      </w:r>
      <w:r w:rsidR="00CE3ACC">
        <w:rPr>
          <w:rFonts w:ascii="Verdana" w:hAnsi="Verdana"/>
          <w:color w:val="000000"/>
          <w:sz w:val="20"/>
          <w:szCs w:val="20"/>
        </w:rPr>
        <w:t>s</w:t>
      </w:r>
      <w:proofErr w:type="spellEnd"/>
      <w:r w:rsidR="000E13A2">
        <w:rPr>
          <w:rFonts w:ascii="Verdana" w:hAnsi="Verdana"/>
          <w:color w:val="000000"/>
          <w:sz w:val="20"/>
          <w:szCs w:val="20"/>
        </w:rPr>
        <w:t>. 174</w:t>
      </w:r>
      <w:r w:rsidR="00DD5817">
        <w:rPr>
          <w:rFonts w:ascii="Verdana" w:hAnsi="Verdana"/>
          <w:color w:val="000000"/>
          <w:sz w:val="20"/>
          <w:szCs w:val="20"/>
        </w:rPr>
        <w:t>, 176 y 180</w:t>
      </w:r>
      <w:r w:rsidR="000E13A2">
        <w:rPr>
          <w:rFonts w:ascii="Verdana" w:hAnsi="Verdana"/>
          <w:color w:val="000000"/>
          <w:sz w:val="20"/>
          <w:szCs w:val="20"/>
        </w:rPr>
        <w:t>)</w:t>
      </w:r>
      <w:r w:rsidRPr="00B3760D">
        <w:rPr>
          <w:rFonts w:ascii="Verdana" w:hAnsi="Verdana"/>
          <w:color w:val="000000"/>
          <w:sz w:val="20"/>
          <w:szCs w:val="20"/>
        </w:rPr>
        <w:t>.</w:t>
      </w:r>
    </w:p>
    <w:p w14:paraId="27725E91" w14:textId="77777777" w:rsidR="00032FC5" w:rsidRPr="00B3760D" w:rsidRDefault="00032FC5" w:rsidP="00032FC5">
      <w:pPr>
        <w:contextualSpacing/>
        <w:jc w:val="both"/>
        <w:rPr>
          <w:rFonts w:ascii="Verdana" w:hAnsi="Verdana"/>
          <w:color w:val="000000"/>
          <w:sz w:val="20"/>
        </w:rPr>
      </w:pPr>
    </w:p>
    <w:p w14:paraId="69A2B3C5" w14:textId="5A0DD1F0" w:rsidR="00032FC5" w:rsidRPr="006D5D16" w:rsidRDefault="00032FC5" w:rsidP="00E66DD7">
      <w:pPr>
        <w:numPr>
          <w:ilvl w:val="0"/>
          <w:numId w:val="1"/>
        </w:numPr>
        <w:ind w:left="0" w:firstLine="0"/>
        <w:contextualSpacing/>
        <w:jc w:val="both"/>
        <w:rPr>
          <w:rFonts w:ascii="Verdana" w:hAnsi="Verdana"/>
          <w:strike/>
          <w:sz w:val="20"/>
          <w:szCs w:val="20"/>
          <w:lang w:val="es-MX"/>
        </w:rPr>
      </w:pPr>
      <w:r>
        <w:rPr>
          <w:rFonts w:ascii="Verdana" w:hAnsi="Verdana"/>
          <w:color w:val="000000"/>
          <w:sz w:val="20"/>
          <w:szCs w:val="20"/>
        </w:rPr>
        <w:t>Cabe precisar</w:t>
      </w:r>
      <w:r w:rsidRPr="00B3760D">
        <w:rPr>
          <w:rFonts w:ascii="Verdana" w:hAnsi="Verdana"/>
          <w:color w:val="000000"/>
          <w:sz w:val="20"/>
          <w:szCs w:val="20"/>
        </w:rPr>
        <w:t xml:space="preserve"> que la estabilidad laboral no consiste en una permanencia irrestricta en el puesto de trabajo, sino de </w:t>
      </w:r>
      <w:r>
        <w:rPr>
          <w:rFonts w:ascii="Verdana" w:hAnsi="Verdana"/>
          <w:color w:val="000000"/>
          <w:sz w:val="20"/>
          <w:szCs w:val="20"/>
        </w:rPr>
        <w:t xml:space="preserve">respetar este derecho, entre otras medidas, </w:t>
      </w:r>
      <w:r w:rsidRPr="00B3760D">
        <w:rPr>
          <w:rFonts w:ascii="Verdana" w:hAnsi="Verdana"/>
          <w:color w:val="000000"/>
          <w:sz w:val="20"/>
          <w:szCs w:val="20"/>
        </w:rPr>
        <w:t>otorga</w:t>
      </w:r>
      <w:r>
        <w:rPr>
          <w:rFonts w:ascii="Verdana" w:hAnsi="Verdana"/>
          <w:color w:val="000000"/>
          <w:sz w:val="20"/>
          <w:szCs w:val="20"/>
        </w:rPr>
        <w:t>ndo</w:t>
      </w:r>
      <w:r w:rsidRPr="00B3760D">
        <w:rPr>
          <w:rFonts w:ascii="Verdana" w:hAnsi="Verdana"/>
          <w:color w:val="000000"/>
          <w:sz w:val="20"/>
          <w:szCs w:val="20"/>
        </w:rPr>
        <w:t xml:space="preserve"> </w:t>
      </w:r>
      <w:r>
        <w:rPr>
          <w:rFonts w:ascii="Verdana" w:hAnsi="Verdana"/>
          <w:color w:val="000000"/>
          <w:sz w:val="20"/>
          <w:szCs w:val="20"/>
        </w:rPr>
        <w:t xml:space="preserve">debidas </w:t>
      </w:r>
      <w:r w:rsidRPr="00B3760D">
        <w:rPr>
          <w:rFonts w:ascii="Verdana" w:hAnsi="Verdana"/>
          <w:color w:val="000000"/>
          <w:sz w:val="20"/>
          <w:szCs w:val="20"/>
        </w:rPr>
        <w:t>garantía</w:t>
      </w:r>
      <w:r>
        <w:rPr>
          <w:rFonts w:ascii="Verdana" w:hAnsi="Verdana"/>
          <w:color w:val="000000"/>
          <w:sz w:val="20"/>
          <w:szCs w:val="20"/>
        </w:rPr>
        <w:t>s</w:t>
      </w:r>
      <w:r w:rsidRPr="00B3760D">
        <w:rPr>
          <w:rFonts w:ascii="Verdana" w:hAnsi="Verdana"/>
          <w:color w:val="000000"/>
          <w:sz w:val="20"/>
          <w:szCs w:val="20"/>
        </w:rPr>
        <w:t xml:space="preserve"> de protección</w:t>
      </w:r>
      <w:r w:rsidRPr="00EB16BA">
        <w:rPr>
          <w:rFonts w:ascii="Verdana" w:hAnsi="Verdana"/>
          <w:color w:val="000000"/>
          <w:sz w:val="20"/>
          <w:szCs w:val="20"/>
        </w:rPr>
        <w:t xml:space="preserve"> </w:t>
      </w:r>
      <w:r w:rsidRPr="00B3760D">
        <w:rPr>
          <w:rFonts w:ascii="Verdana" w:hAnsi="Verdana"/>
          <w:color w:val="000000"/>
          <w:sz w:val="20"/>
          <w:szCs w:val="20"/>
        </w:rPr>
        <w:t xml:space="preserve">al trabajador </w:t>
      </w:r>
      <w:r w:rsidRPr="00EB16BA">
        <w:rPr>
          <w:rFonts w:ascii="Verdana" w:hAnsi="Verdana"/>
          <w:color w:val="000000"/>
          <w:sz w:val="20"/>
          <w:szCs w:val="20"/>
        </w:rPr>
        <w:t>a fin de que</w:t>
      </w:r>
      <w:r>
        <w:rPr>
          <w:rFonts w:ascii="Verdana" w:hAnsi="Verdana"/>
          <w:color w:val="000000"/>
          <w:sz w:val="20"/>
          <w:szCs w:val="20"/>
        </w:rPr>
        <w:t>,</w:t>
      </w:r>
      <w:r w:rsidRPr="00EB16BA">
        <w:rPr>
          <w:rFonts w:ascii="Verdana" w:hAnsi="Verdana"/>
          <w:color w:val="000000"/>
          <w:sz w:val="20"/>
          <w:szCs w:val="20"/>
        </w:rPr>
        <w:t xml:space="preserve"> </w:t>
      </w:r>
      <w:r>
        <w:rPr>
          <w:rFonts w:ascii="Verdana" w:hAnsi="Verdana"/>
          <w:color w:val="000000"/>
          <w:sz w:val="20"/>
          <w:szCs w:val="20"/>
        </w:rPr>
        <w:t>en caso de</w:t>
      </w:r>
      <w:r w:rsidRPr="00EB16BA">
        <w:rPr>
          <w:rFonts w:ascii="Verdana" w:hAnsi="Verdana"/>
          <w:color w:val="000000"/>
          <w:sz w:val="20"/>
          <w:szCs w:val="20"/>
        </w:rPr>
        <w:t xml:space="preserve"> despido se realice </w:t>
      </w:r>
      <w:r>
        <w:rPr>
          <w:rFonts w:ascii="Verdana" w:hAnsi="Verdana"/>
          <w:color w:val="000000"/>
          <w:sz w:val="20"/>
          <w:szCs w:val="20"/>
        </w:rPr>
        <w:t xml:space="preserve">éste </w:t>
      </w:r>
      <w:r w:rsidRPr="00EB16BA">
        <w:rPr>
          <w:rFonts w:ascii="Verdana" w:hAnsi="Verdana"/>
          <w:color w:val="000000"/>
          <w:sz w:val="20"/>
          <w:szCs w:val="20"/>
        </w:rPr>
        <w:t>bajo causa</w:t>
      </w:r>
      <w:r>
        <w:rPr>
          <w:rFonts w:ascii="Verdana" w:hAnsi="Verdana"/>
          <w:color w:val="000000"/>
          <w:sz w:val="20"/>
          <w:szCs w:val="20"/>
        </w:rPr>
        <w:t>s</w:t>
      </w:r>
      <w:r w:rsidRPr="00EB16BA">
        <w:rPr>
          <w:rFonts w:ascii="Verdana" w:hAnsi="Verdana"/>
          <w:color w:val="000000"/>
          <w:sz w:val="20"/>
          <w:szCs w:val="20"/>
        </w:rPr>
        <w:t xml:space="preserve"> justificada</w:t>
      </w:r>
      <w:r>
        <w:rPr>
          <w:rFonts w:ascii="Verdana" w:hAnsi="Verdana"/>
          <w:color w:val="000000"/>
          <w:sz w:val="20"/>
          <w:szCs w:val="20"/>
        </w:rPr>
        <w:t>s</w:t>
      </w:r>
      <w:r w:rsidRPr="00EB16BA">
        <w:rPr>
          <w:rFonts w:ascii="Verdana" w:hAnsi="Verdana"/>
          <w:color w:val="000000"/>
          <w:sz w:val="20"/>
          <w:szCs w:val="20"/>
        </w:rPr>
        <w:t xml:space="preserve">, lo cual implica que el empleador </w:t>
      </w:r>
      <w:r>
        <w:rPr>
          <w:rFonts w:ascii="Verdana" w:hAnsi="Verdana"/>
          <w:color w:val="000000"/>
          <w:sz w:val="20"/>
          <w:szCs w:val="20"/>
        </w:rPr>
        <w:t>acredite</w:t>
      </w:r>
      <w:r w:rsidRPr="00EB16BA" w:rsidDel="00B17DE8">
        <w:rPr>
          <w:rFonts w:ascii="Verdana" w:hAnsi="Verdana"/>
          <w:color w:val="000000"/>
          <w:sz w:val="20"/>
          <w:szCs w:val="20"/>
        </w:rPr>
        <w:t xml:space="preserve"> </w:t>
      </w:r>
      <w:r>
        <w:rPr>
          <w:rFonts w:ascii="Verdana" w:hAnsi="Verdana"/>
          <w:color w:val="000000"/>
          <w:sz w:val="20"/>
          <w:szCs w:val="20"/>
        </w:rPr>
        <w:t xml:space="preserve">las </w:t>
      </w:r>
      <w:r w:rsidRPr="00EB16BA">
        <w:rPr>
          <w:rFonts w:ascii="Verdana" w:hAnsi="Verdana"/>
          <w:color w:val="000000"/>
          <w:sz w:val="20"/>
          <w:szCs w:val="20"/>
        </w:rPr>
        <w:t xml:space="preserve">razones </w:t>
      </w:r>
      <w:r>
        <w:rPr>
          <w:rFonts w:ascii="Verdana" w:hAnsi="Verdana"/>
          <w:color w:val="000000"/>
          <w:sz w:val="20"/>
          <w:szCs w:val="20"/>
        </w:rPr>
        <w:t xml:space="preserve">suficientes para imponer dicha sanción con las debidas garantías, y frente </w:t>
      </w:r>
      <w:r w:rsidR="008638D8">
        <w:rPr>
          <w:rFonts w:ascii="Verdana" w:hAnsi="Verdana"/>
          <w:color w:val="000000"/>
          <w:sz w:val="20"/>
          <w:szCs w:val="20"/>
        </w:rPr>
        <w:t xml:space="preserve">a </w:t>
      </w:r>
      <w:r>
        <w:rPr>
          <w:rFonts w:ascii="Verdana" w:hAnsi="Verdana"/>
          <w:color w:val="000000"/>
          <w:sz w:val="20"/>
          <w:szCs w:val="20"/>
        </w:rPr>
        <w:t>ello el trabajador pueda</w:t>
      </w:r>
      <w:r w:rsidRPr="00EB16BA">
        <w:rPr>
          <w:rFonts w:ascii="Verdana" w:hAnsi="Verdana"/>
          <w:color w:val="000000"/>
          <w:sz w:val="20"/>
          <w:szCs w:val="20"/>
        </w:rPr>
        <w:t xml:space="preserve"> recurrir tal decisión ante </w:t>
      </w:r>
      <w:r>
        <w:rPr>
          <w:rFonts w:ascii="Verdana" w:hAnsi="Verdana"/>
          <w:color w:val="000000"/>
          <w:sz w:val="20"/>
          <w:szCs w:val="20"/>
        </w:rPr>
        <w:t>las autoridades internas, quienes</w:t>
      </w:r>
      <w:r w:rsidRPr="00EB16BA">
        <w:rPr>
          <w:rFonts w:ascii="Verdana" w:hAnsi="Verdana"/>
          <w:color w:val="000000"/>
          <w:sz w:val="20"/>
          <w:szCs w:val="20"/>
        </w:rPr>
        <w:t xml:space="preserve"> </w:t>
      </w:r>
      <w:r>
        <w:rPr>
          <w:rFonts w:ascii="Verdana" w:hAnsi="Verdana"/>
          <w:color w:val="000000"/>
          <w:sz w:val="20"/>
          <w:szCs w:val="20"/>
        </w:rPr>
        <w:t xml:space="preserve">verifiquen que las causales imputadas no sean </w:t>
      </w:r>
      <w:r w:rsidRPr="00EB16BA">
        <w:rPr>
          <w:rFonts w:ascii="Verdana" w:hAnsi="Verdana"/>
          <w:color w:val="000000"/>
          <w:sz w:val="20"/>
          <w:szCs w:val="20"/>
        </w:rPr>
        <w:t>arbitraria</w:t>
      </w:r>
      <w:r>
        <w:rPr>
          <w:rFonts w:ascii="Verdana" w:hAnsi="Verdana"/>
          <w:color w:val="000000"/>
          <w:sz w:val="20"/>
          <w:szCs w:val="20"/>
        </w:rPr>
        <w:t>s o contrarias a derecho.</w:t>
      </w:r>
      <w:r w:rsidRPr="00EB16BA">
        <w:rPr>
          <w:rFonts w:ascii="Verdana" w:hAnsi="Verdana"/>
          <w:color w:val="000000"/>
          <w:sz w:val="20"/>
          <w:szCs w:val="20"/>
        </w:rPr>
        <w:t xml:space="preserve"> </w:t>
      </w:r>
    </w:p>
    <w:p w14:paraId="21D77744" w14:textId="77777777" w:rsidR="00032FC5" w:rsidRPr="008E104E" w:rsidRDefault="00032FC5" w:rsidP="00032FC5">
      <w:pPr>
        <w:contextualSpacing/>
        <w:jc w:val="both"/>
        <w:rPr>
          <w:rFonts w:ascii="Verdana" w:hAnsi="Verdana"/>
          <w:strike/>
          <w:sz w:val="20"/>
          <w:szCs w:val="20"/>
        </w:rPr>
      </w:pPr>
    </w:p>
    <w:p w14:paraId="6207385A" w14:textId="157F5B7B" w:rsidR="00032FC5" w:rsidRPr="006D5D16" w:rsidRDefault="00032FC5" w:rsidP="00E66DD7">
      <w:pPr>
        <w:numPr>
          <w:ilvl w:val="0"/>
          <w:numId w:val="1"/>
        </w:numPr>
        <w:ind w:left="0" w:firstLine="0"/>
        <w:contextualSpacing/>
        <w:jc w:val="both"/>
        <w:rPr>
          <w:rFonts w:ascii="Verdana" w:hAnsi="Verdana"/>
          <w:sz w:val="20"/>
          <w:szCs w:val="20"/>
          <w:lang w:val="es-MX"/>
        </w:rPr>
      </w:pPr>
      <w:r w:rsidRPr="00890AFE">
        <w:rPr>
          <w:rFonts w:ascii="Verdana" w:hAnsi="Verdana"/>
          <w:color w:val="000000"/>
          <w:sz w:val="20"/>
          <w:szCs w:val="20"/>
        </w:rPr>
        <w:t xml:space="preserve">En el caso concreto, el señor Lagos del Campo había trabajado </w:t>
      </w:r>
      <w:r>
        <w:rPr>
          <w:rFonts w:ascii="Verdana" w:hAnsi="Verdana"/>
          <w:color w:val="000000"/>
          <w:sz w:val="20"/>
          <w:szCs w:val="20"/>
        </w:rPr>
        <w:t xml:space="preserve">como obrero </w:t>
      </w:r>
      <w:r w:rsidRPr="00890AFE">
        <w:rPr>
          <w:rFonts w:ascii="Verdana" w:hAnsi="Verdana"/>
          <w:color w:val="000000"/>
          <w:sz w:val="20"/>
          <w:szCs w:val="20"/>
        </w:rPr>
        <w:t xml:space="preserve">aproximadamente 13 años </w:t>
      </w:r>
      <w:r>
        <w:rPr>
          <w:rFonts w:ascii="Verdana" w:hAnsi="Verdana"/>
          <w:color w:val="000000"/>
          <w:sz w:val="20"/>
          <w:szCs w:val="20"/>
        </w:rPr>
        <w:t>en la referida</w:t>
      </w:r>
      <w:r w:rsidRPr="00D43A62">
        <w:rPr>
          <w:rFonts w:ascii="Verdana" w:hAnsi="Verdana"/>
          <w:color w:val="000000"/>
          <w:sz w:val="20"/>
          <w:szCs w:val="20"/>
        </w:rPr>
        <w:t xml:space="preserve"> empresa, y al momento de los hechos ocupaba el cargo de Presidente del Comité Electoral de la Comunidad Industrial de la empresa y delegado pleno ante el CONACI. Con motivo de </w:t>
      </w:r>
      <w:r>
        <w:rPr>
          <w:rFonts w:ascii="Verdana" w:hAnsi="Verdana"/>
          <w:color w:val="000000"/>
          <w:sz w:val="20"/>
          <w:szCs w:val="20"/>
        </w:rPr>
        <w:t>las</w:t>
      </w:r>
      <w:r w:rsidRPr="00890AFE">
        <w:rPr>
          <w:rFonts w:ascii="Verdana" w:hAnsi="Verdana"/>
          <w:color w:val="000000"/>
          <w:sz w:val="20"/>
          <w:szCs w:val="20"/>
        </w:rPr>
        <w:t xml:space="preserve"> manifestaciones </w:t>
      </w:r>
      <w:r>
        <w:rPr>
          <w:rFonts w:ascii="Verdana" w:hAnsi="Verdana"/>
          <w:color w:val="000000"/>
          <w:sz w:val="20"/>
          <w:szCs w:val="20"/>
        </w:rPr>
        <w:t xml:space="preserve">recogidas en la entrevista publicada en la revista La Razón, </w:t>
      </w:r>
      <w:r w:rsidRPr="00890AFE">
        <w:rPr>
          <w:rFonts w:ascii="Verdana" w:hAnsi="Verdana"/>
          <w:color w:val="000000"/>
          <w:sz w:val="20"/>
          <w:szCs w:val="20"/>
        </w:rPr>
        <w:t>en el contexto de las elecciones internas</w:t>
      </w:r>
      <w:r>
        <w:rPr>
          <w:rFonts w:ascii="Verdana" w:hAnsi="Verdana"/>
          <w:color w:val="000000"/>
          <w:sz w:val="20"/>
          <w:szCs w:val="20"/>
        </w:rPr>
        <w:t xml:space="preserve">, el señor Lagos del Campo fue despedido bajo la causal de haber realizado una falta grave de palabra contra el empleador. El señor Lagos del Campo impugnó dicha decisión ante los órganos competentes, la cual fue avalada en segunda instancia, al considerar </w:t>
      </w:r>
      <w:r w:rsidR="008638D8">
        <w:rPr>
          <w:rFonts w:ascii="Verdana" w:hAnsi="Verdana"/>
          <w:color w:val="000000"/>
          <w:sz w:val="20"/>
          <w:szCs w:val="20"/>
        </w:rPr>
        <w:t xml:space="preserve">que </w:t>
      </w:r>
      <w:r>
        <w:rPr>
          <w:rFonts w:ascii="Verdana" w:hAnsi="Verdana"/>
          <w:color w:val="000000"/>
          <w:sz w:val="20"/>
          <w:szCs w:val="20"/>
        </w:rPr>
        <w:t>el despido se habría dado bajo causa justificada. Dicha decisión fue recurrida ante diversas instancias internas sin haber encontrado tutela, particularmente, respecto de su derecho a la estabilidad laboral, al alegarse causas injustificadas o carentes de motivos para el despido y afectaciones al debido proceso. Es decir, frente al despido arbitrario por parte de la empresa (</w:t>
      </w:r>
      <w:r w:rsidRPr="006D5D16">
        <w:rPr>
          <w:rFonts w:ascii="Verdana" w:hAnsi="Verdana"/>
          <w:i/>
          <w:color w:val="000000"/>
          <w:sz w:val="20"/>
          <w:szCs w:val="20"/>
        </w:rPr>
        <w:t>supra</w:t>
      </w:r>
      <w:r>
        <w:rPr>
          <w:rFonts w:ascii="Verdana" w:hAnsi="Verdana"/>
          <w:color w:val="000000"/>
          <w:sz w:val="20"/>
          <w:szCs w:val="20"/>
        </w:rPr>
        <w:t xml:space="preserve">, párr. </w:t>
      </w:r>
      <w:r w:rsidR="00D97397">
        <w:rPr>
          <w:rFonts w:ascii="Verdana" w:hAnsi="Verdana"/>
          <w:color w:val="000000"/>
          <w:sz w:val="20"/>
          <w:szCs w:val="20"/>
        </w:rPr>
        <w:t>132</w:t>
      </w:r>
      <w:r>
        <w:rPr>
          <w:rFonts w:ascii="Verdana" w:hAnsi="Verdana"/>
          <w:color w:val="000000"/>
          <w:sz w:val="20"/>
          <w:szCs w:val="20"/>
        </w:rPr>
        <w:t xml:space="preserve">) el Estado no adoptó las medidas adecuadas para proteger la vulneración del derecho al trabajo imputable a terceros. </w:t>
      </w:r>
      <w:r>
        <w:rPr>
          <w:rFonts w:ascii="Verdana" w:hAnsi="Verdana"/>
          <w:color w:val="000000"/>
          <w:sz w:val="20"/>
          <w:szCs w:val="20"/>
        </w:rPr>
        <w:lastRenderedPageBreak/>
        <w:t xml:space="preserve">Por ende, no se le reinstaló en su puesto de trabajo ni recibió ninguna indemnización ni los beneficios correspondientes. </w:t>
      </w:r>
    </w:p>
    <w:p w14:paraId="4A09CDEE" w14:textId="77777777" w:rsidR="00032FC5" w:rsidRPr="006D5D16" w:rsidRDefault="00032FC5" w:rsidP="00032FC5">
      <w:pPr>
        <w:contextualSpacing/>
        <w:jc w:val="both"/>
        <w:rPr>
          <w:rFonts w:ascii="Verdana" w:hAnsi="Verdana"/>
          <w:sz w:val="20"/>
          <w:szCs w:val="20"/>
          <w:lang w:val="es-MX"/>
        </w:rPr>
      </w:pPr>
    </w:p>
    <w:p w14:paraId="752DF940" w14:textId="77777777" w:rsidR="00032FC5" w:rsidRDefault="00032FC5" w:rsidP="00E66DD7">
      <w:pPr>
        <w:numPr>
          <w:ilvl w:val="0"/>
          <w:numId w:val="1"/>
        </w:numPr>
        <w:ind w:left="0" w:firstLine="0"/>
        <w:contextualSpacing/>
        <w:jc w:val="both"/>
        <w:rPr>
          <w:rFonts w:ascii="Verdana" w:hAnsi="Verdana"/>
          <w:sz w:val="20"/>
          <w:szCs w:val="20"/>
        </w:rPr>
      </w:pPr>
      <w:r>
        <w:rPr>
          <w:rFonts w:ascii="Verdana" w:hAnsi="Verdana"/>
          <w:sz w:val="20"/>
          <w:szCs w:val="20"/>
        </w:rPr>
        <w:t>Con motivo de ello, el señor Lagos del Campo perdió su empleo, la posibilidad de acceder a una pensión por jubilación, así como ejercer sus derechos como representante de los trabajadores. Tal incidente tuvo como consecuencia ciertas repercusiones en su vida profesional, personal y familiar (</w:t>
      </w:r>
      <w:r w:rsidRPr="003B45F4">
        <w:rPr>
          <w:rFonts w:ascii="Verdana" w:hAnsi="Verdana"/>
          <w:i/>
          <w:sz w:val="20"/>
          <w:szCs w:val="20"/>
        </w:rPr>
        <w:t>supra,</w:t>
      </w:r>
      <w:r>
        <w:rPr>
          <w:rFonts w:ascii="Verdana" w:hAnsi="Verdana"/>
          <w:sz w:val="20"/>
          <w:szCs w:val="20"/>
        </w:rPr>
        <w:t xml:space="preserve"> párr. 72). Al respecto, </w:t>
      </w:r>
      <w:r w:rsidRPr="00F44AE6">
        <w:rPr>
          <w:rFonts w:ascii="Verdana" w:hAnsi="Verdana"/>
          <w:sz w:val="20"/>
          <w:szCs w:val="20"/>
        </w:rPr>
        <w:t xml:space="preserve">Lagos del Campo declaró en la audiencia pública ante la Corte </w:t>
      </w:r>
      <w:r>
        <w:rPr>
          <w:rFonts w:ascii="Verdana" w:hAnsi="Verdana"/>
          <w:sz w:val="20"/>
          <w:szCs w:val="20"/>
        </w:rPr>
        <w:t>que entre las</w:t>
      </w:r>
      <w:r w:rsidRPr="00F44AE6">
        <w:rPr>
          <w:rFonts w:ascii="Verdana" w:hAnsi="Verdana"/>
          <w:sz w:val="20"/>
          <w:szCs w:val="20"/>
        </w:rPr>
        <w:t xml:space="preserve"> consecuencias de su despido fueron las siguientes: </w:t>
      </w:r>
    </w:p>
    <w:p w14:paraId="7FC00BA0" w14:textId="6DBB6323" w:rsidR="00032FC5" w:rsidRPr="00F44AE6" w:rsidRDefault="000002AB" w:rsidP="00801513">
      <w:pPr>
        <w:tabs>
          <w:tab w:val="left" w:pos="974"/>
        </w:tabs>
        <w:contextualSpacing/>
        <w:jc w:val="both"/>
        <w:rPr>
          <w:rFonts w:ascii="Verdana" w:hAnsi="Verdana"/>
          <w:sz w:val="20"/>
          <w:szCs w:val="20"/>
        </w:rPr>
      </w:pPr>
      <w:r>
        <w:rPr>
          <w:rFonts w:ascii="Verdana" w:hAnsi="Verdana"/>
          <w:sz w:val="20"/>
          <w:szCs w:val="20"/>
        </w:rPr>
        <w:tab/>
      </w:r>
    </w:p>
    <w:p w14:paraId="058AF13D" w14:textId="51E536EE" w:rsidR="00032FC5" w:rsidRDefault="00032FC5" w:rsidP="00032FC5">
      <w:pPr>
        <w:ind w:left="720" w:right="720"/>
        <w:jc w:val="both"/>
        <w:rPr>
          <w:rFonts w:ascii="Verdana" w:hAnsi="Verdana"/>
          <w:sz w:val="18"/>
          <w:szCs w:val="18"/>
        </w:rPr>
      </w:pPr>
      <w:r>
        <w:rPr>
          <w:rFonts w:ascii="Verdana" w:hAnsi="Verdana"/>
          <w:sz w:val="18"/>
          <w:szCs w:val="18"/>
        </w:rPr>
        <w:t>[No pudo acceder a una jubilación porque] [</w:t>
      </w:r>
      <w:proofErr w:type="gramStart"/>
      <w:r>
        <w:rPr>
          <w:rFonts w:ascii="Verdana" w:hAnsi="Verdana"/>
          <w:sz w:val="18"/>
          <w:szCs w:val="18"/>
        </w:rPr>
        <w:t>f]</w:t>
      </w:r>
      <w:proofErr w:type="spellStart"/>
      <w:proofErr w:type="gramEnd"/>
      <w:r w:rsidRPr="00D91D79">
        <w:rPr>
          <w:rFonts w:ascii="Verdana" w:hAnsi="Verdana"/>
          <w:sz w:val="18"/>
          <w:szCs w:val="18"/>
        </w:rPr>
        <w:t>altaban</w:t>
      </w:r>
      <w:proofErr w:type="spellEnd"/>
      <w:r w:rsidRPr="00D91D79">
        <w:rPr>
          <w:rFonts w:ascii="Verdana" w:hAnsi="Verdana"/>
          <w:sz w:val="18"/>
          <w:szCs w:val="18"/>
        </w:rPr>
        <w:t xml:space="preserve"> cinco años según las leyes para poder acceder a una jubilación digna para poder sobrevivir, pero todo eso </w:t>
      </w:r>
      <w:proofErr w:type="spellStart"/>
      <w:r w:rsidRPr="00D91D79">
        <w:rPr>
          <w:rFonts w:ascii="Verdana" w:hAnsi="Verdana"/>
          <w:sz w:val="18"/>
          <w:szCs w:val="18"/>
        </w:rPr>
        <w:t>est</w:t>
      </w:r>
      <w:proofErr w:type="spellEnd"/>
      <w:r>
        <w:rPr>
          <w:rFonts w:ascii="Verdana" w:hAnsi="Verdana"/>
          <w:sz w:val="18"/>
          <w:szCs w:val="18"/>
        </w:rPr>
        <w:t>[</w:t>
      </w:r>
      <w:proofErr w:type="spellStart"/>
      <w:r>
        <w:rPr>
          <w:rFonts w:ascii="Verdana" w:hAnsi="Verdana"/>
          <w:sz w:val="18"/>
          <w:szCs w:val="18"/>
        </w:rPr>
        <w:t>uvo</w:t>
      </w:r>
      <w:proofErr w:type="spellEnd"/>
      <w:r>
        <w:rPr>
          <w:rFonts w:ascii="Verdana" w:hAnsi="Verdana"/>
          <w:sz w:val="18"/>
          <w:szCs w:val="18"/>
        </w:rPr>
        <w:t>]</w:t>
      </w:r>
      <w:r w:rsidRPr="00D91D79">
        <w:rPr>
          <w:rFonts w:ascii="Verdana" w:hAnsi="Verdana"/>
          <w:sz w:val="18"/>
          <w:szCs w:val="18"/>
        </w:rPr>
        <w:t xml:space="preserve"> conculcado porque no contaba en ese entonces con el requisito que era o exigía la ley de presidente.</w:t>
      </w:r>
      <w:r>
        <w:rPr>
          <w:rFonts w:ascii="Verdana" w:hAnsi="Verdana"/>
          <w:sz w:val="18"/>
          <w:szCs w:val="18"/>
        </w:rPr>
        <w:t xml:space="preserve"> […] </w:t>
      </w:r>
      <w:r w:rsidRPr="00D91D79">
        <w:rPr>
          <w:rFonts w:ascii="Verdana" w:hAnsi="Verdana"/>
          <w:sz w:val="18"/>
          <w:szCs w:val="18"/>
        </w:rPr>
        <w:t xml:space="preserve">Durante la dictadura de ese gobierno </w:t>
      </w:r>
      <w:r>
        <w:rPr>
          <w:rFonts w:ascii="Verdana" w:hAnsi="Verdana"/>
          <w:sz w:val="18"/>
          <w:szCs w:val="18"/>
        </w:rPr>
        <w:t>[…]</w:t>
      </w:r>
      <w:r w:rsidRPr="00D91D79">
        <w:rPr>
          <w:rFonts w:ascii="Verdana" w:hAnsi="Verdana"/>
          <w:sz w:val="18"/>
          <w:szCs w:val="18"/>
        </w:rPr>
        <w:t>, lamentablemente todo ciudadano o trabajador después de los cincuenta ya no tenía acceso a ninguna empresa ni a un puesto rentable.</w:t>
      </w:r>
      <w:r>
        <w:rPr>
          <w:rFonts w:ascii="Verdana" w:hAnsi="Verdana"/>
          <w:sz w:val="18"/>
          <w:szCs w:val="18"/>
        </w:rPr>
        <w:t xml:space="preserve"> […] [Además que]</w:t>
      </w:r>
      <w:r w:rsidRPr="00D91D79">
        <w:rPr>
          <w:rFonts w:ascii="Verdana" w:hAnsi="Verdana"/>
          <w:sz w:val="18"/>
          <w:szCs w:val="18"/>
        </w:rPr>
        <w:t xml:space="preserve"> después de tantos largos años de sufrimiento, de pedir justicia nacional, en este caso internacional, </w:t>
      </w:r>
      <w:r>
        <w:rPr>
          <w:rFonts w:ascii="Verdana" w:hAnsi="Verdana"/>
          <w:sz w:val="18"/>
          <w:szCs w:val="18"/>
        </w:rPr>
        <w:t>[…]</w:t>
      </w:r>
      <w:r w:rsidRPr="00D91D79">
        <w:rPr>
          <w:rFonts w:ascii="Verdana" w:hAnsi="Verdana"/>
          <w:sz w:val="18"/>
          <w:szCs w:val="18"/>
        </w:rPr>
        <w:t xml:space="preserve"> </w:t>
      </w:r>
      <w:proofErr w:type="spellStart"/>
      <w:proofErr w:type="gramStart"/>
      <w:r w:rsidRPr="00D91D79">
        <w:rPr>
          <w:rFonts w:ascii="Verdana" w:hAnsi="Verdana"/>
          <w:sz w:val="18"/>
          <w:szCs w:val="18"/>
        </w:rPr>
        <w:t>sufr</w:t>
      </w:r>
      <w:proofErr w:type="spellEnd"/>
      <w:r>
        <w:rPr>
          <w:rFonts w:ascii="Verdana" w:hAnsi="Verdana"/>
          <w:sz w:val="18"/>
          <w:szCs w:val="18"/>
        </w:rPr>
        <w:t>[</w:t>
      </w:r>
      <w:proofErr w:type="spellStart"/>
      <w:proofErr w:type="gramEnd"/>
      <w:r>
        <w:rPr>
          <w:rFonts w:ascii="Verdana" w:hAnsi="Verdana"/>
          <w:sz w:val="18"/>
          <w:szCs w:val="18"/>
        </w:rPr>
        <w:t>ió</w:t>
      </w:r>
      <w:proofErr w:type="spellEnd"/>
      <w:r>
        <w:rPr>
          <w:rFonts w:ascii="Verdana" w:hAnsi="Verdana"/>
          <w:sz w:val="18"/>
          <w:szCs w:val="18"/>
        </w:rPr>
        <w:t>]</w:t>
      </w:r>
      <w:r w:rsidRPr="00D91D79">
        <w:rPr>
          <w:rFonts w:ascii="Verdana" w:hAnsi="Verdana"/>
          <w:sz w:val="18"/>
          <w:szCs w:val="18"/>
        </w:rPr>
        <w:t xml:space="preserve"> </w:t>
      </w:r>
      <w:r>
        <w:rPr>
          <w:rFonts w:ascii="Verdana" w:hAnsi="Verdana"/>
          <w:sz w:val="18"/>
          <w:szCs w:val="18"/>
        </w:rPr>
        <w:t>[en el 2015]</w:t>
      </w:r>
      <w:r w:rsidRPr="00D91D79">
        <w:rPr>
          <w:rFonts w:ascii="Verdana" w:hAnsi="Verdana"/>
          <w:sz w:val="18"/>
          <w:szCs w:val="18"/>
        </w:rPr>
        <w:t xml:space="preserve"> </w:t>
      </w:r>
      <w:r>
        <w:rPr>
          <w:rFonts w:ascii="Verdana" w:hAnsi="Verdana"/>
          <w:sz w:val="18"/>
          <w:szCs w:val="18"/>
        </w:rPr>
        <w:t>[afectaciones a su salud] […</w:t>
      </w:r>
      <w:r w:rsidRPr="00DD5817">
        <w:rPr>
          <w:rFonts w:ascii="Verdana" w:hAnsi="Verdana"/>
          <w:sz w:val="18"/>
          <w:szCs w:val="18"/>
        </w:rPr>
        <w:t>].</w:t>
      </w:r>
    </w:p>
    <w:p w14:paraId="3E556B3B" w14:textId="77777777" w:rsidR="00032FC5" w:rsidRPr="006D5D16" w:rsidRDefault="00032FC5" w:rsidP="00032FC5">
      <w:pPr>
        <w:ind w:left="720" w:right="720"/>
        <w:jc w:val="both"/>
        <w:rPr>
          <w:rFonts w:ascii="Verdana" w:hAnsi="Verdana"/>
          <w:sz w:val="18"/>
          <w:szCs w:val="18"/>
        </w:rPr>
      </w:pPr>
    </w:p>
    <w:p w14:paraId="2C2F610A" w14:textId="24D32CA4" w:rsidR="0059018A" w:rsidRPr="00333304" w:rsidRDefault="00032FC5" w:rsidP="00E66DD7">
      <w:pPr>
        <w:numPr>
          <w:ilvl w:val="0"/>
          <w:numId w:val="1"/>
        </w:numPr>
        <w:ind w:left="0" w:firstLine="0"/>
        <w:contextualSpacing/>
        <w:jc w:val="both"/>
        <w:rPr>
          <w:rFonts w:ascii="Verdana" w:hAnsi="Verdana"/>
          <w:sz w:val="20"/>
          <w:szCs w:val="20"/>
        </w:rPr>
      </w:pPr>
      <w:r w:rsidRPr="00333304">
        <w:rPr>
          <w:rFonts w:ascii="Verdana" w:hAnsi="Verdana"/>
          <w:color w:val="000000"/>
          <w:sz w:val="20"/>
          <w:szCs w:val="20"/>
        </w:rPr>
        <w:t xml:space="preserve">En </w:t>
      </w:r>
      <w:r w:rsidR="00E606B9" w:rsidRPr="00333304">
        <w:rPr>
          <w:rFonts w:ascii="Verdana" w:hAnsi="Verdana"/>
          <w:color w:val="000000"/>
          <w:sz w:val="20"/>
          <w:szCs w:val="20"/>
        </w:rPr>
        <w:t>vista</w:t>
      </w:r>
      <w:r w:rsidR="00CB7CCB" w:rsidRPr="00333304">
        <w:rPr>
          <w:rFonts w:ascii="Verdana" w:hAnsi="Verdana"/>
          <w:color w:val="000000"/>
          <w:sz w:val="20"/>
          <w:szCs w:val="20"/>
        </w:rPr>
        <w:t xml:space="preserve"> de lo anterior</w:t>
      </w:r>
      <w:r w:rsidRPr="00333304">
        <w:rPr>
          <w:rFonts w:ascii="Verdana" w:hAnsi="Verdana"/>
          <w:color w:val="000000"/>
          <w:sz w:val="20"/>
          <w:szCs w:val="20"/>
        </w:rPr>
        <w:t>, la Corte con</w:t>
      </w:r>
      <w:r w:rsidR="00E606B9" w:rsidRPr="00333304">
        <w:rPr>
          <w:rFonts w:ascii="Verdana" w:hAnsi="Verdana"/>
          <w:color w:val="000000"/>
          <w:sz w:val="20"/>
          <w:szCs w:val="20"/>
        </w:rPr>
        <w:t>cluye</w:t>
      </w:r>
      <w:r w:rsidRPr="00333304">
        <w:rPr>
          <w:rFonts w:ascii="Verdana" w:hAnsi="Verdana"/>
          <w:color w:val="000000"/>
          <w:sz w:val="20"/>
          <w:szCs w:val="20"/>
        </w:rPr>
        <w:t xml:space="preserve"> que, </w:t>
      </w:r>
      <w:r w:rsidR="00CB7CCB" w:rsidRPr="00333304">
        <w:rPr>
          <w:rFonts w:ascii="Verdana" w:hAnsi="Verdana"/>
          <w:color w:val="000000"/>
          <w:sz w:val="20"/>
          <w:szCs w:val="20"/>
        </w:rPr>
        <w:t xml:space="preserve">con motivo del </w:t>
      </w:r>
      <w:r w:rsidRPr="00333304">
        <w:rPr>
          <w:rFonts w:ascii="Verdana" w:hAnsi="Verdana"/>
          <w:color w:val="000000"/>
          <w:sz w:val="20"/>
          <w:szCs w:val="20"/>
        </w:rPr>
        <w:t xml:space="preserve">despido </w:t>
      </w:r>
      <w:r w:rsidR="00CB7CCB" w:rsidRPr="00333304">
        <w:rPr>
          <w:rFonts w:ascii="Verdana" w:hAnsi="Verdana"/>
          <w:color w:val="000000"/>
          <w:sz w:val="20"/>
          <w:szCs w:val="20"/>
        </w:rPr>
        <w:t>arbitrario del señor Lagos del Campo</w:t>
      </w:r>
      <w:r w:rsidRPr="00333304">
        <w:rPr>
          <w:rFonts w:ascii="Verdana" w:hAnsi="Verdana"/>
          <w:color w:val="000000"/>
          <w:sz w:val="20"/>
          <w:szCs w:val="20"/>
        </w:rPr>
        <w:t>,</w:t>
      </w:r>
      <w:r w:rsidR="00CB7CCB" w:rsidRPr="00333304">
        <w:rPr>
          <w:rFonts w:ascii="Verdana" w:hAnsi="Verdana"/>
          <w:color w:val="000000"/>
          <w:sz w:val="20"/>
          <w:szCs w:val="20"/>
        </w:rPr>
        <w:t xml:space="preserve"> </w:t>
      </w:r>
      <w:r w:rsidR="00F67F8B" w:rsidRPr="00333304">
        <w:rPr>
          <w:rFonts w:ascii="Verdana" w:hAnsi="Verdana"/>
          <w:color w:val="000000"/>
          <w:sz w:val="20"/>
          <w:szCs w:val="20"/>
        </w:rPr>
        <w:t xml:space="preserve">se le </w:t>
      </w:r>
      <w:r w:rsidR="00E606B9" w:rsidRPr="00333304">
        <w:rPr>
          <w:rFonts w:ascii="Verdana" w:hAnsi="Verdana"/>
          <w:color w:val="000000"/>
          <w:sz w:val="20"/>
          <w:szCs w:val="20"/>
        </w:rPr>
        <w:t>priv</w:t>
      </w:r>
      <w:r w:rsidR="00F67F8B" w:rsidRPr="00333304">
        <w:rPr>
          <w:rFonts w:ascii="Verdana" w:hAnsi="Verdana"/>
          <w:color w:val="000000"/>
          <w:sz w:val="20"/>
          <w:szCs w:val="20"/>
        </w:rPr>
        <w:t>ó</w:t>
      </w:r>
      <w:r w:rsidR="00CB7CCB" w:rsidRPr="00333304">
        <w:rPr>
          <w:rFonts w:ascii="Verdana" w:hAnsi="Verdana"/>
          <w:color w:val="000000"/>
          <w:sz w:val="20"/>
          <w:szCs w:val="20"/>
        </w:rPr>
        <w:t xml:space="preserve"> </w:t>
      </w:r>
      <w:r w:rsidR="00F67F8B" w:rsidRPr="00333304">
        <w:rPr>
          <w:rFonts w:ascii="Verdana" w:hAnsi="Verdana"/>
          <w:color w:val="000000"/>
          <w:sz w:val="20"/>
          <w:szCs w:val="20"/>
        </w:rPr>
        <w:t xml:space="preserve">de su empleo </w:t>
      </w:r>
      <w:r w:rsidR="00CB7CCB" w:rsidRPr="00333304">
        <w:rPr>
          <w:rFonts w:ascii="Verdana" w:hAnsi="Verdana"/>
          <w:color w:val="000000"/>
          <w:sz w:val="20"/>
          <w:szCs w:val="20"/>
        </w:rPr>
        <w:t xml:space="preserve">y demás </w:t>
      </w:r>
      <w:r w:rsidR="00F67F8B" w:rsidRPr="00333304">
        <w:rPr>
          <w:rFonts w:ascii="Verdana" w:hAnsi="Verdana"/>
          <w:color w:val="000000"/>
          <w:sz w:val="20"/>
          <w:szCs w:val="20"/>
        </w:rPr>
        <w:t xml:space="preserve">beneficios </w:t>
      </w:r>
      <w:r w:rsidR="00CB7CCB" w:rsidRPr="00333304">
        <w:rPr>
          <w:rFonts w:ascii="Verdana" w:hAnsi="Verdana"/>
          <w:color w:val="000000"/>
          <w:sz w:val="20"/>
          <w:szCs w:val="20"/>
        </w:rPr>
        <w:t>de</w:t>
      </w:r>
      <w:r w:rsidR="00F67F8B" w:rsidRPr="00333304">
        <w:rPr>
          <w:rFonts w:ascii="Verdana" w:hAnsi="Verdana"/>
          <w:color w:val="000000"/>
          <w:sz w:val="20"/>
          <w:szCs w:val="20"/>
        </w:rPr>
        <w:t xml:space="preserve">rivados de la seguridad social, </w:t>
      </w:r>
      <w:r w:rsidR="00E553FE" w:rsidRPr="00333304">
        <w:rPr>
          <w:rFonts w:ascii="Verdana" w:hAnsi="Verdana"/>
          <w:color w:val="000000"/>
          <w:sz w:val="20"/>
          <w:szCs w:val="20"/>
        </w:rPr>
        <w:t xml:space="preserve">ante lo cual </w:t>
      </w:r>
      <w:r w:rsidR="00CB7CCB" w:rsidRPr="00333304">
        <w:rPr>
          <w:rFonts w:ascii="Verdana" w:hAnsi="Verdana"/>
          <w:color w:val="000000"/>
          <w:sz w:val="20"/>
          <w:szCs w:val="20"/>
        </w:rPr>
        <w:t>el Estado peruano</w:t>
      </w:r>
      <w:r w:rsidRPr="00333304">
        <w:rPr>
          <w:rFonts w:ascii="Verdana" w:hAnsi="Verdana"/>
          <w:color w:val="000000"/>
          <w:sz w:val="20"/>
          <w:szCs w:val="20"/>
        </w:rPr>
        <w:t xml:space="preserve"> </w:t>
      </w:r>
      <w:r w:rsidR="00CB7CCB" w:rsidRPr="00333304">
        <w:rPr>
          <w:rFonts w:ascii="Verdana" w:hAnsi="Verdana"/>
          <w:color w:val="000000"/>
          <w:sz w:val="20"/>
          <w:szCs w:val="20"/>
        </w:rPr>
        <w:t xml:space="preserve">no tuteló </w:t>
      </w:r>
      <w:r w:rsidR="00E606B9" w:rsidRPr="00333304">
        <w:rPr>
          <w:rFonts w:ascii="Verdana" w:hAnsi="Verdana"/>
          <w:color w:val="000000"/>
          <w:sz w:val="20"/>
          <w:szCs w:val="20"/>
        </w:rPr>
        <w:t>el</w:t>
      </w:r>
      <w:r w:rsidRPr="00333304">
        <w:rPr>
          <w:rFonts w:ascii="Verdana" w:hAnsi="Verdana"/>
          <w:color w:val="000000"/>
          <w:sz w:val="20"/>
          <w:szCs w:val="20"/>
        </w:rPr>
        <w:t xml:space="preserve"> derecho a la estabilidad laboral</w:t>
      </w:r>
      <w:r w:rsidR="00CB7CCB" w:rsidRPr="00333304">
        <w:rPr>
          <w:rFonts w:ascii="Verdana" w:hAnsi="Verdana"/>
          <w:color w:val="000000"/>
          <w:sz w:val="20"/>
          <w:szCs w:val="20"/>
        </w:rPr>
        <w:t>, en interpretación del artículo 26 de la Convención Americana, en relación con los artículos 1</w:t>
      </w:r>
      <w:r w:rsidR="00E606B9" w:rsidRPr="00333304">
        <w:rPr>
          <w:rFonts w:ascii="Verdana" w:hAnsi="Verdana"/>
          <w:color w:val="000000"/>
          <w:sz w:val="20"/>
          <w:szCs w:val="20"/>
        </w:rPr>
        <w:t xml:space="preserve">.1, 13, </w:t>
      </w:r>
      <w:r w:rsidR="00CB7CCB" w:rsidRPr="00333304">
        <w:rPr>
          <w:rFonts w:ascii="Verdana" w:hAnsi="Verdana"/>
          <w:color w:val="000000"/>
          <w:sz w:val="20"/>
          <w:szCs w:val="20"/>
        </w:rPr>
        <w:t>8</w:t>
      </w:r>
      <w:r w:rsidR="00E606B9" w:rsidRPr="00333304">
        <w:rPr>
          <w:rFonts w:ascii="Verdana" w:hAnsi="Verdana"/>
          <w:color w:val="000000"/>
          <w:sz w:val="20"/>
          <w:szCs w:val="20"/>
        </w:rPr>
        <w:t xml:space="preserve"> y 16</w:t>
      </w:r>
      <w:r w:rsidR="00CB7CCB" w:rsidRPr="00333304">
        <w:rPr>
          <w:rFonts w:ascii="Verdana" w:hAnsi="Verdana"/>
          <w:color w:val="000000"/>
          <w:sz w:val="20"/>
          <w:szCs w:val="20"/>
        </w:rPr>
        <w:t xml:space="preserve"> de la misma, en perjuicio del señor Lagos del Campo</w:t>
      </w:r>
      <w:r w:rsidR="00E606B9" w:rsidRPr="00333304">
        <w:rPr>
          <w:rFonts w:ascii="Verdana" w:hAnsi="Verdana"/>
          <w:color w:val="000000"/>
          <w:sz w:val="20"/>
          <w:szCs w:val="20"/>
        </w:rPr>
        <w:t>.</w:t>
      </w:r>
    </w:p>
    <w:p w14:paraId="32995751" w14:textId="6179199B" w:rsidR="0059018A" w:rsidRPr="00801513" w:rsidRDefault="00CB7CCB" w:rsidP="00801513">
      <w:pPr>
        <w:contextualSpacing/>
        <w:jc w:val="both"/>
        <w:rPr>
          <w:rFonts w:ascii="Verdana" w:hAnsi="Verdana"/>
          <w:b/>
          <w:sz w:val="20"/>
          <w:szCs w:val="20"/>
        </w:rPr>
      </w:pPr>
      <w:r w:rsidRPr="00801513" w:rsidDel="00CB7CCB">
        <w:rPr>
          <w:rFonts w:ascii="Verdana" w:hAnsi="Verdana"/>
          <w:b/>
          <w:color w:val="000000"/>
          <w:sz w:val="20"/>
          <w:szCs w:val="20"/>
        </w:rPr>
        <w:t xml:space="preserve"> </w:t>
      </w:r>
    </w:p>
    <w:p w14:paraId="4532E36C" w14:textId="57ECFB0F" w:rsidR="00793256" w:rsidRPr="00333304" w:rsidRDefault="00793256" w:rsidP="00E66DD7">
      <w:pPr>
        <w:numPr>
          <w:ilvl w:val="0"/>
          <w:numId w:val="1"/>
        </w:numPr>
        <w:ind w:left="0" w:firstLine="0"/>
        <w:contextualSpacing/>
        <w:jc w:val="both"/>
        <w:rPr>
          <w:rFonts w:ascii="Verdana" w:hAnsi="Verdana"/>
          <w:bCs/>
          <w:sz w:val="20"/>
          <w:szCs w:val="20"/>
        </w:rPr>
      </w:pPr>
      <w:r w:rsidRPr="00333304">
        <w:rPr>
          <w:rFonts w:ascii="Verdana" w:hAnsi="Verdana"/>
          <w:color w:val="000000"/>
          <w:sz w:val="20"/>
          <w:szCs w:val="20"/>
        </w:rPr>
        <w:t>Finalmente, cabe</w:t>
      </w:r>
      <w:r w:rsidRPr="00333304">
        <w:rPr>
          <w:rFonts w:ascii="Verdana" w:hAnsi="Verdana"/>
          <w:bCs/>
          <w:color w:val="000000"/>
          <w:sz w:val="20"/>
          <w:szCs w:val="20"/>
        </w:rPr>
        <w:t xml:space="preserve"> señalar que la Corte </w:t>
      </w:r>
      <w:r w:rsidRPr="00333304">
        <w:rPr>
          <w:rFonts w:ascii="Verdana" w:hAnsi="Verdana"/>
          <w:bCs/>
          <w:sz w:val="20"/>
          <w:szCs w:val="20"/>
        </w:rPr>
        <w:t>ha establecido previamente su competencia para conocer y resolver controversias relativas al artículo 26 de la Convención Americana, como parte integrante de los derechos enumerados en la misma, respecto de los cuales el artículo 1.1 confiere obligaciones generales de respeto y garantía a los Estados (</w:t>
      </w:r>
      <w:r w:rsidRPr="00333304">
        <w:rPr>
          <w:rFonts w:ascii="Verdana" w:hAnsi="Verdana"/>
          <w:bCs/>
          <w:i/>
          <w:iCs/>
          <w:sz w:val="20"/>
          <w:szCs w:val="20"/>
        </w:rPr>
        <w:t xml:space="preserve">supra </w:t>
      </w:r>
      <w:r w:rsidRPr="00333304">
        <w:rPr>
          <w:rFonts w:ascii="Verdana" w:hAnsi="Verdana"/>
          <w:bCs/>
          <w:sz w:val="20"/>
          <w:szCs w:val="20"/>
        </w:rPr>
        <w:t xml:space="preserve">párr. </w:t>
      </w:r>
      <w:r w:rsidR="008638D8">
        <w:rPr>
          <w:rFonts w:ascii="Verdana" w:hAnsi="Verdana"/>
          <w:bCs/>
          <w:sz w:val="20"/>
          <w:szCs w:val="20"/>
        </w:rPr>
        <w:t>1</w:t>
      </w:r>
      <w:r w:rsidR="00B31162">
        <w:rPr>
          <w:rFonts w:ascii="Verdana" w:hAnsi="Verdana"/>
          <w:bCs/>
          <w:sz w:val="20"/>
          <w:szCs w:val="20"/>
        </w:rPr>
        <w:t>42</w:t>
      </w:r>
      <w:r w:rsidRPr="00333304">
        <w:rPr>
          <w:rFonts w:ascii="Verdana" w:hAnsi="Verdana"/>
          <w:bCs/>
          <w:sz w:val="20"/>
          <w:szCs w:val="20"/>
        </w:rPr>
        <w:t xml:space="preserve">). Asimismo, la Corte ha </w:t>
      </w:r>
      <w:r w:rsidR="00004054" w:rsidRPr="00333304">
        <w:rPr>
          <w:rFonts w:ascii="Verdana" w:hAnsi="Verdana"/>
          <w:bCs/>
          <w:sz w:val="20"/>
          <w:szCs w:val="20"/>
        </w:rPr>
        <w:t xml:space="preserve">dispuesto </w:t>
      </w:r>
      <w:r w:rsidRPr="00333304">
        <w:rPr>
          <w:rFonts w:ascii="Verdana" w:hAnsi="Verdana"/>
          <w:bCs/>
          <w:sz w:val="20"/>
          <w:szCs w:val="20"/>
        </w:rPr>
        <w:t>importantes desarrollos jurisprudenciales en la materia</w:t>
      </w:r>
      <w:r w:rsidR="008638D8">
        <w:rPr>
          <w:rFonts w:ascii="Verdana" w:hAnsi="Verdana"/>
          <w:bCs/>
          <w:sz w:val="20"/>
          <w:szCs w:val="20"/>
        </w:rPr>
        <w:t>,</w:t>
      </w:r>
      <w:r w:rsidRPr="00333304">
        <w:rPr>
          <w:rFonts w:ascii="Verdana" w:hAnsi="Verdana"/>
          <w:bCs/>
          <w:sz w:val="20"/>
          <w:szCs w:val="20"/>
        </w:rPr>
        <w:t xml:space="preserve"> a la luz de </w:t>
      </w:r>
      <w:r w:rsidR="00004054" w:rsidRPr="00333304">
        <w:rPr>
          <w:rFonts w:ascii="Verdana" w:hAnsi="Verdana"/>
          <w:bCs/>
          <w:sz w:val="20"/>
          <w:szCs w:val="20"/>
        </w:rPr>
        <w:t>diversos</w:t>
      </w:r>
      <w:r w:rsidR="001A63C6" w:rsidRPr="00333304">
        <w:rPr>
          <w:rFonts w:ascii="Verdana" w:hAnsi="Verdana"/>
          <w:bCs/>
          <w:sz w:val="20"/>
          <w:szCs w:val="20"/>
        </w:rPr>
        <w:t xml:space="preserve"> artículos convencionales. En</w:t>
      </w:r>
      <w:r w:rsidRPr="00333304">
        <w:rPr>
          <w:rFonts w:ascii="Verdana" w:hAnsi="Verdana"/>
          <w:bCs/>
          <w:sz w:val="20"/>
          <w:szCs w:val="20"/>
        </w:rPr>
        <w:t xml:space="preserve"> </w:t>
      </w:r>
      <w:r w:rsidR="00004054" w:rsidRPr="00333304">
        <w:rPr>
          <w:rFonts w:ascii="Verdana" w:hAnsi="Verdana"/>
          <w:bCs/>
          <w:sz w:val="20"/>
          <w:szCs w:val="20"/>
        </w:rPr>
        <w:t>atención</w:t>
      </w:r>
      <w:r w:rsidRPr="00333304">
        <w:rPr>
          <w:rFonts w:ascii="Verdana" w:hAnsi="Verdana"/>
          <w:bCs/>
          <w:sz w:val="20"/>
          <w:szCs w:val="20"/>
        </w:rPr>
        <w:t xml:space="preserve"> a </w:t>
      </w:r>
      <w:r w:rsidR="001A63C6" w:rsidRPr="00333304">
        <w:rPr>
          <w:rFonts w:ascii="Verdana" w:hAnsi="Verdana"/>
          <w:bCs/>
          <w:sz w:val="20"/>
          <w:szCs w:val="20"/>
        </w:rPr>
        <w:t xml:space="preserve">estos precedentes, con esta Sentencia se desarrolla y concreta una </w:t>
      </w:r>
      <w:r w:rsidRPr="00333304">
        <w:rPr>
          <w:rFonts w:ascii="Verdana" w:hAnsi="Verdana"/>
          <w:bCs/>
          <w:sz w:val="20"/>
          <w:szCs w:val="20"/>
        </w:rPr>
        <w:t xml:space="preserve">condena específica </w:t>
      </w:r>
      <w:r w:rsidR="001A63C6" w:rsidRPr="00333304">
        <w:rPr>
          <w:rFonts w:ascii="Verdana" w:hAnsi="Verdana"/>
          <w:bCs/>
          <w:sz w:val="20"/>
          <w:szCs w:val="20"/>
        </w:rPr>
        <w:t xml:space="preserve">por la </w:t>
      </w:r>
      <w:r w:rsidRPr="00333304">
        <w:rPr>
          <w:rFonts w:ascii="Verdana" w:hAnsi="Verdana"/>
          <w:bCs/>
          <w:sz w:val="20"/>
          <w:szCs w:val="20"/>
        </w:rPr>
        <w:t>violación del artículo 26 de la Convención</w:t>
      </w:r>
      <w:r w:rsidR="00094281" w:rsidRPr="00333304">
        <w:rPr>
          <w:rFonts w:ascii="Verdana" w:hAnsi="Verdana"/>
          <w:bCs/>
          <w:sz w:val="20"/>
          <w:szCs w:val="20"/>
        </w:rPr>
        <w:t xml:space="preserve"> Americana sobre Derechos Humanos</w:t>
      </w:r>
      <w:r w:rsidRPr="00333304">
        <w:rPr>
          <w:rFonts w:ascii="Verdana" w:hAnsi="Verdana"/>
          <w:bCs/>
          <w:sz w:val="20"/>
          <w:szCs w:val="20"/>
        </w:rPr>
        <w:t>, dispuesto en el Capítulo III</w:t>
      </w:r>
      <w:r w:rsidR="00094281" w:rsidRPr="00333304">
        <w:rPr>
          <w:rFonts w:ascii="Verdana" w:hAnsi="Verdana"/>
          <w:bCs/>
          <w:sz w:val="20"/>
          <w:szCs w:val="20"/>
        </w:rPr>
        <w:t>,</w:t>
      </w:r>
      <w:r w:rsidRPr="00333304">
        <w:rPr>
          <w:rFonts w:ascii="Verdana" w:hAnsi="Verdana"/>
          <w:bCs/>
          <w:sz w:val="20"/>
          <w:szCs w:val="20"/>
        </w:rPr>
        <w:t xml:space="preserve"> titulado Derechos Económicos, Sociales y Culturales</w:t>
      </w:r>
      <w:r w:rsidR="00004054" w:rsidRPr="00333304">
        <w:rPr>
          <w:rFonts w:ascii="Verdana" w:hAnsi="Verdana"/>
          <w:bCs/>
          <w:sz w:val="20"/>
          <w:szCs w:val="20"/>
        </w:rPr>
        <w:t xml:space="preserve"> de este tratado</w:t>
      </w:r>
      <w:r w:rsidRPr="00333304">
        <w:rPr>
          <w:rFonts w:ascii="Verdana" w:hAnsi="Verdana"/>
          <w:bCs/>
          <w:sz w:val="20"/>
          <w:szCs w:val="20"/>
        </w:rPr>
        <w:t xml:space="preserve">. </w:t>
      </w:r>
    </w:p>
    <w:p w14:paraId="460CD428" w14:textId="58BEB930" w:rsidR="00032FC5" w:rsidRDefault="00032FC5" w:rsidP="00801513">
      <w:pPr>
        <w:contextualSpacing/>
        <w:jc w:val="both"/>
        <w:rPr>
          <w:rFonts w:ascii="Verdana" w:hAnsi="Verdana"/>
          <w:color w:val="000000"/>
          <w:sz w:val="20"/>
          <w:szCs w:val="20"/>
        </w:rPr>
      </w:pPr>
    </w:p>
    <w:p w14:paraId="3B7B8378" w14:textId="77777777" w:rsidR="00032FC5" w:rsidRPr="005B3D37" w:rsidRDefault="00032FC5" w:rsidP="00E66DD7">
      <w:pPr>
        <w:pStyle w:val="Heading3"/>
        <w:numPr>
          <w:ilvl w:val="0"/>
          <w:numId w:val="11"/>
        </w:numPr>
        <w:ind w:left="714" w:hanging="357"/>
        <w:rPr>
          <w:i/>
          <w:lang w:val="es-MX"/>
        </w:rPr>
      </w:pPr>
      <w:bookmarkStart w:id="52" w:name="_Toc498333509"/>
      <w:r>
        <w:rPr>
          <w:i/>
          <w:lang w:val="es-MX"/>
        </w:rPr>
        <w:t>Afectaciones a la l</w:t>
      </w:r>
      <w:r w:rsidRPr="005D0F69">
        <w:rPr>
          <w:i/>
          <w:lang w:val="es-MX"/>
        </w:rPr>
        <w:t>ibertad</w:t>
      </w:r>
      <w:r w:rsidRPr="005B3D37">
        <w:rPr>
          <w:i/>
          <w:lang w:val="es-MX"/>
        </w:rPr>
        <w:t xml:space="preserve"> de asociación</w:t>
      </w:r>
      <w:bookmarkEnd w:id="52"/>
      <w:r w:rsidRPr="005B3D37">
        <w:rPr>
          <w:i/>
          <w:lang w:val="es-MX"/>
        </w:rPr>
        <w:t xml:space="preserve"> </w:t>
      </w:r>
    </w:p>
    <w:p w14:paraId="0C6F6F5C" w14:textId="77777777" w:rsidR="00032FC5" w:rsidRPr="005D0F69" w:rsidRDefault="00032FC5" w:rsidP="00032FC5">
      <w:pPr>
        <w:rPr>
          <w:rFonts w:ascii="Verdana" w:hAnsi="Verdana"/>
          <w:sz w:val="20"/>
          <w:szCs w:val="20"/>
          <w:lang w:val="es-CR"/>
        </w:rPr>
      </w:pPr>
    </w:p>
    <w:p w14:paraId="2A0FCAF4" w14:textId="77777777" w:rsidR="00032FC5" w:rsidRPr="00751089" w:rsidRDefault="00032FC5" w:rsidP="00E66DD7">
      <w:pPr>
        <w:numPr>
          <w:ilvl w:val="0"/>
          <w:numId w:val="1"/>
        </w:numPr>
        <w:ind w:left="0" w:firstLine="0"/>
        <w:contextualSpacing/>
        <w:jc w:val="both"/>
        <w:rPr>
          <w:rFonts w:ascii="Verdana" w:hAnsi="Verdana"/>
          <w:b/>
          <w:sz w:val="20"/>
          <w:szCs w:val="20"/>
          <w:lang w:val="es-CR"/>
        </w:rPr>
      </w:pPr>
      <w:r w:rsidRPr="00751089">
        <w:rPr>
          <w:rFonts w:ascii="Verdana" w:hAnsi="Verdana"/>
          <w:sz w:val="20"/>
          <w:szCs w:val="20"/>
          <w:lang w:val="es-CR"/>
        </w:rPr>
        <w:t xml:space="preserve">El artículo 16.1 consagra el derecho de las personas de asociarse libremente con fines ideológicos, religiosos, </w:t>
      </w:r>
      <w:r w:rsidRPr="00E6716F">
        <w:rPr>
          <w:rFonts w:ascii="Verdana" w:hAnsi="Verdana"/>
          <w:sz w:val="20"/>
          <w:lang w:val="es-CR"/>
        </w:rPr>
        <w:t>políticos,</w:t>
      </w:r>
      <w:r w:rsidRPr="00751089">
        <w:rPr>
          <w:rFonts w:ascii="Verdana" w:hAnsi="Verdana"/>
          <w:sz w:val="20"/>
          <w:szCs w:val="20"/>
          <w:lang w:val="es-CR"/>
        </w:rPr>
        <w:t xml:space="preserve"> económicos, laborales, culturales, deportivos o de cualquier otra índole. El derecho de asociación se caracteriza por habilitar a las personas para crear o participar en entidades u organizaciones con el objeto de actuar colectivamente en la consecución de los más diversos fines, siempre y cuando estos sean legítimos</w:t>
      </w:r>
      <w:r w:rsidRPr="00751089">
        <w:rPr>
          <w:rFonts w:ascii="Verdana" w:hAnsi="Verdana"/>
          <w:sz w:val="20"/>
          <w:szCs w:val="20"/>
          <w:vertAlign w:val="superscript"/>
          <w:lang w:val="es-CR"/>
        </w:rPr>
        <w:footnoteReference w:id="219"/>
      </w:r>
      <w:r w:rsidRPr="00751089">
        <w:rPr>
          <w:rFonts w:ascii="Verdana" w:hAnsi="Verdana"/>
          <w:sz w:val="20"/>
          <w:szCs w:val="20"/>
          <w:lang w:val="es-CR"/>
        </w:rPr>
        <w:t>. La Corte ha establecido que quienes están bajo la jurisdicción de los Estados parte tienen el derecho de asociarse libremente con otras personas, sin intervención de las autoridades públicas que limiten o entorpezcan el ejercicio del referido derecho; se trata del derecho a agruparse con la finalidad de buscar la realización común de un fin lícito, y la correlativa obligación negativa del Estado de no presionar o entrometerse de forma tal que pueda alterar o desnaturalizar dicha finalidad</w:t>
      </w:r>
      <w:r w:rsidRPr="00751089">
        <w:rPr>
          <w:rFonts w:ascii="Verdana" w:hAnsi="Verdana"/>
          <w:sz w:val="20"/>
          <w:szCs w:val="20"/>
          <w:vertAlign w:val="superscript"/>
          <w:lang w:val="es-CR"/>
        </w:rPr>
        <w:footnoteReference w:id="220"/>
      </w:r>
      <w:r w:rsidRPr="00751089">
        <w:rPr>
          <w:rFonts w:ascii="Verdana" w:hAnsi="Verdana"/>
          <w:sz w:val="20"/>
          <w:szCs w:val="20"/>
          <w:lang w:val="es-CR"/>
        </w:rPr>
        <w:t>.</w:t>
      </w:r>
      <w:r w:rsidRPr="00751089">
        <w:rPr>
          <w:rFonts w:ascii="Verdana" w:hAnsi="Verdana"/>
          <w:b/>
          <w:sz w:val="20"/>
          <w:szCs w:val="20"/>
          <w:lang w:val="es-CR"/>
        </w:rPr>
        <w:t xml:space="preserve"> </w:t>
      </w:r>
      <w:r w:rsidRPr="00751089">
        <w:rPr>
          <w:rFonts w:ascii="Verdana" w:hAnsi="Verdana"/>
          <w:sz w:val="20"/>
          <w:szCs w:val="20"/>
        </w:rPr>
        <w:t xml:space="preserve">El Tribunal además ha observado que de la libertad de asociación también se derivan obligaciones positivas de prevenir los atentados contra la misma, proteger a quienes la </w:t>
      </w:r>
      <w:r w:rsidRPr="00751089">
        <w:rPr>
          <w:rFonts w:ascii="Verdana" w:hAnsi="Verdana"/>
          <w:sz w:val="20"/>
          <w:szCs w:val="20"/>
        </w:rPr>
        <w:lastRenderedPageBreak/>
        <w:t>ejercen e investigar las violaciones a dicha libertad; estas obligaciones positivas deben adoptarse incluso en la esfera de relaciones entre particulares, si el caso así lo amerita</w:t>
      </w:r>
      <w:r w:rsidRPr="00751089">
        <w:rPr>
          <w:rFonts w:ascii="Verdana" w:hAnsi="Verdana"/>
          <w:sz w:val="20"/>
          <w:szCs w:val="20"/>
          <w:vertAlign w:val="superscript"/>
        </w:rPr>
        <w:footnoteReference w:id="221"/>
      </w:r>
      <w:r w:rsidRPr="00751089">
        <w:rPr>
          <w:rFonts w:ascii="Verdana" w:hAnsi="Verdana"/>
          <w:sz w:val="20"/>
          <w:szCs w:val="20"/>
        </w:rPr>
        <w:t xml:space="preserve">. </w:t>
      </w:r>
    </w:p>
    <w:p w14:paraId="3AE9C4C3" w14:textId="77777777" w:rsidR="00032FC5" w:rsidRPr="00751089" w:rsidRDefault="00032FC5" w:rsidP="00032FC5">
      <w:pPr>
        <w:contextualSpacing/>
        <w:jc w:val="both"/>
        <w:rPr>
          <w:rFonts w:ascii="Verdana" w:hAnsi="Verdana"/>
          <w:b/>
          <w:sz w:val="20"/>
          <w:szCs w:val="20"/>
          <w:lang w:val="es-CR"/>
        </w:rPr>
      </w:pPr>
    </w:p>
    <w:p w14:paraId="352E49AD" w14:textId="77777777" w:rsidR="00032FC5" w:rsidRPr="00751089" w:rsidRDefault="00032FC5" w:rsidP="00E66DD7">
      <w:pPr>
        <w:numPr>
          <w:ilvl w:val="0"/>
          <w:numId w:val="1"/>
        </w:numPr>
        <w:ind w:left="0" w:firstLine="0"/>
        <w:contextualSpacing/>
        <w:jc w:val="both"/>
        <w:rPr>
          <w:rFonts w:ascii="Verdana" w:hAnsi="Verdana"/>
          <w:b/>
          <w:sz w:val="20"/>
          <w:szCs w:val="20"/>
          <w:lang w:val="es-CR"/>
        </w:rPr>
      </w:pPr>
      <w:r w:rsidRPr="00751089">
        <w:rPr>
          <w:rFonts w:ascii="Verdana" w:hAnsi="Verdana"/>
          <w:sz w:val="20"/>
          <w:szCs w:val="20"/>
          <w:lang w:val="es-CR"/>
        </w:rPr>
        <w:t>En materia laboral,</w:t>
      </w:r>
      <w:r>
        <w:rPr>
          <w:rFonts w:ascii="Verdana" w:hAnsi="Verdana"/>
          <w:sz w:val="20"/>
          <w:szCs w:val="20"/>
          <w:lang w:val="es-CR"/>
        </w:rPr>
        <w:t xml:space="preserve"> este Tribunal ha establecido que</w:t>
      </w:r>
      <w:r w:rsidRPr="00751089">
        <w:rPr>
          <w:rFonts w:ascii="Verdana" w:hAnsi="Verdana"/>
          <w:sz w:val="20"/>
          <w:szCs w:val="20"/>
          <w:lang w:val="es-CR"/>
        </w:rPr>
        <w:t xml:space="preserve"> la libertad de asociación protege la facultad de constituir organizaciones sindicales y poner en marcha su estructura interna, actividades y programas de acción, sin intervención de las autoridades públicas que limite o entorpezca el ejercicio del respectivo derecho</w:t>
      </w:r>
      <w:r w:rsidRPr="00751089">
        <w:rPr>
          <w:rFonts w:ascii="Verdana" w:hAnsi="Verdana"/>
          <w:sz w:val="20"/>
          <w:szCs w:val="20"/>
          <w:vertAlign w:val="superscript"/>
          <w:lang w:val="es-CR"/>
        </w:rPr>
        <w:footnoteReference w:id="222"/>
      </w:r>
      <w:r w:rsidRPr="00751089">
        <w:rPr>
          <w:rFonts w:ascii="Verdana" w:hAnsi="Verdana"/>
          <w:sz w:val="20"/>
          <w:szCs w:val="20"/>
          <w:lang w:val="es-CR"/>
        </w:rPr>
        <w:t xml:space="preserve">. </w:t>
      </w:r>
      <w:r w:rsidRPr="00751089">
        <w:rPr>
          <w:rFonts w:ascii="Verdana" w:hAnsi="Verdana"/>
          <w:sz w:val="20"/>
          <w:szCs w:val="20"/>
        </w:rPr>
        <w:t>Por otra parte, esta libertad supone que cada persona pueda determinar sin coacción alguna si desea o no formar parte de la asociación</w:t>
      </w:r>
      <w:r w:rsidRPr="00751089">
        <w:rPr>
          <w:rFonts w:ascii="Verdana" w:hAnsi="Verdana"/>
          <w:sz w:val="20"/>
          <w:szCs w:val="20"/>
          <w:vertAlign w:val="superscript"/>
        </w:rPr>
        <w:footnoteReference w:id="223"/>
      </w:r>
      <w:r w:rsidRPr="00751089">
        <w:rPr>
          <w:rFonts w:ascii="Verdana" w:hAnsi="Verdana"/>
          <w:sz w:val="20"/>
          <w:szCs w:val="20"/>
        </w:rPr>
        <w:t>. Adicionalmente, el Estado tiene el deber de garantizar que las personas puedan ejercer libremente su libertad sindical sin temor de que serán sujetos a violencia alguna, pues de lo contrario se podría disminuir la capacidad de las agrupaciones de organizarse para la protección de sus intereses</w:t>
      </w:r>
      <w:r w:rsidRPr="00751089">
        <w:rPr>
          <w:rFonts w:ascii="Verdana" w:hAnsi="Verdana"/>
          <w:sz w:val="20"/>
          <w:szCs w:val="20"/>
          <w:vertAlign w:val="superscript"/>
        </w:rPr>
        <w:footnoteReference w:id="224"/>
      </w:r>
      <w:r w:rsidRPr="00751089">
        <w:rPr>
          <w:rFonts w:ascii="Verdana" w:hAnsi="Verdana"/>
          <w:sz w:val="20"/>
          <w:szCs w:val="20"/>
        </w:rPr>
        <w:t xml:space="preserve">. En este sentido, </w:t>
      </w:r>
      <w:r>
        <w:rPr>
          <w:rFonts w:ascii="Verdana" w:hAnsi="Verdana"/>
          <w:sz w:val="20"/>
          <w:szCs w:val="20"/>
        </w:rPr>
        <w:t>la</w:t>
      </w:r>
      <w:r w:rsidRPr="00751089">
        <w:rPr>
          <w:rFonts w:ascii="Verdana" w:hAnsi="Verdana"/>
          <w:sz w:val="20"/>
          <w:szCs w:val="20"/>
        </w:rPr>
        <w:t xml:space="preserve"> Corte ha resaltado que la libertad de asociación en materia laboral </w:t>
      </w:r>
      <w:r>
        <w:rPr>
          <w:rFonts w:ascii="Verdana" w:hAnsi="Verdana"/>
          <w:sz w:val="20"/>
          <w:szCs w:val="20"/>
        </w:rPr>
        <w:t>“</w:t>
      </w:r>
      <w:r w:rsidRPr="00751089">
        <w:rPr>
          <w:rFonts w:ascii="Verdana" w:hAnsi="Verdana"/>
          <w:sz w:val="20"/>
          <w:szCs w:val="20"/>
        </w:rPr>
        <w:t xml:space="preserve">no se agota con el reconocimiento teórico del </w:t>
      </w:r>
      <w:r w:rsidRPr="00470F22">
        <w:rPr>
          <w:rFonts w:ascii="Verdana" w:hAnsi="Verdana"/>
          <w:sz w:val="20"/>
          <w:szCs w:val="20"/>
        </w:rPr>
        <w:t xml:space="preserve">derecho </w:t>
      </w:r>
      <w:r w:rsidRPr="00470F22">
        <w:rPr>
          <w:rFonts w:ascii="Verdana" w:hAnsi="Verdana"/>
          <w:sz w:val="20"/>
        </w:rPr>
        <w:t xml:space="preserve">a </w:t>
      </w:r>
      <w:r>
        <w:rPr>
          <w:rFonts w:ascii="Verdana" w:hAnsi="Verdana"/>
          <w:sz w:val="20"/>
          <w:szCs w:val="20"/>
        </w:rPr>
        <w:t>formar [</w:t>
      </w:r>
      <w:r w:rsidRPr="00470F22">
        <w:rPr>
          <w:rFonts w:ascii="Verdana" w:hAnsi="Verdana"/>
          <w:sz w:val="20"/>
          <w:szCs w:val="20"/>
        </w:rPr>
        <w:t>agrupa</w:t>
      </w:r>
      <w:r>
        <w:rPr>
          <w:rFonts w:ascii="Verdana" w:hAnsi="Verdana"/>
          <w:sz w:val="20"/>
          <w:szCs w:val="20"/>
        </w:rPr>
        <w:t>ciones</w:t>
      </w:r>
      <w:r w:rsidRPr="005D0F69">
        <w:rPr>
          <w:rFonts w:ascii="Verdana" w:hAnsi="Verdana"/>
          <w:sz w:val="20"/>
          <w:szCs w:val="20"/>
        </w:rPr>
        <w:t>]</w:t>
      </w:r>
      <w:r w:rsidRPr="00470F22">
        <w:rPr>
          <w:rFonts w:ascii="Verdana" w:hAnsi="Verdana"/>
          <w:sz w:val="20"/>
          <w:szCs w:val="20"/>
        </w:rPr>
        <w:t xml:space="preserve">, </w:t>
      </w:r>
      <w:r w:rsidRPr="00470F22">
        <w:rPr>
          <w:rFonts w:ascii="Verdana" w:hAnsi="Verdana"/>
          <w:sz w:val="20"/>
        </w:rPr>
        <w:t>sino</w:t>
      </w:r>
      <w:r w:rsidRPr="00CB5A95">
        <w:rPr>
          <w:rFonts w:ascii="Verdana" w:hAnsi="Verdana"/>
          <w:sz w:val="20"/>
        </w:rPr>
        <w:t xml:space="preserve"> que comprende además, inseparablemente, el derecho apropiado para ejercer esa libertad</w:t>
      </w:r>
      <w:r>
        <w:rPr>
          <w:rFonts w:ascii="Verdana" w:hAnsi="Verdana"/>
          <w:sz w:val="20"/>
        </w:rPr>
        <w:t>”</w:t>
      </w:r>
      <w:r w:rsidRPr="00751089">
        <w:rPr>
          <w:rFonts w:ascii="Verdana" w:hAnsi="Verdana"/>
          <w:sz w:val="20"/>
          <w:szCs w:val="20"/>
          <w:vertAlign w:val="superscript"/>
        </w:rPr>
        <w:footnoteReference w:id="225"/>
      </w:r>
      <w:r w:rsidRPr="00751089">
        <w:rPr>
          <w:rFonts w:ascii="Verdana" w:hAnsi="Verdana"/>
          <w:sz w:val="20"/>
          <w:szCs w:val="20"/>
        </w:rPr>
        <w:t>.</w:t>
      </w:r>
    </w:p>
    <w:p w14:paraId="4BCD4DB6" w14:textId="77777777" w:rsidR="00032FC5" w:rsidRPr="00751089" w:rsidRDefault="00032FC5" w:rsidP="00032FC5">
      <w:pPr>
        <w:contextualSpacing/>
        <w:jc w:val="both"/>
        <w:rPr>
          <w:rFonts w:ascii="Verdana" w:hAnsi="Verdana"/>
          <w:b/>
          <w:sz w:val="20"/>
          <w:szCs w:val="20"/>
          <w:lang w:val="es-CR"/>
        </w:rPr>
      </w:pPr>
    </w:p>
    <w:p w14:paraId="1E2B0D1F" w14:textId="4339B7A9" w:rsidR="00032FC5" w:rsidRPr="00751089" w:rsidRDefault="00032FC5" w:rsidP="00E66DD7">
      <w:pPr>
        <w:numPr>
          <w:ilvl w:val="0"/>
          <w:numId w:val="1"/>
        </w:numPr>
        <w:ind w:left="0" w:firstLine="0"/>
        <w:contextualSpacing/>
        <w:jc w:val="both"/>
        <w:rPr>
          <w:rFonts w:ascii="Verdana" w:hAnsi="Verdana"/>
          <w:b/>
          <w:sz w:val="20"/>
          <w:szCs w:val="20"/>
          <w:lang w:val="es-CR"/>
        </w:rPr>
      </w:pPr>
      <w:r>
        <w:rPr>
          <w:rFonts w:ascii="Verdana" w:hAnsi="Verdana"/>
          <w:sz w:val="20"/>
          <w:szCs w:val="20"/>
          <w:lang w:val="es-CR"/>
        </w:rPr>
        <w:t>En relación con lo anterior, e</w:t>
      </w:r>
      <w:r w:rsidRPr="00751089">
        <w:rPr>
          <w:rFonts w:ascii="Verdana" w:hAnsi="Verdana"/>
          <w:sz w:val="20"/>
          <w:szCs w:val="20"/>
          <w:lang w:val="es-CR"/>
        </w:rPr>
        <w:t>sta Corte encuentra que el ámbito de protección del derecho de libertad de asociación en materia laboral no sólo se encuentra subsumido a la protección de los sindicatos, sus miembros y sus representantes.</w:t>
      </w:r>
      <w:r w:rsidR="00DD5817">
        <w:rPr>
          <w:rFonts w:ascii="Verdana" w:hAnsi="Verdana"/>
          <w:sz w:val="20"/>
          <w:szCs w:val="20"/>
          <w:lang w:val="es-CR"/>
        </w:rPr>
        <w:t xml:space="preserve"> </w:t>
      </w:r>
      <w:r w:rsidRPr="00751089">
        <w:rPr>
          <w:rFonts w:ascii="Verdana" w:hAnsi="Verdana"/>
          <w:sz w:val="20"/>
          <w:szCs w:val="20"/>
          <w:lang w:val="es-CR"/>
        </w:rPr>
        <w:t>En efecto, los sindicatos y sus representantes gozan de una protección específica para el correcto desempeño de sus funciones, pues tal y como lo ha establecido este Tribunal en su jurisprudencia</w:t>
      </w:r>
      <w:r w:rsidRPr="00751089">
        <w:rPr>
          <w:rFonts w:ascii="Verdana" w:hAnsi="Verdana"/>
          <w:sz w:val="20"/>
          <w:szCs w:val="20"/>
          <w:vertAlign w:val="superscript"/>
          <w:lang w:val="es-CR"/>
        </w:rPr>
        <w:footnoteReference w:id="226"/>
      </w:r>
      <w:r w:rsidRPr="00751089">
        <w:rPr>
          <w:rFonts w:ascii="Verdana" w:hAnsi="Verdana"/>
          <w:sz w:val="20"/>
          <w:szCs w:val="20"/>
          <w:lang w:val="es-CR"/>
        </w:rPr>
        <w:t>, y como se advierte en diversos instrumentos internacionales</w:t>
      </w:r>
      <w:r w:rsidRPr="00751089">
        <w:rPr>
          <w:rFonts w:ascii="Verdana" w:hAnsi="Verdana"/>
          <w:sz w:val="20"/>
          <w:szCs w:val="20"/>
          <w:vertAlign w:val="superscript"/>
          <w:lang w:val="es-CR"/>
        </w:rPr>
        <w:footnoteReference w:id="227"/>
      </w:r>
      <w:r w:rsidRPr="00751089">
        <w:rPr>
          <w:rFonts w:ascii="Verdana" w:hAnsi="Verdana"/>
          <w:sz w:val="20"/>
          <w:szCs w:val="20"/>
          <w:lang w:val="es-CR"/>
        </w:rPr>
        <w:t xml:space="preserve">, incluido el artículo 8 del Protocolo de San Salvador, la libertad de asociación en materia sindical reviste la mayor importancia para la defensa de los intereses legítimos de los trabajadores, y se enmarca en el </w:t>
      </w:r>
      <w:r w:rsidRPr="00751089">
        <w:rPr>
          <w:rFonts w:ascii="Verdana" w:hAnsi="Verdana"/>
          <w:i/>
          <w:sz w:val="20"/>
          <w:szCs w:val="20"/>
          <w:lang w:val="es-CR"/>
        </w:rPr>
        <w:t xml:space="preserve">corpus </w:t>
      </w:r>
      <w:proofErr w:type="spellStart"/>
      <w:r w:rsidRPr="00751089">
        <w:rPr>
          <w:rFonts w:ascii="Verdana" w:hAnsi="Verdana"/>
          <w:i/>
          <w:sz w:val="20"/>
          <w:szCs w:val="20"/>
          <w:lang w:val="es-CR"/>
        </w:rPr>
        <w:t>juris</w:t>
      </w:r>
      <w:proofErr w:type="spellEnd"/>
      <w:r w:rsidRPr="00751089">
        <w:rPr>
          <w:rFonts w:ascii="Verdana" w:hAnsi="Verdana"/>
          <w:i/>
          <w:sz w:val="20"/>
          <w:szCs w:val="20"/>
          <w:lang w:val="es-CR"/>
        </w:rPr>
        <w:t xml:space="preserve"> </w:t>
      </w:r>
      <w:r w:rsidRPr="00751089">
        <w:rPr>
          <w:rFonts w:ascii="Verdana" w:hAnsi="Verdana"/>
          <w:sz w:val="20"/>
          <w:szCs w:val="20"/>
          <w:lang w:val="es-CR"/>
        </w:rPr>
        <w:t>de derechos humanos</w:t>
      </w:r>
      <w:r w:rsidRPr="00751089">
        <w:rPr>
          <w:rFonts w:ascii="Verdana" w:hAnsi="Verdana"/>
          <w:sz w:val="20"/>
          <w:szCs w:val="20"/>
          <w:vertAlign w:val="superscript"/>
          <w:lang w:val="es-CR"/>
        </w:rPr>
        <w:footnoteReference w:id="228"/>
      </w:r>
      <w:r w:rsidRPr="00751089">
        <w:rPr>
          <w:rFonts w:ascii="Verdana" w:hAnsi="Verdana"/>
          <w:sz w:val="20"/>
          <w:szCs w:val="20"/>
          <w:lang w:val="es-CR"/>
        </w:rPr>
        <w:t>.</w:t>
      </w:r>
      <w:r w:rsidRPr="00751089">
        <w:rPr>
          <w:rFonts w:ascii="Verdana" w:hAnsi="Verdana"/>
          <w:b/>
          <w:sz w:val="20"/>
          <w:szCs w:val="20"/>
          <w:lang w:val="es-CR"/>
        </w:rPr>
        <w:t xml:space="preserve"> </w:t>
      </w:r>
      <w:r w:rsidRPr="00751089">
        <w:rPr>
          <w:rFonts w:ascii="Verdana" w:hAnsi="Verdana"/>
          <w:sz w:val="20"/>
          <w:szCs w:val="20"/>
          <w:lang w:val="es-CR"/>
        </w:rPr>
        <w:t>Incluso, la importancia que los Estados le han reconocido a los derechos sindicales se refleja en el hecho de que el artículo 19 del Protocolo de San Salvador le confiere a esta Corte competencia para pronunciarse sobre violaciones a la obligación del Estado de permitir que los sindicatos, federaciones y confederaciones funcionen libremente</w:t>
      </w:r>
      <w:r w:rsidRPr="00751089">
        <w:rPr>
          <w:rFonts w:ascii="Verdana" w:hAnsi="Verdana"/>
          <w:sz w:val="20"/>
          <w:szCs w:val="20"/>
          <w:vertAlign w:val="superscript"/>
          <w:lang w:val="es-CR"/>
        </w:rPr>
        <w:footnoteReference w:id="229"/>
      </w:r>
      <w:r w:rsidRPr="00751089">
        <w:rPr>
          <w:rFonts w:ascii="Verdana" w:hAnsi="Verdana"/>
          <w:sz w:val="20"/>
          <w:szCs w:val="20"/>
          <w:lang w:val="es-CR"/>
        </w:rPr>
        <w:t>.</w:t>
      </w:r>
    </w:p>
    <w:p w14:paraId="74A3151B" w14:textId="77777777" w:rsidR="00032FC5" w:rsidRPr="00751089" w:rsidRDefault="00032FC5" w:rsidP="00032FC5">
      <w:pPr>
        <w:contextualSpacing/>
        <w:jc w:val="both"/>
        <w:rPr>
          <w:rFonts w:ascii="Verdana" w:hAnsi="Verdana"/>
          <w:sz w:val="20"/>
          <w:szCs w:val="20"/>
          <w:lang w:val="es-CR"/>
        </w:rPr>
      </w:pPr>
    </w:p>
    <w:p w14:paraId="0FF80A99" w14:textId="5255922B" w:rsidR="004205B3" w:rsidRDefault="00032FC5" w:rsidP="004205B3">
      <w:pPr>
        <w:numPr>
          <w:ilvl w:val="0"/>
          <w:numId w:val="1"/>
        </w:numPr>
        <w:ind w:left="0" w:firstLine="0"/>
        <w:contextualSpacing/>
        <w:jc w:val="both"/>
        <w:rPr>
          <w:rFonts w:ascii="Verdana" w:hAnsi="Verdana"/>
          <w:sz w:val="20"/>
          <w:szCs w:val="20"/>
          <w:lang w:val="es-CR"/>
        </w:rPr>
      </w:pPr>
      <w:r w:rsidRPr="00751089">
        <w:rPr>
          <w:rFonts w:ascii="Verdana" w:hAnsi="Verdana"/>
          <w:sz w:val="20"/>
          <w:szCs w:val="20"/>
          <w:lang w:val="es-CR"/>
        </w:rPr>
        <w:t xml:space="preserve">Sin embargo, la protección que reconoce el derecho a la libertad de asociación en el contexto laboral se extiende a organizaciones que, </w:t>
      </w:r>
      <w:r w:rsidR="00730D77" w:rsidRPr="00751089">
        <w:rPr>
          <w:rFonts w:ascii="Verdana" w:hAnsi="Verdana"/>
          <w:sz w:val="20"/>
          <w:szCs w:val="20"/>
          <w:lang w:val="es-CR"/>
        </w:rPr>
        <w:t>a</w:t>
      </w:r>
      <w:r w:rsidR="00730D77">
        <w:rPr>
          <w:rFonts w:ascii="Verdana" w:hAnsi="Verdana"/>
          <w:sz w:val="20"/>
          <w:szCs w:val="20"/>
          <w:lang w:val="es-CR"/>
        </w:rPr>
        <w:t>u</w:t>
      </w:r>
      <w:r w:rsidR="00730D77" w:rsidRPr="00751089">
        <w:rPr>
          <w:rFonts w:ascii="Verdana" w:hAnsi="Verdana"/>
          <w:sz w:val="20"/>
          <w:szCs w:val="20"/>
          <w:lang w:val="es-CR"/>
        </w:rPr>
        <w:t>n</w:t>
      </w:r>
      <w:r w:rsidRPr="00751089">
        <w:rPr>
          <w:rFonts w:ascii="Verdana" w:hAnsi="Verdana"/>
          <w:sz w:val="20"/>
          <w:szCs w:val="20"/>
          <w:lang w:val="es-CR"/>
        </w:rPr>
        <w:t xml:space="preserve"> cuando tengan una naturaleza distinta a la de los sindicatos, persigan fines de representación de los intereses legítimos de los trabajadores. Esta protección deriva del propio artículo 16 de la Convención Americana, el cual protege la libertad de asociación con fines de cualquier índole, así como de otros instrumentos internacionales, que reconocen una protección especial a la libertad de asociación con fines de protección de los intereses de los trabajadores, sin especificar que esta protección se restrinja al ámbito sindical</w:t>
      </w:r>
      <w:r w:rsidRPr="00751089">
        <w:rPr>
          <w:rFonts w:ascii="Verdana" w:hAnsi="Verdana"/>
          <w:sz w:val="20"/>
          <w:szCs w:val="20"/>
          <w:vertAlign w:val="superscript"/>
          <w:lang w:val="es-CR"/>
        </w:rPr>
        <w:footnoteReference w:id="230"/>
      </w:r>
      <w:r w:rsidRPr="00751089">
        <w:rPr>
          <w:rFonts w:ascii="Verdana" w:hAnsi="Verdana"/>
          <w:sz w:val="20"/>
          <w:szCs w:val="20"/>
          <w:lang w:val="es-CR"/>
        </w:rPr>
        <w:t xml:space="preserve">. En este sentido, </w:t>
      </w:r>
      <w:r w:rsidRPr="00333304">
        <w:rPr>
          <w:rFonts w:ascii="Verdana" w:hAnsi="Verdana"/>
          <w:sz w:val="20"/>
          <w:szCs w:val="20"/>
          <w:lang w:val="es-CR"/>
        </w:rPr>
        <w:t xml:space="preserve">el propio artículo 26 de la Convención </w:t>
      </w:r>
      <w:r w:rsidR="001B66ED" w:rsidRPr="00333304">
        <w:rPr>
          <w:rFonts w:ascii="Verdana" w:hAnsi="Verdana"/>
          <w:sz w:val="20"/>
          <w:szCs w:val="20"/>
          <w:lang w:val="es-CR"/>
        </w:rPr>
        <w:t>Americana</w:t>
      </w:r>
      <w:r w:rsidR="004205B3" w:rsidRPr="00333304">
        <w:rPr>
          <w:rFonts w:ascii="Verdana" w:hAnsi="Verdana"/>
          <w:sz w:val="20"/>
          <w:szCs w:val="20"/>
          <w:lang w:val="es-CR"/>
        </w:rPr>
        <w:t>,</w:t>
      </w:r>
      <w:r w:rsidR="001B66ED" w:rsidRPr="00333304">
        <w:rPr>
          <w:rFonts w:ascii="Verdana" w:hAnsi="Verdana"/>
          <w:sz w:val="20"/>
          <w:szCs w:val="20"/>
          <w:lang w:val="es-CR"/>
        </w:rPr>
        <w:t xml:space="preserve"> que se </w:t>
      </w:r>
      <w:r w:rsidR="001B66ED" w:rsidRPr="00333304">
        <w:rPr>
          <w:rFonts w:ascii="Verdana" w:hAnsi="Verdana"/>
          <w:sz w:val="20"/>
          <w:szCs w:val="20"/>
          <w:lang w:val="es-CR"/>
        </w:rPr>
        <w:lastRenderedPageBreak/>
        <w:t>deriva de las normas económicas, sociales y sobre educación, ciencia y cultura, contenidas en la Carta de la Organización de los Estados Americanos</w:t>
      </w:r>
      <w:r w:rsidR="00062C2B" w:rsidRPr="001B66ED">
        <w:rPr>
          <w:rFonts w:ascii="Verdana" w:hAnsi="Verdana"/>
          <w:sz w:val="20"/>
          <w:szCs w:val="20"/>
          <w:lang w:val="es-CR"/>
        </w:rPr>
        <w:t>,</w:t>
      </w:r>
      <w:r w:rsidRPr="001B66ED">
        <w:rPr>
          <w:rFonts w:ascii="Verdana" w:hAnsi="Verdana"/>
          <w:sz w:val="20"/>
          <w:szCs w:val="20"/>
          <w:lang w:val="es-CR"/>
        </w:rPr>
        <w:t xml:space="preserve"> reconoce el derecho de los empleadores y trabajadores de asociarse libremente para la defensa y promoción de sus intereses, y el Preámbulo </w:t>
      </w:r>
      <w:r w:rsidR="00392C24">
        <w:rPr>
          <w:rFonts w:ascii="Verdana" w:hAnsi="Verdana"/>
          <w:sz w:val="20"/>
          <w:szCs w:val="20"/>
          <w:lang w:val="es-CR"/>
        </w:rPr>
        <w:t xml:space="preserve">de </w:t>
      </w:r>
      <w:r w:rsidRPr="001B66ED">
        <w:rPr>
          <w:rFonts w:ascii="Verdana" w:hAnsi="Verdana"/>
          <w:sz w:val="20"/>
          <w:szCs w:val="20"/>
          <w:lang w:val="es-CR"/>
        </w:rPr>
        <w:t xml:space="preserve">la Carta Democrática Interamericana reconoce que el derecho de los trabajadores de asociarse para la defensa y promoción de sus intereses es fundamental para la plena realización de los ideales democráticos. </w:t>
      </w:r>
    </w:p>
    <w:p w14:paraId="3F663394" w14:textId="77777777" w:rsidR="004205B3" w:rsidRPr="004205B3" w:rsidRDefault="004205B3" w:rsidP="00333304">
      <w:pPr>
        <w:contextualSpacing/>
        <w:jc w:val="both"/>
        <w:rPr>
          <w:rFonts w:ascii="Verdana" w:hAnsi="Verdana"/>
          <w:sz w:val="20"/>
          <w:szCs w:val="20"/>
          <w:lang w:val="es-CR"/>
        </w:rPr>
      </w:pPr>
    </w:p>
    <w:p w14:paraId="126C354A" w14:textId="76B299F0" w:rsidR="00032FC5" w:rsidRPr="005D0F69" w:rsidRDefault="00032FC5" w:rsidP="00E66DD7">
      <w:pPr>
        <w:numPr>
          <w:ilvl w:val="0"/>
          <w:numId w:val="1"/>
        </w:numPr>
        <w:ind w:left="0" w:firstLine="0"/>
        <w:contextualSpacing/>
        <w:jc w:val="both"/>
        <w:rPr>
          <w:rFonts w:ascii="Verdana" w:hAnsi="Verdana"/>
          <w:b/>
          <w:sz w:val="20"/>
          <w:szCs w:val="20"/>
          <w:lang w:val="es-CR"/>
        </w:rPr>
      </w:pPr>
      <w:r w:rsidRPr="00751089">
        <w:rPr>
          <w:rFonts w:ascii="Verdana" w:hAnsi="Verdana"/>
          <w:sz w:val="20"/>
          <w:szCs w:val="20"/>
          <w:lang w:val="es-CR"/>
        </w:rPr>
        <w:t xml:space="preserve">Estos principios coinciden con la protección reconocida por la </w:t>
      </w:r>
      <w:r w:rsidR="00DD5817">
        <w:rPr>
          <w:rFonts w:ascii="Verdana" w:hAnsi="Verdana"/>
          <w:sz w:val="20"/>
          <w:szCs w:val="20"/>
          <w:lang w:val="es-CR"/>
        </w:rPr>
        <w:t>OIT</w:t>
      </w:r>
      <w:r w:rsidRPr="00751089">
        <w:rPr>
          <w:rFonts w:ascii="Verdana" w:hAnsi="Verdana"/>
          <w:sz w:val="20"/>
          <w:szCs w:val="20"/>
          <w:lang w:val="es-CR"/>
        </w:rPr>
        <w:t>, la cual ha definido que la expresión “representantes de los trabajadores” comprende aquellos reconocidos como tales en virtud de la legislación o práctica nacional, se trate de representantes sindicales, o de “representantes electos, es decir, representantes libremente elegidos por los trabajadores de la empresa, de conformidad con las disposiciones de la legislación nacional o de los contratos colectivos, y cuyas actividades no se extiendan a actividades que sean reconocidas en el país como prerrogativas exclusivas de los sindicatos”</w:t>
      </w:r>
      <w:r w:rsidRPr="00751089">
        <w:rPr>
          <w:rFonts w:ascii="Verdana" w:hAnsi="Verdana"/>
          <w:sz w:val="20"/>
          <w:szCs w:val="20"/>
          <w:vertAlign w:val="superscript"/>
          <w:lang w:val="es-CR"/>
        </w:rPr>
        <w:footnoteReference w:id="231"/>
      </w:r>
      <w:r w:rsidRPr="00751089">
        <w:rPr>
          <w:rFonts w:ascii="Verdana" w:hAnsi="Verdana"/>
          <w:sz w:val="20"/>
          <w:szCs w:val="20"/>
          <w:lang w:val="es-CR"/>
        </w:rPr>
        <w:t xml:space="preserve">. </w:t>
      </w:r>
    </w:p>
    <w:p w14:paraId="5C451A7E" w14:textId="77777777" w:rsidR="00032FC5" w:rsidRDefault="00032FC5" w:rsidP="00032FC5">
      <w:pPr>
        <w:pStyle w:val="ListParagraph"/>
        <w:rPr>
          <w:rFonts w:ascii="Verdana" w:hAnsi="Verdana"/>
          <w:sz w:val="20"/>
          <w:szCs w:val="20"/>
          <w:lang w:val="es-CR"/>
        </w:rPr>
      </w:pPr>
    </w:p>
    <w:p w14:paraId="62163FF8" w14:textId="77777777" w:rsidR="00032FC5" w:rsidRPr="005D0F69" w:rsidRDefault="00032FC5" w:rsidP="00E66DD7">
      <w:pPr>
        <w:numPr>
          <w:ilvl w:val="0"/>
          <w:numId w:val="1"/>
        </w:numPr>
        <w:ind w:left="0" w:firstLine="0"/>
        <w:contextualSpacing/>
        <w:jc w:val="both"/>
        <w:rPr>
          <w:rFonts w:ascii="Verdana" w:eastAsia="Times New Roman" w:hAnsi="Verdana" w:cs="Arial"/>
          <w:sz w:val="20"/>
          <w:szCs w:val="20"/>
        </w:rPr>
      </w:pPr>
      <w:r w:rsidRPr="00751089">
        <w:rPr>
          <w:rFonts w:ascii="Verdana" w:hAnsi="Verdana"/>
          <w:sz w:val="20"/>
          <w:szCs w:val="20"/>
          <w:lang w:val="es-CR"/>
        </w:rPr>
        <w:t>En el mismo sentido, se ha interpretado que los representantes de los trabajadores de una empresa deben gozar de una protección eficaz contra todo acto que pueda perjudicarlos, incluido el despido por razón de su condición de representantes de los trabajadores, o de sus actividades derivadas de dicha representación</w:t>
      </w:r>
      <w:r w:rsidRPr="00751089">
        <w:rPr>
          <w:rFonts w:ascii="Verdana" w:hAnsi="Verdana"/>
          <w:sz w:val="20"/>
          <w:szCs w:val="20"/>
          <w:vertAlign w:val="superscript"/>
          <w:lang w:val="es-CR"/>
        </w:rPr>
        <w:footnoteReference w:id="232"/>
      </w:r>
      <w:r w:rsidRPr="00751089">
        <w:rPr>
          <w:rFonts w:ascii="Verdana" w:hAnsi="Verdana"/>
          <w:sz w:val="20"/>
          <w:szCs w:val="20"/>
          <w:lang w:val="es-CR"/>
        </w:rPr>
        <w:t>.</w:t>
      </w:r>
      <w:r>
        <w:rPr>
          <w:rFonts w:ascii="Verdana" w:eastAsia="Times New Roman" w:hAnsi="Verdana" w:cs="Arial"/>
          <w:sz w:val="20"/>
          <w:szCs w:val="20"/>
        </w:rPr>
        <w:t xml:space="preserve"> Asimismo</w:t>
      </w:r>
      <w:r w:rsidRPr="005D0F69">
        <w:rPr>
          <w:rFonts w:ascii="Verdana" w:eastAsia="Times New Roman" w:hAnsi="Verdana" w:cs="Arial"/>
          <w:sz w:val="20"/>
          <w:szCs w:val="20"/>
        </w:rPr>
        <w:t xml:space="preserve">, </w:t>
      </w:r>
      <w:r w:rsidRPr="005D0F69">
        <w:rPr>
          <w:rFonts w:ascii="Verdana" w:hAnsi="Verdana" w:cs="Cambria"/>
          <w:sz w:val="20"/>
          <w:szCs w:val="20"/>
        </w:rPr>
        <w:t>las autoridades nacionales deben garantizar que la imposición de sanciones que puedan resultar desproporcionadas no generen un efecto disuasivo en el derecho de los representantes de expresar y defender los intereses de los trabajadores</w:t>
      </w:r>
      <w:r w:rsidRPr="005D0F69">
        <w:rPr>
          <w:rFonts w:ascii="Verdana" w:hAnsi="Verdana"/>
          <w:sz w:val="20"/>
          <w:szCs w:val="20"/>
          <w:vertAlign w:val="superscript"/>
        </w:rPr>
        <w:footnoteReference w:id="233"/>
      </w:r>
      <w:r w:rsidRPr="005D0F69">
        <w:rPr>
          <w:rFonts w:ascii="Verdana" w:hAnsi="Verdana" w:cs="Cambria"/>
          <w:sz w:val="20"/>
          <w:szCs w:val="20"/>
        </w:rPr>
        <w:t>.</w:t>
      </w:r>
    </w:p>
    <w:p w14:paraId="0AA0F207" w14:textId="77777777" w:rsidR="00032FC5" w:rsidRDefault="00032FC5" w:rsidP="00032FC5">
      <w:pPr>
        <w:pStyle w:val="ListParagraph"/>
        <w:rPr>
          <w:rFonts w:ascii="Verdana" w:hAnsi="Verdana"/>
          <w:sz w:val="20"/>
          <w:szCs w:val="20"/>
          <w:lang w:val="es-CR"/>
        </w:rPr>
      </w:pPr>
    </w:p>
    <w:p w14:paraId="5B719D5B" w14:textId="4CADA2F8" w:rsidR="00032FC5" w:rsidRPr="00CF0579" w:rsidRDefault="00032FC5" w:rsidP="00E66DD7">
      <w:pPr>
        <w:numPr>
          <w:ilvl w:val="0"/>
          <w:numId w:val="1"/>
        </w:numPr>
        <w:ind w:left="0" w:firstLine="0"/>
        <w:contextualSpacing/>
        <w:jc w:val="both"/>
        <w:rPr>
          <w:rFonts w:ascii="Verdana" w:hAnsi="Verdana"/>
          <w:b/>
          <w:sz w:val="20"/>
          <w:szCs w:val="20"/>
          <w:lang w:val="es-CR"/>
        </w:rPr>
      </w:pPr>
      <w:r w:rsidRPr="00CF0579">
        <w:rPr>
          <w:rFonts w:ascii="Verdana" w:hAnsi="Verdana"/>
          <w:sz w:val="20"/>
          <w:szCs w:val="20"/>
          <w:lang w:val="es-CR"/>
        </w:rPr>
        <w:t xml:space="preserve">En el particular, la Corte constató que el señor Lagos del Campo fue despedido con motivo de las denuncias realizadas en el marco de un proceso electoral del que la presunta víctima, junto con otros trabajadores, estaba llamado a supervisar. Asimismo, es un hecho probado que, como consecuencia del despido, el señor Lagos del Campo no pudo continuar con sus labores de representación de los trabajadores en el Comité Electoral, no pudiendo incluso acudir a la reunión que el mismo, en ejercicio de sus funciones, había citado antes de ser despedido </w:t>
      </w:r>
      <w:r w:rsidRPr="005D0F69">
        <w:rPr>
          <w:rFonts w:ascii="Verdana" w:hAnsi="Verdana"/>
          <w:sz w:val="20"/>
          <w:szCs w:val="20"/>
          <w:lang w:val="es-CR"/>
        </w:rPr>
        <w:t xml:space="preserve">el </w:t>
      </w:r>
      <w:r w:rsidRPr="005D0F69">
        <w:rPr>
          <w:rFonts w:ascii="Verdana" w:hAnsi="Verdana"/>
          <w:sz w:val="20"/>
          <w:szCs w:val="20"/>
        </w:rPr>
        <w:t>27 de junio de 1989</w:t>
      </w:r>
      <w:r w:rsidRPr="005D0F69">
        <w:rPr>
          <w:rFonts w:ascii="Verdana" w:hAnsi="Verdana"/>
          <w:sz w:val="16"/>
          <w:szCs w:val="20"/>
          <w:lang w:val="es-CR"/>
        </w:rPr>
        <w:t xml:space="preserve"> </w:t>
      </w:r>
      <w:r w:rsidRPr="00CF0579">
        <w:rPr>
          <w:rFonts w:ascii="Verdana" w:hAnsi="Verdana"/>
          <w:sz w:val="20"/>
          <w:szCs w:val="20"/>
          <w:lang w:val="es-CR"/>
        </w:rPr>
        <w:t>(</w:t>
      </w:r>
      <w:r w:rsidRPr="00224537">
        <w:rPr>
          <w:rFonts w:ascii="Verdana" w:hAnsi="Verdana"/>
          <w:i/>
          <w:sz w:val="20"/>
          <w:szCs w:val="20"/>
          <w:lang w:val="es-CR"/>
        </w:rPr>
        <w:t>supra</w:t>
      </w:r>
      <w:r w:rsidRPr="00CF0579">
        <w:rPr>
          <w:rFonts w:ascii="Verdana" w:hAnsi="Verdana"/>
          <w:sz w:val="20"/>
          <w:szCs w:val="20"/>
          <w:lang w:val="es-CR"/>
        </w:rPr>
        <w:t>, párr.</w:t>
      </w:r>
      <w:r w:rsidR="003E79D2">
        <w:rPr>
          <w:rFonts w:ascii="Verdana" w:hAnsi="Verdana"/>
          <w:sz w:val="20"/>
          <w:szCs w:val="20"/>
          <w:lang w:val="es-CR"/>
        </w:rPr>
        <w:t xml:space="preserve"> 53</w:t>
      </w:r>
      <w:r w:rsidRPr="00CF0579">
        <w:rPr>
          <w:rFonts w:ascii="Verdana" w:hAnsi="Verdana"/>
          <w:sz w:val="20"/>
          <w:szCs w:val="20"/>
          <w:lang w:val="es-CR"/>
        </w:rPr>
        <w:t>), y que tampoco pudo continuar perteneciendo a la Comunidad Industrial, al ya no formar parte de la empresa como trabajador. En este sentido, la Corte advierte que el Segundo Tribunal del Trabajo de Lima, en su sentencia del 8 de agosto de 1991</w:t>
      </w:r>
      <w:r w:rsidR="00446B52">
        <w:rPr>
          <w:rFonts w:ascii="Verdana" w:hAnsi="Verdana"/>
          <w:sz w:val="20"/>
          <w:szCs w:val="20"/>
          <w:lang w:val="es-CR"/>
        </w:rPr>
        <w:t xml:space="preserve"> </w:t>
      </w:r>
      <w:r w:rsidRPr="00CF0579">
        <w:rPr>
          <w:rFonts w:ascii="Verdana" w:hAnsi="Verdana"/>
          <w:sz w:val="20"/>
          <w:szCs w:val="20"/>
          <w:lang w:val="es-CR"/>
        </w:rPr>
        <w:t>donde calificó el despido de la presunta víctima como “legal y justificado” (</w:t>
      </w:r>
      <w:r w:rsidRPr="00224537">
        <w:rPr>
          <w:rFonts w:ascii="Verdana" w:hAnsi="Verdana"/>
          <w:i/>
          <w:sz w:val="20"/>
          <w:szCs w:val="20"/>
          <w:lang w:val="es-CR"/>
        </w:rPr>
        <w:t>supra</w:t>
      </w:r>
      <w:r w:rsidRPr="00CF0579">
        <w:rPr>
          <w:rFonts w:ascii="Verdana" w:hAnsi="Verdana"/>
          <w:sz w:val="20"/>
          <w:szCs w:val="20"/>
          <w:lang w:val="es-CR"/>
        </w:rPr>
        <w:t xml:space="preserve"> párr.</w:t>
      </w:r>
      <w:r w:rsidR="003E79D2">
        <w:rPr>
          <w:rFonts w:ascii="Verdana" w:hAnsi="Verdana"/>
          <w:sz w:val="20"/>
          <w:szCs w:val="20"/>
          <w:lang w:val="es-CR"/>
        </w:rPr>
        <w:t xml:space="preserve"> 60</w:t>
      </w:r>
      <w:r w:rsidRPr="00CF0579">
        <w:rPr>
          <w:rFonts w:ascii="Verdana" w:hAnsi="Verdana"/>
          <w:sz w:val="20"/>
          <w:szCs w:val="20"/>
          <w:lang w:val="es-CR"/>
        </w:rPr>
        <w:t>), avaló una sanción que tuvo un impacto en la posibilidad del señor Lagos del Campo de poder continuar perteneciendo a dicha corporación</w:t>
      </w:r>
      <w:r>
        <w:rPr>
          <w:rFonts w:ascii="Verdana" w:hAnsi="Verdana"/>
          <w:sz w:val="20"/>
          <w:szCs w:val="20"/>
          <w:lang w:val="es-CR"/>
        </w:rPr>
        <w:t>,</w:t>
      </w:r>
      <w:r w:rsidRPr="00CF0579">
        <w:rPr>
          <w:rFonts w:ascii="Verdana" w:hAnsi="Verdana"/>
          <w:sz w:val="20"/>
          <w:szCs w:val="20"/>
          <w:lang w:val="es-CR"/>
        </w:rPr>
        <w:t xml:space="preserve"> y de representar los intereses de los demás trabajadores.</w:t>
      </w:r>
    </w:p>
    <w:p w14:paraId="30AE8958" w14:textId="77777777" w:rsidR="00032FC5" w:rsidRPr="00751089" w:rsidRDefault="00032FC5" w:rsidP="00032FC5">
      <w:pPr>
        <w:contextualSpacing/>
        <w:rPr>
          <w:rFonts w:ascii="Verdana" w:hAnsi="Verdana"/>
          <w:sz w:val="20"/>
          <w:szCs w:val="20"/>
          <w:lang w:val="es-CR"/>
        </w:rPr>
      </w:pPr>
    </w:p>
    <w:p w14:paraId="32D7D447" w14:textId="0ECC9641" w:rsidR="00032FC5" w:rsidRPr="00C74AF1" w:rsidRDefault="00032FC5" w:rsidP="00E66DD7">
      <w:pPr>
        <w:numPr>
          <w:ilvl w:val="0"/>
          <w:numId w:val="1"/>
        </w:numPr>
        <w:ind w:left="0" w:firstLine="0"/>
        <w:contextualSpacing/>
        <w:jc w:val="both"/>
        <w:rPr>
          <w:rFonts w:ascii="Verdana" w:hAnsi="Verdana"/>
          <w:b/>
          <w:sz w:val="20"/>
          <w:szCs w:val="20"/>
          <w:lang w:val="es-CR"/>
        </w:rPr>
      </w:pPr>
      <w:r w:rsidRPr="00C74AF1">
        <w:rPr>
          <w:rFonts w:ascii="Verdana" w:hAnsi="Verdana"/>
          <w:sz w:val="20"/>
          <w:szCs w:val="20"/>
          <w:lang w:val="es-CR"/>
        </w:rPr>
        <w:t>Adicionalmente, este Tribunal h</w:t>
      </w:r>
      <w:r w:rsidRPr="00765331">
        <w:rPr>
          <w:rFonts w:ascii="Verdana" w:hAnsi="Verdana"/>
          <w:sz w:val="20"/>
          <w:szCs w:val="20"/>
          <w:lang w:val="es-CR"/>
        </w:rPr>
        <w:t>a establecido que l</w:t>
      </w:r>
      <w:r w:rsidRPr="00C74AF1">
        <w:rPr>
          <w:rFonts w:ascii="Verdana" w:hAnsi="Verdana"/>
          <w:sz w:val="20"/>
          <w:szCs w:val="20"/>
          <w:lang w:val="es-CR"/>
        </w:rPr>
        <w:t>a libertad de asociación tiene dos dimensiones, pues recae tanto en el derecho del individuo de asociarse libremente y utilizar los medios apropiados para ejercer esa libertad, como en los integrantes de un grupo para alcanzar determinados fines en conjunto y beneficiarse de los mismos</w:t>
      </w:r>
      <w:r w:rsidRPr="00C74AF1">
        <w:rPr>
          <w:rStyle w:val="FootnoteReference"/>
          <w:szCs w:val="20"/>
          <w:lang w:val="es-CR"/>
        </w:rPr>
        <w:footnoteReference w:id="234"/>
      </w:r>
      <w:r w:rsidRPr="00C74AF1">
        <w:rPr>
          <w:rFonts w:ascii="Verdana" w:hAnsi="Verdana"/>
          <w:sz w:val="20"/>
          <w:szCs w:val="20"/>
          <w:lang w:val="es-CR"/>
        </w:rPr>
        <w:t xml:space="preserve">. Asimismo, este Tribunal ha establecido que los derechos derivados de la representación de los intereses de un grupo tiene una naturaleza dual, pues recae tanto en el derecho del individuo que ejerce el mandato o designación como en el derecho de la colectividad de ser representada, por lo que la violación </w:t>
      </w:r>
      <w:r w:rsidRPr="00C74AF1">
        <w:rPr>
          <w:rFonts w:ascii="Verdana" w:hAnsi="Verdana"/>
          <w:sz w:val="20"/>
          <w:szCs w:val="20"/>
          <w:lang w:val="es-CR"/>
        </w:rPr>
        <w:lastRenderedPageBreak/>
        <w:t>del derecho del primero (el representante) repercute en la vulneración del derecho del otro (</w:t>
      </w:r>
      <w:r>
        <w:rPr>
          <w:rFonts w:ascii="Verdana" w:hAnsi="Verdana"/>
          <w:sz w:val="20"/>
          <w:szCs w:val="20"/>
          <w:lang w:val="es-CR"/>
        </w:rPr>
        <w:t>el representado</w:t>
      </w:r>
      <w:r w:rsidRPr="00C74AF1">
        <w:rPr>
          <w:rFonts w:ascii="Verdana" w:hAnsi="Verdana"/>
          <w:sz w:val="20"/>
          <w:szCs w:val="20"/>
          <w:lang w:val="es-CR"/>
        </w:rPr>
        <w:t>)</w:t>
      </w:r>
      <w:r w:rsidRPr="00EB2749">
        <w:rPr>
          <w:rFonts w:ascii="Verdana" w:hAnsi="Verdana"/>
          <w:sz w:val="20"/>
          <w:vertAlign w:val="superscript"/>
          <w:lang w:val="es-CR"/>
        </w:rPr>
        <w:footnoteReference w:id="235"/>
      </w:r>
      <w:r w:rsidRPr="00EB2749">
        <w:rPr>
          <w:rFonts w:ascii="Verdana" w:hAnsi="Verdana"/>
          <w:sz w:val="20"/>
          <w:lang w:val="es-CR"/>
        </w:rPr>
        <w:t>.</w:t>
      </w:r>
      <w:r w:rsidRPr="00C74AF1">
        <w:rPr>
          <w:rFonts w:ascii="Verdana" w:hAnsi="Verdana"/>
          <w:sz w:val="20"/>
          <w:szCs w:val="20"/>
          <w:lang w:val="es-CR"/>
        </w:rPr>
        <w:t xml:space="preserve"> En razón de ello, la Corte encuentra que el despido del señor Lagos del Campo trascendió a la violación de su derecho individual a la libertad de asociación, pues privó a los trabajadores de la Comunidad Industrial de la representación de uno de sus líderes, en especial en la elección que habría tenido lugar bajo su supervisión como Presidente del Comité Electoral. De igual forma, la Corte advierte que el despido del señor Lagos del Campo, al haber sido realizado en represalia por sus labores de representación, pudo tener </w:t>
      </w:r>
      <w:r w:rsidRPr="00EB2749">
        <w:rPr>
          <w:rFonts w:ascii="Verdana" w:hAnsi="Verdana"/>
          <w:sz w:val="20"/>
          <w:lang w:val="es-CR"/>
        </w:rPr>
        <w:t>un efecto amedrentador</w:t>
      </w:r>
      <w:r w:rsidRPr="00C74AF1">
        <w:rPr>
          <w:rFonts w:ascii="Verdana" w:hAnsi="Verdana"/>
          <w:sz w:val="20"/>
          <w:lang w:val="es-CR"/>
        </w:rPr>
        <w:t xml:space="preserve"> e intimidante</w:t>
      </w:r>
      <w:r w:rsidRPr="00C74AF1">
        <w:rPr>
          <w:rFonts w:ascii="Verdana" w:hAnsi="Verdana"/>
          <w:sz w:val="20"/>
          <w:szCs w:val="20"/>
          <w:lang w:val="es-CR"/>
        </w:rPr>
        <w:t xml:space="preserve"> en los demás miembros de la Comunidad Industrial. </w:t>
      </w:r>
    </w:p>
    <w:p w14:paraId="1CF7836F" w14:textId="77777777" w:rsidR="00032FC5" w:rsidRDefault="00032FC5" w:rsidP="00032FC5">
      <w:pPr>
        <w:pStyle w:val="ListParagraph"/>
        <w:rPr>
          <w:rFonts w:ascii="Verdana" w:hAnsi="Verdana"/>
          <w:sz w:val="20"/>
          <w:szCs w:val="20"/>
          <w:lang w:val="es-CR"/>
        </w:rPr>
      </w:pPr>
    </w:p>
    <w:p w14:paraId="6E769401" w14:textId="2755EA70" w:rsidR="00032FC5" w:rsidRPr="00801513" w:rsidRDefault="00032FC5" w:rsidP="00E66DD7">
      <w:pPr>
        <w:numPr>
          <w:ilvl w:val="0"/>
          <w:numId w:val="1"/>
        </w:numPr>
        <w:ind w:left="0" w:firstLine="0"/>
        <w:contextualSpacing/>
        <w:jc w:val="both"/>
        <w:rPr>
          <w:rFonts w:ascii="Verdana" w:hAnsi="Verdana"/>
          <w:b/>
          <w:sz w:val="20"/>
          <w:szCs w:val="20"/>
          <w:lang w:val="es-CR"/>
        </w:rPr>
      </w:pPr>
      <w:r w:rsidRPr="00317885">
        <w:rPr>
          <w:rFonts w:ascii="Verdana" w:hAnsi="Verdana"/>
          <w:sz w:val="20"/>
          <w:szCs w:val="20"/>
          <w:lang w:val="es-CR"/>
        </w:rPr>
        <w:t xml:space="preserve">En </w:t>
      </w:r>
      <w:r w:rsidR="00F830E9">
        <w:rPr>
          <w:rFonts w:ascii="Verdana" w:hAnsi="Verdana"/>
          <w:sz w:val="20"/>
          <w:szCs w:val="20"/>
          <w:lang w:val="es-CR"/>
        </w:rPr>
        <w:t>vista de</w:t>
      </w:r>
      <w:r w:rsidRPr="00317885">
        <w:rPr>
          <w:rFonts w:ascii="Verdana" w:hAnsi="Verdana"/>
          <w:sz w:val="20"/>
          <w:szCs w:val="20"/>
          <w:lang w:val="es-CR"/>
        </w:rPr>
        <w:t xml:space="preserve"> lo anterior, esta Corte concluye que el Estado es responsable por la violación del artículo 16.1</w:t>
      </w:r>
      <w:r>
        <w:rPr>
          <w:rFonts w:ascii="Verdana" w:hAnsi="Verdana"/>
          <w:sz w:val="20"/>
          <w:szCs w:val="20"/>
          <w:lang w:val="es-CR"/>
        </w:rPr>
        <w:t xml:space="preserve"> </w:t>
      </w:r>
      <w:r w:rsidRPr="00333304">
        <w:rPr>
          <w:rFonts w:ascii="Verdana" w:hAnsi="Verdana"/>
          <w:sz w:val="20"/>
          <w:szCs w:val="20"/>
          <w:lang w:val="es-CR"/>
        </w:rPr>
        <w:t>y 26</w:t>
      </w:r>
      <w:r w:rsidRPr="003E79D2">
        <w:rPr>
          <w:rFonts w:ascii="Verdana" w:hAnsi="Verdana"/>
          <w:sz w:val="20"/>
          <w:szCs w:val="20"/>
          <w:lang w:val="es-CR"/>
        </w:rPr>
        <w:t xml:space="preserve"> </w:t>
      </w:r>
      <w:r w:rsidRPr="00333304">
        <w:rPr>
          <w:rFonts w:ascii="Verdana" w:hAnsi="Verdana"/>
          <w:sz w:val="20"/>
          <w:szCs w:val="20"/>
          <w:lang w:val="es-CR"/>
        </w:rPr>
        <w:t xml:space="preserve">en relación con </w:t>
      </w:r>
      <w:r w:rsidR="00062C2B" w:rsidRPr="00333304">
        <w:rPr>
          <w:rFonts w:ascii="Verdana" w:hAnsi="Verdana"/>
          <w:sz w:val="20"/>
          <w:szCs w:val="20"/>
          <w:lang w:val="es-CR"/>
        </w:rPr>
        <w:t>los</w:t>
      </w:r>
      <w:r w:rsidRPr="00333304">
        <w:rPr>
          <w:rFonts w:ascii="Verdana" w:hAnsi="Verdana"/>
          <w:sz w:val="20"/>
          <w:szCs w:val="20"/>
          <w:lang w:val="es-CR"/>
        </w:rPr>
        <w:t xml:space="preserve"> artículo</w:t>
      </w:r>
      <w:r w:rsidR="00062C2B" w:rsidRPr="00333304">
        <w:rPr>
          <w:rFonts w:ascii="Verdana" w:hAnsi="Verdana"/>
          <w:sz w:val="20"/>
          <w:szCs w:val="20"/>
          <w:lang w:val="es-CR"/>
        </w:rPr>
        <w:t>s</w:t>
      </w:r>
      <w:r w:rsidRPr="00333304">
        <w:rPr>
          <w:rFonts w:ascii="Verdana" w:hAnsi="Verdana"/>
          <w:sz w:val="20"/>
          <w:szCs w:val="20"/>
          <w:lang w:val="es-CR"/>
        </w:rPr>
        <w:t xml:space="preserve"> 1.1</w:t>
      </w:r>
      <w:r w:rsidR="00062C2B" w:rsidRPr="00333304">
        <w:rPr>
          <w:rFonts w:ascii="Verdana" w:hAnsi="Verdana"/>
          <w:sz w:val="20"/>
          <w:szCs w:val="20"/>
          <w:lang w:val="es-CR"/>
        </w:rPr>
        <w:t>, 13 y 8</w:t>
      </w:r>
      <w:r w:rsidRPr="00317885">
        <w:rPr>
          <w:rFonts w:ascii="Verdana" w:hAnsi="Verdana"/>
          <w:sz w:val="20"/>
          <w:szCs w:val="20"/>
          <w:lang w:val="es-CR"/>
        </w:rPr>
        <w:t xml:space="preserve"> de la Convención Americana</w:t>
      </w:r>
      <w:r>
        <w:rPr>
          <w:rFonts w:ascii="Verdana" w:hAnsi="Verdana"/>
          <w:sz w:val="20"/>
          <w:szCs w:val="20"/>
          <w:lang w:val="es-CR"/>
        </w:rPr>
        <w:t>,</w:t>
      </w:r>
      <w:r w:rsidRPr="00317885">
        <w:rPr>
          <w:rFonts w:ascii="Verdana" w:hAnsi="Verdana"/>
          <w:sz w:val="20"/>
          <w:szCs w:val="20"/>
          <w:lang w:val="es-CR"/>
        </w:rPr>
        <w:t xml:space="preserve"> en perjuicio de</w:t>
      </w:r>
      <w:r w:rsidR="00334B6C">
        <w:rPr>
          <w:rFonts w:ascii="Verdana" w:hAnsi="Verdana"/>
          <w:sz w:val="20"/>
          <w:szCs w:val="20"/>
          <w:lang w:val="es-CR"/>
        </w:rPr>
        <w:t>l señor</w:t>
      </w:r>
      <w:r w:rsidRPr="00317885">
        <w:rPr>
          <w:rFonts w:ascii="Verdana" w:hAnsi="Verdana"/>
          <w:sz w:val="20"/>
          <w:szCs w:val="20"/>
          <w:lang w:val="es-CR"/>
        </w:rPr>
        <w:t xml:space="preserve"> Lagos del Campo.</w:t>
      </w:r>
    </w:p>
    <w:p w14:paraId="42D6D54E" w14:textId="77777777" w:rsidR="0088700B" w:rsidRPr="00801513" w:rsidRDefault="0088700B" w:rsidP="0088700B">
      <w:pPr>
        <w:contextualSpacing/>
        <w:jc w:val="both"/>
        <w:rPr>
          <w:rFonts w:ascii="Verdana" w:hAnsi="Verdana"/>
          <w:color w:val="000000"/>
          <w:sz w:val="20"/>
          <w:lang w:val="es-CR"/>
        </w:rPr>
      </w:pPr>
    </w:p>
    <w:p w14:paraId="01915554" w14:textId="1283E374" w:rsidR="003F0DD6" w:rsidRPr="005B3D37" w:rsidRDefault="003F0DD6" w:rsidP="00E66DD7">
      <w:pPr>
        <w:pStyle w:val="Heading3"/>
        <w:numPr>
          <w:ilvl w:val="0"/>
          <w:numId w:val="11"/>
        </w:numPr>
        <w:ind w:left="714" w:hanging="357"/>
        <w:rPr>
          <w:i/>
          <w:lang w:val="es-MX"/>
        </w:rPr>
      </w:pPr>
      <w:bookmarkStart w:id="53" w:name="_Toc498333510"/>
      <w:r w:rsidRPr="005D0F69">
        <w:rPr>
          <w:i/>
          <w:lang w:val="es-MX"/>
        </w:rPr>
        <w:t>Deber</w:t>
      </w:r>
      <w:r w:rsidRPr="005B3D37">
        <w:rPr>
          <w:i/>
          <w:lang w:val="es-MX"/>
        </w:rPr>
        <w:t xml:space="preserve"> de adoptar disposiciones de derecho interno</w:t>
      </w:r>
      <w:bookmarkEnd w:id="53"/>
    </w:p>
    <w:p w14:paraId="080BB964" w14:textId="77777777" w:rsidR="00FF1171" w:rsidRDefault="00FF1171" w:rsidP="00CB5A95">
      <w:pPr>
        <w:jc w:val="both"/>
        <w:rPr>
          <w:rFonts w:ascii="Verdana" w:hAnsi="Verdana"/>
          <w:color w:val="000000"/>
          <w:sz w:val="20"/>
        </w:rPr>
      </w:pPr>
    </w:p>
    <w:p w14:paraId="159AAB1A" w14:textId="2449FA50" w:rsidR="00470F22" w:rsidRPr="005D0F69" w:rsidRDefault="00FF1171" w:rsidP="00E66DD7">
      <w:pPr>
        <w:numPr>
          <w:ilvl w:val="0"/>
          <w:numId w:val="1"/>
        </w:numPr>
        <w:ind w:left="0" w:firstLine="0"/>
        <w:contextualSpacing/>
        <w:jc w:val="both"/>
        <w:rPr>
          <w:rFonts w:ascii="Verdana" w:hAnsi="Verdana"/>
          <w:sz w:val="20"/>
          <w:szCs w:val="20"/>
          <w:lang w:val="es-CR"/>
        </w:rPr>
      </w:pPr>
      <w:r w:rsidRPr="00971F47">
        <w:rPr>
          <w:rFonts w:ascii="Verdana" w:hAnsi="Verdana"/>
          <w:sz w:val="20"/>
          <w:szCs w:val="20"/>
          <w:lang w:val="es-ES" w:eastAsia="es-ES"/>
        </w:rPr>
        <w:t xml:space="preserve">En </w:t>
      </w:r>
      <w:r w:rsidRPr="00971F47">
        <w:rPr>
          <w:rFonts w:ascii="Verdana" w:hAnsi="Verdana"/>
          <w:sz w:val="20"/>
          <w:szCs w:val="20"/>
        </w:rPr>
        <w:t xml:space="preserve">relación con </w:t>
      </w:r>
      <w:r w:rsidRPr="00971F47">
        <w:rPr>
          <w:rFonts w:ascii="Verdana" w:hAnsi="Verdana"/>
          <w:sz w:val="20"/>
          <w:szCs w:val="20"/>
          <w:lang w:val="es-MX"/>
        </w:rPr>
        <w:t>el alegato relacionado con el literal h) del artículo 5 de la ley No. 24514</w:t>
      </w:r>
      <w:r>
        <w:rPr>
          <w:rFonts w:ascii="Verdana" w:hAnsi="Verdana"/>
          <w:sz w:val="20"/>
          <w:szCs w:val="20"/>
          <w:lang w:val="es-MX"/>
        </w:rPr>
        <w:t xml:space="preserve"> (</w:t>
      </w:r>
      <w:r w:rsidR="00224537" w:rsidRPr="00224537">
        <w:rPr>
          <w:rFonts w:ascii="Verdana" w:hAnsi="Verdana"/>
          <w:i/>
          <w:sz w:val="20"/>
          <w:szCs w:val="20"/>
          <w:lang w:val="es-MX"/>
        </w:rPr>
        <w:t>supra</w:t>
      </w:r>
      <w:r>
        <w:rPr>
          <w:rFonts w:ascii="Verdana" w:hAnsi="Verdana"/>
          <w:sz w:val="20"/>
          <w:szCs w:val="20"/>
          <w:lang w:val="es-MX"/>
        </w:rPr>
        <w:t xml:space="preserve"> </w:t>
      </w:r>
      <w:proofErr w:type="spellStart"/>
      <w:r>
        <w:rPr>
          <w:rFonts w:ascii="Verdana" w:hAnsi="Verdana"/>
          <w:sz w:val="20"/>
          <w:szCs w:val="20"/>
          <w:lang w:val="es-MX"/>
        </w:rPr>
        <w:t>párr</w:t>
      </w:r>
      <w:r w:rsidR="00161225">
        <w:rPr>
          <w:rFonts w:ascii="Verdana" w:hAnsi="Verdana"/>
          <w:sz w:val="20"/>
          <w:szCs w:val="20"/>
          <w:lang w:val="es-MX"/>
        </w:rPr>
        <w:t>s</w:t>
      </w:r>
      <w:proofErr w:type="spellEnd"/>
      <w:r>
        <w:rPr>
          <w:rFonts w:ascii="Verdana" w:hAnsi="Verdana"/>
          <w:sz w:val="20"/>
          <w:szCs w:val="20"/>
          <w:lang w:val="es-MX"/>
        </w:rPr>
        <w:t>.</w:t>
      </w:r>
      <w:r w:rsidR="003E79D2">
        <w:rPr>
          <w:rFonts w:ascii="Verdana" w:hAnsi="Verdana"/>
          <w:sz w:val="20"/>
          <w:szCs w:val="20"/>
          <w:lang w:val="es-MX"/>
        </w:rPr>
        <w:t xml:space="preserve"> </w:t>
      </w:r>
      <w:r w:rsidR="00161225">
        <w:rPr>
          <w:rFonts w:ascii="Verdana" w:hAnsi="Verdana"/>
          <w:sz w:val="20"/>
          <w:szCs w:val="20"/>
          <w:lang w:val="es-MX"/>
        </w:rPr>
        <w:t>85 y 86</w:t>
      </w:r>
      <w:r>
        <w:rPr>
          <w:rFonts w:ascii="Verdana" w:hAnsi="Verdana"/>
          <w:sz w:val="20"/>
          <w:szCs w:val="20"/>
          <w:lang w:val="es-MX"/>
        </w:rPr>
        <w:t>)</w:t>
      </w:r>
      <w:r w:rsidRPr="00971F47">
        <w:rPr>
          <w:rFonts w:ascii="Verdana" w:hAnsi="Verdana"/>
          <w:sz w:val="20"/>
          <w:szCs w:val="20"/>
          <w:lang w:val="es-MX"/>
        </w:rPr>
        <w:t xml:space="preserve">, </w:t>
      </w:r>
      <w:r w:rsidR="00470F22">
        <w:rPr>
          <w:rFonts w:ascii="Verdana" w:hAnsi="Verdana"/>
          <w:sz w:val="20"/>
          <w:szCs w:val="20"/>
          <w:lang w:val="es-MX"/>
        </w:rPr>
        <w:t xml:space="preserve">vigente al momento de los hechos, </w:t>
      </w:r>
      <w:r w:rsidRPr="00971F47">
        <w:rPr>
          <w:rFonts w:ascii="Verdana" w:hAnsi="Verdana"/>
          <w:sz w:val="20"/>
          <w:szCs w:val="20"/>
          <w:lang w:val="es-MX"/>
        </w:rPr>
        <w:t>por las razones expuestas en el acápite anterior (</w:t>
      </w:r>
      <w:r w:rsidR="00224537" w:rsidRPr="00224537">
        <w:rPr>
          <w:rFonts w:ascii="Verdana" w:hAnsi="Verdana"/>
          <w:i/>
          <w:sz w:val="20"/>
          <w:szCs w:val="20"/>
          <w:lang w:val="es-MX"/>
        </w:rPr>
        <w:t>supra</w:t>
      </w:r>
      <w:r w:rsidRPr="00971F47">
        <w:rPr>
          <w:rFonts w:ascii="Verdana" w:hAnsi="Verdana"/>
          <w:sz w:val="20"/>
          <w:szCs w:val="20"/>
          <w:lang w:val="es-MX"/>
        </w:rPr>
        <w:t xml:space="preserve"> párr.</w:t>
      </w:r>
      <w:r w:rsidR="00161225">
        <w:rPr>
          <w:rFonts w:ascii="Verdana" w:hAnsi="Verdana"/>
          <w:sz w:val="20"/>
          <w:szCs w:val="20"/>
          <w:lang w:val="es-MX"/>
        </w:rPr>
        <w:t xml:space="preserve"> </w:t>
      </w:r>
      <w:proofErr w:type="gramStart"/>
      <w:r w:rsidR="00161225">
        <w:rPr>
          <w:rFonts w:ascii="Verdana" w:hAnsi="Verdana"/>
          <w:sz w:val="20"/>
          <w:szCs w:val="20"/>
          <w:lang w:val="es-MX"/>
        </w:rPr>
        <w:t>123</w:t>
      </w:r>
      <w:r w:rsidR="003E79D2">
        <w:rPr>
          <w:rFonts w:ascii="Verdana" w:hAnsi="Verdana"/>
          <w:sz w:val="20"/>
          <w:szCs w:val="20"/>
          <w:lang w:val="es-MX"/>
        </w:rPr>
        <w:t xml:space="preserve"> </w:t>
      </w:r>
      <w:r w:rsidRPr="00971F47">
        <w:rPr>
          <w:rFonts w:ascii="Verdana" w:hAnsi="Verdana"/>
          <w:sz w:val="20"/>
          <w:szCs w:val="20"/>
          <w:lang w:val="es-MX"/>
        </w:rPr>
        <w:t>)</w:t>
      </w:r>
      <w:proofErr w:type="gramEnd"/>
      <w:r w:rsidRPr="00971F47">
        <w:rPr>
          <w:rFonts w:ascii="Verdana" w:hAnsi="Verdana"/>
          <w:sz w:val="20"/>
          <w:szCs w:val="20"/>
          <w:lang w:val="es-MX"/>
        </w:rPr>
        <w:t>, la Corte concluy</w:t>
      </w:r>
      <w:r w:rsidR="000C6082">
        <w:rPr>
          <w:rFonts w:ascii="Verdana" w:hAnsi="Verdana"/>
          <w:sz w:val="20"/>
          <w:szCs w:val="20"/>
          <w:lang w:val="es-MX"/>
        </w:rPr>
        <w:t>e</w:t>
      </w:r>
      <w:r w:rsidRPr="00971F47">
        <w:rPr>
          <w:rFonts w:ascii="Verdana" w:hAnsi="Verdana"/>
          <w:sz w:val="20"/>
          <w:szCs w:val="20"/>
          <w:lang w:val="es-MX"/>
        </w:rPr>
        <w:t xml:space="preserve"> que el Estado no e</w:t>
      </w:r>
      <w:r w:rsidR="000C6082">
        <w:rPr>
          <w:rFonts w:ascii="Verdana" w:hAnsi="Verdana"/>
          <w:sz w:val="20"/>
          <w:szCs w:val="20"/>
          <w:lang w:val="es-MX"/>
        </w:rPr>
        <w:t>s</w:t>
      </w:r>
      <w:r w:rsidRPr="00971F47">
        <w:rPr>
          <w:rFonts w:ascii="Verdana" w:hAnsi="Verdana"/>
          <w:sz w:val="20"/>
          <w:szCs w:val="20"/>
          <w:lang w:val="es-MX"/>
        </w:rPr>
        <w:t xml:space="preserve"> responsable por la violación al artículo 2 de la Convención. </w:t>
      </w:r>
    </w:p>
    <w:p w14:paraId="037FAAA1" w14:textId="77777777" w:rsidR="00470F22" w:rsidRDefault="00470F22" w:rsidP="005D0F69">
      <w:pPr>
        <w:contextualSpacing/>
        <w:jc w:val="both"/>
        <w:rPr>
          <w:rFonts w:ascii="Verdana" w:hAnsi="Verdana"/>
          <w:sz w:val="20"/>
          <w:szCs w:val="20"/>
          <w:lang w:val="es-CR"/>
        </w:rPr>
      </w:pPr>
    </w:p>
    <w:p w14:paraId="2293C6CA" w14:textId="5026B43C" w:rsidR="00470F22" w:rsidRDefault="00FF1171" w:rsidP="00E66DD7">
      <w:pPr>
        <w:numPr>
          <w:ilvl w:val="0"/>
          <w:numId w:val="1"/>
        </w:numPr>
        <w:ind w:left="0" w:firstLine="0"/>
        <w:contextualSpacing/>
        <w:jc w:val="both"/>
        <w:rPr>
          <w:rFonts w:ascii="Verdana" w:hAnsi="Verdana"/>
          <w:sz w:val="20"/>
          <w:szCs w:val="20"/>
          <w:lang w:val="es-CR"/>
        </w:rPr>
      </w:pPr>
      <w:r w:rsidRPr="00971F47">
        <w:rPr>
          <w:rFonts w:ascii="Verdana" w:hAnsi="Verdana"/>
          <w:sz w:val="20"/>
          <w:szCs w:val="20"/>
          <w:lang w:val="es-MX"/>
        </w:rPr>
        <w:t xml:space="preserve">En relación con el alegato relativo a la actual ley </w:t>
      </w:r>
      <w:r w:rsidR="00470F22">
        <w:rPr>
          <w:rFonts w:ascii="Verdana" w:hAnsi="Verdana"/>
          <w:sz w:val="20"/>
          <w:szCs w:val="20"/>
          <w:lang w:val="es-MX"/>
        </w:rPr>
        <w:t xml:space="preserve">vigente </w:t>
      </w:r>
      <w:r w:rsidR="00A31238">
        <w:rPr>
          <w:rFonts w:ascii="Verdana" w:hAnsi="Verdana"/>
          <w:sz w:val="20"/>
          <w:szCs w:val="20"/>
          <w:lang w:val="es-MX"/>
        </w:rPr>
        <w:t>respecto del</w:t>
      </w:r>
      <w:r w:rsidR="0077648D" w:rsidRPr="00971F47">
        <w:rPr>
          <w:rFonts w:ascii="Verdana" w:hAnsi="Verdana"/>
          <w:sz w:val="20"/>
          <w:szCs w:val="20"/>
          <w:lang w:val="es-MX"/>
        </w:rPr>
        <w:t xml:space="preserve"> </w:t>
      </w:r>
      <w:r w:rsidRPr="00971F47">
        <w:rPr>
          <w:rFonts w:ascii="Verdana" w:hAnsi="Verdana"/>
          <w:sz w:val="20"/>
          <w:szCs w:val="20"/>
          <w:lang w:val="es-MX"/>
        </w:rPr>
        <w:t>artículo 25 del Decreto Legislativo No. 728 de 27 de marzo de 1997</w:t>
      </w:r>
      <w:r>
        <w:rPr>
          <w:rFonts w:ascii="Verdana" w:hAnsi="Verdana"/>
          <w:sz w:val="20"/>
          <w:szCs w:val="20"/>
          <w:lang w:val="es-MX"/>
        </w:rPr>
        <w:t xml:space="preserve"> (</w:t>
      </w:r>
      <w:r w:rsidR="00224537" w:rsidRPr="00224537">
        <w:rPr>
          <w:rFonts w:ascii="Verdana" w:hAnsi="Verdana"/>
          <w:i/>
          <w:sz w:val="20"/>
          <w:szCs w:val="20"/>
          <w:lang w:val="es-MX"/>
        </w:rPr>
        <w:t>supra</w:t>
      </w:r>
      <w:r>
        <w:rPr>
          <w:rFonts w:ascii="Verdana" w:hAnsi="Verdana"/>
          <w:sz w:val="20"/>
          <w:szCs w:val="20"/>
          <w:lang w:val="es-MX"/>
        </w:rPr>
        <w:t xml:space="preserve"> párr.</w:t>
      </w:r>
      <w:r w:rsidR="003E79D2">
        <w:rPr>
          <w:rFonts w:ascii="Verdana" w:hAnsi="Verdana"/>
          <w:sz w:val="20"/>
          <w:szCs w:val="20"/>
          <w:lang w:val="es-MX"/>
        </w:rPr>
        <w:t xml:space="preserve"> 86</w:t>
      </w:r>
      <w:r>
        <w:rPr>
          <w:rFonts w:ascii="Verdana" w:hAnsi="Verdana"/>
          <w:sz w:val="20"/>
          <w:szCs w:val="20"/>
          <w:lang w:val="es-MX"/>
        </w:rPr>
        <w:t>)</w:t>
      </w:r>
      <w:r w:rsidRPr="00971F47">
        <w:rPr>
          <w:rFonts w:ascii="Verdana" w:hAnsi="Verdana"/>
          <w:sz w:val="20"/>
          <w:szCs w:val="20"/>
          <w:lang w:val="es-MX"/>
        </w:rPr>
        <w:t xml:space="preserve">, la Corte advierte que dicha ley derogó la </w:t>
      </w:r>
      <w:r w:rsidR="00C464D5">
        <w:rPr>
          <w:rFonts w:ascii="Verdana" w:hAnsi="Verdana"/>
          <w:sz w:val="20"/>
          <w:szCs w:val="20"/>
          <w:lang w:val="es-MX"/>
        </w:rPr>
        <w:t>L</w:t>
      </w:r>
      <w:r w:rsidRPr="00971F47">
        <w:rPr>
          <w:rFonts w:ascii="Verdana" w:hAnsi="Verdana"/>
          <w:sz w:val="20"/>
          <w:szCs w:val="20"/>
          <w:lang w:val="es-MX"/>
        </w:rPr>
        <w:t>ey No. 24514 de 5 de junio de 1986 (</w:t>
      </w:r>
      <w:r w:rsidR="00224537" w:rsidRPr="00224537">
        <w:rPr>
          <w:rFonts w:ascii="Verdana" w:hAnsi="Verdana"/>
          <w:i/>
          <w:sz w:val="20"/>
          <w:szCs w:val="20"/>
          <w:lang w:val="es-MX"/>
        </w:rPr>
        <w:t>supra</w:t>
      </w:r>
      <w:r w:rsidRPr="00971F47">
        <w:rPr>
          <w:rFonts w:ascii="Verdana" w:hAnsi="Verdana"/>
          <w:sz w:val="20"/>
          <w:szCs w:val="20"/>
          <w:lang w:val="es-MX"/>
        </w:rPr>
        <w:t xml:space="preserve"> párr. </w:t>
      </w:r>
      <w:r w:rsidR="00A31238">
        <w:rPr>
          <w:rFonts w:ascii="Verdana" w:hAnsi="Verdana"/>
          <w:sz w:val="20"/>
          <w:szCs w:val="20"/>
          <w:lang w:val="es-MX"/>
        </w:rPr>
        <w:t>55</w:t>
      </w:r>
      <w:r w:rsidRPr="00971F47">
        <w:rPr>
          <w:rFonts w:ascii="Verdana" w:hAnsi="Verdana"/>
          <w:sz w:val="20"/>
          <w:szCs w:val="20"/>
          <w:lang w:val="es-MX"/>
        </w:rPr>
        <w:t xml:space="preserve">), y que no ha sido aplicada a los hechos del presente caso, lo cual fue expresamente </w:t>
      </w:r>
      <w:r w:rsidR="000C6082">
        <w:rPr>
          <w:rFonts w:ascii="Verdana" w:hAnsi="Verdana"/>
          <w:sz w:val="20"/>
          <w:szCs w:val="20"/>
          <w:lang w:val="es-MX"/>
        </w:rPr>
        <w:t>reconocido</w:t>
      </w:r>
      <w:r w:rsidR="000C6082" w:rsidRPr="00971F47">
        <w:rPr>
          <w:rFonts w:ascii="Verdana" w:hAnsi="Verdana"/>
          <w:sz w:val="20"/>
          <w:szCs w:val="20"/>
          <w:lang w:val="es-MX"/>
        </w:rPr>
        <w:t xml:space="preserve"> </w:t>
      </w:r>
      <w:r w:rsidRPr="00971F47">
        <w:rPr>
          <w:rFonts w:ascii="Verdana" w:hAnsi="Verdana"/>
          <w:sz w:val="20"/>
          <w:szCs w:val="20"/>
          <w:lang w:val="es-MX"/>
        </w:rPr>
        <w:t xml:space="preserve">por los representantes. Al respecto, el Tribunal estima que no le corresponde emitir un pronunciamiento ni realizar un análisis de la misma, </w:t>
      </w:r>
      <w:r w:rsidR="000A0627" w:rsidRPr="00333304">
        <w:rPr>
          <w:rFonts w:ascii="Verdana" w:hAnsi="Verdana"/>
          <w:sz w:val="20"/>
          <w:szCs w:val="20"/>
          <w:lang w:val="es-MX"/>
        </w:rPr>
        <w:t>puesto</w:t>
      </w:r>
      <w:r w:rsidRPr="00971F47">
        <w:rPr>
          <w:rFonts w:ascii="Verdana" w:hAnsi="Verdana"/>
          <w:sz w:val="20"/>
          <w:szCs w:val="20"/>
          <w:lang w:val="es-MX"/>
        </w:rPr>
        <w:t xml:space="preserve"> que la competencia contenciosa de la Corte no tiene por objeto la revisión de normas nacionales en abstracto</w:t>
      </w:r>
      <w:r w:rsidRPr="00971F47">
        <w:rPr>
          <w:rFonts w:ascii="Verdana" w:hAnsi="Verdana"/>
          <w:sz w:val="20"/>
          <w:szCs w:val="20"/>
          <w:vertAlign w:val="superscript"/>
          <w:lang w:val="es-MX"/>
        </w:rPr>
        <w:footnoteReference w:id="236"/>
      </w:r>
      <w:r w:rsidRPr="00971F47">
        <w:rPr>
          <w:rFonts w:ascii="Verdana" w:hAnsi="Verdana"/>
          <w:sz w:val="20"/>
          <w:szCs w:val="20"/>
          <w:lang w:val="es-MX"/>
        </w:rPr>
        <w:t xml:space="preserve">. </w:t>
      </w:r>
    </w:p>
    <w:p w14:paraId="14B0DB9B" w14:textId="77777777" w:rsidR="00470F22" w:rsidRDefault="00470F22" w:rsidP="005D0F69">
      <w:pPr>
        <w:contextualSpacing/>
        <w:jc w:val="both"/>
        <w:rPr>
          <w:rFonts w:ascii="Verdana" w:hAnsi="Verdana"/>
          <w:sz w:val="20"/>
          <w:szCs w:val="20"/>
        </w:rPr>
      </w:pPr>
    </w:p>
    <w:p w14:paraId="111CC83D" w14:textId="2C2F30FD" w:rsidR="00CB7CCB" w:rsidRPr="00EB5530" w:rsidRDefault="00CB7CCB" w:rsidP="00E66DD7">
      <w:pPr>
        <w:pStyle w:val="Heading3"/>
        <w:numPr>
          <w:ilvl w:val="0"/>
          <w:numId w:val="11"/>
        </w:numPr>
        <w:ind w:left="714" w:hanging="357"/>
        <w:rPr>
          <w:szCs w:val="20"/>
        </w:rPr>
      </w:pPr>
      <w:bookmarkStart w:id="54" w:name="_Toc498333511"/>
      <w:r>
        <w:rPr>
          <w:i/>
          <w:lang w:val="es-MX"/>
        </w:rPr>
        <w:t>Conclusión General</w:t>
      </w:r>
      <w:bookmarkEnd w:id="54"/>
      <w:r>
        <w:rPr>
          <w:i/>
          <w:lang w:val="es-MX"/>
        </w:rPr>
        <w:t xml:space="preserve"> </w:t>
      </w:r>
    </w:p>
    <w:p w14:paraId="786E01EE" w14:textId="77777777" w:rsidR="00CB7CCB" w:rsidRDefault="00CB7CCB" w:rsidP="005D0F69">
      <w:pPr>
        <w:contextualSpacing/>
        <w:jc w:val="both"/>
        <w:rPr>
          <w:rFonts w:ascii="Verdana" w:hAnsi="Verdana"/>
          <w:sz w:val="20"/>
          <w:szCs w:val="20"/>
        </w:rPr>
      </w:pPr>
    </w:p>
    <w:p w14:paraId="5FE8938E" w14:textId="009CB4C9" w:rsidR="00CB7CCB" w:rsidRPr="00333304" w:rsidRDefault="00F67F8B" w:rsidP="00E66DD7">
      <w:pPr>
        <w:numPr>
          <w:ilvl w:val="0"/>
          <w:numId w:val="1"/>
        </w:numPr>
        <w:ind w:left="0" w:firstLine="0"/>
        <w:contextualSpacing/>
        <w:jc w:val="both"/>
        <w:rPr>
          <w:rFonts w:ascii="Verdana" w:hAnsi="Verdana"/>
          <w:sz w:val="20"/>
          <w:szCs w:val="20"/>
        </w:rPr>
      </w:pPr>
      <w:r w:rsidRPr="00333304">
        <w:rPr>
          <w:rFonts w:ascii="Verdana" w:hAnsi="Verdana"/>
          <w:color w:val="000000"/>
          <w:sz w:val="20"/>
          <w:szCs w:val="20"/>
        </w:rPr>
        <w:t>Por tanto</w:t>
      </w:r>
      <w:r w:rsidR="00CB7CCB" w:rsidRPr="00333304">
        <w:rPr>
          <w:rFonts w:ascii="Verdana" w:hAnsi="Verdana"/>
          <w:color w:val="000000"/>
          <w:sz w:val="20"/>
          <w:szCs w:val="20"/>
        </w:rPr>
        <w:t>, la Corte considera que</w:t>
      </w:r>
      <w:r w:rsidR="00C05656" w:rsidRPr="00333304">
        <w:rPr>
          <w:rFonts w:ascii="Verdana" w:hAnsi="Verdana"/>
          <w:color w:val="000000"/>
          <w:sz w:val="20"/>
          <w:szCs w:val="20"/>
        </w:rPr>
        <w:t xml:space="preserve"> el Estado, </w:t>
      </w:r>
      <w:r w:rsidR="00FF7A96" w:rsidRPr="00333304">
        <w:rPr>
          <w:rFonts w:ascii="Verdana" w:hAnsi="Verdana"/>
          <w:color w:val="000000"/>
          <w:sz w:val="20"/>
          <w:szCs w:val="20"/>
        </w:rPr>
        <w:t xml:space="preserve">con motivo del </w:t>
      </w:r>
      <w:r w:rsidR="009D44FB" w:rsidRPr="00333304">
        <w:rPr>
          <w:rFonts w:ascii="Verdana" w:hAnsi="Verdana"/>
          <w:color w:val="000000"/>
          <w:sz w:val="20"/>
          <w:szCs w:val="20"/>
        </w:rPr>
        <w:t>despido de</w:t>
      </w:r>
      <w:r w:rsidR="00FF7A96" w:rsidRPr="00333304">
        <w:rPr>
          <w:rFonts w:ascii="Verdana" w:hAnsi="Verdana"/>
          <w:color w:val="000000"/>
          <w:sz w:val="20"/>
          <w:szCs w:val="20"/>
        </w:rPr>
        <w:t>l señor Lagos del Campo</w:t>
      </w:r>
      <w:r w:rsidR="009D44FB" w:rsidRPr="00333304">
        <w:rPr>
          <w:rFonts w:ascii="Verdana" w:hAnsi="Verdana"/>
          <w:color w:val="000000"/>
          <w:sz w:val="20"/>
          <w:szCs w:val="20"/>
        </w:rPr>
        <w:t xml:space="preserve"> </w:t>
      </w:r>
      <w:r w:rsidR="00FF7A96" w:rsidRPr="00333304">
        <w:rPr>
          <w:rFonts w:ascii="Verdana" w:hAnsi="Verdana"/>
          <w:color w:val="000000"/>
          <w:sz w:val="20"/>
          <w:szCs w:val="20"/>
        </w:rPr>
        <w:t xml:space="preserve">de </w:t>
      </w:r>
      <w:r w:rsidR="009D44FB" w:rsidRPr="00333304">
        <w:rPr>
          <w:rFonts w:ascii="Verdana" w:hAnsi="Verdana"/>
          <w:color w:val="000000"/>
          <w:sz w:val="20"/>
          <w:szCs w:val="20"/>
        </w:rPr>
        <w:t>su puesto de trabajo, v</w:t>
      </w:r>
      <w:r w:rsidR="0067646F" w:rsidRPr="00333304">
        <w:rPr>
          <w:rFonts w:ascii="Verdana" w:hAnsi="Verdana"/>
          <w:color w:val="000000"/>
          <w:sz w:val="20"/>
          <w:szCs w:val="20"/>
        </w:rPr>
        <w:t>ulneró</w:t>
      </w:r>
      <w:r w:rsidR="009D44FB" w:rsidRPr="00333304">
        <w:rPr>
          <w:rFonts w:ascii="Verdana" w:hAnsi="Verdana"/>
          <w:color w:val="000000"/>
          <w:sz w:val="20"/>
          <w:szCs w:val="20"/>
        </w:rPr>
        <w:t xml:space="preserve"> su</w:t>
      </w:r>
      <w:r w:rsidR="00094281" w:rsidRPr="00333304">
        <w:rPr>
          <w:rFonts w:ascii="Verdana" w:hAnsi="Verdana"/>
          <w:color w:val="000000"/>
          <w:sz w:val="20"/>
          <w:szCs w:val="20"/>
        </w:rPr>
        <w:t>s</w:t>
      </w:r>
      <w:r w:rsidR="009D44FB" w:rsidRPr="00333304">
        <w:rPr>
          <w:rFonts w:ascii="Verdana" w:hAnsi="Verdana"/>
          <w:color w:val="000000"/>
          <w:sz w:val="20"/>
          <w:szCs w:val="20"/>
        </w:rPr>
        <w:t xml:space="preserve"> derecho</w:t>
      </w:r>
      <w:r w:rsidR="00094281" w:rsidRPr="00333304">
        <w:rPr>
          <w:rFonts w:ascii="Verdana" w:hAnsi="Verdana"/>
          <w:color w:val="000000"/>
          <w:sz w:val="20"/>
          <w:szCs w:val="20"/>
        </w:rPr>
        <w:t>s</w:t>
      </w:r>
      <w:r w:rsidR="009D44FB" w:rsidRPr="00333304">
        <w:rPr>
          <w:rFonts w:ascii="Verdana" w:hAnsi="Verdana"/>
          <w:color w:val="000000"/>
          <w:sz w:val="20"/>
          <w:szCs w:val="20"/>
        </w:rPr>
        <w:t xml:space="preserve"> a la estabilidad laboral (artículo 26 en relación con los artículos 1.1, 13, 8 y 16 de la Convención)</w:t>
      </w:r>
      <w:r w:rsidR="00C05656" w:rsidRPr="00333304">
        <w:rPr>
          <w:rFonts w:ascii="Verdana" w:hAnsi="Verdana"/>
          <w:color w:val="000000"/>
          <w:sz w:val="20"/>
          <w:szCs w:val="20"/>
        </w:rPr>
        <w:t xml:space="preserve"> y a la libertad de expresión (artículos 13 y 8</w:t>
      </w:r>
      <w:r w:rsidR="0067646F" w:rsidRPr="00333304">
        <w:rPr>
          <w:rFonts w:ascii="Verdana" w:hAnsi="Verdana"/>
          <w:color w:val="000000"/>
          <w:sz w:val="20"/>
          <w:szCs w:val="20"/>
        </w:rPr>
        <w:t xml:space="preserve"> en relación con el artículo 1.1 de la Convención</w:t>
      </w:r>
      <w:r w:rsidR="00C05656" w:rsidRPr="00333304">
        <w:rPr>
          <w:rFonts w:ascii="Verdana" w:hAnsi="Verdana"/>
          <w:color w:val="000000"/>
          <w:sz w:val="20"/>
          <w:szCs w:val="20"/>
        </w:rPr>
        <w:t>).</w:t>
      </w:r>
      <w:r w:rsidR="009D44FB" w:rsidRPr="00333304">
        <w:rPr>
          <w:rFonts w:ascii="Verdana" w:hAnsi="Verdana"/>
          <w:color w:val="000000"/>
          <w:sz w:val="20"/>
          <w:szCs w:val="20"/>
        </w:rPr>
        <w:t xml:space="preserve"> </w:t>
      </w:r>
      <w:r w:rsidR="00CB7CCB" w:rsidRPr="00333304">
        <w:rPr>
          <w:rFonts w:ascii="Verdana" w:hAnsi="Verdana"/>
          <w:color w:val="000000"/>
          <w:sz w:val="20"/>
          <w:szCs w:val="20"/>
        </w:rPr>
        <w:t>Lo anterior</w:t>
      </w:r>
      <w:r w:rsidR="00795E3D">
        <w:rPr>
          <w:rFonts w:ascii="Verdana" w:hAnsi="Verdana"/>
          <w:color w:val="000000"/>
          <w:sz w:val="20"/>
          <w:szCs w:val="20"/>
        </w:rPr>
        <w:t>,</w:t>
      </w:r>
      <w:r w:rsidR="00CB7CCB" w:rsidRPr="00333304">
        <w:rPr>
          <w:rFonts w:ascii="Verdana" w:hAnsi="Verdana"/>
          <w:color w:val="000000"/>
          <w:sz w:val="20"/>
          <w:szCs w:val="20"/>
        </w:rPr>
        <w:t xml:space="preserve"> repercutió en su representación laboral y derecho de asociación</w:t>
      </w:r>
      <w:r w:rsidR="00747383" w:rsidRPr="00333304">
        <w:rPr>
          <w:rFonts w:ascii="Verdana" w:hAnsi="Verdana"/>
          <w:color w:val="000000"/>
          <w:sz w:val="20"/>
          <w:szCs w:val="20"/>
        </w:rPr>
        <w:t xml:space="preserve"> (artículo</w:t>
      </w:r>
      <w:r w:rsidR="00C05656" w:rsidRPr="00333304">
        <w:rPr>
          <w:rFonts w:ascii="Verdana" w:hAnsi="Verdana"/>
          <w:color w:val="000000"/>
          <w:sz w:val="20"/>
          <w:szCs w:val="20"/>
        </w:rPr>
        <w:t>s</w:t>
      </w:r>
      <w:r w:rsidR="00747383" w:rsidRPr="00333304">
        <w:rPr>
          <w:rFonts w:ascii="Verdana" w:hAnsi="Verdana"/>
          <w:color w:val="000000"/>
          <w:sz w:val="20"/>
          <w:szCs w:val="20"/>
        </w:rPr>
        <w:t xml:space="preserve"> 16 </w:t>
      </w:r>
      <w:r w:rsidR="008F1812" w:rsidRPr="00333304">
        <w:rPr>
          <w:rFonts w:ascii="Verdana" w:hAnsi="Verdana"/>
          <w:color w:val="000000"/>
          <w:sz w:val="20"/>
          <w:szCs w:val="20"/>
        </w:rPr>
        <w:t xml:space="preserve">y 26 </w:t>
      </w:r>
      <w:r w:rsidR="009D44FB" w:rsidRPr="00333304">
        <w:rPr>
          <w:rFonts w:ascii="Verdana" w:hAnsi="Verdana"/>
          <w:color w:val="000000"/>
          <w:sz w:val="20"/>
          <w:szCs w:val="20"/>
        </w:rPr>
        <w:t>en relación con 1.1, 13 y 8 de la Convención</w:t>
      </w:r>
      <w:r w:rsidR="00747383" w:rsidRPr="00333304">
        <w:rPr>
          <w:rFonts w:ascii="Verdana" w:hAnsi="Verdana"/>
          <w:color w:val="000000"/>
          <w:sz w:val="20"/>
          <w:szCs w:val="20"/>
        </w:rPr>
        <w:t>), todo ello</w:t>
      </w:r>
      <w:r w:rsidR="00CB7CCB" w:rsidRPr="00333304">
        <w:rPr>
          <w:rFonts w:ascii="Verdana" w:hAnsi="Verdana"/>
          <w:color w:val="000000"/>
          <w:sz w:val="20"/>
          <w:szCs w:val="20"/>
        </w:rPr>
        <w:t xml:space="preserve"> t</w:t>
      </w:r>
      <w:r w:rsidR="007A2909" w:rsidRPr="00333304">
        <w:rPr>
          <w:rFonts w:ascii="Verdana" w:hAnsi="Verdana"/>
          <w:color w:val="000000"/>
          <w:sz w:val="20"/>
          <w:szCs w:val="20"/>
        </w:rPr>
        <w:t>uvo</w:t>
      </w:r>
      <w:r w:rsidR="00CB7CCB" w:rsidRPr="00333304">
        <w:rPr>
          <w:rFonts w:ascii="Verdana" w:hAnsi="Verdana"/>
          <w:color w:val="000000"/>
          <w:sz w:val="20"/>
          <w:szCs w:val="20"/>
        </w:rPr>
        <w:t xml:space="preserve"> como consecuencia un impacto en su desarrollo profesional, </w:t>
      </w:r>
      <w:r w:rsidR="00747383" w:rsidRPr="00333304">
        <w:rPr>
          <w:rFonts w:ascii="Verdana" w:hAnsi="Verdana"/>
          <w:color w:val="000000"/>
          <w:sz w:val="20"/>
          <w:szCs w:val="20"/>
        </w:rPr>
        <w:t xml:space="preserve">personal y </w:t>
      </w:r>
      <w:r w:rsidR="00CB7CCB" w:rsidRPr="00333304">
        <w:rPr>
          <w:rFonts w:ascii="Verdana" w:hAnsi="Verdana"/>
          <w:color w:val="000000"/>
          <w:sz w:val="20"/>
          <w:szCs w:val="20"/>
        </w:rPr>
        <w:t>familia</w:t>
      </w:r>
      <w:r w:rsidR="00747383" w:rsidRPr="00333304">
        <w:rPr>
          <w:rFonts w:ascii="Verdana" w:hAnsi="Verdana"/>
          <w:color w:val="000000"/>
          <w:sz w:val="20"/>
          <w:szCs w:val="20"/>
        </w:rPr>
        <w:t xml:space="preserve">r. </w:t>
      </w:r>
    </w:p>
    <w:p w14:paraId="14F47D2C" w14:textId="77777777" w:rsidR="00747383" w:rsidRDefault="00747383" w:rsidP="005D0F69">
      <w:pPr>
        <w:contextualSpacing/>
        <w:jc w:val="both"/>
        <w:rPr>
          <w:rFonts w:ascii="Verdana" w:hAnsi="Verdana"/>
          <w:sz w:val="20"/>
          <w:szCs w:val="20"/>
        </w:rPr>
      </w:pPr>
    </w:p>
    <w:p w14:paraId="3AFABC2A" w14:textId="77DD2F7F" w:rsidR="00747383" w:rsidRPr="00333304" w:rsidRDefault="00747383" w:rsidP="00333304">
      <w:pPr>
        <w:pStyle w:val="Heading1"/>
        <w:tabs>
          <w:tab w:val="left" w:pos="851"/>
        </w:tabs>
        <w:spacing w:before="0"/>
        <w:jc w:val="center"/>
        <w:rPr>
          <w:rFonts w:cs="Verdana"/>
          <w:b w:val="0"/>
          <w:caps/>
          <w:snapToGrid w:val="0"/>
          <w:szCs w:val="20"/>
        </w:rPr>
      </w:pPr>
      <w:bookmarkStart w:id="55" w:name="_Toc498333512"/>
      <w:r w:rsidRPr="00333304">
        <w:rPr>
          <w:rFonts w:cs="Verdana"/>
          <w:caps/>
          <w:snapToGrid w:val="0"/>
          <w:szCs w:val="20"/>
        </w:rPr>
        <w:t>VII-2</w:t>
      </w:r>
      <w:bookmarkEnd w:id="55"/>
    </w:p>
    <w:p w14:paraId="40116482" w14:textId="77777777" w:rsidR="00747383" w:rsidRPr="00333304" w:rsidRDefault="00747383" w:rsidP="00333304">
      <w:pPr>
        <w:pStyle w:val="Heading1"/>
        <w:tabs>
          <w:tab w:val="left" w:pos="851"/>
        </w:tabs>
        <w:spacing w:before="0"/>
        <w:jc w:val="center"/>
        <w:rPr>
          <w:rFonts w:cs="Verdana"/>
          <w:b w:val="0"/>
          <w:bCs w:val="0"/>
          <w:caps/>
          <w:snapToGrid w:val="0"/>
          <w:szCs w:val="20"/>
        </w:rPr>
      </w:pPr>
      <w:bookmarkStart w:id="56" w:name="_Toc498333513"/>
      <w:r w:rsidRPr="00333304">
        <w:rPr>
          <w:rFonts w:cs="Verdana"/>
          <w:caps/>
          <w:snapToGrid w:val="0"/>
          <w:szCs w:val="20"/>
        </w:rPr>
        <w:t>ACCESO A LA JUSTICIA</w:t>
      </w:r>
      <w:bookmarkEnd w:id="56"/>
      <w:r w:rsidRPr="00333304">
        <w:rPr>
          <w:rFonts w:cs="Verdana"/>
          <w:caps/>
          <w:snapToGrid w:val="0"/>
          <w:szCs w:val="20"/>
        </w:rPr>
        <w:t xml:space="preserve"> </w:t>
      </w:r>
    </w:p>
    <w:p w14:paraId="7649B37A" w14:textId="77777777" w:rsidR="00747383" w:rsidRPr="00333304" w:rsidRDefault="00747383" w:rsidP="00333304">
      <w:pPr>
        <w:pStyle w:val="Heading1"/>
        <w:tabs>
          <w:tab w:val="left" w:pos="851"/>
        </w:tabs>
        <w:spacing w:before="0"/>
        <w:jc w:val="center"/>
        <w:rPr>
          <w:rFonts w:cs="Verdana"/>
          <w:b w:val="0"/>
          <w:bCs w:val="0"/>
          <w:caps/>
          <w:snapToGrid w:val="0"/>
          <w:szCs w:val="20"/>
        </w:rPr>
      </w:pPr>
      <w:bookmarkStart w:id="57" w:name="_Toc498333514"/>
      <w:r w:rsidRPr="00333304">
        <w:rPr>
          <w:rFonts w:cs="Verdana"/>
          <w:caps/>
          <w:snapToGrid w:val="0"/>
          <w:szCs w:val="20"/>
        </w:rPr>
        <w:t>(ARTÍCULOS 8 y 25 DE LA CONVENCION AMERICANA)</w:t>
      </w:r>
      <w:bookmarkEnd w:id="57"/>
    </w:p>
    <w:p w14:paraId="54D436C3" w14:textId="77777777" w:rsidR="00747383" w:rsidRDefault="00747383" w:rsidP="005D0F69">
      <w:pPr>
        <w:contextualSpacing/>
        <w:jc w:val="both"/>
        <w:rPr>
          <w:rFonts w:ascii="Verdana" w:hAnsi="Verdana"/>
          <w:sz w:val="20"/>
          <w:szCs w:val="20"/>
        </w:rPr>
      </w:pPr>
    </w:p>
    <w:p w14:paraId="4B155468" w14:textId="77777777" w:rsidR="00E66DD7" w:rsidRPr="00E66DD7" w:rsidRDefault="00E66DD7" w:rsidP="00E66DD7">
      <w:pPr>
        <w:pStyle w:val="Heading2"/>
        <w:numPr>
          <w:ilvl w:val="0"/>
          <w:numId w:val="23"/>
        </w:numPr>
        <w:rPr>
          <w:i/>
          <w:szCs w:val="20"/>
        </w:rPr>
      </w:pPr>
      <w:bookmarkStart w:id="58" w:name="_Toc464140128"/>
      <w:bookmarkStart w:id="59" w:name="_Toc498333515"/>
      <w:r w:rsidRPr="00E66DD7">
        <w:rPr>
          <w:i/>
          <w:szCs w:val="20"/>
        </w:rPr>
        <w:t>Argumentos de las partes y de la Comisión</w:t>
      </w:r>
      <w:bookmarkEnd w:id="58"/>
      <w:bookmarkEnd w:id="59"/>
    </w:p>
    <w:p w14:paraId="0C53F68C" w14:textId="77777777" w:rsidR="00E66DD7" w:rsidRPr="00E66DD7" w:rsidRDefault="00E66DD7" w:rsidP="00E66DD7">
      <w:pPr>
        <w:rPr>
          <w:rFonts w:ascii="Verdana" w:hAnsi="Verdana"/>
          <w:sz w:val="20"/>
          <w:szCs w:val="20"/>
          <w:lang w:val="es-CR"/>
        </w:rPr>
      </w:pPr>
    </w:p>
    <w:p w14:paraId="0C260765" w14:textId="6A4FF1EE" w:rsidR="00E66DD7" w:rsidRPr="00E66DD7" w:rsidRDefault="00E66DD7" w:rsidP="00E66DD7">
      <w:pPr>
        <w:numPr>
          <w:ilvl w:val="0"/>
          <w:numId w:val="1"/>
        </w:numPr>
        <w:ind w:left="0" w:firstLine="0"/>
        <w:contextualSpacing/>
        <w:jc w:val="both"/>
        <w:rPr>
          <w:rFonts w:ascii="Verdana" w:hAnsi="Verdana"/>
          <w:sz w:val="20"/>
          <w:szCs w:val="20"/>
          <w:lang w:val="es-CR"/>
        </w:rPr>
      </w:pPr>
      <w:r w:rsidRPr="00E66DD7">
        <w:rPr>
          <w:rFonts w:ascii="Verdana" w:hAnsi="Verdana"/>
          <w:sz w:val="20"/>
          <w:szCs w:val="20"/>
          <w:lang w:val="es-CR"/>
        </w:rPr>
        <w:t xml:space="preserve">Los </w:t>
      </w:r>
      <w:r w:rsidRPr="00E66DD7">
        <w:rPr>
          <w:rFonts w:ascii="Verdana" w:hAnsi="Verdana"/>
          <w:b/>
          <w:i/>
          <w:sz w:val="20"/>
          <w:szCs w:val="20"/>
          <w:lang w:val="es-CR"/>
        </w:rPr>
        <w:t>representantes</w:t>
      </w:r>
      <w:r w:rsidRPr="00E66DD7">
        <w:rPr>
          <w:rFonts w:ascii="Verdana" w:hAnsi="Verdana"/>
          <w:sz w:val="20"/>
          <w:szCs w:val="20"/>
          <w:lang w:val="es-CR"/>
        </w:rPr>
        <w:t xml:space="preserve"> alegaron la violación del artículo 8 de la Convención, particularmente respecto del derecho a impugnar el fallo. Al respecto, señalaron las acciones que emprendió el señor Lagos del Campo ante su despido, por lo que “inició diversas diligencias orientadas, en primer lugar, a su reintegro en su puesto de trabajo</w:t>
      </w:r>
      <w:r w:rsidR="00CB6768">
        <w:rPr>
          <w:rFonts w:ascii="Verdana" w:hAnsi="Verdana"/>
          <w:sz w:val="20"/>
          <w:szCs w:val="20"/>
          <w:lang w:val="es-CR"/>
        </w:rPr>
        <w:t xml:space="preserve"> […]</w:t>
      </w:r>
      <w:r w:rsidRPr="00E66DD7">
        <w:rPr>
          <w:rFonts w:ascii="Verdana" w:hAnsi="Verdana"/>
          <w:sz w:val="20"/>
          <w:szCs w:val="20"/>
          <w:lang w:val="es-CR"/>
        </w:rPr>
        <w:t>”.</w:t>
      </w:r>
      <w:r w:rsidR="00AA39BC">
        <w:rPr>
          <w:rFonts w:ascii="Verdana" w:hAnsi="Verdana"/>
          <w:sz w:val="20"/>
          <w:szCs w:val="20"/>
          <w:lang w:val="es-CR"/>
        </w:rPr>
        <w:t xml:space="preserve"> </w:t>
      </w:r>
      <w:r w:rsidRPr="00E66DD7">
        <w:rPr>
          <w:rFonts w:ascii="Verdana" w:hAnsi="Verdana"/>
          <w:sz w:val="20"/>
          <w:szCs w:val="20"/>
          <w:lang w:val="es-CR"/>
        </w:rPr>
        <w:t>Frente a ello, hicieron alusión a las diversas acciones emprendidas por el señor Lagos del Camp</w:t>
      </w:r>
      <w:r w:rsidRPr="00C73350">
        <w:rPr>
          <w:rFonts w:ascii="Verdana" w:hAnsi="Verdana"/>
          <w:sz w:val="20"/>
          <w:szCs w:val="20"/>
          <w:lang w:val="es-CR"/>
        </w:rPr>
        <w:t>o,</w:t>
      </w:r>
      <w:r w:rsidRPr="00E66DD7">
        <w:rPr>
          <w:rFonts w:ascii="Verdana" w:hAnsi="Verdana"/>
          <w:sz w:val="20"/>
          <w:szCs w:val="20"/>
          <w:lang w:val="es-CR"/>
        </w:rPr>
        <w:t xml:space="preserve"> mediante las que </w:t>
      </w:r>
      <w:r w:rsidRPr="00E66DD7">
        <w:rPr>
          <w:rFonts w:ascii="Verdana" w:hAnsi="Verdana"/>
          <w:sz w:val="20"/>
          <w:szCs w:val="20"/>
          <w:lang w:val="es-CR"/>
        </w:rPr>
        <w:lastRenderedPageBreak/>
        <w:t>alegó la violación de su derecho de estabilidad laboral y al debido proceso legal, consagrado en los artículos 48 y 233 de la Constitución y solicitaron que se declarara nula la resolución de segunda instancia por ser arbitraria. Agregaron que el 13 de agosto de 1992, la Quinta Sala Civil resolvió declarar improcedente dicha acción de amparo sin considerar que la falta de trámite del escrito del señor Lagos del Campo por parte del Segundo Tribunal de Trabajo constituía un agravio al debido proceso</w:t>
      </w:r>
      <w:r w:rsidR="00AA39BC">
        <w:rPr>
          <w:rFonts w:ascii="Verdana" w:hAnsi="Verdana"/>
          <w:sz w:val="20"/>
          <w:szCs w:val="20"/>
          <w:lang w:val="es-CR"/>
        </w:rPr>
        <w:t xml:space="preserve">. </w:t>
      </w:r>
      <w:r w:rsidRPr="00E66DD7">
        <w:rPr>
          <w:rFonts w:ascii="Verdana" w:hAnsi="Verdana"/>
          <w:sz w:val="20"/>
          <w:szCs w:val="20"/>
          <w:lang w:val="es-CR"/>
        </w:rPr>
        <w:t>Asimismo, señalaron que durante el proceso de amparo, la Sala Constitucional y Social resolvió declarar no haber nulidad en dicha sentencia</w:t>
      </w:r>
      <w:r w:rsidR="00AA39BC">
        <w:rPr>
          <w:rFonts w:ascii="Verdana" w:hAnsi="Verdana"/>
          <w:sz w:val="20"/>
          <w:szCs w:val="20"/>
          <w:lang w:val="es-CR"/>
        </w:rPr>
        <w:t>,</w:t>
      </w:r>
      <w:r w:rsidRPr="00E66DD7">
        <w:rPr>
          <w:rFonts w:ascii="Verdana" w:hAnsi="Verdana"/>
          <w:sz w:val="20"/>
          <w:szCs w:val="20"/>
          <w:lang w:val="es-CR"/>
        </w:rPr>
        <w:t xml:space="preserve"> lo cual vulneró también el deber de motivación, ya que se limitó a reproducir los argumentos del Dictamen del Ministerio Público</w:t>
      </w:r>
      <w:r w:rsidR="00AA39BC">
        <w:rPr>
          <w:rFonts w:ascii="Verdana" w:hAnsi="Verdana"/>
          <w:sz w:val="20"/>
          <w:szCs w:val="20"/>
          <w:lang w:val="es-CR"/>
        </w:rPr>
        <w:t>.</w:t>
      </w:r>
      <w:r w:rsidRPr="00E66DD7">
        <w:rPr>
          <w:rFonts w:ascii="Verdana" w:hAnsi="Verdana"/>
          <w:sz w:val="20"/>
          <w:szCs w:val="20"/>
          <w:lang w:val="es-CR"/>
        </w:rPr>
        <w:t xml:space="preserve"> En ese sentido, agregaron que el señor Lagos del Campo no pudo impugnar las resoluciones judiciales, dado que el Tribunal de Garantías Constitucionales se encontraba en cese tras el golpe de Estado de Alberto Fujimori en 1992 y la destitución de los magistrados del Tribunal Constitucional. Además, señalaron que una vez establecido el Tribunal Constitucional en 1996, el señor Lagos del Campo solicitó que el proceso de amparo fuera elevado ante dicho tribunal, pero que, “increíblemente”, la Tercera Sala Civil Especializada declaró improcedente su solicitud, al exigirle interponer un recurso de casación “que en ese momento no se encontraba disponible en virtud del cese de los magistrados miembros del Tribunal de Garantías Constitucionales, con lo cual se infringió el derecho a impugnar resoluciones judiciales</w:t>
      </w:r>
      <w:r w:rsidRPr="00333304">
        <w:rPr>
          <w:rFonts w:ascii="Verdana" w:hAnsi="Verdana"/>
          <w:sz w:val="20"/>
          <w:szCs w:val="20"/>
          <w:lang w:val="es-CR"/>
        </w:rPr>
        <w:t xml:space="preserve">. </w:t>
      </w:r>
    </w:p>
    <w:p w14:paraId="29F65974" w14:textId="77777777" w:rsidR="00E66DD7" w:rsidRPr="00E66DD7" w:rsidRDefault="00E66DD7" w:rsidP="00E66DD7">
      <w:pPr>
        <w:jc w:val="both"/>
        <w:rPr>
          <w:rFonts w:ascii="Verdana" w:hAnsi="Verdana"/>
          <w:sz w:val="20"/>
          <w:szCs w:val="20"/>
          <w:lang w:val="es-CR"/>
        </w:rPr>
      </w:pPr>
    </w:p>
    <w:p w14:paraId="6AD26D9C" w14:textId="2A5499E9" w:rsidR="00E66DD7" w:rsidRPr="00E66DD7" w:rsidRDefault="00E66DD7" w:rsidP="00E66DD7">
      <w:pPr>
        <w:numPr>
          <w:ilvl w:val="0"/>
          <w:numId w:val="1"/>
        </w:numPr>
        <w:ind w:left="0" w:firstLine="0"/>
        <w:contextualSpacing/>
        <w:jc w:val="both"/>
        <w:rPr>
          <w:rFonts w:ascii="Verdana" w:hAnsi="Verdana"/>
          <w:b/>
          <w:sz w:val="20"/>
          <w:szCs w:val="20"/>
          <w:lang w:val="es-CR"/>
        </w:rPr>
      </w:pPr>
      <w:r w:rsidRPr="00E66DD7">
        <w:rPr>
          <w:rFonts w:ascii="Verdana" w:hAnsi="Verdana"/>
          <w:sz w:val="20"/>
          <w:szCs w:val="20"/>
          <w:lang w:val="es-CR"/>
        </w:rPr>
        <w:t xml:space="preserve">El </w:t>
      </w:r>
      <w:r w:rsidRPr="00E66DD7">
        <w:rPr>
          <w:rFonts w:ascii="Verdana" w:hAnsi="Verdana"/>
          <w:b/>
          <w:i/>
          <w:sz w:val="20"/>
          <w:szCs w:val="20"/>
          <w:lang w:val="es-CR"/>
        </w:rPr>
        <w:t xml:space="preserve">Estado </w:t>
      </w:r>
      <w:r w:rsidRPr="00E66DD7">
        <w:rPr>
          <w:rFonts w:ascii="Verdana" w:hAnsi="Verdana"/>
          <w:sz w:val="20"/>
          <w:szCs w:val="20"/>
          <w:lang w:val="es-CR"/>
        </w:rPr>
        <w:t>señaló que el derecho a impugnar resoluciones judiciales no forma parte de la controversia planteada por la Comisión</w:t>
      </w:r>
      <w:r w:rsidRPr="00333304">
        <w:rPr>
          <w:rFonts w:ascii="Verdana" w:hAnsi="Verdana"/>
          <w:sz w:val="20"/>
          <w:szCs w:val="20"/>
          <w:lang w:val="es-CR"/>
        </w:rPr>
        <w:t>.</w:t>
      </w:r>
      <w:r w:rsidRPr="00E66DD7">
        <w:rPr>
          <w:rFonts w:ascii="Verdana" w:hAnsi="Verdana"/>
          <w:sz w:val="20"/>
          <w:szCs w:val="20"/>
          <w:lang w:val="es-CR"/>
        </w:rPr>
        <w:t xml:space="preserve"> No obstante, aclaró que con respecto al recurso de nulidad presentado el 2 de septiembre de 1991, el Segundo Tribunal de Trabajo manifestó que no se había incurrido en causal alguna prevista en el artículo 1085 del Código de Procedimiento</w:t>
      </w:r>
      <w:r w:rsidR="0077648D">
        <w:rPr>
          <w:rFonts w:ascii="Verdana" w:hAnsi="Verdana"/>
          <w:sz w:val="20"/>
          <w:szCs w:val="20"/>
          <w:lang w:val="es-CR"/>
        </w:rPr>
        <w:t>s</w:t>
      </w:r>
      <w:r w:rsidRPr="00E66DD7">
        <w:rPr>
          <w:rFonts w:ascii="Verdana" w:hAnsi="Verdana"/>
          <w:sz w:val="20"/>
          <w:szCs w:val="20"/>
          <w:lang w:val="es-CR"/>
        </w:rPr>
        <w:t xml:space="preserve"> Civil</w:t>
      </w:r>
      <w:r w:rsidR="0077648D">
        <w:rPr>
          <w:rFonts w:ascii="Verdana" w:hAnsi="Verdana"/>
          <w:sz w:val="20"/>
          <w:szCs w:val="20"/>
          <w:lang w:val="es-CR"/>
        </w:rPr>
        <w:t>es</w:t>
      </w:r>
      <w:r w:rsidRPr="00E66DD7">
        <w:rPr>
          <w:rFonts w:ascii="Verdana" w:hAnsi="Verdana"/>
          <w:sz w:val="20"/>
          <w:szCs w:val="20"/>
          <w:lang w:val="es-CR"/>
        </w:rPr>
        <w:t>, por tanto declaró no haber lugar la nulidad</w:t>
      </w:r>
      <w:r w:rsidRPr="00333304">
        <w:rPr>
          <w:rFonts w:ascii="Verdana" w:hAnsi="Verdana"/>
          <w:sz w:val="20"/>
          <w:szCs w:val="20"/>
          <w:lang w:val="es-CR"/>
        </w:rPr>
        <w:t>.</w:t>
      </w:r>
      <w:r w:rsidRPr="00E66DD7">
        <w:rPr>
          <w:rFonts w:ascii="Verdana" w:hAnsi="Verdana"/>
          <w:sz w:val="20"/>
          <w:szCs w:val="20"/>
          <w:lang w:val="es-CR"/>
        </w:rPr>
        <w:t xml:space="preserve"> Por su parte, la Ley de </w:t>
      </w:r>
      <w:r w:rsidR="0077648D">
        <w:rPr>
          <w:rFonts w:ascii="Verdana" w:hAnsi="Verdana"/>
          <w:sz w:val="20"/>
          <w:szCs w:val="20"/>
          <w:lang w:val="es-CR"/>
        </w:rPr>
        <w:t>Hábeas Corpus y A</w:t>
      </w:r>
      <w:r w:rsidRPr="00E66DD7">
        <w:rPr>
          <w:rFonts w:ascii="Verdana" w:hAnsi="Verdana"/>
          <w:sz w:val="20"/>
          <w:szCs w:val="20"/>
          <w:lang w:val="es-CR"/>
        </w:rPr>
        <w:t>mparo establecía que el recurso de nulidad era elevado a la Corte Suprema de Justicia. Al respecto, el señor Lagos presentó este recurso el 26 de agosto de 1992. La Sala Constitucional y Social de la Corte Suprema se pronunció sobre dicho recurso declarando no haber nulidad el 15 de marzo de 1993</w:t>
      </w:r>
      <w:r w:rsidRPr="00333304">
        <w:rPr>
          <w:rFonts w:ascii="Verdana" w:hAnsi="Verdana"/>
          <w:sz w:val="20"/>
          <w:szCs w:val="20"/>
          <w:lang w:val="es-CR"/>
        </w:rPr>
        <w:t>.</w:t>
      </w:r>
      <w:r w:rsidRPr="00E66DD7">
        <w:rPr>
          <w:rFonts w:ascii="Verdana" w:hAnsi="Verdana"/>
          <w:b/>
          <w:sz w:val="20"/>
          <w:szCs w:val="20"/>
          <w:lang w:val="es-CR"/>
        </w:rPr>
        <w:t xml:space="preserve"> </w:t>
      </w:r>
      <w:r w:rsidRPr="00E66DD7">
        <w:rPr>
          <w:rFonts w:ascii="Verdana" w:hAnsi="Verdana"/>
          <w:sz w:val="20"/>
          <w:szCs w:val="20"/>
          <w:lang w:val="es-CR"/>
        </w:rPr>
        <w:t>Ante la desestimación del recurso de nulidad, debía presentar el recurso de casación correspondiente a las decisiones judiciales denegatorias de demandas de amparo, recurso que debió haber interpuesto en el plazo de 15 días luego de la decisión denegatoria</w:t>
      </w:r>
      <w:r w:rsidR="00AA39BC">
        <w:rPr>
          <w:rFonts w:ascii="Verdana" w:hAnsi="Verdana"/>
          <w:sz w:val="20"/>
          <w:szCs w:val="20"/>
          <w:lang w:val="es-CR"/>
        </w:rPr>
        <w:t>.</w:t>
      </w:r>
      <w:r w:rsidRPr="00E66DD7">
        <w:rPr>
          <w:rFonts w:ascii="Verdana" w:hAnsi="Verdana"/>
          <w:sz w:val="20"/>
          <w:szCs w:val="20"/>
          <w:lang w:val="es-CR"/>
        </w:rPr>
        <w:t xml:space="preserve"> La resolución de la Tercera Sala Civil Especializada de 24 de junio de 1997 determinó que se había vencido el plazo de interposición. Lo anterior, pues si bien no se encontraba en funcionamiento el Tribunal de Garantías Constitucionales, aquellos recursos de casación interpuestos oportunamente en la misma época en que la supuesta víctima debió haber presentado el suyo, sí fueron resueltos por el Tribunal Constitucional años después. En relación con los recursos presentados por el señor Lagos del Campo ante la Sala de Derecho Constitucional y Social y la Corte Suprema, el Estado sostuvo que el recurso de revisión y reconsideración, en el marco procesal laboral, no se encontraba contemplado en el ordenamiento jurídico peruano, por tanto, es lógico concluir que la presentación de un recurso que no tiene asidero jurídico guarde su propia improcedencia, lo mismo aplicaría con los recursos presentados el 30 de marzo de 1993 y 28 de abril de 1993</w:t>
      </w:r>
      <w:r w:rsidR="00AA39BC">
        <w:rPr>
          <w:rFonts w:ascii="Verdana" w:hAnsi="Verdana"/>
          <w:sz w:val="20"/>
          <w:szCs w:val="20"/>
          <w:lang w:val="es-CR"/>
        </w:rPr>
        <w:t xml:space="preserve">. </w:t>
      </w:r>
      <w:r w:rsidRPr="00E66DD7">
        <w:rPr>
          <w:rFonts w:ascii="Verdana" w:hAnsi="Verdana"/>
          <w:sz w:val="20"/>
          <w:szCs w:val="20"/>
          <w:lang w:val="es-CR"/>
        </w:rPr>
        <w:t>Adicionalmente, el Estado resaltó que en relación con los recurso presentados con posterioridad a julio de 1996, estos “no estaban contemplados en el ordenamiento jurídico o fueron presentados extemporáneamente, por tanto, su ineficiencia era previsible”</w:t>
      </w:r>
      <w:r w:rsidR="00AA39BC">
        <w:rPr>
          <w:rFonts w:ascii="Verdana" w:hAnsi="Verdana"/>
          <w:sz w:val="20"/>
          <w:szCs w:val="20"/>
          <w:lang w:val="es-CR"/>
        </w:rPr>
        <w:t>.</w:t>
      </w:r>
      <w:r w:rsidRPr="00E66DD7">
        <w:rPr>
          <w:rFonts w:ascii="Verdana" w:hAnsi="Verdana"/>
          <w:sz w:val="20"/>
          <w:szCs w:val="20"/>
          <w:lang w:val="es-CR"/>
        </w:rPr>
        <w:t xml:space="preserve"> El Estado señaló que muchos de estos recursos fueron presentados con serios defectos en su elaboración y en cumplimiento de los requisitos procesales, es decir, estaban destinados a ser declarados improcedentes de plano</w:t>
      </w:r>
      <w:r w:rsidR="00EE4766">
        <w:rPr>
          <w:rFonts w:ascii="Verdana" w:hAnsi="Verdana"/>
          <w:sz w:val="20"/>
          <w:szCs w:val="20"/>
          <w:lang w:val="es-CR"/>
        </w:rPr>
        <w:t xml:space="preserve"> </w:t>
      </w:r>
      <w:r w:rsidR="0013567C">
        <w:rPr>
          <w:rFonts w:ascii="Verdana" w:hAnsi="Verdana"/>
          <w:sz w:val="20"/>
          <w:szCs w:val="20"/>
          <w:lang w:val="es-CR"/>
        </w:rPr>
        <w:t>[…]</w:t>
      </w:r>
      <w:r w:rsidRPr="00E66DD7">
        <w:rPr>
          <w:rFonts w:ascii="Verdana" w:hAnsi="Verdana"/>
          <w:sz w:val="20"/>
          <w:szCs w:val="20"/>
          <w:lang w:val="es-CR"/>
        </w:rPr>
        <w:t>”</w:t>
      </w:r>
      <w:r w:rsidR="0013567C">
        <w:rPr>
          <w:rFonts w:ascii="Verdana" w:hAnsi="Verdana"/>
          <w:sz w:val="20"/>
          <w:szCs w:val="20"/>
          <w:lang w:val="es-CR"/>
        </w:rPr>
        <w:t>.</w:t>
      </w:r>
      <w:r w:rsidRPr="00E66DD7">
        <w:rPr>
          <w:rFonts w:ascii="Verdana" w:hAnsi="Verdana"/>
          <w:sz w:val="20"/>
          <w:szCs w:val="20"/>
          <w:lang w:val="es-CR"/>
        </w:rPr>
        <w:t xml:space="preserve"> </w:t>
      </w:r>
    </w:p>
    <w:p w14:paraId="25C3FBE6" w14:textId="77777777" w:rsidR="00E66DD7" w:rsidRPr="00E66DD7" w:rsidRDefault="00E66DD7" w:rsidP="00E66DD7">
      <w:pPr>
        <w:jc w:val="both"/>
        <w:rPr>
          <w:rFonts w:ascii="Verdana" w:hAnsi="Verdana"/>
          <w:b/>
          <w:sz w:val="20"/>
          <w:szCs w:val="20"/>
          <w:lang w:val="es-CR"/>
        </w:rPr>
      </w:pPr>
    </w:p>
    <w:p w14:paraId="6AA3748E" w14:textId="77777777" w:rsidR="00E66DD7" w:rsidRPr="00E66DD7" w:rsidRDefault="00E66DD7" w:rsidP="00E66DD7">
      <w:pPr>
        <w:numPr>
          <w:ilvl w:val="0"/>
          <w:numId w:val="1"/>
        </w:numPr>
        <w:ind w:left="0" w:firstLine="0"/>
        <w:contextualSpacing/>
        <w:jc w:val="both"/>
        <w:rPr>
          <w:rFonts w:ascii="Verdana" w:hAnsi="Verdana"/>
          <w:sz w:val="20"/>
          <w:szCs w:val="20"/>
          <w:lang w:val="es-CR"/>
        </w:rPr>
      </w:pPr>
      <w:r w:rsidRPr="00E66DD7">
        <w:rPr>
          <w:rFonts w:ascii="Verdana" w:hAnsi="Verdana"/>
          <w:sz w:val="20"/>
          <w:szCs w:val="20"/>
          <w:lang w:val="es-CR"/>
        </w:rPr>
        <w:t xml:space="preserve">La </w:t>
      </w:r>
      <w:r w:rsidRPr="00E66DD7">
        <w:rPr>
          <w:rFonts w:ascii="Verdana" w:hAnsi="Verdana"/>
          <w:b/>
          <w:i/>
          <w:sz w:val="20"/>
          <w:szCs w:val="20"/>
          <w:lang w:val="es-CR"/>
        </w:rPr>
        <w:t>Comisión</w:t>
      </w:r>
      <w:r w:rsidRPr="00E66DD7">
        <w:rPr>
          <w:rFonts w:ascii="Verdana" w:hAnsi="Verdana"/>
          <w:sz w:val="20"/>
          <w:szCs w:val="20"/>
          <w:lang w:val="es-CR"/>
        </w:rPr>
        <w:t xml:space="preserve"> no se pronunció al respecto. </w:t>
      </w:r>
    </w:p>
    <w:p w14:paraId="1BBB48CD" w14:textId="77777777" w:rsidR="00E66DD7" w:rsidRPr="00E66DD7" w:rsidRDefault="00E66DD7" w:rsidP="00E66DD7">
      <w:pPr>
        <w:jc w:val="both"/>
        <w:rPr>
          <w:rFonts w:ascii="Verdana" w:hAnsi="Verdana"/>
          <w:b/>
          <w:i/>
          <w:sz w:val="20"/>
          <w:szCs w:val="20"/>
        </w:rPr>
      </w:pPr>
    </w:p>
    <w:p w14:paraId="7AE49272" w14:textId="77777777" w:rsidR="00E66DD7" w:rsidRPr="00E66DD7" w:rsidRDefault="00E66DD7" w:rsidP="00E66DD7">
      <w:pPr>
        <w:pStyle w:val="Heading2"/>
        <w:numPr>
          <w:ilvl w:val="0"/>
          <w:numId w:val="23"/>
        </w:numPr>
        <w:rPr>
          <w:i/>
          <w:szCs w:val="20"/>
        </w:rPr>
      </w:pPr>
      <w:bookmarkStart w:id="60" w:name="_Toc498333516"/>
      <w:r w:rsidRPr="00E66DD7">
        <w:rPr>
          <w:i/>
          <w:szCs w:val="20"/>
        </w:rPr>
        <w:t>Consideraciones de la Corte</w:t>
      </w:r>
      <w:bookmarkEnd w:id="60"/>
    </w:p>
    <w:p w14:paraId="2DD3258A" w14:textId="77777777" w:rsidR="00E66DD7" w:rsidRPr="00E66DD7" w:rsidRDefault="00E66DD7" w:rsidP="00E66DD7">
      <w:pPr>
        <w:contextualSpacing/>
        <w:jc w:val="both"/>
        <w:rPr>
          <w:rFonts w:ascii="Verdana" w:hAnsi="Verdana"/>
          <w:sz w:val="20"/>
          <w:szCs w:val="20"/>
          <w:lang w:val="es-MX"/>
        </w:rPr>
      </w:pPr>
    </w:p>
    <w:p w14:paraId="1853D7DB" w14:textId="0AA144CF" w:rsidR="00E66DD7" w:rsidRPr="00E66DD7" w:rsidRDefault="00E66DD7" w:rsidP="00E66DD7">
      <w:pPr>
        <w:numPr>
          <w:ilvl w:val="0"/>
          <w:numId w:val="1"/>
        </w:numPr>
        <w:ind w:left="0" w:firstLine="0"/>
        <w:contextualSpacing/>
        <w:jc w:val="both"/>
        <w:rPr>
          <w:rFonts w:ascii="Verdana" w:hAnsi="Verdana"/>
          <w:b/>
          <w:color w:val="800000"/>
          <w:sz w:val="20"/>
          <w:szCs w:val="20"/>
        </w:rPr>
      </w:pPr>
      <w:r w:rsidRPr="00E66DD7">
        <w:rPr>
          <w:rFonts w:ascii="Verdana" w:hAnsi="Verdana"/>
          <w:sz w:val="20"/>
          <w:szCs w:val="20"/>
        </w:rPr>
        <w:t>La Corte recuerda</w:t>
      </w:r>
      <w:r w:rsidR="004747DD">
        <w:rPr>
          <w:rFonts w:ascii="Verdana" w:hAnsi="Verdana"/>
          <w:sz w:val="20"/>
          <w:szCs w:val="20"/>
        </w:rPr>
        <w:t xml:space="preserve"> </w:t>
      </w:r>
      <w:r w:rsidR="004747DD" w:rsidRPr="00333304">
        <w:rPr>
          <w:rFonts w:ascii="Verdana" w:hAnsi="Verdana"/>
          <w:sz w:val="20"/>
          <w:szCs w:val="20"/>
        </w:rPr>
        <w:t>que</w:t>
      </w:r>
      <w:r w:rsidRPr="00E66DD7">
        <w:rPr>
          <w:rFonts w:ascii="Verdana" w:hAnsi="Verdana"/>
          <w:sz w:val="20"/>
          <w:szCs w:val="20"/>
        </w:rPr>
        <w:t xml:space="preserve"> con la decisión de segunda instancia</w:t>
      </w:r>
      <w:r w:rsidR="0013567C">
        <w:rPr>
          <w:rFonts w:ascii="Verdana" w:hAnsi="Verdana"/>
          <w:sz w:val="20"/>
          <w:szCs w:val="20"/>
        </w:rPr>
        <w:t>, el Estado</w:t>
      </w:r>
      <w:r w:rsidRPr="00E66DD7">
        <w:rPr>
          <w:rFonts w:ascii="Verdana" w:hAnsi="Verdana"/>
          <w:sz w:val="20"/>
          <w:szCs w:val="20"/>
        </w:rPr>
        <w:t xml:space="preserve"> </w:t>
      </w:r>
      <w:r w:rsidR="004C5CF1" w:rsidRPr="00333304">
        <w:rPr>
          <w:rFonts w:ascii="Verdana" w:hAnsi="Verdana"/>
          <w:sz w:val="20"/>
          <w:szCs w:val="20"/>
        </w:rPr>
        <w:t>revocó la sentencia del inferior y</w:t>
      </w:r>
      <w:r w:rsidRPr="00333304">
        <w:rPr>
          <w:rFonts w:ascii="Verdana" w:hAnsi="Verdana"/>
          <w:sz w:val="20"/>
          <w:szCs w:val="20"/>
        </w:rPr>
        <w:t xml:space="preserve"> </w:t>
      </w:r>
      <w:r w:rsidR="004C5CF1" w:rsidRPr="00333304">
        <w:rPr>
          <w:rFonts w:ascii="Verdana" w:hAnsi="Verdana"/>
          <w:sz w:val="20"/>
          <w:szCs w:val="20"/>
        </w:rPr>
        <w:t>declaró</w:t>
      </w:r>
      <w:r w:rsidRPr="00E66DD7">
        <w:rPr>
          <w:rFonts w:ascii="Verdana" w:hAnsi="Verdana"/>
          <w:sz w:val="20"/>
          <w:szCs w:val="20"/>
        </w:rPr>
        <w:t xml:space="preserve"> “justificado” el despido del señor Lagos del Campo, por lo que el mismo recurrió a varias instancias a fin de hacer valer los derechos alegados (</w:t>
      </w:r>
      <w:r w:rsidRPr="00E66DD7">
        <w:rPr>
          <w:rFonts w:ascii="Verdana" w:hAnsi="Verdana"/>
          <w:i/>
          <w:sz w:val="20"/>
          <w:szCs w:val="20"/>
        </w:rPr>
        <w:t>supra</w:t>
      </w:r>
      <w:r w:rsidRPr="00E66DD7">
        <w:rPr>
          <w:rFonts w:ascii="Verdana" w:hAnsi="Verdana"/>
          <w:sz w:val="20"/>
          <w:szCs w:val="20"/>
        </w:rPr>
        <w:t xml:space="preserve"> </w:t>
      </w:r>
      <w:proofErr w:type="spellStart"/>
      <w:r w:rsidRPr="00E66DD7">
        <w:rPr>
          <w:rFonts w:ascii="Verdana" w:hAnsi="Verdana"/>
          <w:sz w:val="20"/>
          <w:szCs w:val="20"/>
        </w:rPr>
        <w:t>párr</w:t>
      </w:r>
      <w:r w:rsidR="00EE4766">
        <w:rPr>
          <w:rFonts w:ascii="Verdana" w:hAnsi="Verdana"/>
          <w:sz w:val="20"/>
          <w:szCs w:val="20"/>
        </w:rPr>
        <w:t>s</w:t>
      </w:r>
      <w:proofErr w:type="spellEnd"/>
      <w:r w:rsidRPr="00444E07">
        <w:rPr>
          <w:rFonts w:ascii="Verdana" w:hAnsi="Verdana"/>
          <w:sz w:val="20"/>
          <w:szCs w:val="20"/>
        </w:rPr>
        <w:t xml:space="preserve">. </w:t>
      </w:r>
      <w:r w:rsidR="00444E07" w:rsidRPr="00333304">
        <w:rPr>
          <w:rFonts w:ascii="Verdana" w:hAnsi="Verdana"/>
          <w:sz w:val="20"/>
          <w:szCs w:val="20"/>
        </w:rPr>
        <w:t xml:space="preserve">63 a </w:t>
      </w:r>
      <w:r w:rsidR="00444E07" w:rsidRPr="00333304">
        <w:rPr>
          <w:rFonts w:ascii="Verdana" w:hAnsi="Verdana"/>
          <w:sz w:val="20"/>
          <w:szCs w:val="20"/>
        </w:rPr>
        <w:lastRenderedPageBreak/>
        <w:t>70</w:t>
      </w:r>
      <w:r w:rsidR="00444E07" w:rsidRPr="00444E07">
        <w:rPr>
          <w:rFonts w:ascii="Verdana" w:hAnsi="Verdana"/>
          <w:sz w:val="20"/>
          <w:szCs w:val="20"/>
        </w:rPr>
        <w:t>).</w:t>
      </w:r>
      <w:r w:rsidR="00444E07" w:rsidRPr="00E66DD7">
        <w:rPr>
          <w:rFonts w:ascii="Verdana" w:hAnsi="Verdana"/>
          <w:sz w:val="20"/>
          <w:szCs w:val="20"/>
        </w:rPr>
        <w:t xml:space="preserve"> </w:t>
      </w:r>
      <w:r w:rsidRPr="00E66DD7">
        <w:rPr>
          <w:rFonts w:ascii="Verdana" w:hAnsi="Verdana"/>
          <w:sz w:val="20"/>
          <w:szCs w:val="20"/>
        </w:rPr>
        <w:t xml:space="preserve">En relación con lo anterior, </w:t>
      </w:r>
      <w:r w:rsidRPr="00A532BE">
        <w:rPr>
          <w:rFonts w:ascii="Verdana" w:hAnsi="Verdana"/>
          <w:sz w:val="20"/>
          <w:szCs w:val="22"/>
        </w:rPr>
        <w:t>l</w:t>
      </w:r>
      <w:r w:rsidRPr="00E66DD7">
        <w:rPr>
          <w:rFonts w:ascii="Verdana" w:hAnsi="Verdana"/>
          <w:sz w:val="20"/>
          <w:szCs w:val="22"/>
        </w:rPr>
        <w:t>a controversia de este apartado</w:t>
      </w:r>
      <w:r w:rsidRPr="00E66DD7">
        <w:rPr>
          <w:rFonts w:ascii="Verdana" w:hAnsi="Verdana"/>
          <w:sz w:val="20"/>
          <w:szCs w:val="20"/>
        </w:rPr>
        <w:t xml:space="preserve"> consiste en determinar si el señor Lagos del Campo tuvo acceso</w:t>
      </w:r>
      <w:r w:rsidR="002C4F7B">
        <w:rPr>
          <w:rFonts w:ascii="Verdana" w:hAnsi="Verdana"/>
          <w:sz w:val="20"/>
          <w:szCs w:val="20"/>
        </w:rPr>
        <w:t xml:space="preserve"> </w:t>
      </w:r>
      <w:r w:rsidR="002C4F7B" w:rsidRPr="00333304">
        <w:rPr>
          <w:rFonts w:ascii="Verdana" w:hAnsi="Verdana"/>
          <w:sz w:val="20"/>
          <w:szCs w:val="20"/>
        </w:rPr>
        <w:t>efectivo</w:t>
      </w:r>
      <w:r w:rsidRPr="00E66DD7">
        <w:rPr>
          <w:rFonts w:ascii="Verdana" w:hAnsi="Verdana"/>
          <w:sz w:val="20"/>
          <w:szCs w:val="20"/>
        </w:rPr>
        <w:t xml:space="preserve"> a la justicia para tutelar sus derechos laborales, en particular el derecho a la estabilidad laboral frente al despido, derecho reconocido en la propia legislación interna del Estado. </w:t>
      </w:r>
    </w:p>
    <w:p w14:paraId="638CB34A" w14:textId="77777777" w:rsidR="00E66DD7" w:rsidRPr="00E66DD7" w:rsidRDefault="00E66DD7" w:rsidP="00E66DD7">
      <w:pPr>
        <w:contextualSpacing/>
        <w:jc w:val="both"/>
        <w:rPr>
          <w:rFonts w:ascii="Verdana" w:hAnsi="Verdana"/>
          <w:b/>
          <w:sz w:val="20"/>
          <w:szCs w:val="20"/>
        </w:rPr>
      </w:pPr>
    </w:p>
    <w:p w14:paraId="27C709B5" w14:textId="0E1D1805" w:rsidR="00E66DD7" w:rsidRPr="00E66DD7" w:rsidRDefault="00E66DD7" w:rsidP="00E66DD7">
      <w:pPr>
        <w:numPr>
          <w:ilvl w:val="0"/>
          <w:numId w:val="1"/>
        </w:numPr>
        <w:ind w:left="0" w:firstLine="0"/>
        <w:contextualSpacing/>
        <w:jc w:val="both"/>
        <w:rPr>
          <w:rFonts w:ascii="Verdana" w:hAnsi="Verdana"/>
          <w:b/>
          <w:sz w:val="20"/>
          <w:szCs w:val="20"/>
        </w:rPr>
      </w:pPr>
      <w:r w:rsidRPr="00E66DD7">
        <w:rPr>
          <w:rFonts w:ascii="Verdana" w:hAnsi="Verdana"/>
          <w:sz w:val="20"/>
          <w:szCs w:val="20"/>
          <w:lang w:val="es-MX"/>
        </w:rPr>
        <w:t>En el presente caso, la Corte nota que si bien ante esta instancia</w:t>
      </w:r>
      <w:r w:rsidRPr="00E66DD7">
        <w:rPr>
          <w:rFonts w:ascii="Verdana" w:hAnsi="Verdana"/>
          <w:sz w:val="20"/>
          <w:szCs w:val="20"/>
          <w:vertAlign w:val="superscript"/>
          <w:lang w:val="es-MX"/>
        </w:rPr>
        <w:footnoteReference w:id="237"/>
      </w:r>
      <w:r w:rsidRPr="00E66DD7">
        <w:rPr>
          <w:rFonts w:ascii="Verdana" w:hAnsi="Verdana"/>
          <w:sz w:val="20"/>
          <w:szCs w:val="20"/>
          <w:lang w:val="es-MX"/>
        </w:rPr>
        <w:t xml:space="preserve"> los representantes hicieron alusión a la falta de recurso para impugnar el fallo definitivo a la luz del artículo 8 convencional, este Tribunal estima que, con base en el principio </w:t>
      </w:r>
      <w:proofErr w:type="spellStart"/>
      <w:r w:rsidRPr="00E66DD7">
        <w:rPr>
          <w:rFonts w:ascii="Verdana" w:hAnsi="Verdana"/>
          <w:i/>
          <w:sz w:val="20"/>
          <w:szCs w:val="20"/>
          <w:lang w:val="es-MX"/>
        </w:rPr>
        <w:t>iura</w:t>
      </w:r>
      <w:proofErr w:type="spellEnd"/>
      <w:r w:rsidRPr="00E66DD7">
        <w:rPr>
          <w:rFonts w:ascii="Verdana" w:hAnsi="Verdana"/>
          <w:i/>
          <w:sz w:val="20"/>
          <w:szCs w:val="20"/>
          <w:lang w:val="es-MX"/>
        </w:rPr>
        <w:t xml:space="preserve"> </w:t>
      </w:r>
      <w:proofErr w:type="spellStart"/>
      <w:r w:rsidRPr="00E66DD7">
        <w:rPr>
          <w:rFonts w:ascii="Verdana" w:hAnsi="Verdana"/>
          <w:i/>
          <w:sz w:val="20"/>
          <w:szCs w:val="20"/>
          <w:lang w:val="es-MX"/>
        </w:rPr>
        <w:t>novit</w:t>
      </w:r>
      <w:proofErr w:type="spellEnd"/>
      <w:r w:rsidRPr="00E66DD7">
        <w:rPr>
          <w:rFonts w:ascii="Verdana" w:hAnsi="Verdana"/>
          <w:i/>
          <w:sz w:val="20"/>
          <w:szCs w:val="20"/>
          <w:lang w:val="es-MX"/>
        </w:rPr>
        <w:t xml:space="preserve"> curia (supra,</w:t>
      </w:r>
      <w:r w:rsidRPr="00E66DD7">
        <w:rPr>
          <w:rFonts w:ascii="Verdana" w:hAnsi="Verdana"/>
          <w:sz w:val="20"/>
          <w:szCs w:val="20"/>
          <w:lang w:val="es-MX"/>
        </w:rPr>
        <w:t xml:space="preserve"> párr.</w:t>
      </w:r>
      <w:r w:rsidR="00DD5817">
        <w:rPr>
          <w:rFonts w:ascii="Verdana" w:hAnsi="Verdana"/>
          <w:sz w:val="20"/>
          <w:szCs w:val="20"/>
          <w:lang w:val="es-MX"/>
        </w:rPr>
        <w:t xml:space="preserve"> </w:t>
      </w:r>
      <w:r w:rsidR="00444E07" w:rsidRPr="00333304">
        <w:rPr>
          <w:rFonts w:ascii="Verdana" w:hAnsi="Verdana"/>
          <w:sz w:val="20"/>
          <w:szCs w:val="20"/>
          <w:lang w:val="es-MX"/>
        </w:rPr>
        <w:t>139</w:t>
      </w:r>
      <w:r w:rsidRPr="00E66DD7">
        <w:rPr>
          <w:rFonts w:ascii="Verdana" w:hAnsi="Verdana"/>
          <w:i/>
          <w:sz w:val="20"/>
          <w:szCs w:val="20"/>
          <w:lang w:val="es-MX"/>
        </w:rPr>
        <w:t xml:space="preserve">), </w:t>
      </w:r>
      <w:r w:rsidRPr="00E66DD7">
        <w:rPr>
          <w:rFonts w:ascii="Verdana" w:hAnsi="Verdana"/>
          <w:sz w:val="20"/>
          <w:szCs w:val="20"/>
          <w:lang w:val="es-MX"/>
        </w:rPr>
        <w:t xml:space="preserve">dichos alegatos relacionados con la fase recursiva posterior a la decisión definitiva del Segundo Tribunal del Trabajo, deben ser analizados al amparo de los artículos 8 y 25 (acceso a la justicia) de la </w:t>
      </w:r>
      <w:r w:rsidRPr="00E66DD7">
        <w:rPr>
          <w:rFonts w:ascii="Verdana" w:hAnsi="Verdana" w:cs="Arial"/>
          <w:sz w:val="20"/>
          <w:szCs w:val="20"/>
          <w:lang w:val="es-MX"/>
        </w:rPr>
        <w:t>Convención Americana.</w:t>
      </w:r>
    </w:p>
    <w:p w14:paraId="19CC26D8" w14:textId="77777777" w:rsidR="00E66DD7" w:rsidRPr="00E66DD7" w:rsidRDefault="00E66DD7" w:rsidP="00E66DD7">
      <w:pPr>
        <w:contextualSpacing/>
        <w:jc w:val="both"/>
        <w:rPr>
          <w:rFonts w:ascii="Verdana" w:hAnsi="Verdana"/>
          <w:b/>
          <w:sz w:val="20"/>
          <w:szCs w:val="20"/>
        </w:rPr>
      </w:pPr>
    </w:p>
    <w:p w14:paraId="47FAE7E3" w14:textId="35D5673D" w:rsidR="00E66DD7" w:rsidRPr="00E66DD7" w:rsidRDefault="00E66DD7" w:rsidP="00E66DD7">
      <w:pPr>
        <w:numPr>
          <w:ilvl w:val="0"/>
          <w:numId w:val="1"/>
        </w:numPr>
        <w:ind w:left="0" w:firstLine="0"/>
        <w:contextualSpacing/>
        <w:jc w:val="both"/>
        <w:rPr>
          <w:rFonts w:ascii="Verdana" w:hAnsi="Verdana"/>
          <w:sz w:val="20"/>
          <w:szCs w:val="20"/>
        </w:rPr>
      </w:pPr>
      <w:r w:rsidRPr="00E66DD7">
        <w:rPr>
          <w:rFonts w:ascii="Verdana" w:hAnsi="Verdana"/>
          <w:sz w:val="20"/>
          <w:szCs w:val="20"/>
        </w:rPr>
        <w:t xml:space="preserve">Al respecto, la Corte constata que </w:t>
      </w:r>
      <w:r w:rsidRPr="00E66DD7">
        <w:rPr>
          <w:rFonts w:ascii="Verdana" w:hAnsi="Verdana"/>
          <w:sz w:val="20"/>
          <w:szCs w:val="20"/>
          <w:lang w:val="es-MX"/>
        </w:rPr>
        <w:t>los hechos referentes a este análisis han sido ventilados en todo momento desde el trámite en el derecho interno</w:t>
      </w:r>
      <w:r w:rsidRPr="00E66DD7">
        <w:rPr>
          <w:rFonts w:ascii="Verdana" w:hAnsi="Verdana"/>
          <w:sz w:val="20"/>
          <w:szCs w:val="20"/>
          <w:vertAlign w:val="superscript"/>
          <w:lang w:val="es-MX"/>
        </w:rPr>
        <w:footnoteReference w:id="238"/>
      </w:r>
      <w:r w:rsidRPr="00E66DD7">
        <w:rPr>
          <w:rFonts w:ascii="Verdana" w:hAnsi="Verdana"/>
          <w:sz w:val="20"/>
          <w:szCs w:val="20"/>
          <w:lang w:val="es-MX"/>
        </w:rPr>
        <w:t xml:space="preserve"> como ante el Sistema Interamericano desde sus primeras solicitudes (</w:t>
      </w:r>
      <w:r w:rsidR="00730D77">
        <w:rPr>
          <w:rFonts w:ascii="Verdana" w:hAnsi="Verdana"/>
          <w:sz w:val="20"/>
          <w:szCs w:val="20"/>
          <w:lang w:val="es-MX"/>
        </w:rPr>
        <w:t>supra, párr</w:t>
      </w:r>
      <w:r w:rsidRPr="00444E07">
        <w:rPr>
          <w:rFonts w:ascii="Verdana" w:hAnsi="Verdana"/>
          <w:sz w:val="20"/>
          <w:szCs w:val="20"/>
          <w:lang w:val="es-MX"/>
        </w:rPr>
        <w:t xml:space="preserve">. </w:t>
      </w:r>
      <w:r w:rsidR="00444E07" w:rsidRPr="00333304">
        <w:rPr>
          <w:rFonts w:ascii="Verdana" w:hAnsi="Verdana"/>
          <w:sz w:val="20"/>
          <w:szCs w:val="20"/>
          <w:lang w:val="es-MX"/>
        </w:rPr>
        <w:t>133</w:t>
      </w:r>
      <w:r w:rsidR="00444E07" w:rsidRPr="00444E07">
        <w:rPr>
          <w:rFonts w:ascii="Verdana" w:hAnsi="Verdana"/>
          <w:sz w:val="20"/>
          <w:szCs w:val="20"/>
          <w:lang w:val="es-MX"/>
        </w:rPr>
        <w:t>)</w:t>
      </w:r>
      <w:r w:rsidR="00444E07" w:rsidRPr="00444E07">
        <w:rPr>
          <w:rFonts w:ascii="Verdana" w:hAnsi="Verdana"/>
          <w:sz w:val="20"/>
          <w:szCs w:val="20"/>
          <w:vertAlign w:val="superscript"/>
          <w:lang w:val="es-MX"/>
        </w:rPr>
        <w:footnoteReference w:id="239"/>
      </w:r>
      <w:r w:rsidR="00444E07" w:rsidRPr="00444E07">
        <w:rPr>
          <w:rFonts w:ascii="Verdana" w:hAnsi="Verdana"/>
          <w:sz w:val="20"/>
          <w:szCs w:val="20"/>
          <w:lang w:val="es-MX"/>
        </w:rPr>
        <w:t>.</w:t>
      </w:r>
      <w:r w:rsidR="00444E07" w:rsidRPr="00E66DD7">
        <w:rPr>
          <w:rFonts w:ascii="Verdana" w:hAnsi="Verdana"/>
          <w:sz w:val="20"/>
          <w:szCs w:val="20"/>
          <w:lang w:val="es-MX"/>
        </w:rPr>
        <w:t xml:space="preserve"> </w:t>
      </w:r>
      <w:r w:rsidRPr="00E66DD7">
        <w:rPr>
          <w:rFonts w:ascii="Verdana" w:hAnsi="Verdana"/>
          <w:sz w:val="20"/>
          <w:szCs w:val="20"/>
          <w:lang w:val="es-MX"/>
        </w:rPr>
        <w:t xml:space="preserve">En este sentido, las partes han tenido amplia posibilidad de hacer referencia al alcance de los derechos que involucran los hechos analizados. </w:t>
      </w:r>
    </w:p>
    <w:p w14:paraId="7F9ECAE0" w14:textId="77777777" w:rsidR="00E66DD7" w:rsidRPr="00E66DD7" w:rsidRDefault="00E66DD7" w:rsidP="00E66DD7">
      <w:pPr>
        <w:contextualSpacing/>
        <w:jc w:val="both"/>
        <w:rPr>
          <w:rFonts w:ascii="Verdana" w:hAnsi="Verdana"/>
          <w:b/>
          <w:sz w:val="20"/>
          <w:szCs w:val="20"/>
        </w:rPr>
      </w:pPr>
    </w:p>
    <w:p w14:paraId="09D9E44C" w14:textId="2A33EDE5" w:rsidR="00E66DD7" w:rsidRPr="00E66DD7" w:rsidRDefault="00E66DD7" w:rsidP="00F656E0">
      <w:pPr>
        <w:pStyle w:val="Heading3"/>
        <w:numPr>
          <w:ilvl w:val="0"/>
          <w:numId w:val="24"/>
        </w:numPr>
        <w:jc w:val="both"/>
        <w:rPr>
          <w:i/>
          <w:szCs w:val="20"/>
        </w:rPr>
      </w:pPr>
      <w:bookmarkStart w:id="61" w:name="_Toc498333517"/>
      <w:r w:rsidRPr="00E66DD7">
        <w:rPr>
          <w:rFonts w:cs="Verdana"/>
          <w:i/>
          <w:szCs w:val="20"/>
          <w:lang w:val="es-MX" w:eastAsia="es-MX"/>
        </w:rPr>
        <w:t>El acceso a la justicia para tutelar la estabilidad laboral, como derecho reconocido en la Constitución</w:t>
      </w:r>
      <w:bookmarkEnd w:id="61"/>
    </w:p>
    <w:p w14:paraId="0717E0E6" w14:textId="77777777" w:rsidR="00E66DD7" w:rsidRPr="00E66DD7" w:rsidRDefault="00E66DD7" w:rsidP="00E66DD7">
      <w:pPr>
        <w:contextualSpacing/>
        <w:jc w:val="both"/>
        <w:rPr>
          <w:rFonts w:ascii="Verdana" w:hAnsi="Verdana"/>
          <w:sz w:val="20"/>
          <w:szCs w:val="20"/>
          <w:lang w:val="es-MX"/>
        </w:rPr>
      </w:pPr>
    </w:p>
    <w:p w14:paraId="3A1B8E41" w14:textId="597B9581" w:rsidR="00E66DD7" w:rsidRDefault="00E66DD7" w:rsidP="00E66DD7">
      <w:pPr>
        <w:numPr>
          <w:ilvl w:val="0"/>
          <w:numId w:val="1"/>
        </w:numPr>
        <w:ind w:left="0" w:firstLine="0"/>
        <w:contextualSpacing/>
        <w:jc w:val="both"/>
        <w:rPr>
          <w:rFonts w:ascii="Verdana" w:hAnsi="Verdana"/>
          <w:sz w:val="20"/>
          <w:szCs w:val="20"/>
          <w:lang w:val="es-MX"/>
        </w:rPr>
      </w:pPr>
      <w:r w:rsidRPr="00E66DD7">
        <w:rPr>
          <w:rFonts w:ascii="Verdana" w:hAnsi="Verdana"/>
          <w:sz w:val="20"/>
          <w:szCs w:val="20"/>
          <w:lang w:val="es-MX"/>
        </w:rPr>
        <w:t xml:space="preserve">El artículo 25 </w:t>
      </w:r>
      <w:r w:rsidR="002C4F7B" w:rsidRPr="00333304">
        <w:rPr>
          <w:rFonts w:ascii="Verdana" w:hAnsi="Verdana"/>
          <w:sz w:val="20"/>
          <w:szCs w:val="20"/>
          <w:lang w:val="es-MX"/>
        </w:rPr>
        <w:t>de la Convención</w:t>
      </w:r>
      <w:r w:rsidR="002C4F7B">
        <w:rPr>
          <w:rFonts w:ascii="Verdana" w:hAnsi="Verdana"/>
          <w:sz w:val="20"/>
          <w:szCs w:val="20"/>
          <w:lang w:val="es-MX"/>
        </w:rPr>
        <w:t xml:space="preserve"> </w:t>
      </w:r>
      <w:r w:rsidRPr="00E66DD7">
        <w:rPr>
          <w:rFonts w:ascii="Verdana" w:hAnsi="Verdana"/>
          <w:sz w:val="20"/>
          <w:szCs w:val="20"/>
          <w:lang w:val="es-MX"/>
        </w:rPr>
        <w:t xml:space="preserve">señala expresamente que: </w:t>
      </w:r>
    </w:p>
    <w:p w14:paraId="7348BAED" w14:textId="77777777" w:rsidR="002C4F7B" w:rsidRPr="00E66DD7" w:rsidRDefault="002C4F7B" w:rsidP="00B06027">
      <w:pPr>
        <w:contextualSpacing/>
        <w:jc w:val="both"/>
        <w:rPr>
          <w:rFonts w:ascii="Verdana" w:hAnsi="Verdana"/>
          <w:sz w:val="20"/>
          <w:szCs w:val="20"/>
          <w:lang w:val="es-MX"/>
        </w:rPr>
      </w:pPr>
    </w:p>
    <w:p w14:paraId="4E2D1E04" w14:textId="77777777" w:rsidR="00E66DD7" w:rsidRPr="00E66DD7" w:rsidRDefault="00E66DD7" w:rsidP="00334B6C">
      <w:pPr>
        <w:numPr>
          <w:ilvl w:val="0"/>
          <w:numId w:val="22"/>
        </w:numPr>
        <w:tabs>
          <w:tab w:val="left" w:pos="993"/>
        </w:tabs>
        <w:ind w:left="567" w:right="335" w:firstLine="0"/>
        <w:contextualSpacing/>
        <w:jc w:val="both"/>
        <w:rPr>
          <w:rFonts w:ascii="Verdana" w:eastAsia="Times New Roman" w:hAnsi="Verdana" w:cs="Tahoma"/>
          <w:color w:val="000000"/>
          <w:sz w:val="18"/>
          <w:szCs w:val="18"/>
          <w:lang w:val="es-MX" w:eastAsia="es-MX"/>
        </w:rPr>
      </w:pPr>
      <w:r w:rsidRPr="00E66DD7">
        <w:rPr>
          <w:rFonts w:ascii="Verdana" w:eastAsia="Times New Roman" w:hAnsi="Verdana" w:cs="Tahoma"/>
          <w:color w:val="000000"/>
          <w:sz w:val="18"/>
          <w:szCs w:val="18"/>
          <w:lang w:val="es-MX" w:eastAsia="es-MX"/>
        </w:rPr>
        <w:t xml:space="preserve">Toda persona tiene derecho a un recurso sencillo y rápido o a cualquier otro recurso efectivo ante los jueces o tribunales competentes, que la ampare contra actos que violen sus derechos fundamentales </w:t>
      </w:r>
      <w:r w:rsidRPr="00333304">
        <w:rPr>
          <w:rFonts w:ascii="Verdana" w:eastAsia="Times New Roman" w:hAnsi="Verdana" w:cs="Tahoma"/>
          <w:color w:val="000000"/>
          <w:sz w:val="18"/>
          <w:szCs w:val="18"/>
          <w:lang w:val="es-MX" w:eastAsia="es-MX"/>
        </w:rPr>
        <w:t>reconocidos por la Constitución, la ley</w:t>
      </w:r>
      <w:r w:rsidRPr="00E66DD7">
        <w:rPr>
          <w:rFonts w:ascii="Verdana" w:eastAsia="Times New Roman" w:hAnsi="Verdana" w:cs="Tahoma"/>
          <w:color w:val="000000"/>
          <w:sz w:val="18"/>
          <w:szCs w:val="18"/>
          <w:lang w:val="es-MX" w:eastAsia="es-MX"/>
        </w:rPr>
        <w:t xml:space="preserve"> o la presente Convención, aun cuando tal violación sea cometida por personas que actúen en ejercicio de sus funciones oficiales. </w:t>
      </w:r>
    </w:p>
    <w:p w14:paraId="33E56774" w14:textId="77777777" w:rsidR="00E66DD7" w:rsidRPr="00E66DD7" w:rsidRDefault="00E66DD7" w:rsidP="00334B6C">
      <w:pPr>
        <w:tabs>
          <w:tab w:val="left" w:pos="993"/>
        </w:tabs>
        <w:ind w:left="567" w:right="335"/>
        <w:contextualSpacing/>
        <w:jc w:val="both"/>
        <w:rPr>
          <w:rFonts w:ascii="Verdana" w:eastAsia="Times New Roman" w:hAnsi="Verdana" w:cs="Tahoma"/>
          <w:color w:val="000000"/>
          <w:sz w:val="18"/>
          <w:szCs w:val="18"/>
          <w:lang w:val="es-MX" w:eastAsia="es-MX"/>
        </w:rPr>
      </w:pPr>
    </w:p>
    <w:p w14:paraId="02BEAB7B" w14:textId="77777777" w:rsidR="00E66DD7" w:rsidRPr="00E66DD7" w:rsidRDefault="00E66DD7" w:rsidP="00334B6C">
      <w:pPr>
        <w:numPr>
          <w:ilvl w:val="0"/>
          <w:numId w:val="22"/>
        </w:numPr>
        <w:tabs>
          <w:tab w:val="left" w:pos="993"/>
        </w:tabs>
        <w:ind w:left="567" w:right="335" w:firstLine="0"/>
        <w:contextualSpacing/>
        <w:jc w:val="both"/>
        <w:rPr>
          <w:rFonts w:ascii="Verdana" w:eastAsia="Times New Roman" w:hAnsi="Verdana" w:cs="Tahoma"/>
          <w:color w:val="000000"/>
          <w:sz w:val="18"/>
          <w:szCs w:val="18"/>
          <w:lang w:val="es-MX" w:eastAsia="es-MX"/>
        </w:rPr>
      </w:pPr>
      <w:r w:rsidRPr="00E66DD7">
        <w:rPr>
          <w:rFonts w:ascii="Verdana" w:eastAsia="Times New Roman" w:hAnsi="Verdana" w:cs="Tahoma"/>
          <w:color w:val="000000"/>
          <w:sz w:val="18"/>
          <w:szCs w:val="18"/>
          <w:lang w:val="es-MX" w:eastAsia="es-MX"/>
        </w:rPr>
        <w:t xml:space="preserve">Los Estados Partes se comprometen: </w:t>
      </w:r>
    </w:p>
    <w:p w14:paraId="67C53518" w14:textId="21BB5230" w:rsidR="00E66DD7" w:rsidRPr="00E358F5" w:rsidRDefault="00E66DD7" w:rsidP="00334B6C">
      <w:pPr>
        <w:tabs>
          <w:tab w:val="left" w:pos="993"/>
        </w:tabs>
        <w:ind w:left="567" w:right="335"/>
        <w:contextualSpacing/>
        <w:jc w:val="both"/>
        <w:rPr>
          <w:rFonts w:ascii="Verdana" w:eastAsia="Times New Roman" w:hAnsi="Verdana" w:cs="Tahoma"/>
          <w:color w:val="000000"/>
          <w:sz w:val="18"/>
          <w:szCs w:val="18"/>
          <w:lang w:val="es-CR" w:eastAsia="es-MX"/>
        </w:rPr>
      </w:pPr>
      <w:r w:rsidRPr="00E66DD7">
        <w:rPr>
          <w:rFonts w:ascii="Verdana" w:eastAsia="Times New Roman" w:hAnsi="Verdana" w:cs="Tahoma"/>
          <w:color w:val="000000"/>
          <w:sz w:val="18"/>
          <w:szCs w:val="18"/>
          <w:lang w:val="es-MX" w:eastAsia="es-MX"/>
        </w:rPr>
        <w:t xml:space="preserve">a) a garantizar que la autoridad competente prevista por el sistema legal del Estado </w:t>
      </w:r>
      <w:r w:rsidRPr="00333304">
        <w:rPr>
          <w:rFonts w:ascii="Verdana" w:eastAsia="Times New Roman" w:hAnsi="Verdana" w:cs="Tahoma"/>
          <w:color w:val="000000"/>
          <w:sz w:val="18"/>
          <w:szCs w:val="18"/>
          <w:lang w:val="es-MX" w:eastAsia="es-MX"/>
        </w:rPr>
        <w:t>decidirá sobre los derechos</w:t>
      </w:r>
      <w:r w:rsidRPr="0013567C">
        <w:rPr>
          <w:rFonts w:ascii="Verdana" w:eastAsia="Times New Roman" w:hAnsi="Verdana" w:cs="Tahoma"/>
          <w:b/>
          <w:color w:val="000000"/>
          <w:sz w:val="18"/>
          <w:szCs w:val="18"/>
          <w:lang w:val="es-MX" w:eastAsia="es-MX"/>
        </w:rPr>
        <w:t xml:space="preserve"> </w:t>
      </w:r>
      <w:r w:rsidRPr="00E66DD7">
        <w:rPr>
          <w:rFonts w:ascii="Verdana" w:eastAsia="Times New Roman" w:hAnsi="Verdana" w:cs="Tahoma"/>
          <w:color w:val="000000"/>
          <w:sz w:val="18"/>
          <w:szCs w:val="18"/>
          <w:lang w:val="es-MX" w:eastAsia="es-MX"/>
        </w:rPr>
        <w:t>de toda persona que interponga tal recurso;</w:t>
      </w:r>
      <w:r w:rsidR="00E358F5">
        <w:rPr>
          <w:rFonts w:ascii="Verdana" w:eastAsia="Times New Roman" w:hAnsi="Verdana" w:cs="Tahoma"/>
          <w:color w:val="000000"/>
          <w:sz w:val="18"/>
          <w:szCs w:val="18"/>
          <w:lang w:val="es-MX" w:eastAsia="es-MX"/>
        </w:rPr>
        <w:t xml:space="preserve"> </w:t>
      </w:r>
      <w:r w:rsidR="00E358F5">
        <w:rPr>
          <w:rFonts w:ascii="Verdana" w:eastAsia="Times New Roman" w:hAnsi="Verdana" w:cs="Tahoma"/>
          <w:color w:val="000000"/>
          <w:sz w:val="18"/>
          <w:szCs w:val="18"/>
          <w:lang w:val="es-CR" w:eastAsia="es-MX"/>
        </w:rPr>
        <w:t>[…]</w:t>
      </w:r>
    </w:p>
    <w:p w14:paraId="1392C865" w14:textId="77777777" w:rsidR="00E66DD7" w:rsidRPr="00E66DD7" w:rsidRDefault="00E66DD7" w:rsidP="00E66DD7">
      <w:pPr>
        <w:contextualSpacing/>
        <w:jc w:val="both"/>
        <w:rPr>
          <w:rFonts w:ascii="Verdana" w:hAnsi="Verdana"/>
          <w:sz w:val="20"/>
          <w:szCs w:val="20"/>
          <w:lang w:val="es-MX"/>
        </w:rPr>
      </w:pPr>
    </w:p>
    <w:p w14:paraId="011E79AD" w14:textId="39419E12" w:rsidR="00E66DD7" w:rsidRPr="00E66DD7" w:rsidRDefault="00E66DD7" w:rsidP="00E66DD7">
      <w:pPr>
        <w:numPr>
          <w:ilvl w:val="0"/>
          <w:numId w:val="1"/>
        </w:numPr>
        <w:ind w:left="0" w:firstLine="0"/>
        <w:contextualSpacing/>
        <w:jc w:val="both"/>
        <w:rPr>
          <w:rFonts w:ascii="Verdana" w:hAnsi="Verdana"/>
          <w:sz w:val="20"/>
          <w:szCs w:val="20"/>
          <w:lang w:val="es-MX"/>
        </w:rPr>
      </w:pPr>
      <w:r w:rsidRPr="00E66DD7">
        <w:rPr>
          <w:rFonts w:ascii="Verdana" w:hAnsi="Verdana" w:cs="Helvetica"/>
          <w:sz w:val="20"/>
          <w:szCs w:val="20"/>
          <w:lang w:val="es-MX"/>
        </w:rPr>
        <w:t>Esta Corte ha declarado que la protección judicial, “constituye uno de los pilares básicos de la Convención Americana y del propio Estado de Derecho en una sociedad democrática</w:t>
      </w:r>
      <w:r w:rsidRPr="00E66DD7">
        <w:rPr>
          <w:rFonts w:ascii="Verdana" w:hAnsi="Verdana" w:cs="Helvetica"/>
          <w:sz w:val="20"/>
          <w:szCs w:val="20"/>
          <w:vertAlign w:val="superscript"/>
          <w:lang w:val="es-MX"/>
        </w:rPr>
        <w:footnoteReference w:id="240"/>
      </w:r>
      <w:r w:rsidRPr="00E66DD7">
        <w:rPr>
          <w:rFonts w:ascii="Verdana" w:hAnsi="Verdana" w:cs="Helvetica"/>
          <w:sz w:val="20"/>
          <w:szCs w:val="20"/>
          <w:lang w:val="es-MX"/>
        </w:rPr>
        <w:t>”</w:t>
      </w:r>
      <w:r w:rsidRPr="00E66DD7">
        <w:rPr>
          <w:rFonts w:ascii="Verdana" w:hAnsi="Verdana"/>
          <w:sz w:val="20"/>
          <w:szCs w:val="20"/>
          <w:lang w:val="es-MX"/>
        </w:rPr>
        <w:t xml:space="preserve">. </w:t>
      </w:r>
      <w:r w:rsidRPr="00E66DD7">
        <w:rPr>
          <w:rFonts w:ascii="Verdana" w:hAnsi="Verdana" w:cs="Helvetica"/>
          <w:sz w:val="20"/>
          <w:szCs w:val="20"/>
        </w:rPr>
        <w:t>L</w:t>
      </w:r>
      <w:r w:rsidRPr="00E66DD7">
        <w:rPr>
          <w:rFonts w:ascii="Verdana" w:hAnsi="Verdana"/>
          <w:sz w:val="20"/>
          <w:szCs w:val="20"/>
        </w:rPr>
        <w:t xml:space="preserve">a Corte ha señalado que “los artículos 8 y 25 de la Convención también consagran el derecho al </w:t>
      </w:r>
      <w:r w:rsidRPr="00E66DD7">
        <w:rPr>
          <w:rFonts w:ascii="Verdana" w:hAnsi="Verdana" w:cs="Helvetica"/>
          <w:sz w:val="20"/>
          <w:szCs w:val="20"/>
          <w:lang w:val="es-MX"/>
        </w:rPr>
        <w:t>acceso</w:t>
      </w:r>
      <w:r w:rsidRPr="00E66DD7">
        <w:rPr>
          <w:rFonts w:ascii="Verdana" w:hAnsi="Verdana"/>
          <w:sz w:val="20"/>
          <w:szCs w:val="20"/>
        </w:rPr>
        <w:t xml:space="preserve"> a la justicia, norma imperativa del Derecho Internacional</w:t>
      </w:r>
      <w:r w:rsidRPr="00E66DD7">
        <w:rPr>
          <w:rFonts w:ascii="Verdana" w:hAnsi="Verdana"/>
          <w:sz w:val="20"/>
          <w:szCs w:val="20"/>
          <w:vertAlign w:val="superscript"/>
        </w:rPr>
        <w:footnoteReference w:id="241"/>
      </w:r>
      <w:r w:rsidRPr="00E66DD7">
        <w:rPr>
          <w:rFonts w:ascii="Verdana" w:hAnsi="Verdana"/>
          <w:sz w:val="20"/>
          <w:szCs w:val="20"/>
        </w:rPr>
        <w:t xml:space="preserve">”. Asimismo, </w:t>
      </w:r>
      <w:r w:rsidRPr="00E66DD7">
        <w:rPr>
          <w:rFonts w:ascii="Verdana" w:hAnsi="Verdana" w:cs="Helvetica"/>
          <w:sz w:val="20"/>
          <w:szCs w:val="20"/>
        </w:rPr>
        <w:t>el principio de tutela judicial efectiva requiere que los procedimientos judiciales sean accesibles para las partes, sin obstáculos o demoras indebidas, a fin de que alcancen su objetivo de manera rápida, sencilla e integral</w:t>
      </w:r>
      <w:r w:rsidRPr="00E66DD7">
        <w:rPr>
          <w:rFonts w:ascii="Verdana" w:hAnsi="Verdana" w:cs="Helvetica"/>
          <w:sz w:val="20"/>
          <w:szCs w:val="20"/>
          <w:vertAlign w:val="superscript"/>
        </w:rPr>
        <w:footnoteReference w:id="242"/>
      </w:r>
      <w:r w:rsidRPr="00E66DD7">
        <w:rPr>
          <w:rFonts w:ascii="Verdana" w:hAnsi="Verdana" w:cs="Helvetica"/>
          <w:sz w:val="20"/>
          <w:szCs w:val="20"/>
        </w:rPr>
        <w:t xml:space="preserve">. Aunado a lo anterior, este Tribunal ha señalado que el artículo 25.1 de la </w:t>
      </w:r>
      <w:r w:rsidRPr="00E66DD7">
        <w:rPr>
          <w:rFonts w:ascii="Verdana" w:hAnsi="Verdana" w:cs="Helvetica"/>
          <w:sz w:val="20"/>
          <w:szCs w:val="20"/>
        </w:rPr>
        <w:lastRenderedPageBreak/>
        <w:t>Convención contempla la obligación de los Estados Partes de garantizar, a todas las personas bajo su jurisdicción, un recurso judicial efectivo contra actos violatorios de sus derechos fundamentales</w:t>
      </w:r>
      <w:r w:rsidR="0013567C" w:rsidRPr="00E66DD7">
        <w:rPr>
          <w:rFonts w:ascii="Verdana" w:hAnsi="Verdana" w:cs="Helvetica"/>
          <w:sz w:val="20"/>
          <w:szCs w:val="20"/>
          <w:vertAlign w:val="superscript"/>
        </w:rPr>
        <w:footnoteReference w:id="243"/>
      </w:r>
      <w:r w:rsidRPr="00E66DD7">
        <w:rPr>
          <w:rFonts w:ascii="Verdana" w:hAnsi="Verdana" w:cs="Helvetica"/>
          <w:sz w:val="20"/>
          <w:szCs w:val="20"/>
        </w:rPr>
        <w:t>, reconocidos ya sea en la Constitución, en las leyes o en la Convención</w:t>
      </w:r>
      <w:r w:rsidRPr="00E66DD7">
        <w:rPr>
          <w:rFonts w:ascii="Verdana" w:hAnsi="Verdana" w:cs="Helvetica"/>
          <w:sz w:val="20"/>
          <w:szCs w:val="20"/>
          <w:vertAlign w:val="superscript"/>
        </w:rPr>
        <w:footnoteReference w:id="244"/>
      </w:r>
      <w:r w:rsidRPr="00E66DD7">
        <w:rPr>
          <w:rFonts w:ascii="Verdana" w:hAnsi="Verdana" w:cs="Helvetica"/>
          <w:sz w:val="20"/>
          <w:szCs w:val="20"/>
        </w:rPr>
        <w:t xml:space="preserve">. </w:t>
      </w:r>
    </w:p>
    <w:p w14:paraId="092E910E" w14:textId="77777777" w:rsidR="00E66DD7" w:rsidRPr="00E66DD7" w:rsidRDefault="00E66DD7" w:rsidP="00E66DD7">
      <w:pPr>
        <w:contextualSpacing/>
        <w:jc w:val="both"/>
        <w:rPr>
          <w:rFonts w:ascii="Verdana" w:hAnsi="Verdana" w:cs="Helvetica"/>
          <w:sz w:val="20"/>
          <w:szCs w:val="20"/>
        </w:rPr>
      </w:pPr>
    </w:p>
    <w:p w14:paraId="5A7F8A32" w14:textId="2F08DD2A" w:rsidR="00E66DD7" w:rsidRPr="00E66DD7" w:rsidRDefault="00E66DD7" w:rsidP="00E66DD7">
      <w:pPr>
        <w:numPr>
          <w:ilvl w:val="0"/>
          <w:numId w:val="1"/>
        </w:numPr>
        <w:ind w:left="0" w:firstLine="0"/>
        <w:contextualSpacing/>
        <w:jc w:val="both"/>
        <w:rPr>
          <w:rFonts w:ascii="Verdana" w:hAnsi="Verdana"/>
          <w:sz w:val="20"/>
          <w:szCs w:val="20"/>
          <w:lang w:val="es-EC"/>
        </w:rPr>
      </w:pPr>
      <w:r w:rsidRPr="00E66DD7">
        <w:rPr>
          <w:rFonts w:ascii="Verdana" w:hAnsi="Verdana"/>
          <w:sz w:val="20"/>
          <w:szCs w:val="20"/>
          <w:lang w:val="es-MX"/>
        </w:rPr>
        <w:t xml:space="preserve">Como ya fue mencionado, </w:t>
      </w:r>
      <w:r w:rsidRPr="00E66DD7">
        <w:rPr>
          <w:rFonts w:ascii="Verdana" w:hAnsi="Verdana"/>
          <w:sz w:val="20"/>
          <w:szCs w:val="20"/>
        </w:rPr>
        <w:t xml:space="preserve">tanto la </w:t>
      </w:r>
      <w:r w:rsidRPr="00E66DD7">
        <w:rPr>
          <w:rFonts w:ascii="Verdana" w:hAnsi="Verdana" w:cs="Arial Narrow"/>
          <w:color w:val="000000"/>
          <w:sz w:val="20"/>
          <w:szCs w:val="20"/>
          <w:lang w:eastAsia="es-MX"/>
        </w:rPr>
        <w:t>Constitución Política de 1979 como la de 1993 de Perú, y la ley laboral al momento de los hechos, reconocían explícitamente el derecho a la estabilidad laboral</w:t>
      </w:r>
      <w:r w:rsidRPr="00E66DD7">
        <w:rPr>
          <w:rFonts w:ascii="Verdana" w:hAnsi="Verdana" w:cs="Arial Narrow"/>
          <w:color w:val="000000"/>
          <w:sz w:val="20"/>
          <w:szCs w:val="20"/>
          <w:vertAlign w:val="superscript"/>
          <w:lang w:eastAsia="es-MX"/>
        </w:rPr>
        <w:footnoteReference w:id="245"/>
      </w:r>
      <w:r w:rsidRPr="00E66DD7">
        <w:rPr>
          <w:rFonts w:ascii="Verdana" w:hAnsi="Verdana" w:cs="Arial Narrow"/>
          <w:color w:val="000000"/>
          <w:sz w:val="20"/>
          <w:szCs w:val="20"/>
          <w:lang w:eastAsia="es-MX"/>
        </w:rPr>
        <w:t xml:space="preserve"> (</w:t>
      </w:r>
      <w:r w:rsidRPr="00E66DD7">
        <w:rPr>
          <w:rFonts w:ascii="Verdana" w:hAnsi="Verdana" w:cs="Arial Narrow"/>
          <w:i/>
          <w:color w:val="000000"/>
          <w:sz w:val="20"/>
          <w:szCs w:val="20"/>
          <w:lang w:eastAsia="es-MX"/>
        </w:rPr>
        <w:t>supra</w:t>
      </w:r>
      <w:r w:rsidRPr="00E66DD7">
        <w:rPr>
          <w:rFonts w:ascii="Verdana" w:hAnsi="Verdana" w:cs="Arial Narrow"/>
          <w:color w:val="000000"/>
          <w:sz w:val="20"/>
          <w:szCs w:val="20"/>
          <w:lang w:eastAsia="es-MX"/>
        </w:rPr>
        <w:t xml:space="preserve">, párr. </w:t>
      </w:r>
      <w:r w:rsidR="00444E07">
        <w:rPr>
          <w:rFonts w:ascii="Verdana" w:hAnsi="Verdana" w:cs="Arial Narrow"/>
          <w:color w:val="000000"/>
          <w:sz w:val="20"/>
          <w:szCs w:val="20"/>
          <w:lang w:eastAsia="es-MX"/>
        </w:rPr>
        <w:t>138</w:t>
      </w:r>
      <w:r w:rsidR="00444E07" w:rsidRPr="00E66DD7">
        <w:rPr>
          <w:rFonts w:ascii="Verdana" w:hAnsi="Verdana" w:cs="Arial Narrow"/>
          <w:color w:val="000000"/>
          <w:sz w:val="20"/>
          <w:szCs w:val="20"/>
          <w:lang w:eastAsia="es-MX"/>
        </w:rPr>
        <w:t>).</w:t>
      </w:r>
    </w:p>
    <w:p w14:paraId="69E589C6" w14:textId="77777777" w:rsidR="00E66DD7" w:rsidRPr="00E66DD7" w:rsidRDefault="00E66DD7" w:rsidP="00E66DD7">
      <w:pPr>
        <w:contextualSpacing/>
        <w:jc w:val="both"/>
        <w:rPr>
          <w:rFonts w:ascii="Verdana" w:hAnsi="Verdana"/>
          <w:sz w:val="20"/>
          <w:szCs w:val="20"/>
          <w:lang w:val="es-EC"/>
        </w:rPr>
      </w:pPr>
    </w:p>
    <w:p w14:paraId="25E35EDA" w14:textId="02195BAB" w:rsidR="00E66DD7" w:rsidRPr="00E66DD7" w:rsidRDefault="00E66DD7" w:rsidP="00E66DD7">
      <w:pPr>
        <w:numPr>
          <w:ilvl w:val="0"/>
          <w:numId w:val="1"/>
        </w:numPr>
        <w:ind w:left="0" w:firstLine="0"/>
        <w:contextualSpacing/>
        <w:jc w:val="both"/>
        <w:rPr>
          <w:rFonts w:ascii="Verdana" w:hAnsi="Verdana"/>
          <w:sz w:val="20"/>
          <w:szCs w:val="20"/>
          <w:lang w:val="es-MX"/>
        </w:rPr>
      </w:pPr>
      <w:r w:rsidRPr="00E66DD7">
        <w:rPr>
          <w:rFonts w:ascii="Verdana" w:hAnsi="Verdana"/>
          <w:sz w:val="20"/>
          <w:szCs w:val="20"/>
          <w:lang w:val="es-EC"/>
        </w:rPr>
        <w:t xml:space="preserve">En atención a lo anterior, </w:t>
      </w:r>
      <w:r w:rsidRPr="00E66DD7">
        <w:rPr>
          <w:rFonts w:ascii="Verdana" w:hAnsi="Verdana"/>
          <w:color w:val="000000"/>
          <w:sz w:val="20"/>
          <w:szCs w:val="20"/>
          <w:lang w:val="es-MX"/>
        </w:rPr>
        <w:t>l</w:t>
      </w:r>
      <w:r w:rsidRPr="00E66DD7">
        <w:rPr>
          <w:rFonts w:ascii="Verdana" w:hAnsi="Verdana"/>
          <w:color w:val="000000"/>
          <w:sz w:val="20"/>
          <w:szCs w:val="20"/>
        </w:rPr>
        <w:t>a jurisprudencia de la Corte ha trazado un estrecho vínculo entre los alcances de los derechos consagrados en los artículos 8 y 25 de la Convención Americana. De esta manera, se ha establecido que los Estados tienen la obligación de diseñar y consagrar normativamente recursos efectivos para la cabal protección de los derechos humanos, pero también la obligación de asegurar la debida aplicación de dichos recursos por parte de sus autoridades judiciales, en procedimientos con las garantías adecuadas</w:t>
      </w:r>
      <w:r w:rsidRPr="00E66DD7">
        <w:rPr>
          <w:rFonts w:ascii="Verdana" w:hAnsi="Verdana"/>
          <w:color w:val="000000"/>
          <w:sz w:val="20"/>
          <w:szCs w:val="20"/>
          <w:vertAlign w:val="superscript"/>
        </w:rPr>
        <w:footnoteReference w:id="246"/>
      </w:r>
      <w:r w:rsidRPr="00E66DD7">
        <w:rPr>
          <w:rFonts w:ascii="Verdana" w:hAnsi="Verdana" w:cs="Helvetica"/>
          <w:sz w:val="20"/>
          <w:szCs w:val="20"/>
        </w:rPr>
        <w:t xml:space="preserve"> y deben ser sustanciados de conformidad con las reglas del debido proceso legal</w:t>
      </w:r>
      <w:r w:rsidRPr="00E66DD7">
        <w:rPr>
          <w:rFonts w:ascii="Verdana" w:hAnsi="Verdana" w:cs="Helvetica"/>
          <w:sz w:val="20"/>
          <w:szCs w:val="20"/>
          <w:vertAlign w:val="superscript"/>
        </w:rPr>
        <w:footnoteReference w:id="247"/>
      </w:r>
      <w:r w:rsidRPr="00E66DD7">
        <w:rPr>
          <w:rFonts w:ascii="Verdana" w:hAnsi="Verdana"/>
          <w:color w:val="000000"/>
          <w:sz w:val="20"/>
          <w:szCs w:val="20"/>
        </w:rPr>
        <w:t>.</w:t>
      </w:r>
      <w:r w:rsidRPr="00E66DD7">
        <w:rPr>
          <w:rFonts w:ascii="Verdana" w:hAnsi="Verdana" w:cs="Helvetica"/>
          <w:sz w:val="20"/>
          <w:szCs w:val="20"/>
        </w:rPr>
        <w:t xml:space="preserve"> As</w:t>
      </w:r>
      <w:r w:rsidRPr="002C4F7B">
        <w:rPr>
          <w:rFonts w:ascii="Verdana" w:hAnsi="Verdana" w:cs="Helvetica"/>
          <w:sz w:val="20"/>
          <w:szCs w:val="20"/>
        </w:rPr>
        <w:t>í</w:t>
      </w:r>
      <w:r w:rsidRPr="00B06027">
        <w:rPr>
          <w:rFonts w:ascii="Verdana" w:hAnsi="Verdana" w:cs="Helvetica"/>
          <w:sz w:val="20"/>
          <w:szCs w:val="20"/>
        </w:rPr>
        <w:t>, un recurso efectivo implica que el análisis por la autoridad competente de un recurso judicial no puede reducirse a una mera formalidad, sino que debe examinar las razones invocadas por el demandante y manifestarse expresamente sobre ellas</w:t>
      </w:r>
      <w:r w:rsidRPr="00B06027">
        <w:rPr>
          <w:rFonts w:ascii="Verdana" w:hAnsi="Verdana" w:cs="Helvetica"/>
          <w:sz w:val="20"/>
          <w:szCs w:val="20"/>
          <w:vertAlign w:val="superscript"/>
        </w:rPr>
        <w:footnoteReference w:id="248"/>
      </w:r>
      <w:r w:rsidRPr="00B06027">
        <w:rPr>
          <w:rFonts w:ascii="Verdana" w:hAnsi="Verdana" w:cs="Helvetica"/>
          <w:sz w:val="20"/>
          <w:szCs w:val="20"/>
        </w:rPr>
        <w:t xml:space="preserve">, </w:t>
      </w:r>
      <w:r w:rsidRPr="00E66DD7">
        <w:rPr>
          <w:rFonts w:ascii="Verdana" w:hAnsi="Verdana" w:cs="Helvetica"/>
          <w:sz w:val="20"/>
          <w:szCs w:val="20"/>
        </w:rPr>
        <w:t xml:space="preserve">por lo que esta efectividad supone que, además de la existencia formal de los recursos, éstos den resultados o respuestas a las violaciones de derechos contemplados ya sea en la Convención, en la Constitución o en las leyes. </w:t>
      </w:r>
    </w:p>
    <w:p w14:paraId="1EBA9695" w14:textId="77777777" w:rsidR="00E66DD7" w:rsidRPr="00E66DD7" w:rsidRDefault="00E66DD7" w:rsidP="00E66DD7">
      <w:pPr>
        <w:contextualSpacing/>
        <w:jc w:val="both"/>
        <w:rPr>
          <w:rFonts w:ascii="Verdana" w:hAnsi="Verdana"/>
          <w:sz w:val="20"/>
          <w:szCs w:val="20"/>
          <w:lang w:val="es-MX"/>
        </w:rPr>
      </w:pPr>
    </w:p>
    <w:p w14:paraId="772F8D3F" w14:textId="77777777" w:rsidR="00E66DD7" w:rsidRPr="00E66DD7" w:rsidRDefault="00E66DD7" w:rsidP="00E66DD7">
      <w:pPr>
        <w:numPr>
          <w:ilvl w:val="0"/>
          <w:numId w:val="1"/>
        </w:numPr>
        <w:ind w:left="0" w:firstLine="0"/>
        <w:contextualSpacing/>
        <w:jc w:val="both"/>
        <w:rPr>
          <w:rFonts w:ascii="Verdana" w:hAnsi="Verdana"/>
          <w:sz w:val="20"/>
          <w:szCs w:val="20"/>
          <w:lang w:val="es-EC"/>
        </w:rPr>
      </w:pPr>
      <w:r w:rsidRPr="00E66DD7">
        <w:rPr>
          <w:rFonts w:ascii="Verdana" w:hAnsi="Verdana"/>
          <w:sz w:val="20"/>
          <w:szCs w:val="20"/>
          <w:lang w:val="es-MX"/>
        </w:rPr>
        <w:t>A continuación, la Corte analizará si al señor Lagos del Campo se le garantizó el acceso a la justicia respecto de los derechos alegados en la etapa recursiva con motivo del despido.</w:t>
      </w:r>
    </w:p>
    <w:p w14:paraId="764A8FC9" w14:textId="77777777" w:rsidR="00E66DD7" w:rsidRPr="00E66DD7" w:rsidRDefault="00E66DD7" w:rsidP="00E66DD7">
      <w:pPr>
        <w:contextualSpacing/>
        <w:jc w:val="both"/>
        <w:rPr>
          <w:rFonts w:ascii="Verdana" w:hAnsi="Verdana" w:cs="Helvetica"/>
          <w:sz w:val="20"/>
          <w:szCs w:val="20"/>
          <w:lang w:val="es-MX"/>
        </w:rPr>
      </w:pPr>
    </w:p>
    <w:p w14:paraId="257B136C" w14:textId="55EECF8B" w:rsidR="00E66DD7" w:rsidRPr="00E66DD7" w:rsidRDefault="00E66DD7" w:rsidP="00E66DD7">
      <w:pPr>
        <w:numPr>
          <w:ilvl w:val="0"/>
          <w:numId w:val="1"/>
        </w:numPr>
        <w:ind w:left="0" w:firstLine="0"/>
        <w:contextualSpacing/>
        <w:jc w:val="both"/>
        <w:rPr>
          <w:rFonts w:ascii="Verdana" w:hAnsi="Verdana"/>
          <w:sz w:val="20"/>
          <w:szCs w:val="20"/>
        </w:rPr>
      </w:pPr>
      <w:r w:rsidRPr="00E66DD7">
        <w:rPr>
          <w:rFonts w:ascii="Verdana" w:hAnsi="Verdana"/>
          <w:sz w:val="20"/>
          <w:szCs w:val="20"/>
          <w:lang w:val="es-MX"/>
        </w:rPr>
        <w:t xml:space="preserve">La Corte recuerda que frente a la determinación de despido injustificado del juez de primera instancia, el 25 de junio de 1991 la empresa </w:t>
      </w:r>
      <w:proofErr w:type="spellStart"/>
      <w:r w:rsidRPr="00E66DD7">
        <w:rPr>
          <w:rFonts w:ascii="Verdana" w:hAnsi="Verdana"/>
          <w:sz w:val="20"/>
          <w:szCs w:val="20"/>
          <w:lang w:val="es-MX"/>
        </w:rPr>
        <w:t>Ceper-Pirelli</w:t>
      </w:r>
      <w:proofErr w:type="spellEnd"/>
      <w:r w:rsidRPr="00E66DD7">
        <w:rPr>
          <w:rFonts w:ascii="Verdana" w:hAnsi="Verdana"/>
          <w:sz w:val="20"/>
          <w:szCs w:val="20"/>
          <w:lang w:val="es-MX"/>
        </w:rPr>
        <w:t xml:space="preserve"> solicitó al Segundo Tribunal de Trabajo, mediante recurso de apelación, revocar la sentencia de primera instancia</w:t>
      </w:r>
      <w:r w:rsidRPr="00E66DD7">
        <w:rPr>
          <w:rFonts w:ascii="Verdana" w:hAnsi="Verdana"/>
          <w:sz w:val="20"/>
          <w:szCs w:val="20"/>
          <w:vertAlign w:val="superscript"/>
          <w:lang w:val="es-MX"/>
        </w:rPr>
        <w:footnoteReference w:id="249"/>
      </w:r>
      <w:r w:rsidRPr="00E66DD7">
        <w:rPr>
          <w:rFonts w:ascii="Verdana" w:hAnsi="Verdana"/>
          <w:sz w:val="20"/>
          <w:szCs w:val="20"/>
          <w:lang w:val="es-MX"/>
        </w:rPr>
        <w:t xml:space="preserve">. Ese mismo día </w:t>
      </w:r>
      <w:r w:rsidRPr="00E66DD7">
        <w:rPr>
          <w:rFonts w:ascii="Verdana" w:hAnsi="Verdana"/>
          <w:sz w:val="20"/>
          <w:szCs w:val="20"/>
          <w:lang w:val="es-CR"/>
        </w:rPr>
        <w:t>el Segundo Tribunal de Trabajo, escuchó los informes orales de los representantes de la empresa</w:t>
      </w:r>
      <w:r w:rsidRPr="00E66DD7">
        <w:rPr>
          <w:rFonts w:ascii="Verdana" w:hAnsi="Verdana"/>
          <w:sz w:val="20"/>
          <w:szCs w:val="20"/>
          <w:lang w:val="es-MX"/>
        </w:rPr>
        <w:t xml:space="preserve">. Posteriormente, fueron presentados dos escritos por parte de la empresa </w:t>
      </w:r>
      <w:r w:rsidRPr="00E66DD7">
        <w:rPr>
          <w:rFonts w:ascii="Verdana" w:hAnsi="Verdana"/>
          <w:sz w:val="20"/>
          <w:szCs w:val="20"/>
          <w:lang w:val="es-CR"/>
        </w:rPr>
        <w:t xml:space="preserve">de 25 de junio y 3 de julio de 1991, los cuales fueron </w:t>
      </w:r>
      <w:r w:rsidRPr="00E66DD7">
        <w:rPr>
          <w:rFonts w:ascii="Verdana" w:hAnsi="Verdana"/>
          <w:sz w:val="20"/>
          <w:szCs w:val="20"/>
        </w:rPr>
        <w:t xml:space="preserve">proveídos el 15 de julio de 1991. El señor Lagos del Campo recibió dicha notificación el 23 de julio de 1991. </w:t>
      </w:r>
    </w:p>
    <w:p w14:paraId="7DA4E462" w14:textId="77777777" w:rsidR="00E66DD7" w:rsidRPr="00E66DD7" w:rsidRDefault="00E66DD7" w:rsidP="00E66DD7">
      <w:pPr>
        <w:contextualSpacing/>
        <w:jc w:val="both"/>
        <w:rPr>
          <w:rFonts w:ascii="Verdana" w:hAnsi="Verdana"/>
          <w:sz w:val="20"/>
          <w:szCs w:val="20"/>
        </w:rPr>
      </w:pPr>
    </w:p>
    <w:p w14:paraId="39DA6EC0" w14:textId="77777777" w:rsidR="00E66DD7" w:rsidRPr="00E66DD7" w:rsidRDefault="00E66DD7" w:rsidP="00E66DD7">
      <w:pPr>
        <w:numPr>
          <w:ilvl w:val="0"/>
          <w:numId w:val="1"/>
        </w:numPr>
        <w:ind w:left="0" w:firstLine="0"/>
        <w:contextualSpacing/>
        <w:jc w:val="both"/>
        <w:rPr>
          <w:rFonts w:ascii="Verdana" w:hAnsi="Verdana"/>
          <w:sz w:val="20"/>
          <w:szCs w:val="20"/>
          <w:lang w:val="es-MX"/>
        </w:rPr>
      </w:pPr>
      <w:r w:rsidRPr="00E66DD7">
        <w:rPr>
          <w:rFonts w:ascii="Verdana" w:hAnsi="Verdana"/>
          <w:sz w:val="20"/>
          <w:szCs w:val="20"/>
          <w:lang w:val="es-MX"/>
        </w:rPr>
        <w:t>Frente a dichos escritos, el señor Lagos del Campo presentó su contestación el 1 de agosto de 1991</w:t>
      </w:r>
      <w:r w:rsidRPr="00E66DD7">
        <w:rPr>
          <w:rFonts w:ascii="Verdana" w:hAnsi="Verdana"/>
          <w:sz w:val="20"/>
          <w:szCs w:val="20"/>
          <w:vertAlign w:val="superscript"/>
          <w:lang w:val="es-MX"/>
        </w:rPr>
        <w:footnoteReference w:id="250"/>
      </w:r>
      <w:r w:rsidRPr="00E66DD7">
        <w:rPr>
          <w:rFonts w:ascii="Verdana" w:hAnsi="Verdana"/>
          <w:sz w:val="20"/>
          <w:szCs w:val="20"/>
          <w:lang w:val="es-MX"/>
        </w:rPr>
        <w:t>, ante el Segundo Tribunal de Trabajo. Sin embargo, este escrito fue proveído por el Tribunal de Trabajo el 9 de agosto de 1991, fecha posterior a la emisión de la sentencia, que resolvió revocar el fallo de primera instancia (8 de agosto de 1991).</w:t>
      </w:r>
    </w:p>
    <w:p w14:paraId="0BD78BDA" w14:textId="77777777" w:rsidR="00E66DD7" w:rsidRPr="00E66DD7" w:rsidRDefault="00E66DD7" w:rsidP="00E66DD7">
      <w:pPr>
        <w:contextualSpacing/>
        <w:jc w:val="both"/>
        <w:rPr>
          <w:rFonts w:ascii="Verdana" w:hAnsi="Verdana"/>
          <w:sz w:val="20"/>
          <w:szCs w:val="20"/>
          <w:lang w:val="es-MX"/>
        </w:rPr>
      </w:pPr>
    </w:p>
    <w:p w14:paraId="671CE456" w14:textId="20D752B1" w:rsidR="00E66DD7" w:rsidRPr="00E66DD7" w:rsidRDefault="00E66DD7" w:rsidP="00E66DD7">
      <w:pPr>
        <w:numPr>
          <w:ilvl w:val="0"/>
          <w:numId w:val="1"/>
        </w:numPr>
        <w:ind w:left="0" w:firstLine="0"/>
        <w:contextualSpacing/>
        <w:jc w:val="both"/>
        <w:rPr>
          <w:rFonts w:ascii="Verdana" w:hAnsi="Verdana"/>
          <w:sz w:val="20"/>
          <w:szCs w:val="20"/>
        </w:rPr>
      </w:pPr>
      <w:r w:rsidRPr="00E66DD7">
        <w:rPr>
          <w:rFonts w:ascii="Verdana" w:hAnsi="Verdana"/>
          <w:sz w:val="20"/>
          <w:szCs w:val="20"/>
        </w:rPr>
        <w:t xml:space="preserve">Al respecto, la Corte reitera el deber de los Estados de asegurar la </w:t>
      </w:r>
      <w:r w:rsidR="00562583">
        <w:rPr>
          <w:rFonts w:ascii="Verdana" w:hAnsi="Verdana"/>
          <w:sz w:val="20"/>
          <w:szCs w:val="20"/>
        </w:rPr>
        <w:t>efectividad</w:t>
      </w:r>
      <w:r w:rsidRPr="00E66DD7">
        <w:rPr>
          <w:rFonts w:ascii="Verdana" w:hAnsi="Verdana"/>
          <w:sz w:val="20"/>
          <w:szCs w:val="20"/>
        </w:rPr>
        <w:t xml:space="preserve"> de dichos recursos con las garantías adecuadas</w:t>
      </w:r>
      <w:r w:rsidR="00562583">
        <w:rPr>
          <w:rFonts w:ascii="Verdana" w:hAnsi="Verdana"/>
          <w:sz w:val="20"/>
          <w:szCs w:val="20"/>
        </w:rPr>
        <w:t xml:space="preserve"> y</w:t>
      </w:r>
      <w:r w:rsidRPr="00E66DD7">
        <w:rPr>
          <w:rFonts w:ascii="Verdana" w:hAnsi="Verdana"/>
          <w:sz w:val="20"/>
          <w:szCs w:val="20"/>
        </w:rPr>
        <w:t xml:space="preserve"> con las reglas del debido proceso legal</w:t>
      </w:r>
      <w:r w:rsidR="00AF0B80">
        <w:rPr>
          <w:rFonts w:ascii="Verdana" w:hAnsi="Verdana"/>
          <w:sz w:val="20"/>
          <w:szCs w:val="20"/>
        </w:rPr>
        <w:t xml:space="preserve"> (</w:t>
      </w:r>
      <w:r w:rsidR="00AF0B80" w:rsidRPr="00333304">
        <w:rPr>
          <w:rFonts w:ascii="Verdana" w:hAnsi="Verdana"/>
          <w:i/>
          <w:sz w:val="20"/>
          <w:szCs w:val="20"/>
        </w:rPr>
        <w:t>supra</w:t>
      </w:r>
      <w:r w:rsidR="00AF0B80">
        <w:rPr>
          <w:rFonts w:ascii="Verdana" w:hAnsi="Verdana"/>
          <w:sz w:val="20"/>
          <w:szCs w:val="20"/>
        </w:rPr>
        <w:t>, párr. 76)</w:t>
      </w:r>
      <w:r w:rsidRPr="00E66DD7">
        <w:rPr>
          <w:rFonts w:ascii="Verdana" w:hAnsi="Verdana"/>
          <w:sz w:val="20"/>
          <w:szCs w:val="20"/>
        </w:rPr>
        <w:t>.</w:t>
      </w:r>
      <w:r w:rsidRPr="00E66DD7">
        <w:rPr>
          <w:rFonts w:ascii="Verdana" w:hAnsi="Verdana"/>
          <w:color w:val="000000"/>
          <w:sz w:val="20"/>
          <w:szCs w:val="20"/>
        </w:rPr>
        <w:t xml:space="preserve"> Cabe señalar que, de conformidad con lo establecido en el </w:t>
      </w:r>
      <w:r w:rsidRPr="00E66DD7">
        <w:rPr>
          <w:rFonts w:ascii="Verdana" w:hAnsi="Verdana"/>
          <w:sz w:val="20"/>
          <w:szCs w:val="20"/>
          <w:lang w:val="es-MX"/>
        </w:rPr>
        <w:t xml:space="preserve">artículo 233 de la Constitución Peruana de 1979, </w:t>
      </w:r>
      <w:r w:rsidRPr="00E66DD7">
        <w:rPr>
          <w:rFonts w:ascii="Verdana" w:hAnsi="Verdana"/>
          <w:color w:val="000000"/>
          <w:sz w:val="20"/>
          <w:szCs w:val="20"/>
        </w:rPr>
        <w:t xml:space="preserve">para la buena administración de justicia, se requería “motivación escrita de las resoluciones, en todas las instancias, con mención expresa de la ley aplicable y de los fundamentos en que se </w:t>
      </w:r>
      <w:proofErr w:type="gramStart"/>
      <w:r w:rsidRPr="00E66DD7">
        <w:rPr>
          <w:rFonts w:ascii="Verdana" w:hAnsi="Verdana"/>
          <w:color w:val="000000"/>
          <w:sz w:val="20"/>
          <w:szCs w:val="20"/>
        </w:rPr>
        <w:t>sustenta[</w:t>
      </w:r>
      <w:proofErr w:type="spellStart"/>
      <w:proofErr w:type="gramEnd"/>
      <w:r w:rsidRPr="00E66DD7">
        <w:rPr>
          <w:rFonts w:ascii="Verdana" w:hAnsi="Verdana"/>
          <w:color w:val="000000"/>
          <w:sz w:val="20"/>
          <w:szCs w:val="20"/>
        </w:rPr>
        <w:t>ba</w:t>
      </w:r>
      <w:proofErr w:type="spellEnd"/>
      <w:r w:rsidRPr="00E66DD7">
        <w:rPr>
          <w:rFonts w:ascii="Verdana" w:hAnsi="Verdana"/>
          <w:color w:val="000000"/>
          <w:sz w:val="20"/>
          <w:szCs w:val="20"/>
        </w:rPr>
        <w:t xml:space="preserve">]” la </w:t>
      </w:r>
      <w:r w:rsidR="00730D77" w:rsidRPr="00E66DD7">
        <w:rPr>
          <w:rFonts w:ascii="Verdana" w:hAnsi="Verdana"/>
          <w:color w:val="000000"/>
          <w:sz w:val="20"/>
          <w:szCs w:val="20"/>
        </w:rPr>
        <w:t>decisión</w:t>
      </w:r>
      <w:r w:rsidRPr="00E66DD7">
        <w:rPr>
          <w:rFonts w:ascii="Verdana" w:hAnsi="Verdana"/>
          <w:color w:val="000000"/>
          <w:sz w:val="20"/>
          <w:szCs w:val="20"/>
          <w:vertAlign w:val="superscript"/>
        </w:rPr>
        <w:footnoteReference w:id="251"/>
      </w:r>
      <w:r w:rsidRPr="00E66DD7">
        <w:rPr>
          <w:rFonts w:ascii="Verdana" w:hAnsi="Verdana"/>
          <w:color w:val="000000"/>
          <w:sz w:val="20"/>
          <w:szCs w:val="20"/>
        </w:rPr>
        <w:t>.</w:t>
      </w:r>
    </w:p>
    <w:p w14:paraId="5A70B5A5" w14:textId="77777777" w:rsidR="00E66DD7" w:rsidRPr="00E66DD7" w:rsidRDefault="00E66DD7" w:rsidP="00E66DD7">
      <w:pPr>
        <w:contextualSpacing/>
        <w:jc w:val="both"/>
        <w:rPr>
          <w:rFonts w:ascii="Verdana" w:hAnsi="Verdana"/>
          <w:sz w:val="20"/>
          <w:szCs w:val="20"/>
        </w:rPr>
      </w:pPr>
    </w:p>
    <w:p w14:paraId="30F56531" w14:textId="206DFBA1" w:rsidR="00E66DD7" w:rsidRPr="00E66DD7" w:rsidRDefault="00E66DD7" w:rsidP="00E66DD7">
      <w:pPr>
        <w:numPr>
          <w:ilvl w:val="0"/>
          <w:numId w:val="1"/>
        </w:numPr>
        <w:ind w:left="0" w:firstLine="0"/>
        <w:contextualSpacing/>
        <w:jc w:val="both"/>
        <w:rPr>
          <w:rFonts w:ascii="Verdana" w:hAnsi="Verdana"/>
          <w:sz w:val="20"/>
          <w:szCs w:val="20"/>
          <w:lang w:val="es-MX"/>
        </w:rPr>
      </w:pPr>
      <w:r w:rsidRPr="00E66DD7">
        <w:rPr>
          <w:rFonts w:ascii="Verdana" w:hAnsi="Verdana"/>
          <w:sz w:val="20"/>
          <w:szCs w:val="20"/>
          <w:lang w:val="es-MX"/>
        </w:rPr>
        <w:t xml:space="preserve">La Corte nota que a nivel interno el </w:t>
      </w:r>
      <w:r w:rsidRPr="00E66DD7">
        <w:rPr>
          <w:rFonts w:ascii="Verdana" w:hAnsi="Verdana"/>
          <w:sz w:val="20"/>
          <w:szCs w:val="20"/>
          <w:lang w:val="es-EC"/>
        </w:rPr>
        <w:t>señor Lagos del Campo interpuso al menos siete recursos judiciales y varias solicitudes ante los órganos judiciales de Perú</w:t>
      </w:r>
      <w:r w:rsidRPr="00E66DD7">
        <w:rPr>
          <w:rFonts w:ascii="Verdana" w:hAnsi="Verdana"/>
          <w:sz w:val="20"/>
          <w:szCs w:val="20"/>
          <w:vertAlign w:val="superscript"/>
          <w:lang w:val="es-EC"/>
        </w:rPr>
        <w:footnoteReference w:id="252"/>
      </w:r>
      <w:r w:rsidRPr="00E66DD7">
        <w:rPr>
          <w:rFonts w:ascii="Verdana" w:hAnsi="Verdana"/>
          <w:sz w:val="20"/>
          <w:szCs w:val="20"/>
          <w:lang w:val="es-EC"/>
        </w:rPr>
        <w:t xml:space="preserve">, los cuales fueron todos denegados por distintos motivos procesales, mediante los cuales intentó dejar sin efectos la </w:t>
      </w:r>
      <w:r w:rsidR="00685D4D">
        <w:rPr>
          <w:rFonts w:ascii="Verdana" w:hAnsi="Verdana"/>
          <w:sz w:val="20"/>
          <w:szCs w:val="20"/>
          <w:lang w:val="es-EC"/>
        </w:rPr>
        <w:t>S</w:t>
      </w:r>
      <w:r w:rsidRPr="00E66DD7">
        <w:rPr>
          <w:rFonts w:ascii="Verdana" w:hAnsi="Verdana"/>
          <w:sz w:val="20"/>
          <w:szCs w:val="20"/>
          <w:lang w:val="es-EC"/>
        </w:rPr>
        <w:t>entencia que avaló el alegado despido injustificado, haciendo alusión particular a sus derechos constitucionales</w:t>
      </w:r>
      <w:r w:rsidRPr="00E66DD7">
        <w:rPr>
          <w:rFonts w:ascii="Verdana" w:hAnsi="Verdana"/>
          <w:i/>
          <w:sz w:val="20"/>
          <w:szCs w:val="20"/>
          <w:lang w:val="es-EC"/>
        </w:rPr>
        <w:t xml:space="preserve"> a la estabilidad laboral y el debido proceso</w:t>
      </w:r>
      <w:r w:rsidRPr="00E66DD7">
        <w:rPr>
          <w:rFonts w:ascii="Verdana" w:hAnsi="Verdana"/>
          <w:sz w:val="20"/>
          <w:szCs w:val="20"/>
          <w:lang w:val="es-EC"/>
        </w:rPr>
        <w:t xml:space="preserve">. </w:t>
      </w:r>
      <w:r w:rsidRPr="00B06027">
        <w:rPr>
          <w:rFonts w:ascii="Verdana" w:hAnsi="Verdana"/>
          <w:sz w:val="20"/>
          <w:szCs w:val="20"/>
          <w:lang w:val="es-EC"/>
        </w:rPr>
        <w:t>Este Tribunal encuentra de particular relevancia en la fase recursiva la interposición de los recursos de nulidad y amparo.</w:t>
      </w:r>
      <w:r w:rsidRPr="002C4F7B">
        <w:rPr>
          <w:rFonts w:ascii="Verdana" w:hAnsi="Verdana"/>
          <w:sz w:val="20"/>
          <w:szCs w:val="20"/>
          <w:lang w:val="es-EC"/>
        </w:rPr>
        <w:t xml:space="preserve"> </w:t>
      </w:r>
      <w:r w:rsidRPr="00E66DD7">
        <w:rPr>
          <w:rFonts w:ascii="Verdana" w:hAnsi="Verdana"/>
          <w:sz w:val="20"/>
          <w:szCs w:val="20"/>
          <w:lang w:val="es-EC"/>
        </w:rPr>
        <w:t>Al respecto, la Corte hace notar las siguientes omisiones relevantes frente a dichos recursos.</w:t>
      </w:r>
    </w:p>
    <w:p w14:paraId="5137D201" w14:textId="77777777" w:rsidR="00E66DD7" w:rsidRPr="00E66DD7" w:rsidRDefault="00E66DD7" w:rsidP="00E66DD7">
      <w:pPr>
        <w:contextualSpacing/>
        <w:jc w:val="both"/>
        <w:rPr>
          <w:rFonts w:ascii="Verdana" w:hAnsi="Verdana"/>
          <w:sz w:val="20"/>
          <w:szCs w:val="20"/>
          <w:lang w:val="es-MX"/>
        </w:rPr>
      </w:pPr>
    </w:p>
    <w:p w14:paraId="65805BF5" w14:textId="2F28A40E" w:rsidR="00E66DD7" w:rsidRPr="00E66DD7" w:rsidRDefault="00E66DD7" w:rsidP="00E66DD7">
      <w:pPr>
        <w:numPr>
          <w:ilvl w:val="0"/>
          <w:numId w:val="1"/>
        </w:numPr>
        <w:ind w:left="0" w:firstLine="0"/>
        <w:contextualSpacing/>
        <w:jc w:val="both"/>
        <w:rPr>
          <w:rFonts w:ascii="Verdana" w:hAnsi="Verdana"/>
          <w:sz w:val="20"/>
          <w:szCs w:val="20"/>
          <w:lang w:val="es-MX"/>
        </w:rPr>
      </w:pPr>
      <w:r w:rsidRPr="00E66DD7">
        <w:rPr>
          <w:rFonts w:ascii="Verdana" w:hAnsi="Verdana"/>
          <w:sz w:val="20"/>
          <w:szCs w:val="20"/>
          <w:lang w:val="es-MX"/>
        </w:rPr>
        <w:t xml:space="preserve">En primer lugar, ya que no se consideró su escrito de defensa de 1 de agosto de 1991 ante el Segundo Tribunal, mediante el cual alegó los motivos que sustentaban el despido injustificado, en </w:t>
      </w:r>
      <w:r w:rsidRPr="00E66DD7">
        <w:rPr>
          <w:rFonts w:ascii="Verdana" w:hAnsi="Verdana"/>
          <w:sz w:val="20"/>
          <w:szCs w:val="20"/>
        </w:rPr>
        <w:t>contravención del artículo 9º del D.S. 03-80-TR</w:t>
      </w:r>
      <w:r w:rsidRPr="00E66DD7">
        <w:rPr>
          <w:rFonts w:ascii="Verdana" w:hAnsi="Verdana"/>
          <w:sz w:val="20"/>
          <w:szCs w:val="20"/>
          <w:vertAlign w:val="superscript"/>
        </w:rPr>
        <w:footnoteReference w:id="253"/>
      </w:r>
      <w:r w:rsidRPr="00E66DD7">
        <w:rPr>
          <w:rFonts w:ascii="Verdana" w:hAnsi="Verdana"/>
          <w:sz w:val="20"/>
          <w:szCs w:val="20"/>
          <w:lang w:val="es-MX"/>
        </w:rPr>
        <w:t xml:space="preserve">, el señor Lagos continuó impugnando ante diversos órganos esta omisión. La Corte nota que frente al recurso de nulidad contemplado en el </w:t>
      </w:r>
      <w:r w:rsidRPr="00333304">
        <w:rPr>
          <w:rFonts w:ascii="Verdana" w:hAnsi="Verdana"/>
          <w:sz w:val="20"/>
          <w:szCs w:val="20"/>
          <w:lang w:val="es-MX"/>
        </w:rPr>
        <w:t xml:space="preserve">D.S. </w:t>
      </w:r>
      <w:r w:rsidR="002628BE" w:rsidRPr="00333304">
        <w:rPr>
          <w:rFonts w:ascii="Verdana" w:hAnsi="Verdana"/>
          <w:sz w:val="20"/>
          <w:szCs w:val="20"/>
          <w:lang w:val="es-MX"/>
        </w:rPr>
        <w:t>0</w:t>
      </w:r>
      <w:r w:rsidRPr="00333304">
        <w:rPr>
          <w:rFonts w:ascii="Verdana" w:hAnsi="Verdana"/>
          <w:sz w:val="20"/>
          <w:szCs w:val="20"/>
          <w:lang w:val="es-MX"/>
        </w:rPr>
        <w:t>3-80</w:t>
      </w:r>
      <w:r w:rsidR="002628BE" w:rsidRPr="00AA39BC">
        <w:rPr>
          <w:rFonts w:ascii="Verdana" w:hAnsi="Verdana"/>
          <w:sz w:val="20"/>
          <w:szCs w:val="20"/>
          <w:lang w:val="es-MX"/>
        </w:rPr>
        <w:t>-</w:t>
      </w:r>
      <w:r w:rsidR="002628BE">
        <w:rPr>
          <w:rFonts w:ascii="Verdana" w:hAnsi="Verdana"/>
          <w:sz w:val="20"/>
          <w:szCs w:val="20"/>
          <w:lang w:val="es-MX"/>
        </w:rPr>
        <w:t>TR</w:t>
      </w:r>
      <w:r w:rsidRPr="00E66DD7">
        <w:rPr>
          <w:rFonts w:ascii="Verdana" w:hAnsi="Verdana"/>
          <w:sz w:val="20"/>
          <w:szCs w:val="20"/>
          <w:lang w:val="es-MX"/>
        </w:rPr>
        <w:t xml:space="preserve"> (</w:t>
      </w:r>
      <w:r w:rsidRPr="00E66DD7">
        <w:rPr>
          <w:rFonts w:ascii="Verdana" w:hAnsi="Verdana"/>
          <w:i/>
          <w:sz w:val="20"/>
          <w:szCs w:val="20"/>
          <w:lang w:val="es-MX"/>
        </w:rPr>
        <w:t>supra</w:t>
      </w:r>
      <w:r w:rsidRPr="00E66DD7">
        <w:rPr>
          <w:rFonts w:ascii="Verdana" w:hAnsi="Verdana"/>
          <w:sz w:val="20"/>
          <w:szCs w:val="20"/>
          <w:lang w:val="es-MX"/>
        </w:rPr>
        <w:t xml:space="preserve">, párr. </w:t>
      </w:r>
      <w:r w:rsidR="00474F8F">
        <w:rPr>
          <w:rFonts w:ascii="Verdana" w:hAnsi="Verdana"/>
          <w:sz w:val="20"/>
          <w:szCs w:val="20"/>
          <w:lang w:val="es-MX"/>
        </w:rPr>
        <w:t>62</w:t>
      </w:r>
      <w:r w:rsidR="00474F8F" w:rsidRPr="00E66DD7">
        <w:rPr>
          <w:rFonts w:ascii="Verdana" w:hAnsi="Verdana"/>
          <w:sz w:val="20"/>
          <w:szCs w:val="20"/>
          <w:lang w:val="es-MX"/>
        </w:rPr>
        <w:t xml:space="preserve">), </w:t>
      </w:r>
      <w:r w:rsidRPr="00E66DD7">
        <w:rPr>
          <w:rFonts w:ascii="Verdana" w:hAnsi="Verdana"/>
          <w:sz w:val="20"/>
          <w:szCs w:val="20"/>
          <w:lang w:val="es-MX"/>
        </w:rPr>
        <w:t xml:space="preserve">el mismo tribunal que avaló el despido se limitó a señalar que no se habría incurrido en ninguna causal de nulidad, sin mayor motivación y sin pronunciarse sobre los alegatos del señor Lagos del Campo ni sus derechos constitucionales. Posteriormente, con el amparo interpuesto, </w:t>
      </w:r>
      <w:r w:rsidRPr="00E66DD7">
        <w:rPr>
          <w:rFonts w:ascii="Verdana" w:hAnsi="Verdana" w:cs="Verdana"/>
          <w:color w:val="000000"/>
          <w:sz w:val="20"/>
          <w:szCs w:val="20"/>
        </w:rPr>
        <w:t xml:space="preserve">la Quinta Sala Civil de la Corte Superior de Lima señaló que dicho escrito de contestación únicamente correspondía a alegatos y no a medios probatorios. También fue alegada esta omisión expresamente ante la </w:t>
      </w:r>
      <w:r w:rsidRPr="00E66DD7">
        <w:rPr>
          <w:rFonts w:ascii="Verdana" w:hAnsi="Verdana"/>
          <w:sz w:val="20"/>
          <w:szCs w:val="20"/>
          <w:lang w:val="es-MX"/>
        </w:rPr>
        <w:t xml:space="preserve">Sala de Derecho Constitucional y Social de la Corte Suprema, la cual no se pronunció al respecto. La Corte nota que, según la prueba aportada en el presente caso, al resolver el recurso de </w:t>
      </w:r>
      <w:r w:rsidRPr="00E66DD7">
        <w:rPr>
          <w:rFonts w:ascii="Verdana" w:hAnsi="Verdana"/>
          <w:sz w:val="20"/>
          <w:szCs w:val="20"/>
          <w:lang w:val="es-MX"/>
        </w:rPr>
        <w:lastRenderedPageBreak/>
        <w:t xml:space="preserve">apelación, </w:t>
      </w:r>
      <w:r w:rsidRPr="00E66DD7">
        <w:rPr>
          <w:rFonts w:ascii="Verdana" w:hAnsi="Verdana" w:cs="Verdana"/>
          <w:sz w:val="20"/>
          <w:szCs w:val="20"/>
        </w:rPr>
        <w:t xml:space="preserve">el Segundo Tribunal de Trabajo no valoró el escrito presentado por el señor Lagos del Campo ni sus argumentos, vulnerando el </w:t>
      </w:r>
      <w:r w:rsidRPr="00E66DD7">
        <w:rPr>
          <w:rFonts w:ascii="Verdana" w:hAnsi="Verdana" w:cs="Verdana"/>
          <w:color w:val="000000"/>
          <w:sz w:val="20"/>
          <w:szCs w:val="20"/>
        </w:rPr>
        <w:t>principio de contradictorio, respecto de los derechos alegados frente al despido.</w:t>
      </w:r>
      <w:r w:rsidRPr="00E66DD7">
        <w:rPr>
          <w:rFonts w:ascii="Verdana" w:hAnsi="Verdana"/>
          <w:sz w:val="20"/>
          <w:szCs w:val="20"/>
          <w:lang w:val="es-MX"/>
        </w:rPr>
        <w:t xml:space="preserve"> (</w:t>
      </w:r>
      <w:r w:rsidRPr="00E66DD7">
        <w:rPr>
          <w:rFonts w:ascii="Verdana" w:hAnsi="Verdana"/>
          <w:i/>
          <w:sz w:val="20"/>
          <w:szCs w:val="20"/>
          <w:lang w:val="es-MX"/>
        </w:rPr>
        <w:t xml:space="preserve">supra </w:t>
      </w:r>
      <w:r w:rsidRPr="00E66DD7">
        <w:rPr>
          <w:rFonts w:ascii="Verdana" w:hAnsi="Verdana"/>
          <w:sz w:val="20"/>
          <w:szCs w:val="20"/>
          <w:lang w:val="es-MX"/>
        </w:rPr>
        <w:t>párr.</w:t>
      </w:r>
      <w:r w:rsidR="00446B52">
        <w:rPr>
          <w:rFonts w:ascii="Verdana" w:hAnsi="Verdana"/>
          <w:sz w:val="20"/>
          <w:szCs w:val="20"/>
          <w:lang w:val="es-MX"/>
        </w:rPr>
        <w:t xml:space="preserve"> </w:t>
      </w:r>
      <w:r w:rsidR="00AF0B80">
        <w:rPr>
          <w:rFonts w:ascii="Verdana" w:hAnsi="Verdana"/>
          <w:sz w:val="20"/>
          <w:szCs w:val="20"/>
          <w:lang w:val="es-MX"/>
        </w:rPr>
        <w:t>66</w:t>
      </w:r>
      <w:r w:rsidRPr="00E66DD7">
        <w:rPr>
          <w:rFonts w:ascii="Verdana" w:hAnsi="Verdana"/>
          <w:sz w:val="20"/>
          <w:szCs w:val="20"/>
          <w:lang w:val="es-MX"/>
        </w:rPr>
        <w:t>)</w:t>
      </w:r>
      <w:r w:rsidRPr="00E66DD7">
        <w:rPr>
          <w:rFonts w:ascii="Verdana" w:hAnsi="Verdana" w:cs="Verdana"/>
          <w:sz w:val="20"/>
          <w:szCs w:val="20"/>
        </w:rPr>
        <w:t>.</w:t>
      </w:r>
    </w:p>
    <w:p w14:paraId="0854BFEA" w14:textId="77777777" w:rsidR="00E66DD7" w:rsidRPr="00E66DD7" w:rsidRDefault="00E66DD7" w:rsidP="00E66DD7">
      <w:pPr>
        <w:contextualSpacing/>
        <w:jc w:val="both"/>
        <w:rPr>
          <w:rFonts w:ascii="Verdana" w:hAnsi="Verdana" w:cs="Verdana"/>
          <w:color w:val="000000"/>
          <w:sz w:val="20"/>
          <w:szCs w:val="20"/>
          <w:lang w:val="es-MX"/>
        </w:rPr>
      </w:pPr>
    </w:p>
    <w:p w14:paraId="36533BCA" w14:textId="38178F08" w:rsidR="00E66DD7" w:rsidRPr="00E66DD7" w:rsidRDefault="00E66DD7" w:rsidP="00E66DD7">
      <w:pPr>
        <w:numPr>
          <w:ilvl w:val="0"/>
          <w:numId w:val="1"/>
        </w:numPr>
        <w:ind w:left="0" w:firstLine="0"/>
        <w:contextualSpacing/>
        <w:jc w:val="both"/>
        <w:rPr>
          <w:rFonts w:ascii="Verdana" w:hAnsi="Verdana"/>
          <w:sz w:val="20"/>
          <w:szCs w:val="20"/>
          <w:lang w:val="es-EC"/>
        </w:rPr>
      </w:pPr>
      <w:r w:rsidRPr="00E66DD7">
        <w:rPr>
          <w:rFonts w:ascii="Verdana" w:hAnsi="Verdana" w:cs="Verdana"/>
          <w:color w:val="000000"/>
          <w:sz w:val="20"/>
          <w:szCs w:val="20"/>
        </w:rPr>
        <w:t>En segundo lugar, el señor Lagos interpuso un primer recurso de amparo (1991) a</w:t>
      </w:r>
      <w:r w:rsidRPr="00E66DD7">
        <w:rPr>
          <w:rFonts w:ascii="Verdana" w:hAnsi="Verdana"/>
          <w:color w:val="000000"/>
          <w:sz w:val="20"/>
          <w:szCs w:val="20"/>
        </w:rPr>
        <w:t xml:space="preserve">nte la Sala Civil de la Corte Superior de Lima en la cual alegó, entre otros, violaciones de su </w:t>
      </w:r>
      <w:r w:rsidRPr="00333304">
        <w:rPr>
          <w:rFonts w:ascii="Verdana" w:hAnsi="Verdana"/>
          <w:color w:val="000000"/>
          <w:sz w:val="20"/>
          <w:szCs w:val="20"/>
        </w:rPr>
        <w:t>derecho a la estabilidad laboral y debido proceso legal</w:t>
      </w:r>
      <w:r w:rsidRPr="00E66DD7">
        <w:rPr>
          <w:rFonts w:ascii="Verdana" w:hAnsi="Verdana"/>
          <w:color w:val="000000"/>
          <w:sz w:val="20"/>
          <w:szCs w:val="20"/>
        </w:rPr>
        <w:t xml:space="preserve">, consagrados en los artículos 48 y 233 de la Constitución. Dicha Sala no resolvió los alegatos relacionados con los derechos sustantivos (constitucionales), sino que se limitó a </w:t>
      </w:r>
      <w:r w:rsidR="00474F8F" w:rsidRPr="00AF0B80">
        <w:rPr>
          <w:rFonts w:ascii="Verdana" w:hAnsi="Verdana"/>
          <w:color w:val="000000"/>
          <w:sz w:val="20"/>
          <w:szCs w:val="20"/>
        </w:rPr>
        <w:t>indicar</w:t>
      </w:r>
      <w:r w:rsidRPr="00AF0B80">
        <w:rPr>
          <w:rFonts w:ascii="Verdana" w:hAnsi="Verdana"/>
          <w:color w:val="000000"/>
          <w:sz w:val="20"/>
          <w:szCs w:val="20"/>
        </w:rPr>
        <w:t xml:space="preserve"> </w:t>
      </w:r>
      <w:r w:rsidRPr="00E66DD7">
        <w:rPr>
          <w:rFonts w:ascii="Verdana" w:hAnsi="Verdana"/>
          <w:color w:val="000000"/>
          <w:sz w:val="20"/>
          <w:szCs w:val="20"/>
        </w:rPr>
        <w:t>que no se determinaba un agravio a su debido proceso y por tanto declaró el recurso como improcedente (</w:t>
      </w:r>
      <w:r w:rsidRPr="00E66DD7">
        <w:rPr>
          <w:rFonts w:ascii="Verdana" w:hAnsi="Verdana"/>
          <w:i/>
          <w:color w:val="000000"/>
          <w:sz w:val="20"/>
          <w:szCs w:val="20"/>
        </w:rPr>
        <w:t>supra</w:t>
      </w:r>
      <w:r w:rsidRPr="00E66DD7">
        <w:rPr>
          <w:rFonts w:ascii="Verdana" w:hAnsi="Verdana"/>
          <w:color w:val="000000"/>
          <w:sz w:val="20"/>
          <w:szCs w:val="20"/>
        </w:rPr>
        <w:t xml:space="preserve">, párr. </w:t>
      </w:r>
      <w:r w:rsidR="00AF0B80">
        <w:rPr>
          <w:rFonts w:ascii="Verdana" w:hAnsi="Verdana"/>
          <w:color w:val="000000"/>
          <w:sz w:val="20"/>
          <w:szCs w:val="20"/>
        </w:rPr>
        <w:t>63</w:t>
      </w:r>
      <w:r w:rsidR="00AF0B80" w:rsidRPr="00E66DD7">
        <w:rPr>
          <w:rFonts w:ascii="Verdana" w:hAnsi="Verdana"/>
          <w:color w:val="000000"/>
          <w:sz w:val="20"/>
          <w:szCs w:val="20"/>
        </w:rPr>
        <w:t xml:space="preserve">). </w:t>
      </w:r>
      <w:r w:rsidRPr="00E66DD7">
        <w:rPr>
          <w:rFonts w:ascii="Verdana" w:hAnsi="Verdana"/>
          <w:sz w:val="20"/>
          <w:szCs w:val="20"/>
        </w:rPr>
        <w:t>Al respecto, e</w:t>
      </w:r>
      <w:r w:rsidRPr="00E66DD7">
        <w:rPr>
          <w:rFonts w:ascii="Verdana" w:hAnsi="Verdana"/>
          <w:sz w:val="20"/>
          <w:szCs w:val="20"/>
          <w:lang w:val="es-EC"/>
        </w:rPr>
        <w:t>l Artículo 295 de la Constitución</w:t>
      </w:r>
      <w:r w:rsidRPr="00E66DD7">
        <w:rPr>
          <w:rFonts w:ascii="Verdana" w:hAnsi="Verdana"/>
          <w:sz w:val="20"/>
          <w:szCs w:val="20"/>
          <w:vertAlign w:val="superscript"/>
          <w:lang w:val="es-EC"/>
        </w:rPr>
        <w:footnoteReference w:id="254"/>
      </w:r>
      <w:r w:rsidRPr="00E66DD7">
        <w:rPr>
          <w:rFonts w:ascii="Verdana" w:hAnsi="Verdana"/>
          <w:sz w:val="20"/>
          <w:szCs w:val="20"/>
          <w:lang w:val="es-EC"/>
        </w:rPr>
        <w:t>, contemplaba la acción de amparo, cuya finalidad consistía en tutelar los derechos reconocidos por la Constitución.</w:t>
      </w:r>
    </w:p>
    <w:p w14:paraId="32298EAC" w14:textId="77777777" w:rsidR="00E66DD7" w:rsidRPr="00E66DD7" w:rsidRDefault="00E66DD7" w:rsidP="00E66DD7">
      <w:pPr>
        <w:contextualSpacing/>
        <w:jc w:val="both"/>
        <w:rPr>
          <w:rFonts w:ascii="Verdana" w:hAnsi="Verdana"/>
          <w:color w:val="000000"/>
          <w:sz w:val="20"/>
          <w:szCs w:val="20"/>
        </w:rPr>
      </w:pPr>
    </w:p>
    <w:p w14:paraId="7F533199" w14:textId="493DEE0E" w:rsidR="00E66DD7" w:rsidRPr="00E66DD7" w:rsidRDefault="00E66DD7" w:rsidP="00E66DD7">
      <w:pPr>
        <w:numPr>
          <w:ilvl w:val="0"/>
          <w:numId w:val="1"/>
        </w:numPr>
        <w:ind w:left="0" w:firstLine="0"/>
        <w:contextualSpacing/>
        <w:jc w:val="both"/>
        <w:rPr>
          <w:rFonts w:ascii="Verdana" w:hAnsi="Verdana"/>
          <w:sz w:val="20"/>
          <w:szCs w:val="20"/>
          <w:lang w:val="es-MX"/>
        </w:rPr>
      </w:pPr>
      <w:r w:rsidRPr="00E66DD7">
        <w:rPr>
          <w:rFonts w:ascii="Verdana" w:hAnsi="Verdana"/>
          <w:color w:val="000000"/>
          <w:sz w:val="20"/>
          <w:szCs w:val="20"/>
        </w:rPr>
        <w:t>Así, el Tribunal estima</w:t>
      </w:r>
      <w:r w:rsidR="00446B52">
        <w:rPr>
          <w:rFonts w:ascii="Verdana" w:hAnsi="Verdana"/>
          <w:color w:val="000000"/>
          <w:sz w:val="20"/>
          <w:szCs w:val="20"/>
        </w:rPr>
        <w:t>,</w:t>
      </w:r>
      <w:r w:rsidRPr="00E66DD7">
        <w:rPr>
          <w:rFonts w:ascii="Verdana" w:hAnsi="Verdana"/>
          <w:color w:val="000000"/>
          <w:sz w:val="20"/>
          <w:szCs w:val="20"/>
        </w:rPr>
        <w:t xml:space="preserve"> que si bien el recurso de amparo estaba diseñado para tutelar los derechos constitucionales, en el presente caso, la falta de consideración de los </w:t>
      </w:r>
      <w:r w:rsidRPr="00E66DD7">
        <w:rPr>
          <w:rFonts w:ascii="Verdana" w:hAnsi="Verdana"/>
          <w:i/>
          <w:color w:val="000000"/>
          <w:sz w:val="20"/>
          <w:szCs w:val="20"/>
        </w:rPr>
        <w:t>derechos a la estabilidad laboral y debido proceso</w:t>
      </w:r>
      <w:r w:rsidRPr="00E66DD7">
        <w:rPr>
          <w:rFonts w:ascii="Verdana" w:hAnsi="Verdana"/>
          <w:color w:val="000000"/>
          <w:sz w:val="20"/>
          <w:szCs w:val="20"/>
        </w:rPr>
        <w:t>, impidieron que el recurso de amparo pudiera producir el resultado para el cual fue concebido</w:t>
      </w:r>
      <w:r w:rsidRPr="00E66DD7">
        <w:rPr>
          <w:rFonts w:ascii="Verdana" w:hAnsi="Verdana"/>
          <w:color w:val="000000"/>
          <w:sz w:val="20"/>
          <w:szCs w:val="20"/>
          <w:vertAlign w:val="superscript"/>
        </w:rPr>
        <w:footnoteReference w:id="255"/>
      </w:r>
      <w:r w:rsidRPr="00E66DD7">
        <w:rPr>
          <w:rFonts w:ascii="Verdana" w:hAnsi="Verdana"/>
          <w:color w:val="000000"/>
          <w:sz w:val="20"/>
          <w:szCs w:val="20"/>
        </w:rPr>
        <w:t xml:space="preserve">. </w:t>
      </w:r>
      <w:r w:rsidRPr="00E66DD7">
        <w:rPr>
          <w:rFonts w:ascii="Verdana" w:hAnsi="Verdana" w:cs="Verdana"/>
          <w:sz w:val="20"/>
          <w:szCs w:val="20"/>
        </w:rPr>
        <w:t>En este sentido, la Corte ha sostenido que el análisis por la autoridad competente de un recurso judicial</w:t>
      </w:r>
      <w:r w:rsidR="00AF0B80" w:rsidRPr="00AF0B80">
        <w:rPr>
          <w:rFonts w:ascii="Arial" w:hAnsi="Arial" w:cs="Arial"/>
          <w:color w:val="545454"/>
          <w:shd w:val="clear" w:color="auto" w:fill="FFFFFF"/>
        </w:rPr>
        <w:t xml:space="preserve"> </w:t>
      </w:r>
      <w:r w:rsidR="00AF0B80" w:rsidRPr="00C73350">
        <w:rPr>
          <w:rFonts w:ascii="Verdana" w:hAnsi="Verdana" w:cs="Verdana"/>
          <w:sz w:val="20"/>
          <w:szCs w:val="20"/>
        </w:rPr>
        <w:t>—</w:t>
      </w:r>
      <w:r w:rsidRPr="00C73350">
        <w:rPr>
          <w:rFonts w:ascii="Verdana" w:hAnsi="Verdana" w:cs="Verdana"/>
          <w:sz w:val="20"/>
          <w:szCs w:val="20"/>
        </w:rPr>
        <w:t>que controvierte derechos constitucionales como la estabilidad laboral y el derecho al debido proceso</w:t>
      </w:r>
      <w:r w:rsidR="00AF0B80" w:rsidRPr="00A532BE">
        <w:rPr>
          <w:rFonts w:ascii="Verdana" w:hAnsi="Verdana" w:cs="Arial"/>
          <w:sz w:val="20"/>
          <w:szCs w:val="20"/>
          <w:shd w:val="clear" w:color="auto" w:fill="FFFFFF"/>
        </w:rPr>
        <w:t>—</w:t>
      </w:r>
      <w:r w:rsidRPr="00C73350">
        <w:rPr>
          <w:rFonts w:ascii="Verdana" w:hAnsi="Verdana" w:cs="Verdana"/>
          <w:sz w:val="20"/>
          <w:szCs w:val="20"/>
        </w:rPr>
        <w:t>,</w:t>
      </w:r>
      <w:r w:rsidRPr="00E66DD7">
        <w:rPr>
          <w:rFonts w:ascii="Verdana" w:hAnsi="Verdana" w:cs="Verdana"/>
          <w:sz w:val="20"/>
          <w:szCs w:val="20"/>
        </w:rPr>
        <w:t xml:space="preserve"> no puede reducirse a una mera formalidad y omitir argumentos de las partes, ya que debe examinar sus razones y manifestarse sobre ellas conforme a los parámetros establecidos por la Convención Americana</w:t>
      </w:r>
      <w:r w:rsidRPr="00E66DD7">
        <w:rPr>
          <w:rFonts w:ascii="Verdana" w:hAnsi="Verdana" w:cs="Verdana"/>
          <w:sz w:val="20"/>
          <w:szCs w:val="20"/>
          <w:vertAlign w:val="superscript"/>
        </w:rPr>
        <w:footnoteReference w:id="256"/>
      </w:r>
      <w:r w:rsidRPr="00E66DD7">
        <w:rPr>
          <w:rFonts w:ascii="Verdana" w:hAnsi="Verdana" w:cs="Verdana"/>
          <w:sz w:val="20"/>
          <w:szCs w:val="20"/>
        </w:rPr>
        <w:t>.</w:t>
      </w:r>
    </w:p>
    <w:p w14:paraId="35A2C7F9" w14:textId="77777777" w:rsidR="00E66DD7" w:rsidRPr="00E66DD7" w:rsidRDefault="00E66DD7" w:rsidP="00E66DD7">
      <w:pPr>
        <w:contextualSpacing/>
        <w:jc w:val="both"/>
        <w:rPr>
          <w:rFonts w:ascii="Verdana" w:hAnsi="Verdana"/>
          <w:color w:val="000000"/>
          <w:sz w:val="20"/>
          <w:szCs w:val="20"/>
        </w:rPr>
      </w:pPr>
    </w:p>
    <w:p w14:paraId="40DE6C01" w14:textId="1B5F4E0E" w:rsidR="00E66DD7" w:rsidRPr="00E66DD7" w:rsidRDefault="00E66DD7" w:rsidP="00E66DD7">
      <w:pPr>
        <w:numPr>
          <w:ilvl w:val="0"/>
          <w:numId w:val="1"/>
        </w:numPr>
        <w:ind w:left="0" w:firstLine="0"/>
        <w:contextualSpacing/>
        <w:jc w:val="both"/>
        <w:rPr>
          <w:rFonts w:ascii="Verdana" w:hAnsi="Verdana" w:cs="Verdana"/>
          <w:sz w:val="20"/>
          <w:szCs w:val="20"/>
        </w:rPr>
      </w:pPr>
      <w:r w:rsidRPr="00E66DD7">
        <w:rPr>
          <w:rFonts w:ascii="Verdana" w:hAnsi="Verdana"/>
          <w:color w:val="000000"/>
          <w:sz w:val="20"/>
          <w:szCs w:val="20"/>
        </w:rPr>
        <w:t xml:space="preserve">En tercer lugar, el señor Lagos interpuso otro recurso de nulidad (1993) ante </w:t>
      </w:r>
      <w:r w:rsidRPr="00E66DD7">
        <w:rPr>
          <w:rFonts w:ascii="Verdana" w:hAnsi="Verdana" w:cs="Verdana"/>
          <w:sz w:val="20"/>
          <w:szCs w:val="20"/>
        </w:rPr>
        <w:t xml:space="preserve">la Sala Constitucional y Social de la Corte Suprema, la cual declaró no haber nulidad de la </w:t>
      </w:r>
      <w:r w:rsidR="00474F8F">
        <w:rPr>
          <w:rFonts w:ascii="Verdana" w:hAnsi="Verdana" w:cs="Verdana"/>
          <w:sz w:val="20"/>
          <w:szCs w:val="20"/>
        </w:rPr>
        <w:t>S</w:t>
      </w:r>
      <w:r w:rsidRPr="00E66DD7">
        <w:rPr>
          <w:rFonts w:ascii="Verdana" w:hAnsi="Verdana" w:cs="Verdana"/>
          <w:sz w:val="20"/>
          <w:szCs w:val="20"/>
        </w:rPr>
        <w:t xml:space="preserve">entencia de la Quinta Sala Civil. En su resolución de 15 de marzo de 1993 la Sala se limitó a señalar “que conforme a lo dictaminado por el señor Fiscal [Supremo de lo Contencioso Administrativo]; [tomando en cuenta] sus </w:t>
      </w:r>
      <w:proofErr w:type="gramStart"/>
      <w:r w:rsidRPr="00E66DD7">
        <w:rPr>
          <w:rFonts w:ascii="Verdana" w:hAnsi="Verdana" w:cs="Verdana"/>
          <w:sz w:val="20"/>
          <w:szCs w:val="20"/>
        </w:rPr>
        <w:t>fundamentos[</w:t>
      </w:r>
      <w:proofErr w:type="gramEnd"/>
      <w:r w:rsidRPr="00E66DD7">
        <w:rPr>
          <w:rFonts w:ascii="Verdana" w:hAnsi="Verdana" w:cs="Verdana"/>
          <w:sz w:val="20"/>
          <w:szCs w:val="20"/>
        </w:rPr>
        <w:t xml:space="preserve">,] </w:t>
      </w:r>
      <w:proofErr w:type="spellStart"/>
      <w:r w:rsidRPr="00E66DD7">
        <w:rPr>
          <w:rFonts w:ascii="Verdana" w:hAnsi="Verdana" w:cs="Verdana"/>
          <w:sz w:val="20"/>
          <w:szCs w:val="20"/>
        </w:rPr>
        <w:t>declar</w:t>
      </w:r>
      <w:proofErr w:type="spellEnd"/>
      <w:r w:rsidRPr="00E66DD7">
        <w:rPr>
          <w:rFonts w:ascii="Verdana" w:hAnsi="Verdana" w:cs="Verdana"/>
          <w:sz w:val="20"/>
          <w:szCs w:val="20"/>
        </w:rPr>
        <w:t>[</w:t>
      </w:r>
      <w:proofErr w:type="spellStart"/>
      <w:r w:rsidRPr="00E66DD7">
        <w:rPr>
          <w:rFonts w:ascii="Verdana" w:hAnsi="Verdana" w:cs="Verdana"/>
          <w:sz w:val="20"/>
          <w:szCs w:val="20"/>
        </w:rPr>
        <w:t>ó</w:t>
      </w:r>
      <w:proofErr w:type="spellEnd"/>
      <w:r w:rsidRPr="00E66DD7">
        <w:rPr>
          <w:rFonts w:ascii="Verdana" w:hAnsi="Verdana" w:cs="Verdana"/>
          <w:sz w:val="20"/>
          <w:szCs w:val="20"/>
        </w:rPr>
        <w:t>] no haber nulidad”. Dicho dictamen del Fiscal señaló que “las decisiones judiciales del Fuero de Trabajo y Comunidades Laborales que queden consentidas y ejecutoriadas tienen autoridad de cosa juzgada”, por lo que revisarla comportaría revivir un proceso fenecido y por ende un atentado contra la cosa juzgada. Al respecto, la Corte nota que de acuerdo con dicha decisión, luego de la segunda instancia en materia laboral, no habría posibilidad de revisar o controvertir aspectos medulares de la decisión definitiva.</w:t>
      </w:r>
    </w:p>
    <w:p w14:paraId="2FE24652" w14:textId="77777777" w:rsidR="00E66DD7" w:rsidRPr="00E66DD7" w:rsidRDefault="00E66DD7" w:rsidP="00E66DD7">
      <w:pPr>
        <w:contextualSpacing/>
        <w:jc w:val="both"/>
        <w:rPr>
          <w:rFonts w:ascii="Verdana" w:hAnsi="Verdana" w:cs="Verdana"/>
          <w:color w:val="000000"/>
          <w:sz w:val="20"/>
          <w:szCs w:val="20"/>
          <w:lang w:val="es-MX"/>
        </w:rPr>
      </w:pPr>
    </w:p>
    <w:p w14:paraId="16B0771B" w14:textId="77777777" w:rsidR="00E66DD7" w:rsidRPr="00E66DD7" w:rsidRDefault="00E66DD7" w:rsidP="00E66DD7">
      <w:pPr>
        <w:numPr>
          <w:ilvl w:val="0"/>
          <w:numId w:val="1"/>
        </w:numPr>
        <w:ind w:left="0" w:firstLine="0"/>
        <w:contextualSpacing/>
        <w:jc w:val="both"/>
        <w:rPr>
          <w:rFonts w:ascii="Verdana" w:hAnsi="Verdana" w:cs="Arial"/>
          <w:sz w:val="20"/>
          <w:szCs w:val="20"/>
        </w:rPr>
      </w:pPr>
      <w:r w:rsidRPr="00E66DD7">
        <w:rPr>
          <w:rFonts w:ascii="Verdana" w:hAnsi="Verdana" w:cs="Verdana"/>
          <w:color w:val="000000"/>
          <w:sz w:val="20"/>
          <w:szCs w:val="20"/>
        </w:rPr>
        <w:t xml:space="preserve">En cuarto lugar, luego de que fue negado el recurso de amparo en el año 1992, el señor Lagos del Campo continuó interponiendo diversos recursos. </w:t>
      </w:r>
      <w:r w:rsidRPr="00E66DD7">
        <w:rPr>
          <w:rFonts w:ascii="Verdana" w:hAnsi="Verdana"/>
          <w:color w:val="000000"/>
          <w:sz w:val="20"/>
          <w:szCs w:val="20"/>
        </w:rPr>
        <w:t xml:space="preserve">Una vez establecido el Tribunal Constitucional en 1996, éste solicitó que el proceso de amparo </w:t>
      </w:r>
      <w:r w:rsidRPr="00E66DD7">
        <w:rPr>
          <w:rFonts w:ascii="Verdana" w:hAnsi="Verdana" w:cs="Arial"/>
          <w:sz w:val="20"/>
          <w:szCs w:val="20"/>
        </w:rPr>
        <w:t>fuera elevado ante dicho tribunal</w:t>
      </w:r>
      <w:r w:rsidRPr="00E66DD7">
        <w:rPr>
          <w:rFonts w:ascii="Verdana" w:hAnsi="Verdana"/>
          <w:color w:val="000000"/>
          <w:sz w:val="20"/>
          <w:szCs w:val="20"/>
        </w:rPr>
        <w:t xml:space="preserve">, pero la Tercera Sala Civil Especializada declaró improcedente su solicitud, al exigirle haber interpuesto un recurso de casación en el plazo de 15 días posterior a su denegatoria (3 de agosto de 1992). </w:t>
      </w:r>
    </w:p>
    <w:p w14:paraId="0AD60CF2" w14:textId="77777777" w:rsidR="00E66DD7" w:rsidRPr="00E66DD7" w:rsidRDefault="00E66DD7" w:rsidP="00E66DD7">
      <w:pPr>
        <w:contextualSpacing/>
        <w:jc w:val="both"/>
        <w:rPr>
          <w:rFonts w:ascii="Verdana" w:hAnsi="Verdana" w:cs="Arial"/>
          <w:sz w:val="20"/>
          <w:szCs w:val="20"/>
        </w:rPr>
      </w:pPr>
    </w:p>
    <w:p w14:paraId="50BB53FD" w14:textId="324223B0" w:rsidR="00E66DD7" w:rsidRPr="00E66DD7" w:rsidRDefault="00E66DD7" w:rsidP="00E66DD7">
      <w:pPr>
        <w:numPr>
          <w:ilvl w:val="0"/>
          <w:numId w:val="1"/>
        </w:numPr>
        <w:ind w:left="0" w:firstLine="0"/>
        <w:contextualSpacing/>
        <w:jc w:val="both"/>
        <w:rPr>
          <w:rFonts w:ascii="Verdana" w:hAnsi="Verdana" w:cs="Arial"/>
          <w:sz w:val="20"/>
          <w:szCs w:val="20"/>
        </w:rPr>
      </w:pPr>
      <w:r w:rsidRPr="00E66DD7">
        <w:rPr>
          <w:rFonts w:ascii="Verdana" w:hAnsi="Verdana"/>
          <w:color w:val="000000"/>
          <w:sz w:val="20"/>
          <w:szCs w:val="20"/>
        </w:rPr>
        <w:t xml:space="preserve">Al respecto, la Corte nota </w:t>
      </w:r>
      <w:r w:rsidRPr="00E66DD7">
        <w:rPr>
          <w:rFonts w:ascii="Verdana" w:hAnsi="Verdana" w:cs="Arial"/>
          <w:sz w:val="20"/>
          <w:szCs w:val="20"/>
        </w:rPr>
        <w:t xml:space="preserve">que en la época que le fue negado el amparo el Tribunal de Garantías Constitucionales se encontraba suspendido, en virtud del cese de los magistrados, </w:t>
      </w:r>
      <w:r w:rsidRPr="00E66DD7">
        <w:rPr>
          <w:rFonts w:ascii="Verdana" w:hAnsi="Verdana" w:cs="Arial"/>
          <w:sz w:val="20"/>
          <w:szCs w:val="20"/>
        </w:rPr>
        <w:lastRenderedPageBreak/>
        <w:t xml:space="preserve">mediante el Decreto Ley </w:t>
      </w:r>
      <w:r w:rsidRPr="00333304">
        <w:rPr>
          <w:rFonts w:ascii="Verdana" w:hAnsi="Verdana" w:cs="Arial"/>
          <w:sz w:val="20"/>
          <w:szCs w:val="20"/>
        </w:rPr>
        <w:t>No. 25422</w:t>
      </w:r>
      <w:r w:rsidRPr="00E66DD7">
        <w:rPr>
          <w:rFonts w:ascii="Verdana" w:hAnsi="Verdana" w:cs="Arial"/>
          <w:sz w:val="20"/>
          <w:szCs w:val="20"/>
        </w:rPr>
        <w:t xml:space="preserve"> de 9 de abril de 1992</w:t>
      </w:r>
      <w:r w:rsidRPr="00E66DD7">
        <w:rPr>
          <w:rFonts w:ascii="Verdana" w:hAnsi="Verdana" w:cs="Verdana"/>
          <w:color w:val="000000"/>
          <w:sz w:val="20"/>
          <w:szCs w:val="20"/>
          <w:vertAlign w:val="superscript"/>
        </w:rPr>
        <w:footnoteReference w:id="257"/>
      </w:r>
      <w:r w:rsidRPr="00E66DD7">
        <w:rPr>
          <w:rFonts w:ascii="Verdana" w:hAnsi="Verdana" w:cs="Arial"/>
          <w:sz w:val="20"/>
          <w:szCs w:val="20"/>
        </w:rPr>
        <w:t xml:space="preserve">. En vista de lo anterior, no era exigible que la víctima debiera agotar un recurso que, al momento de los hechos, no se encontraba disponible o que sería ilusorio agotarlo siendo que el Tribunal no estaba en funciones </w:t>
      </w:r>
      <w:r w:rsidRPr="00E66DD7">
        <w:rPr>
          <w:rFonts w:ascii="Verdana" w:hAnsi="Verdana" w:cs="Verdana"/>
          <w:color w:val="000000"/>
          <w:sz w:val="20"/>
          <w:szCs w:val="20"/>
        </w:rPr>
        <w:t>(artículo 46.2 b de la Convención</w:t>
      </w:r>
      <w:r w:rsidRPr="00E66DD7">
        <w:rPr>
          <w:rFonts w:ascii="Verdana" w:hAnsi="Verdana" w:cs="Verdana"/>
          <w:color w:val="000000"/>
          <w:sz w:val="20"/>
          <w:szCs w:val="20"/>
          <w:vertAlign w:val="superscript"/>
        </w:rPr>
        <w:footnoteReference w:id="258"/>
      </w:r>
      <w:r w:rsidRPr="00E66DD7">
        <w:rPr>
          <w:rFonts w:ascii="Verdana" w:hAnsi="Verdana" w:cs="Verdana"/>
          <w:color w:val="000000"/>
          <w:sz w:val="20"/>
          <w:szCs w:val="20"/>
        </w:rPr>
        <w:t>).</w:t>
      </w:r>
      <w:r w:rsidRPr="00E66DD7">
        <w:rPr>
          <w:rFonts w:ascii="Verdana" w:hAnsi="Verdana" w:cs="Arial"/>
          <w:sz w:val="20"/>
          <w:szCs w:val="20"/>
        </w:rPr>
        <w:t xml:space="preserve"> </w:t>
      </w:r>
    </w:p>
    <w:p w14:paraId="3D91F3F7" w14:textId="77777777" w:rsidR="00E66DD7" w:rsidRPr="00E66DD7" w:rsidRDefault="00E66DD7" w:rsidP="00E66DD7">
      <w:pPr>
        <w:contextualSpacing/>
        <w:jc w:val="both"/>
        <w:rPr>
          <w:rFonts w:ascii="Verdana" w:hAnsi="Verdana" w:cs="Arial"/>
          <w:sz w:val="20"/>
          <w:szCs w:val="20"/>
        </w:rPr>
      </w:pPr>
    </w:p>
    <w:p w14:paraId="23492984" w14:textId="77777777" w:rsidR="00E66DD7" w:rsidRPr="00E66DD7" w:rsidRDefault="00E66DD7" w:rsidP="00E66DD7">
      <w:pPr>
        <w:numPr>
          <w:ilvl w:val="0"/>
          <w:numId w:val="1"/>
        </w:numPr>
        <w:ind w:left="0" w:firstLine="0"/>
        <w:contextualSpacing/>
        <w:jc w:val="both"/>
        <w:rPr>
          <w:rFonts w:ascii="Verdana" w:hAnsi="Verdana"/>
          <w:sz w:val="20"/>
          <w:szCs w:val="20"/>
          <w:lang w:val="es-MX"/>
        </w:rPr>
      </w:pPr>
      <w:r w:rsidRPr="00E66DD7">
        <w:rPr>
          <w:rFonts w:ascii="Verdana" w:hAnsi="Verdana" w:cs="Verdana"/>
          <w:sz w:val="20"/>
          <w:szCs w:val="20"/>
        </w:rPr>
        <w:t>La Corte recuerda que la inexistencia de un recurso efectivo contra las violaciones a los derechos reconocidos por la Convención, constituye una transgresión de la misma por el Estado Parte.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 No pueden considerarse efectivos aquellos recursos que, por las condiciones generales del país o incluso por las circunstancias particulares de un caso dado, resulten ilusorios</w:t>
      </w:r>
      <w:r w:rsidRPr="00E66DD7">
        <w:rPr>
          <w:rFonts w:ascii="Verdana" w:hAnsi="Verdana" w:cs="Verdana"/>
          <w:sz w:val="20"/>
          <w:szCs w:val="20"/>
          <w:vertAlign w:val="superscript"/>
        </w:rPr>
        <w:footnoteReference w:id="259"/>
      </w:r>
      <w:r w:rsidRPr="00E66DD7">
        <w:rPr>
          <w:rFonts w:ascii="Verdana" w:hAnsi="Verdana" w:cs="Verdana"/>
          <w:sz w:val="20"/>
          <w:szCs w:val="20"/>
        </w:rPr>
        <w:t>.</w:t>
      </w:r>
    </w:p>
    <w:p w14:paraId="012FAFD7" w14:textId="77777777" w:rsidR="00E66DD7" w:rsidRPr="00E66DD7" w:rsidRDefault="00E66DD7" w:rsidP="00E66DD7">
      <w:pPr>
        <w:contextualSpacing/>
        <w:jc w:val="both"/>
        <w:rPr>
          <w:rFonts w:ascii="Verdana" w:hAnsi="Verdana"/>
          <w:sz w:val="20"/>
          <w:szCs w:val="20"/>
        </w:rPr>
      </w:pPr>
    </w:p>
    <w:p w14:paraId="1D796E40" w14:textId="2ED6344C" w:rsidR="00E66DD7" w:rsidRPr="00E66DD7" w:rsidRDefault="00E66DD7" w:rsidP="00E66DD7">
      <w:pPr>
        <w:numPr>
          <w:ilvl w:val="0"/>
          <w:numId w:val="1"/>
        </w:numPr>
        <w:ind w:left="0" w:firstLine="0"/>
        <w:contextualSpacing/>
        <w:jc w:val="both"/>
        <w:rPr>
          <w:rFonts w:ascii="Verdana" w:hAnsi="Verdana"/>
          <w:sz w:val="20"/>
          <w:szCs w:val="20"/>
          <w:lang w:val="es-CR"/>
        </w:rPr>
      </w:pPr>
      <w:r w:rsidRPr="00E66DD7">
        <w:rPr>
          <w:rFonts w:ascii="Verdana" w:hAnsi="Verdana"/>
          <w:sz w:val="20"/>
          <w:szCs w:val="20"/>
        </w:rPr>
        <w:t>Resulta relevante mencionar que</w:t>
      </w:r>
      <w:r w:rsidRPr="00E66DD7">
        <w:rPr>
          <w:rFonts w:ascii="Verdana" w:hAnsi="Verdana"/>
          <w:sz w:val="20"/>
          <w:szCs w:val="20"/>
          <w:lang w:val="es-CR"/>
        </w:rPr>
        <w:t xml:space="preserve"> la sanción </w:t>
      </w:r>
      <w:r w:rsidR="00474F8F">
        <w:rPr>
          <w:rFonts w:ascii="Verdana" w:hAnsi="Verdana"/>
          <w:sz w:val="20"/>
          <w:szCs w:val="20"/>
          <w:lang w:val="es-CR"/>
        </w:rPr>
        <w:t>establecida</w:t>
      </w:r>
      <w:r w:rsidRPr="00E66DD7">
        <w:rPr>
          <w:rFonts w:ascii="Verdana" w:hAnsi="Verdana"/>
          <w:sz w:val="20"/>
          <w:szCs w:val="20"/>
          <w:lang w:val="es-CR"/>
        </w:rPr>
        <w:t xml:space="preserve"> en el caso fue la máxima conminada por </w:t>
      </w:r>
      <w:r w:rsidR="00474F8F">
        <w:rPr>
          <w:rFonts w:ascii="Verdana" w:hAnsi="Verdana"/>
          <w:sz w:val="20"/>
          <w:szCs w:val="20"/>
          <w:lang w:val="es-CR"/>
        </w:rPr>
        <w:t xml:space="preserve">las </w:t>
      </w:r>
      <w:r w:rsidRPr="00E66DD7">
        <w:rPr>
          <w:rFonts w:ascii="Verdana" w:hAnsi="Verdana"/>
          <w:sz w:val="20"/>
          <w:szCs w:val="20"/>
          <w:lang w:val="es-CR"/>
        </w:rPr>
        <w:t xml:space="preserve">normas del derecho del trabajo, que es el despido justificado o legal, en que a título sancionatorio se hace cesar la condición misma de trabajador, o sea, se lo expulsa de una categoría y se le priva de un derecho fundamental y en ocasiones indispensable para la supervivencia y realización de otros derechos. La lesión arbitraria a la estabilidad laboral es susceptible de afectar incluso la propia identidad subjetiva de la persona </w:t>
      </w:r>
      <w:r w:rsidR="00474F8F">
        <w:rPr>
          <w:rFonts w:ascii="Verdana" w:hAnsi="Verdana"/>
          <w:sz w:val="20"/>
          <w:szCs w:val="20"/>
          <w:lang w:val="es-CR"/>
        </w:rPr>
        <w:t>e incluso</w:t>
      </w:r>
      <w:r w:rsidRPr="00E66DD7">
        <w:rPr>
          <w:rFonts w:ascii="Verdana" w:hAnsi="Verdana"/>
          <w:sz w:val="20"/>
          <w:szCs w:val="20"/>
          <w:lang w:val="es-CR"/>
        </w:rPr>
        <w:t xml:space="preserve"> trascender, afectando a terceros vinculados.</w:t>
      </w:r>
    </w:p>
    <w:p w14:paraId="568747FE" w14:textId="77777777" w:rsidR="00E66DD7" w:rsidRPr="00E66DD7" w:rsidRDefault="00E66DD7" w:rsidP="00E66DD7">
      <w:pPr>
        <w:contextualSpacing/>
        <w:jc w:val="both"/>
        <w:rPr>
          <w:rFonts w:ascii="Verdana" w:hAnsi="Verdana"/>
          <w:sz w:val="20"/>
          <w:szCs w:val="20"/>
        </w:rPr>
      </w:pPr>
    </w:p>
    <w:p w14:paraId="1EE1D034" w14:textId="67E27DAE" w:rsidR="00E66DD7" w:rsidRPr="00E66DD7" w:rsidRDefault="00E66DD7" w:rsidP="00E66DD7">
      <w:pPr>
        <w:numPr>
          <w:ilvl w:val="0"/>
          <w:numId w:val="1"/>
        </w:numPr>
        <w:ind w:left="0" w:firstLine="0"/>
        <w:contextualSpacing/>
        <w:jc w:val="both"/>
        <w:rPr>
          <w:rFonts w:ascii="Verdana" w:hAnsi="Verdana"/>
          <w:sz w:val="20"/>
          <w:szCs w:val="20"/>
          <w:lang w:val="es-CR"/>
        </w:rPr>
      </w:pPr>
      <w:r w:rsidRPr="00E66DD7">
        <w:rPr>
          <w:rFonts w:ascii="Verdana" w:hAnsi="Verdana"/>
          <w:sz w:val="20"/>
          <w:szCs w:val="20"/>
          <w:lang w:val="es-CR"/>
        </w:rPr>
        <w:t>Si bien todo despido importa una sanción de máxima gravedad, se destaca que en algunos casos se presenta con particulares caracteres sancionatorios de mayor o especia</w:t>
      </w:r>
      <w:r w:rsidR="00446B52">
        <w:rPr>
          <w:rFonts w:ascii="Verdana" w:hAnsi="Verdana"/>
          <w:sz w:val="20"/>
          <w:szCs w:val="20"/>
          <w:lang w:val="es-CR"/>
        </w:rPr>
        <w:t>l</w:t>
      </w:r>
      <w:r w:rsidRPr="00E66DD7">
        <w:rPr>
          <w:rFonts w:ascii="Verdana" w:hAnsi="Verdana"/>
          <w:sz w:val="20"/>
          <w:szCs w:val="20"/>
          <w:lang w:val="es-CR"/>
        </w:rPr>
        <w:t xml:space="preserve"> gravedad, que requieren ampliamente una protección judicial. En el presente caso</w:t>
      </w:r>
      <w:r w:rsidR="00474F8F">
        <w:rPr>
          <w:rFonts w:ascii="Verdana" w:hAnsi="Verdana"/>
          <w:sz w:val="20"/>
          <w:szCs w:val="20"/>
          <w:lang w:val="es-CR"/>
        </w:rPr>
        <w:t>,</w:t>
      </w:r>
      <w:r w:rsidRPr="00E66DD7">
        <w:rPr>
          <w:rFonts w:ascii="Verdana" w:hAnsi="Verdana"/>
          <w:sz w:val="20"/>
          <w:szCs w:val="20"/>
          <w:lang w:val="es-CR"/>
        </w:rPr>
        <w:t xml:space="preserve"> la particular gravedad sancionatoria del despido se halla en el reforzamiento de la estabilidad laboral con la condición de representante democráticamente electo de la persona afectada y con la violación del derecho a expresar libremente sus ideas. </w:t>
      </w:r>
    </w:p>
    <w:p w14:paraId="57FD0C7E" w14:textId="77777777" w:rsidR="00E66DD7" w:rsidRPr="00E66DD7" w:rsidRDefault="00E66DD7" w:rsidP="00E66DD7">
      <w:pPr>
        <w:contextualSpacing/>
        <w:jc w:val="both"/>
        <w:rPr>
          <w:rFonts w:ascii="Verdana" w:hAnsi="Verdana"/>
          <w:sz w:val="20"/>
          <w:szCs w:val="20"/>
          <w:lang w:val="es-CR"/>
        </w:rPr>
      </w:pPr>
    </w:p>
    <w:p w14:paraId="21D5210E" w14:textId="77777777" w:rsidR="00E66DD7" w:rsidRPr="00E66DD7" w:rsidRDefault="00E66DD7" w:rsidP="00E66DD7">
      <w:pPr>
        <w:pStyle w:val="Heading3"/>
        <w:numPr>
          <w:ilvl w:val="0"/>
          <w:numId w:val="24"/>
        </w:numPr>
        <w:rPr>
          <w:i/>
          <w:szCs w:val="20"/>
          <w:lang w:val="es-MX"/>
        </w:rPr>
      </w:pPr>
      <w:bookmarkStart w:id="62" w:name="_Toc498333518"/>
      <w:r w:rsidRPr="00E66DD7">
        <w:rPr>
          <w:i/>
          <w:szCs w:val="20"/>
          <w:lang w:val="es-MX"/>
        </w:rPr>
        <w:t>Conclusión</w:t>
      </w:r>
      <w:bookmarkEnd w:id="62"/>
    </w:p>
    <w:p w14:paraId="0861E36A" w14:textId="77777777" w:rsidR="00E66DD7" w:rsidRPr="00E66DD7" w:rsidRDefault="00E66DD7" w:rsidP="00E66DD7">
      <w:pPr>
        <w:contextualSpacing/>
        <w:jc w:val="both"/>
        <w:rPr>
          <w:rFonts w:ascii="Verdana" w:hAnsi="Verdana"/>
          <w:sz w:val="20"/>
          <w:szCs w:val="20"/>
        </w:rPr>
      </w:pPr>
    </w:p>
    <w:p w14:paraId="336CC57D" w14:textId="6424A778" w:rsidR="00D9601C" w:rsidRPr="00E66DD7" w:rsidRDefault="00E66DD7" w:rsidP="00E66DD7">
      <w:pPr>
        <w:numPr>
          <w:ilvl w:val="0"/>
          <w:numId w:val="1"/>
        </w:numPr>
        <w:ind w:left="0" w:firstLine="0"/>
        <w:contextualSpacing/>
        <w:jc w:val="both"/>
        <w:rPr>
          <w:rFonts w:ascii="Calibri" w:hAnsi="Calibri"/>
          <w:sz w:val="22"/>
          <w:szCs w:val="22"/>
          <w:lang w:val="es-MX"/>
        </w:rPr>
      </w:pPr>
      <w:r w:rsidRPr="00E66DD7">
        <w:rPr>
          <w:rFonts w:ascii="Verdana" w:hAnsi="Verdana"/>
          <w:sz w:val="20"/>
          <w:szCs w:val="20"/>
        </w:rPr>
        <w:t xml:space="preserve">En vista de lo anterior, quedó establecido que: i) en el proceso de segunda instancia no se valoraron los alegatos de defensa de la víctima, lo cual </w:t>
      </w:r>
      <w:r w:rsidR="00052F47">
        <w:rPr>
          <w:rFonts w:ascii="Verdana" w:hAnsi="Verdana"/>
          <w:sz w:val="20"/>
          <w:szCs w:val="20"/>
        </w:rPr>
        <w:t>no</w:t>
      </w:r>
      <w:r w:rsidRPr="00E66DD7">
        <w:rPr>
          <w:rFonts w:ascii="Verdana" w:hAnsi="Verdana"/>
          <w:sz w:val="20"/>
          <w:szCs w:val="20"/>
        </w:rPr>
        <w:t xml:space="preserve"> fue corregido</w:t>
      </w:r>
      <w:r w:rsidR="00880163">
        <w:rPr>
          <w:rFonts w:ascii="Verdana" w:hAnsi="Verdana"/>
          <w:sz w:val="20"/>
          <w:szCs w:val="20"/>
        </w:rPr>
        <w:t xml:space="preserve"> en las diversas instancias</w:t>
      </w:r>
      <w:r w:rsidRPr="00E66DD7">
        <w:rPr>
          <w:rFonts w:ascii="Verdana" w:hAnsi="Verdana"/>
          <w:sz w:val="20"/>
          <w:szCs w:val="20"/>
        </w:rPr>
        <w:t>; ii) el primer recurso de nulidad fue conocido y denegado por el mismo Tribunal que avaló el despido; iii) el recurso de amparo no se pronunció sobre los derechos sustantivos (Constitucionales) alegados por el señor Lagos</w:t>
      </w:r>
      <w:r w:rsidR="00880163">
        <w:rPr>
          <w:rFonts w:ascii="Verdana" w:hAnsi="Verdana"/>
          <w:sz w:val="20"/>
          <w:szCs w:val="20"/>
        </w:rPr>
        <w:t xml:space="preserve"> del Campo</w:t>
      </w:r>
      <w:r w:rsidRPr="00E66DD7">
        <w:rPr>
          <w:rFonts w:ascii="Verdana" w:hAnsi="Verdana"/>
          <w:sz w:val="20"/>
          <w:szCs w:val="20"/>
        </w:rPr>
        <w:t>, al considerar</w:t>
      </w:r>
      <w:r w:rsidR="002C4F7B">
        <w:rPr>
          <w:rFonts w:ascii="Verdana" w:hAnsi="Verdana"/>
          <w:sz w:val="20"/>
          <w:szCs w:val="20"/>
        </w:rPr>
        <w:t xml:space="preserve"> </w:t>
      </w:r>
      <w:r w:rsidR="002C4F7B" w:rsidRPr="00333304">
        <w:rPr>
          <w:rFonts w:ascii="Verdana" w:hAnsi="Verdana"/>
          <w:sz w:val="20"/>
          <w:szCs w:val="20"/>
        </w:rPr>
        <w:t>que</w:t>
      </w:r>
      <w:r w:rsidRPr="00E66DD7">
        <w:rPr>
          <w:rFonts w:ascii="Verdana" w:hAnsi="Verdana"/>
          <w:sz w:val="20"/>
          <w:szCs w:val="20"/>
        </w:rPr>
        <w:t xml:space="preserve"> era cosa juzgada, y</w:t>
      </w:r>
      <w:r w:rsidR="00880163">
        <w:rPr>
          <w:rFonts w:ascii="Verdana" w:hAnsi="Verdana"/>
          <w:sz w:val="20"/>
          <w:szCs w:val="20"/>
        </w:rPr>
        <w:t xml:space="preserve"> iv) </w:t>
      </w:r>
      <w:r w:rsidRPr="00E66DD7">
        <w:rPr>
          <w:rFonts w:ascii="Verdana" w:hAnsi="Verdana"/>
          <w:sz w:val="20"/>
          <w:szCs w:val="20"/>
        </w:rPr>
        <w:t>se le exigió que agotará un recurso que a la época de los hechos era ilusorio.</w:t>
      </w:r>
      <w:r w:rsidRPr="00E66DD7">
        <w:rPr>
          <w:rFonts w:ascii="Calibri" w:hAnsi="Calibri"/>
          <w:sz w:val="22"/>
          <w:szCs w:val="22"/>
          <w:lang w:val="es-MX"/>
        </w:rPr>
        <w:t xml:space="preserve"> </w:t>
      </w:r>
      <w:r w:rsidRPr="00E66DD7">
        <w:rPr>
          <w:rFonts w:ascii="Verdana" w:hAnsi="Verdana"/>
          <w:sz w:val="20"/>
          <w:szCs w:val="20"/>
          <w:lang w:val="es-CR"/>
        </w:rPr>
        <w:t>Por</w:t>
      </w:r>
      <w:r w:rsidRPr="00E66DD7">
        <w:rPr>
          <w:rFonts w:ascii="Verdana" w:hAnsi="Verdana" w:cs="Verdana"/>
          <w:sz w:val="20"/>
          <w:szCs w:val="20"/>
        </w:rPr>
        <w:t xml:space="preserve"> tanto, este Tribunal considera que </w:t>
      </w:r>
      <w:r w:rsidRPr="00E66DD7">
        <w:rPr>
          <w:rFonts w:ascii="Verdana" w:hAnsi="Verdana"/>
          <w:sz w:val="20"/>
          <w:szCs w:val="20"/>
          <w:lang w:val="es-CR"/>
        </w:rPr>
        <w:t xml:space="preserve">el Estado </w:t>
      </w:r>
      <w:r w:rsidR="002C4F7B" w:rsidRPr="00333304">
        <w:rPr>
          <w:rFonts w:ascii="Verdana" w:hAnsi="Verdana"/>
          <w:sz w:val="20"/>
          <w:szCs w:val="20"/>
          <w:lang w:val="es-CR"/>
        </w:rPr>
        <w:t>v</w:t>
      </w:r>
      <w:r w:rsidR="001D4D46" w:rsidRPr="00333304">
        <w:rPr>
          <w:rFonts w:ascii="Verdana" w:hAnsi="Verdana"/>
          <w:sz w:val="20"/>
          <w:szCs w:val="20"/>
          <w:lang w:val="es-CR"/>
        </w:rPr>
        <w:t>ioló</w:t>
      </w:r>
      <w:r w:rsidR="002C4F7B">
        <w:rPr>
          <w:rFonts w:ascii="Verdana" w:hAnsi="Verdana"/>
          <w:sz w:val="20"/>
          <w:szCs w:val="20"/>
          <w:lang w:val="es-CR"/>
        </w:rPr>
        <w:t xml:space="preserve"> </w:t>
      </w:r>
      <w:r w:rsidRPr="00E66DD7">
        <w:rPr>
          <w:rFonts w:ascii="Verdana" w:hAnsi="Verdana" w:cs="Verdana"/>
          <w:sz w:val="20"/>
          <w:szCs w:val="20"/>
        </w:rPr>
        <w:t xml:space="preserve">los artículos 8.1 y 25.1 de dicha Convención, en relación con </w:t>
      </w:r>
      <w:r w:rsidR="001D4D46" w:rsidRPr="00333304">
        <w:rPr>
          <w:rFonts w:ascii="Verdana" w:hAnsi="Verdana" w:cs="Verdana"/>
          <w:sz w:val="20"/>
          <w:szCs w:val="20"/>
        </w:rPr>
        <w:t>el</w:t>
      </w:r>
      <w:r w:rsidR="001D4D46" w:rsidRPr="00B06027">
        <w:rPr>
          <w:rFonts w:ascii="Verdana" w:hAnsi="Verdana" w:cs="Verdana"/>
          <w:b/>
          <w:sz w:val="20"/>
          <w:szCs w:val="20"/>
        </w:rPr>
        <w:t xml:space="preserve"> </w:t>
      </w:r>
      <w:r w:rsidRPr="00E66DD7">
        <w:rPr>
          <w:rFonts w:ascii="Verdana" w:hAnsi="Verdana" w:cs="Verdana"/>
          <w:sz w:val="20"/>
          <w:szCs w:val="20"/>
        </w:rPr>
        <w:t>artículo 1.1</w:t>
      </w:r>
      <w:r w:rsidR="00334B6C">
        <w:rPr>
          <w:rFonts w:ascii="Verdana" w:hAnsi="Verdana" w:cs="Verdana"/>
          <w:sz w:val="20"/>
          <w:szCs w:val="20"/>
        </w:rPr>
        <w:t xml:space="preserve"> de la misma</w:t>
      </w:r>
      <w:r w:rsidR="001D4D46">
        <w:rPr>
          <w:rFonts w:ascii="Verdana" w:hAnsi="Verdana" w:cs="Verdana"/>
          <w:sz w:val="20"/>
          <w:szCs w:val="20"/>
        </w:rPr>
        <w:t xml:space="preserve">, </w:t>
      </w:r>
      <w:r w:rsidRPr="00E66DD7">
        <w:rPr>
          <w:rFonts w:ascii="Verdana" w:hAnsi="Verdana" w:cs="Verdana"/>
          <w:sz w:val="20"/>
          <w:szCs w:val="20"/>
        </w:rPr>
        <w:t xml:space="preserve">en perjuicio del señor Lagos del Campo. </w:t>
      </w:r>
    </w:p>
    <w:p w14:paraId="44DA5CA7" w14:textId="77777777" w:rsidR="00880261" w:rsidRPr="00E66DD7" w:rsidRDefault="00880261" w:rsidP="00DF09C1">
      <w:pPr>
        <w:contextualSpacing/>
        <w:jc w:val="both"/>
        <w:rPr>
          <w:rFonts w:ascii="Verdana" w:hAnsi="Verdana" w:cs="Verdana"/>
          <w:spacing w:val="-2"/>
          <w:sz w:val="20"/>
          <w:szCs w:val="20"/>
          <w:lang w:val="es-MX"/>
        </w:rPr>
      </w:pPr>
    </w:p>
    <w:p w14:paraId="1CC83FE7" w14:textId="6A756ED2" w:rsidR="009C5D55" w:rsidRPr="00C0187C" w:rsidRDefault="00374FC9" w:rsidP="00C0187C">
      <w:pPr>
        <w:pStyle w:val="Heading1"/>
        <w:tabs>
          <w:tab w:val="left" w:pos="851"/>
        </w:tabs>
        <w:spacing w:before="0"/>
        <w:jc w:val="center"/>
        <w:rPr>
          <w:rFonts w:cs="Verdana"/>
          <w:caps/>
          <w:snapToGrid w:val="0"/>
          <w:szCs w:val="20"/>
        </w:rPr>
      </w:pPr>
      <w:bookmarkStart w:id="63" w:name="_Toc498333519"/>
      <w:r>
        <w:rPr>
          <w:rFonts w:cs="Verdana"/>
          <w:caps/>
          <w:snapToGrid w:val="0"/>
          <w:szCs w:val="20"/>
        </w:rPr>
        <w:lastRenderedPageBreak/>
        <w:t>VIII</w:t>
      </w:r>
      <w:bookmarkEnd w:id="63"/>
    </w:p>
    <w:p w14:paraId="4948543D" w14:textId="77777777" w:rsidR="009C5D55" w:rsidRPr="00C0187C" w:rsidRDefault="009C5D55" w:rsidP="00C0187C">
      <w:pPr>
        <w:pStyle w:val="Heading1"/>
        <w:tabs>
          <w:tab w:val="left" w:pos="851"/>
        </w:tabs>
        <w:spacing w:before="0"/>
        <w:jc w:val="center"/>
        <w:rPr>
          <w:rFonts w:cs="Verdana"/>
          <w:caps/>
          <w:snapToGrid w:val="0"/>
          <w:szCs w:val="20"/>
        </w:rPr>
      </w:pPr>
      <w:bookmarkStart w:id="64" w:name="_Toc482355945"/>
      <w:bookmarkStart w:id="65" w:name="_Toc498333520"/>
      <w:r w:rsidRPr="00C0187C">
        <w:rPr>
          <w:rFonts w:cs="Verdana"/>
          <w:caps/>
          <w:snapToGrid w:val="0"/>
          <w:szCs w:val="20"/>
        </w:rPr>
        <w:t>REPARACIONES</w:t>
      </w:r>
      <w:bookmarkEnd w:id="64"/>
      <w:bookmarkEnd w:id="65"/>
    </w:p>
    <w:p w14:paraId="76D48166" w14:textId="77777777" w:rsidR="009C5D55" w:rsidRPr="00C0187C" w:rsidRDefault="009C5D55" w:rsidP="00C0187C">
      <w:pPr>
        <w:pStyle w:val="Heading1"/>
        <w:tabs>
          <w:tab w:val="left" w:pos="851"/>
        </w:tabs>
        <w:spacing w:before="0"/>
        <w:jc w:val="center"/>
        <w:rPr>
          <w:rFonts w:cs="Verdana"/>
          <w:caps/>
          <w:snapToGrid w:val="0"/>
          <w:szCs w:val="20"/>
        </w:rPr>
      </w:pPr>
      <w:bookmarkStart w:id="66" w:name="_Toc498333521"/>
      <w:r w:rsidRPr="00C0187C">
        <w:rPr>
          <w:rFonts w:cs="Verdana"/>
          <w:caps/>
          <w:snapToGrid w:val="0"/>
          <w:szCs w:val="20"/>
        </w:rPr>
        <w:t>(Aplicación del artículo 63.1 de la Convención Americana)</w:t>
      </w:r>
      <w:bookmarkEnd w:id="66"/>
    </w:p>
    <w:p w14:paraId="51750CB5" w14:textId="77777777" w:rsidR="009C5D55" w:rsidRPr="009C5D55" w:rsidRDefault="009C5D55" w:rsidP="009C5D55">
      <w:pPr>
        <w:widowControl w:val="0"/>
        <w:tabs>
          <w:tab w:val="center" w:pos="567"/>
        </w:tabs>
        <w:autoSpaceDE w:val="0"/>
        <w:autoSpaceDN w:val="0"/>
        <w:adjustRightInd w:val="0"/>
        <w:ind w:right="-90"/>
        <w:contextualSpacing/>
        <w:jc w:val="both"/>
        <w:rPr>
          <w:rFonts w:ascii="Verdana" w:hAnsi="Verdana"/>
          <w:sz w:val="20"/>
          <w:szCs w:val="20"/>
          <w:lang w:val="es-CR"/>
        </w:rPr>
      </w:pPr>
    </w:p>
    <w:p w14:paraId="12754FC0" w14:textId="32DCB363"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bidi="en-US"/>
        </w:rPr>
        <w:t>Con base en lo dispuesto en el artículo 63.1 de la Convención Americana</w:t>
      </w:r>
      <w:r w:rsidRPr="009C5D55">
        <w:rPr>
          <w:rFonts w:ascii="Verdana" w:hAnsi="Verdana"/>
          <w:caps/>
          <w:sz w:val="20"/>
          <w:szCs w:val="20"/>
          <w:vertAlign w:val="superscript"/>
          <w:lang w:val="es-CR"/>
        </w:rPr>
        <w:footnoteReference w:id="260"/>
      </w:r>
      <w:r w:rsidRPr="009C5D55">
        <w:rPr>
          <w:rFonts w:ascii="Verdana" w:hAnsi="Verdana"/>
          <w:sz w:val="20"/>
          <w:szCs w:val="20"/>
          <w:lang w:val="es-CR" w:bidi="en-U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9C5D55">
        <w:rPr>
          <w:rFonts w:ascii="Verdana" w:hAnsi="Verdana"/>
          <w:sz w:val="20"/>
          <w:szCs w:val="20"/>
          <w:vertAlign w:val="superscript"/>
          <w:lang w:val="es-CR"/>
        </w:rPr>
        <w:footnoteReference w:id="261"/>
      </w:r>
      <w:r w:rsidRPr="009C5D55">
        <w:rPr>
          <w:rFonts w:ascii="Verdana" w:hAnsi="Verdana"/>
          <w:sz w:val="20"/>
          <w:szCs w:val="20"/>
          <w:lang w:val="es-CR" w:bidi="en-US"/>
        </w:rPr>
        <w:t xml:space="preserve">. </w:t>
      </w:r>
    </w:p>
    <w:p w14:paraId="398143FB" w14:textId="77777777" w:rsidR="009C5D55" w:rsidRPr="009C5D55" w:rsidRDefault="009C5D55" w:rsidP="00C0187C">
      <w:pPr>
        <w:tabs>
          <w:tab w:val="center" w:pos="0"/>
        </w:tabs>
        <w:contextualSpacing/>
        <w:rPr>
          <w:rFonts w:ascii="Verdana" w:hAnsi="Verdana"/>
          <w:sz w:val="20"/>
          <w:szCs w:val="20"/>
          <w:lang w:val="es-CR" w:bidi="en-US"/>
        </w:rPr>
      </w:pPr>
    </w:p>
    <w:p w14:paraId="2F19B5BF" w14:textId="77777777"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bidi="en-US"/>
        </w:rPr>
        <w:t>La Corte ha establecido que las reparaciones deben tener</w:t>
      </w:r>
      <w:r w:rsidRPr="009C5D55">
        <w:rPr>
          <w:rFonts w:ascii="Verdana" w:hAnsi="Verdana"/>
          <w:sz w:val="20"/>
          <w:szCs w:val="20"/>
          <w:lang w:val="es-CR"/>
        </w:rPr>
        <w:t xml:space="preserve"> </w:t>
      </w:r>
      <w:r w:rsidRPr="009C5D55">
        <w:rPr>
          <w:rFonts w:ascii="Verdana" w:hAnsi="Verdana"/>
          <w:sz w:val="20"/>
          <w:szCs w:val="20"/>
          <w:lang w:val="es-CR" w:bidi="en-US"/>
        </w:rPr>
        <w:t>un nexo causal con los hechos del caso, las violaciones declaradas, los daños acreditados, así como con las medidas solicitadas para reparar l</w:t>
      </w:r>
      <w:r w:rsidRPr="009C5D55">
        <w:rPr>
          <w:rFonts w:ascii="Verdana" w:hAnsi="Verdana"/>
          <w:sz w:val="20"/>
          <w:szCs w:val="20"/>
          <w:lang w:val="es-CR"/>
        </w:rPr>
        <w:t>o</w:t>
      </w:r>
      <w:r w:rsidRPr="009C5D55">
        <w:rPr>
          <w:rFonts w:ascii="Verdana" w:hAnsi="Verdana"/>
          <w:sz w:val="20"/>
          <w:szCs w:val="20"/>
          <w:lang w:val="es-CR" w:bidi="en-US"/>
        </w:rPr>
        <w:t>s daños respectivos. Por lo tanto, la Corte deberá analizar dicha concurrencia para pronunciarse debidamente y conforme a derecho</w:t>
      </w:r>
      <w:r w:rsidRPr="009C5D55">
        <w:rPr>
          <w:rFonts w:ascii="Verdana" w:hAnsi="Verdana"/>
          <w:sz w:val="20"/>
          <w:szCs w:val="20"/>
          <w:vertAlign w:val="superscript"/>
          <w:lang w:val="es-CR" w:bidi="en-US"/>
        </w:rPr>
        <w:footnoteReference w:id="262"/>
      </w:r>
      <w:r w:rsidRPr="009C5D55">
        <w:rPr>
          <w:rFonts w:ascii="Verdana" w:hAnsi="Verdana"/>
          <w:sz w:val="20"/>
          <w:szCs w:val="20"/>
          <w:lang w:val="es-CR" w:bidi="en-US"/>
        </w:rPr>
        <w:t>.</w:t>
      </w:r>
      <w:r w:rsidRPr="009C5D55">
        <w:rPr>
          <w:rFonts w:ascii="Verdana" w:hAnsi="Verdana"/>
          <w:sz w:val="20"/>
          <w:szCs w:val="20"/>
          <w:lang w:val="es-CR"/>
        </w:rPr>
        <w:t xml:space="preserve"> </w:t>
      </w:r>
    </w:p>
    <w:p w14:paraId="085E37C2" w14:textId="77777777" w:rsidR="009C5D55" w:rsidRPr="009C5D55" w:rsidRDefault="009C5D55" w:rsidP="00C0187C">
      <w:pPr>
        <w:widowControl w:val="0"/>
        <w:tabs>
          <w:tab w:val="center" w:pos="0"/>
          <w:tab w:val="center" w:pos="567"/>
        </w:tabs>
        <w:autoSpaceDE w:val="0"/>
        <w:autoSpaceDN w:val="0"/>
        <w:adjustRightInd w:val="0"/>
        <w:contextualSpacing/>
        <w:jc w:val="both"/>
        <w:rPr>
          <w:rFonts w:ascii="Verdana" w:hAnsi="Verdana"/>
          <w:sz w:val="20"/>
          <w:szCs w:val="20"/>
          <w:lang w:val="es-CR"/>
        </w:rPr>
      </w:pPr>
    </w:p>
    <w:p w14:paraId="218DB903" w14:textId="77777777" w:rsidR="009C5D55" w:rsidRPr="009C5D55" w:rsidRDefault="009C5D55" w:rsidP="00E66DD7">
      <w:pPr>
        <w:widowControl w:val="0"/>
        <w:numPr>
          <w:ilvl w:val="0"/>
          <w:numId w:val="1"/>
        </w:numPr>
        <w:tabs>
          <w:tab w:val="center" w:pos="0"/>
          <w:tab w:val="center" w:pos="567"/>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bidi="en-US"/>
        </w:rPr>
        <w:t>La reparación del daño ocasionado por la infracción</w:t>
      </w:r>
      <w:r w:rsidRPr="009C5D55">
        <w:rPr>
          <w:rFonts w:ascii="Verdana" w:hAnsi="Verdana"/>
          <w:sz w:val="20"/>
          <w:szCs w:val="20"/>
          <w:lang w:val="es-CR"/>
        </w:rPr>
        <w:t xml:space="preserve"> </w:t>
      </w:r>
      <w:r w:rsidRPr="009C5D55">
        <w:rPr>
          <w:rFonts w:ascii="Verdana" w:hAnsi="Verdana"/>
          <w:sz w:val="20"/>
          <w:szCs w:val="20"/>
          <w:lang w:val="es-CR" w:bidi="en-US"/>
        </w:rPr>
        <w:t>de una obl</w:t>
      </w:r>
      <w:r w:rsidRPr="009C5D55">
        <w:rPr>
          <w:rFonts w:ascii="Verdana" w:hAnsi="Verdana"/>
          <w:sz w:val="20"/>
          <w:szCs w:val="20"/>
          <w:lang w:val="es-CR"/>
        </w:rPr>
        <w:t xml:space="preserve">igación internacional requiere, siempre que sea posible, la plena restitución, que consiste en el restablecimiento de la situación anterior. De no ser esto factible, el Tribunal determinará </w:t>
      </w:r>
      <w:r w:rsidRPr="009C5D55">
        <w:rPr>
          <w:rFonts w:ascii="Verdana" w:hAnsi="Verdana"/>
          <w:sz w:val="20"/>
          <w:szCs w:val="20"/>
          <w:lang w:val="es-CR" w:bidi="en-US"/>
        </w:rPr>
        <w:t>medidas</w:t>
      </w:r>
      <w:r w:rsidRPr="009C5D55">
        <w:rPr>
          <w:rFonts w:ascii="Verdana" w:hAnsi="Verdana"/>
          <w:sz w:val="20"/>
          <w:szCs w:val="20"/>
          <w:lang w:val="es-CR"/>
        </w:rPr>
        <w:t xml:space="preserve"> para garantizar los derechos conculcado</w:t>
      </w:r>
      <w:r w:rsidRPr="009C5D55">
        <w:rPr>
          <w:rFonts w:ascii="Verdana" w:hAnsi="Verdana"/>
          <w:sz w:val="20"/>
          <w:szCs w:val="20"/>
          <w:lang w:val="es-CR" w:bidi="en-US"/>
        </w:rPr>
        <w:t>s</w:t>
      </w:r>
      <w:r w:rsidRPr="009C5D55">
        <w:rPr>
          <w:rFonts w:ascii="Verdana" w:hAnsi="Verdana"/>
          <w:sz w:val="20"/>
          <w:szCs w:val="20"/>
          <w:lang w:val="es-CR"/>
        </w:rPr>
        <w:t xml:space="preserve"> y reparar las consecuencias que las infracciones produjeron</w:t>
      </w:r>
      <w:r w:rsidRPr="009C5D55">
        <w:rPr>
          <w:rFonts w:ascii="Verdana" w:eastAsia="MS Mincho" w:hAnsi="Verdana"/>
          <w:sz w:val="20"/>
          <w:szCs w:val="20"/>
          <w:vertAlign w:val="superscript"/>
          <w:lang w:val="es-CR"/>
        </w:rPr>
        <w:footnoteReference w:id="263"/>
      </w:r>
      <w:r w:rsidRPr="009C5D55">
        <w:rPr>
          <w:rFonts w:ascii="Verdana" w:hAnsi="Verdana"/>
          <w:sz w:val="20"/>
          <w:szCs w:val="20"/>
          <w:lang w:val="es-CR"/>
        </w:rPr>
        <w:t xml:space="preserve">. </w:t>
      </w:r>
    </w:p>
    <w:p w14:paraId="54FF7005" w14:textId="77777777" w:rsidR="009C5D55" w:rsidRPr="009C5D55" w:rsidRDefault="009C5D55" w:rsidP="009C5D55">
      <w:pPr>
        <w:tabs>
          <w:tab w:val="center" w:pos="0"/>
        </w:tabs>
        <w:contextualSpacing/>
        <w:rPr>
          <w:rFonts w:ascii="Verdana" w:hAnsi="Verdana"/>
          <w:sz w:val="20"/>
          <w:szCs w:val="20"/>
          <w:lang w:val="es-CR" w:bidi="en-US"/>
        </w:rPr>
      </w:pPr>
    </w:p>
    <w:p w14:paraId="6679580A" w14:textId="77777777" w:rsidR="009C5D55" w:rsidRPr="009C5D55" w:rsidRDefault="009C5D55" w:rsidP="00E66DD7">
      <w:pPr>
        <w:widowControl w:val="0"/>
        <w:numPr>
          <w:ilvl w:val="0"/>
          <w:numId w:val="1"/>
        </w:numPr>
        <w:tabs>
          <w:tab w:val="center" w:pos="0"/>
          <w:tab w:val="center" w:pos="567"/>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bidi="en-US"/>
        </w:rPr>
        <w:t>En consideración de las violaciones a la Convención declaradas en los capítulos anteriores, la Corte procede a analizar las pretensiones presentadas por la Comisión y los representantes, así como los argumentos del Estado, a la luz de los criterios fijados en su jurisprudencia en relación con la naturaleza y alcance de la obligación de reparar</w:t>
      </w:r>
      <w:r w:rsidRPr="009C5D55">
        <w:rPr>
          <w:rFonts w:ascii="Verdana" w:hAnsi="Verdana"/>
          <w:sz w:val="20"/>
          <w:szCs w:val="20"/>
          <w:vertAlign w:val="superscript"/>
          <w:lang w:val="es-CR" w:bidi="en-US"/>
        </w:rPr>
        <w:footnoteReference w:id="264"/>
      </w:r>
      <w:r w:rsidRPr="009C5D55">
        <w:rPr>
          <w:rFonts w:ascii="Verdana" w:hAnsi="Verdana"/>
          <w:sz w:val="20"/>
          <w:szCs w:val="20"/>
          <w:lang w:val="es-CR" w:bidi="en-US"/>
        </w:rPr>
        <w:t>, con el objeto de disponer las medidas dirigidas a reparar los daños ocasionados a la víctima.</w:t>
      </w:r>
      <w:r w:rsidRPr="009C5D55">
        <w:rPr>
          <w:rFonts w:ascii="Verdana" w:hAnsi="Verdana"/>
          <w:sz w:val="20"/>
          <w:szCs w:val="20"/>
          <w:lang w:val="es-CR"/>
        </w:rPr>
        <w:t xml:space="preserve"> </w:t>
      </w:r>
    </w:p>
    <w:p w14:paraId="58336ADF" w14:textId="77777777" w:rsidR="009C5D55" w:rsidRPr="009C5D55" w:rsidRDefault="009C5D55" w:rsidP="009C5D55">
      <w:pPr>
        <w:rPr>
          <w:rFonts w:ascii="Verdana" w:hAnsi="Verdana"/>
          <w:sz w:val="20"/>
          <w:szCs w:val="20"/>
          <w:lang w:val="es-CR"/>
        </w:rPr>
      </w:pPr>
    </w:p>
    <w:p w14:paraId="4797D4CA" w14:textId="77777777" w:rsidR="009C5D55" w:rsidRPr="009C5D55" w:rsidRDefault="009C5D55" w:rsidP="00E66DD7">
      <w:pPr>
        <w:pStyle w:val="Heading2"/>
        <w:numPr>
          <w:ilvl w:val="0"/>
          <w:numId w:val="13"/>
        </w:numPr>
        <w:rPr>
          <w:b w:val="0"/>
          <w:bCs w:val="0"/>
          <w:i/>
          <w:szCs w:val="20"/>
        </w:rPr>
      </w:pPr>
      <w:bookmarkStart w:id="67" w:name="_Toc498333522"/>
      <w:r w:rsidRPr="00C0187C">
        <w:rPr>
          <w:i/>
          <w:szCs w:val="20"/>
        </w:rPr>
        <w:t>Parte lesionada</w:t>
      </w:r>
      <w:bookmarkEnd w:id="67"/>
    </w:p>
    <w:p w14:paraId="26CB12D0" w14:textId="77777777" w:rsidR="009C5D55" w:rsidRPr="009C5D55" w:rsidRDefault="009C5D55" w:rsidP="009C5D55">
      <w:pPr>
        <w:contextualSpacing/>
        <w:rPr>
          <w:rFonts w:ascii="Verdana" w:eastAsia="Batang" w:hAnsi="Verdana"/>
          <w:color w:val="000000"/>
          <w:sz w:val="20"/>
          <w:szCs w:val="20"/>
          <w:lang w:val="es-CR"/>
        </w:rPr>
      </w:pPr>
    </w:p>
    <w:p w14:paraId="579D8FB3" w14:textId="53FDBD1B"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eastAsia="Batang" w:hAnsi="Verdana"/>
          <w:color w:val="000000"/>
          <w:sz w:val="20"/>
          <w:szCs w:val="20"/>
          <w:lang w:val="es-CR"/>
        </w:rPr>
        <w:t xml:space="preserve">La Corte constata que en virtud del artículo 35.1 del Reglamento, solamente el señor </w:t>
      </w:r>
      <w:r w:rsidR="00334B6C" w:rsidRPr="00334B6C">
        <w:rPr>
          <w:rFonts w:ascii="Verdana" w:eastAsia="Batang" w:hAnsi="Verdana"/>
          <w:color w:val="000000"/>
          <w:sz w:val="20"/>
          <w:szCs w:val="20"/>
          <w:lang w:val="es-CR"/>
        </w:rPr>
        <w:t xml:space="preserve">Alfredo </w:t>
      </w:r>
      <w:r w:rsidRPr="009C5D55">
        <w:rPr>
          <w:rFonts w:ascii="Verdana" w:eastAsia="Batang" w:hAnsi="Verdana"/>
          <w:color w:val="000000"/>
          <w:sz w:val="20"/>
          <w:szCs w:val="20"/>
          <w:lang w:val="es-CR"/>
        </w:rPr>
        <w:t>Lagos del Campo en su carácter de víctima de las violaciones declaradas en la presente Sentencia, será considerado beneficiario de las reparaciones que ordene el Tribunal.</w:t>
      </w:r>
      <w:r w:rsidRPr="009C5D55">
        <w:rPr>
          <w:rFonts w:ascii="Verdana" w:hAnsi="Verdana"/>
          <w:sz w:val="20"/>
          <w:szCs w:val="20"/>
          <w:lang w:val="es-CR"/>
        </w:rPr>
        <w:t xml:space="preserve"> En vista de lo anterior, </w:t>
      </w:r>
      <w:r w:rsidR="00A07203">
        <w:rPr>
          <w:rFonts w:ascii="Verdana" w:hAnsi="Verdana"/>
          <w:sz w:val="20"/>
          <w:szCs w:val="20"/>
          <w:lang w:val="es-CR"/>
        </w:rPr>
        <w:t xml:space="preserve">en </w:t>
      </w:r>
      <w:r w:rsidRPr="009C5D55">
        <w:rPr>
          <w:rFonts w:ascii="Verdana" w:hAnsi="Verdana"/>
          <w:sz w:val="20"/>
          <w:szCs w:val="20"/>
          <w:lang w:val="es-CR"/>
        </w:rPr>
        <w:t xml:space="preserve">la presente no se referirá a los alegatos en beneficio de otras personas. </w:t>
      </w:r>
    </w:p>
    <w:p w14:paraId="529EB392" w14:textId="77777777" w:rsidR="009C5D55" w:rsidRPr="009C5D55" w:rsidRDefault="009C5D55" w:rsidP="009C5D55">
      <w:pPr>
        <w:widowControl w:val="0"/>
        <w:tabs>
          <w:tab w:val="center" w:pos="567"/>
        </w:tabs>
        <w:autoSpaceDE w:val="0"/>
        <w:autoSpaceDN w:val="0"/>
        <w:adjustRightInd w:val="0"/>
        <w:ind w:left="360" w:right="-90"/>
        <w:contextualSpacing/>
        <w:jc w:val="both"/>
        <w:rPr>
          <w:rFonts w:ascii="Verdana" w:hAnsi="Verdana"/>
          <w:sz w:val="20"/>
          <w:szCs w:val="20"/>
          <w:lang w:val="es-CR"/>
        </w:rPr>
      </w:pPr>
    </w:p>
    <w:p w14:paraId="2D5BD74F" w14:textId="77777777" w:rsidR="009C5D55" w:rsidRPr="00C0187C" w:rsidRDefault="009C5D55" w:rsidP="00E66DD7">
      <w:pPr>
        <w:pStyle w:val="Heading2"/>
        <w:numPr>
          <w:ilvl w:val="0"/>
          <w:numId w:val="13"/>
        </w:numPr>
        <w:rPr>
          <w:i/>
          <w:szCs w:val="20"/>
        </w:rPr>
      </w:pPr>
      <w:bookmarkStart w:id="68" w:name="_Toc498333523"/>
      <w:r w:rsidRPr="00C0187C">
        <w:rPr>
          <w:i/>
          <w:szCs w:val="20"/>
        </w:rPr>
        <w:t>Medidas de satisfacción</w:t>
      </w:r>
      <w:bookmarkEnd w:id="68"/>
    </w:p>
    <w:p w14:paraId="375FC16C" w14:textId="77777777" w:rsidR="009C5D55" w:rsidRDefault="009C5D55" w:rsidP="009C5D55">
      <w:pPr>
        <w:contextualSpacing/>
        <w:rPr>
          <w:rFonts w:ascii="Verdana" w:hAnsi="Verdana"/>
          <w:sz w:val="20"/>
          <w:szCs w:val="20"/>
          <w:lang w:val="es-CR"/>
        </w:rPr>
      </w:pPr>
    </w:p>
    <w:p w14:paraId="303754C4" w14:textId="77777777" w:rsidR="00A63638" w:rsidRPr="00C0187C" w:rsidRDefault="00A63638" w:rsidP="00E66DD7">
      <w:pPr>
        <w:pStyle w:val="Heading3"/>
        <w:numPr>
          <w:ilvl w:val="0"/>
          <w:numId w:val="14"/>
        </w:numPr>
        <w:rPr>
          <w:i/>
          <w:lang w:val="es-MX"/>
        </w:rPr>
      </w:pPr>
      <w:bookmarkStart w:id="69" w:name="_Toc498333524"/>
      <w:r w:rsidRPr="00C0187C">
        <w:rPr>
          <w:i/>
          <w:lang w:val="es-MX"/>
        </w:rPr>
        <w:t>Publicaciones</w:t>
      </w:r>
      <w:bookmarkEnd w:id="69"/>
    </w:p>
    <w:p w14:paraId="396158A0" w14:textId="77777777" w:rsidR="00A63638" w:rsidRPr="009C5D55" w:rsidRDefault="00A63638" w:rsidP="009C5D55">
      <w:pPr>
        <w:contextualSpacing/>
        <w:rPr>
          <w:rFonts w:ascii="Verdana" w:hAnsi="Verdana"/>
          <w:sz w:val="20"/>
          <w:szCs w:val="20"/>
          <w:lang w:val="es-CR"/>
        </w:rPr>
      </w:pPr>
    </w:p>
    <w:p w14:paraId="6F8C3043" w14:textId="384D77F4"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cstheme="minorBidi"/>
          <w:bCs/>
          <w:sz w:val="20"/>
          <w:szCs w:val="20"/>
          <w:lang w:val="es-MX"/>
        </w:rPr>
      </w:pPr>
      <w:r w:rsidRPr="009C5D55">
        <w:rPr>
          <w:rFonts w:ascii="Verdana" w:hAnsi="Verdana" w:cstheme="minorBidi"/>
          <w:bCs/>
          <w:sz w:val="20"/>
          <w:szCs w:val="20"/>
          <w:lang w:val="es-MX"/>
        </w:rPr>
        <w:t xml:space="preserve">Los </w:t>
      </w:r>
      <w:r w:rsidRPr="009C5D55">
        <w:rPr>
          <w:rFonts w:ascii="Verdana" w:hAnsi="Verdana" w:cstheme="minorBidi"/>
          <w:b/>
          <w:bCs/>
          <w:i/>
          <w:sz w:val="20"/>
          <w:szCs w:val="20"/>
          <w:lang w:val="es-MX"/>
        </w:rPr>
        <w:t>representantes</w:t>
      </w:r>
      <w:r w:rsidRPr="009C5D55">
        <w:rPr>
          <w:rFonts w:ascii="Verdana" w:hAnsi="Verdana" w:cstheme="minorBidi"/>
          <w:bCs/>
          <w:i/>
          <w:sz w:val="20"/>
          <w:szCs w:val="20"/>
          <w:lang w:val="es-MX"/>
        </w:rPr>
        <w:t xml:space="preserve"> </w:t>
      </w:r>
      <w:r w:rsidRPr="009C5D55">
        <w:rPr>
          <w:rFonts w:ascii="Verdana" w:hAnsi="Verdana" w:cstheme="minorBidi"/>
          <w:bCs/>
          <w:sz w:val="20"/>
          <w:szCs w:val="20"/>
          <w:lang w:val="es-MX"/>
        </w:rPr>
        <w:t xml:space="preserve">solicitaron que se publique la sentencia de la Corte en el diario Oficial y en un diario de circulación nacional, dentro de un plazo de 6 meses, así como en la página web del Ministerio de Justicia y Derechos Humanos a no más de tres enlaces desde la página principal, y que se mantenga hasta que se cumpla integralmente la sentencia. En particular, solicitaron que por lo menos se publiquen las secciones de contexto, hechos </w:t>
      </w:r>
      <w:r w:rsidRPr="009C5D55">
        <w:rPr>
          <w:rFonts w:ascii="Verdana" w:hAnsi="Verdana" w:cstheme="minorBidi"/>
          <w:bCs/>
          <w:sz w:val="20"/>
          <w:szCs w:val="20"/>
          <w:lang w:val="es-MX"/>
        </w:rPr>
        <w:lastRenderedPageBreak/>
        <w:t>probados y parte resolutiva de la Sentencia.</w:t>
      </w:r>
    </w:p>
    <w:p w14:paraId="702466FC" w14:textId="77777777" w:rsidR="009C5D55" w:rsidRPr="009C5D55" w:rsidRDefault="009C5D55" w:rsidP="009C5D55">
      <w:pPr>
        <w:widowControl w:val="0"/>
        <w:tabs>
          <w:tab w:val="center" w:pos="0"/>
        </w:tabs>
        <w:autoSpaceDE w:val="0"/>
        <w:autoSpaceDN w:val="0"/>
        <w:adjustRightInd w:val="0"/>
        <w:contextualSpacing/>
        <w:jc w:val="both"/>
        <w:rPr>
          <w:rFonts w:ascii="Verdana" w:hAnsi="Verdana"/>
          <w:sz w:val="20"/>
          <w:szCs w:val="20"/>
          <w:lang w:val="es-CR"/>
        </w:rPr>
      </w:pPr>
    </w:p>
    <w:p w14:paraId="3F8FB9EC" w14:textId="5E5410E3"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MX"/>
        </w:rPr>
      </w:pPr>
      <w:r w:rsidRPr="009C5D55">
        <w:rPr>
          <w:rFonts w:ascii="Verdana" w:hAnsi="Verdana"/>
          <w:sz w:val="20"/>
          <w:szCs w:val="20"/>
          <w:lang w:val="es-MX"/>
        </w:rPr>
        <w:t xml:space="preserve">El </w:t>
      </w:r>
      <w:r w:rsidRPr="009C5D55">
        <w:rPr>
          <w:rFonts w:ascii="Verdana" w:hAnsi="Verdana"/>
          <w:b/>
          <w:i/>
          <w:sz w:val="20"/>
          <w:szCs w:val="20"/>
          <w:lang w:val="es-MX"/>
        </w:rPr>
        <w:t>Estado</w:t>
      </w:r>
      <w:r w:rsidRPr="009C5D55">
        <w:rPr>
          <w:rFonts w:ascii="Verdana" w:hAnsi="Verdana"/>
          <w:sz w:val="20"/>
          <w:szCs w:val="20"/>
          <w:lang w:val="es-MX"/>
        </w:rPr>
        <w:t xml:space="preserve"> señaló que no corresponde </w:t>
      </w:r>
      <w:r w:rsidR="00EB3278">
        <w:rPr>
          <w:rFonts w:ascii="Verdana" w:hAnsi="Verdana"/>
          <w:sz w:val="20"/>
          <w:szCs w:val="20"/>
          <w:lang w:val="es-MX"/>
        </w:rPr>
        <w:t xml:space="preserve">otorgar como medida de reparación </w:t>
      </w:r>
      <w:r w:rsidRPr="009C5D55">
        <w:rPr>
          <w:rFonts w:ascii="Verdana" w:hAnsi="Verdana"/>
          <w:sz w:val="20"/>
          <w:szCs w:val="20"/>
          <w:lang w:val="es-MX"/>
        </w:rPr>
        <w:t xml:space="preserve">la publicación de la sentencia porque no hay hechos que la publicación permitiría esclarecer. No obstante, en caso de que se ordenara, no procedería la inclusión del contexto del conflicto armado interno que vivió Perú entre 1980 y 2000, </w:t>
      </w:r>
      <w:r w:rsidR="001B481A" w:rsidRPr="00333304">
        <w:rPr>
          <w:rFonts w:ascii="Verdana" w:hAnsi="Verdana"/>
          <w:sz w:val="20"/>
          <w:szCs w:val="20"/>
          <w:lang w:val="es-MX"/>
        </w:rPr>
        <w:t xml:space="preserve">puesto </w:t>
      </w:r>
      <w:r w:rsidRPr="009C5D55">
        <w:rPr>
          <w:rFonts w:ascii="Verdana" w:hAnsi="Verdana"/>
          <w:sz w:val="20"/>
          <w:szCs w:val="20"/>
          <w:lang w:val="es-MX"/>
        </w:rPr>
        <w:t>que no forma parte del marco fáctico fijado por el Informe de Fondo</w:t>
      </w:r>
      <w:r w:rsidR="00A07203">
        <w:rPr>
          <w:rFonts w:ascii="Verdana" w:hAnsi="Verdana"/>
          <w:sz w:val="20"/>
          <w:szCs w:val="20"/>
          <w:lang w:val="es-MX"/>
        </w:rPr>
        <w:t xml:space="preserve">. </w:t>
      </w:r>
      <w:r w:rsidRPr="009C5D55">
        <w:rPr>
          <w:rFonts w:ascii="Verdana" w:hAnsi="Verdana"/>
          <w:sz w:val="20"/>
          <w:szCs w:val="20"/>
          <w:lang w:val="es-MX"/>
        </w:rPr>
        <w:t xml:space="preserve">Tampoco correspondería </w:t>
      </w:r>
      <w:r w:rsidR="00EB3278">
        <w:rPr>
          <w:rFonts w:ascii="Verdana" w:hAnsi="Verdana"/>
          <w:sz w:val="20"/>
          <w:szCs w:val="20"/>
          <w:lang w:val="es-MX"/>
        </w:rPr>
        <w:t>al</w:t>
      </w:r>
      <w:r w:rsidRPr="009C5D55">
        <w:rPr>
          <w:rFonts w:ascii="Verdana" w:hAnsi="Verdana"/>
          <w:sz w:val="20"/>
          <w:szCs w:val="20"/>
          <w:lang w:val="es-MX"/>
        </w:rPr>
        <w:t xml:space="preserve"> Ministerio del Poder Ejecutivo realizar la publicación, </w:t>
      </w:r>
      <w:r w:rsidR="00F830E9" w:rsidRPr="00333304">
        <w:rPr>
          <w:rFonts w:ascii="Verdana" w:hAnsi="Verdana"/>
          <w:sz w:val="20"/>
          <w:szCs w:val="20"/>
          <w:lang w:val="es-MX"/>
        </w:rPr>
        <w:t>debido a</w:t>
      </w:r>
      <w:r w:rsidR="001B481A">
        <w:rPr>
          <w:rFonts w:ascii="Verdana" w:hAnsi="Verdana"/>
          <w:sz w:val="20"/>
          <w:szCs w:val="20"/>
          <w:lang w:val="es-MX"/>
        </w:rPr>
        <w:t xml:space="preserve"> </w:t>
      </w:r>
      <w:r w:rsidR="00EB3278">
        <w:rPr>
          <w:rFonts w:ascii="Verdana" w:hAnsi="Verdana"/>
          <w:sz w:val="20"/>
          <w:szCs w:val="20"/>
          <w:lang w:val="es-MX"/>
        </w:rPr>
        <w:t>que dicha publicación ha estado siempre dentro del</w:t>
      </w:r>
      <w:r w:rsidRPr="009C5D55">
        <w:rPr>
          <w:rFonts w:ascii="Verdana" w:hAnsi="Verdana"/>
          <w:sz w:val="20"/>
          <w:szCs w:val="20"/>
          <w:lang w:val="es-MX"/>
        </w:rPr>
        <w:t xml:space="preserve"> legítimo margen de apreciación del Estado</w:t>
      </w:r>
      <w:r w:rsidR="00A07203">
        <w:rPr>
          <w:rFonts w:ascii="Verdana" w:hAnsi="Verdana"/>
          <w:sz w:val="20"/>
          <w:szCs w:val="20"/>
          <w:lang w:val="es-MX"/>
        </w:rPr>
        <w:t>.</w:t>
      </w:r>
    </w:p>
    <w:p w14:paraId="07DC6DA0" w14:textId="77777777" w:rsidR="009C5D55" w:rsidRPr="009C5D55" w:rsidRDefault="009C5D55" w:rsidP="009C5D55">
      <w:pPr>
        <w:widowControl w:val="0"/>
        <w:tabs>
          <w:tab w:val="center" w:pos="0"/>
        </w:tabs>
        <w:autoSpaceDE w:val="0"/>
        <w:autoSpaceDN w:val="0"/>
        <w:adjustRightInd w:val="0"/>
        <w:contextualSpacing/>
        <w:jc w:val="both"/>
        <w:rPr>
          <w:rFonts w:ascii="Verdana" w:hAnsi="Verdana"/>
          <w:sz w:val="20"/>
          <w:szCs w:val="20"/>
          <w:lang w:val="es-MX"/>
        </w:rPr>
      </w:pPr>
    </w:p>
    <w:p w14:paraId="2E665344" w14:textId="77777777"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MX"/>
        </w:rPr>
      </w:pPr>
      <w:r w:rsidRPr="009C5D55">
        <w:rPr>
          <w:rFonts w:ascii="Verdana" w:hAnsi="Verdana"/>
          <w:sz w:val="20"/>
          <w:szCs w:val="20"/>
          <w:lang w:val="es-MX"/>
        </w:rPr>
        <w:t xml:space="preserve">La </w:t>
      </w:r>
      <w:r w:rsidRPr="009C5D55">
        <w:rPr>
          <w:rFonts w:ascii="Verdana" w:hAnsi="Verdana"/>
          <w:b/>
          <w:i/>
          <w:sz w:val="20"/>
          <w:szCs w:val="20"/>
          <w:lang w:val="es-MX"/>
        </w:rPr>
        <w:t>Comisión</w:t>
      </w:r>
      <w:r w:rsidRPr="009C5D55">
        <w:rPr>
          <w:rFonts w:ascii="Verdana" w:hAnsi="Verdana"/>
          <w:sz w:val="20"/>
          <w:szCs w:val="20"/>
          <w:lang w:val="es-MX"/>
        </w:rPr>
        <w:t xml:space="preserve"> no se refirió al respecto.</w:t>
      </w:r>
    </w:p>
    <w:p w14:paraId="3BA3DEE0" w14:textId="77777777" w:rsidR="009C5D55" w:rsidRPr="009C5D55" w:rsidRDefault="009C5D55" w:rsidP="009C5D55">
      <w:pPr>
        <w:contextualSpacing/>
        <w:rPr>
          <w:rFonts w:ascii="Verdana" w:hAnsi="Verdana"/>
          <w:sz w:val="20"/>
          <w:szCs w:val="20"/>
          <w:lang w:val="es-CR"/>
        </w:rPr>
      </w:pPr>
    </w:p>
    <w:p w14:paraId="18AA15CA" w14:textId="6A7A7ECE" w:rsidR="009C5D55" w:rsidRPr="009C5D55"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 xml:space="preserve">En este sentido, </w:t>
      </w:r>
      <w:r w:rsidRPr="00A07203">
        <w:rPr>
          <w:rFonts w:ascii="Verdana" w:hAnsi="Verdana"/>
          <w:sz w:val="20"/>
          <w:szCs w:val="20"/>
          <w:lang w:val="es-CR"/>
        </w:rPr>
        <w:t xml:space="preserve">la </w:t>
      </w:r>
      <w:r w:rsidRPr="00333304">
        <w:rPr>
          <w:rFonts w:ascii="Verdana" w:hAnsi="Verdana"/>
          <w:b/>
          <w:i/>
          <w:sz w:val="20"/>
          <w:szCs w:val="20"/>
          <w:lang w:val="es-CR"/>
        </w:rPr>
        <w:t>Corte</w:t>
      </w:r>
      <w:r w:rsidRPr="009C5D55">
        <w:rPr>
          <w:rFonts w:ascii="Verdana" w:hAnsi="Verdana"/>
          <w:sz w:val="20"/>
          <w:szCs w:val="20"/>
          <w:lang w:val="es-CR"/>
        </w:rPr>
        <w:t xml:space="preserve"> estima, como lo ha dispuesto en otros casos</w:t>
      </w:r>
      <w:r w:rsidRPr="00A07203">
        <w:rPr>
          <w:rFonts w:ascii="Verdana" w:hAnsi="Verdana"/>
          <w:sz w:val="20"/>
          <w:szCs w:val="20"/>
          <w:vertAlign w:val="superscript"/>
          <w:lang w:val="es-CR"/>
        </w:rPr>
        <w:footnoteReference w:id="265"/>
      </w:r>
      <w:r w:rsidRPr="009C5D55">
        <w:rPr>
          <w:rFonts w:ascii="Verdana" w:hAnsi="Verdana"/>
          <w:sz w:val="20"/>
          <w:szCs w:val="20"/>
          <w:lang w:val="es-CR"/>
        </w:rPr>
        <w:t xml:space="preserve">, que el Estado deberá publicar, en el plazo de seis meses, contado a partir de la notificación de la presente Sentencia: a) el resumen oficial de esta Sentencia elaborado por la Corte, por una sola vez, en el Diario Oficial </w:t>
      </w:r>
      <w:r w:rsidRPr="005D0F69">
        <w:rPr>
          <w:rFonts w:ascii="Verdana" w:hAnsi="Verdana"/>
          <w:sz w:val="20"/>
          <w:szCs w:val="20"/>
          <w:lang w:val="es-CR"/>
        </w:rPr>
        <w:t>en un tamaño de letra legible y adecuado</w:t>
      </w:r>
      <w:r w:rsidRPr="009C5D55">
        <w:rPr>
          <w:rFonts w:ascii="Verdana" w:hAnsi="Verdana"/>
          <w:sz w:val="20"/>
          <w:szCs w:val="20"/>
          <w:lang w:val="es-CR"/>
        </w:rPr>
        <w:t xml:space="preserve">; b) el resumen oficial de la Sentencia elaborado por la Corte, por una sola vez, en un diario de amplia circulación nacional </w:t>
      </w:r>
      <w:r w:rsidRPr="005D0F69">
        <w:rPr>
          <w:rFonts w:ascii="Verdana" w:hAnsi="Verdana"/>
          <w:sz w:val="20"/>
          <w:szCs w:val="20"/>
          <w:lang w:val="es-CR"/>
        </w:rPr>
        <w:t>en un</w:t>
      </w:r>
      <w:r w:rsidRPr="009C5D55">
        <w:rPr>
          <w:rFonts w:ascii="Verdana" w:hAnsi="Verdana"/>
          <w:b/>
          <w:sz w:val="20"/>
          <w:szCs w:val="20"/>
          <w:lang w:val="es-CR"/>
        </w:rPr>
        <w:t xml:space="preserve"> </w:t>
      </w:r>
      <w:r w:rsidRPr="005D0F69">
        <w:rPr>
          <w:rFonts w:ascii="Verdana" w:hAnsi="Verdana"/>
          <w:sz w:val="20"/>
          <w:szCs w:val="20"/>
          <w:lang w:val="es-CR"/>
        </w:rPr>
        <w:t>tamaño de letra legible y adecuado</w:t>
      </w:r>
      <w:r w:rsidRPr="009C5D55">
        <w:rPr>
          <w:rFonts w:ascii="Verdana" w:hAnsi="Verdana"/>
          <w:sz w:val="20"/>
          <w:szCs w:val="20"/>
          <w:lang w:val="es-CR"/>
        </w:rPr>
        <w:t>, y c) la presente Sentencia en su integridad, disponible por un período de un año, en un sitio web oficial</w:t>
      </w:r>
      <w:r w:rsidRPr="005D0F69">
        <w:rPr>
          <w:rFonts w:ascii="Verdana" w:hAnsi="Verdana"/>
          <w:sz w:val="20"/>
          <w:szCs w:val="20"/>
          <w:lang w:val="es-CR"/>
        </w:rPr>
        <w:t>, de manera accesible al público</w:t>
      </w:r>
      <w:r w:rsidR="00925FE5">
        <w:rPr>
          <w:rFonts w:ascii="Verdana" w:hAnsi="Verdana"/>
          <w:sz w:val="20"/>
          <w:szCs w:val="20"/>
          <w:lang w:val="es-CR"/>
        </w:rPr>
        <w:t xml:space="preserve"> y desde la página de inicio del sitio web</w:t>
      </w:r>
      <w:r w:rsidRPr="009C5D55">
        <w:rPr>
          <w:rFonts w:ascii="Verdana" w:hAnsi="Verdana"/>
          <w:sz w:val="20"/>
          <w:szCs w:val="20"/>
          <w:lang w:val="es-CR"/>
        </w:rPr>
        <w:t>.</w:t>
      </w:r>
    </w:p>
    <w:p w14:paraId="501294C3" w14:textId="77777777" w:rsidR="009C5D55" w:rsidRPr="009C5D55" w:rsidRDefault="009C5D55" w:rsidP="009C5D55">
      <w:pPr>
        <w:widowControl w:val="0"/>
        <w:tabs>
          <w:tab w:val="center" w:pos="567"/>
        </w:tabs>
        <w:autoSpaceDE w:val="0"/>
        <w:autoSpaceDN w:val="0"/>
        <w:adjustRightInd w:val="0"/>
        <w:contextualSpacing/>
        <w:jc w:val="both"/>
        <w:rPr>
          <w:rFonts w:ascii="Verdana" w:hAnsi="Verdana"/>
          <w:sz w:val="20"/>
          <w:szCs w:val="20"/>
          <w:lang w:val="es-CR"/>
        </w:rPr>
      </w:pPr>
    </w:p>
    <w:p w14:paraId="0325815D" w14:textId="452A692E" w:rsidR="009C5D55" w:rsidRPr="009C5D55"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b/>
          <w:sz w:val="20"/>
          <w:szCs w:val="20"/>
          <w:lang w:val="es-CR"/>
        </w:rPr>
      </w:pPr>
      <w:r w:rsidRPr="009C5D55">
        <w:rPr>
          <w:rFonts w:ascii="Verdana" w:hAnsi="Verdana"/>
          <w:sz w:val="20"/>
          <w:szCs w:val="20"/>
          <w:lang w:val="es-ES"/>
        </w:rPr>
        <w:t xml:space="preserve">El Estado deberá informar de forma inmediata a esta Corte una vez que proceda a realizar cada una de las publicaciones dispuestas, independientemente del plazo de un año para presentar su primer informe dispuesto en el </w:t>
      </w:r>
      <w:r w:rsidR="00B31162">
        <w:rPr>
          <w:rFonts w:ascii="Verdana" w:hAnsi="Verdana"/>
          <w:sz w:val="20"/>
          <w:szCs w:val="20"/>
          <w:lang w:val="es-ES"/>
        </w:rPr>
        <w:t>P</w:t>
      </w:r>
      <w:r w:rsidRPr="009C5D55">
        <w:rPr>
          <w:rFonts w:ascii="Verdana" w:hAnsi="Verdana"/>
          <w:sz w:val="20"/>
          <w:szCs w:val="20"/>
          <w:lang w:val="es-ES"/>
        </w:rPr>
        <w:t xml:space="preserve">unto </w:t>
      </w:r>
      <w:r w:rsidR="00B31162">
        <w:rPr>
          <w:rFonts w:ascii="Verdana" w:hAnsi="Verdana"/>
          <w:sz w:val="20"/>
          <w:szCs w:val="20"/>
          <w:lang w:val="es-ES"/>
        </w:rPr>
        <w:t>R</w:t>
      </w:r>
      <w:r w:rsidRPr="009C5D55">
        <w:rPr>
          <w:rFonts w:ascii="Verdana" w:hAnsi="Verdana"/>
          <w:sz w:val="20"/>
          <w:szCs w:val="20"/>
          <w:lang w:val="es-ES"/>
        </w:rPr>
        <w:t xml:space="preserve">esolutivo </w:t>
      </w:r>
      <w:r w:rsidR="00A07203">
        <w:rPr>
          <w:rFonts w:ascii="Verdana" w:hAnsi="Verdana"/>
          <w:sz w:val="20"/>
          <w:szCs w:val="20"/>
          <w:lang w:val="es-ES"/>
        </w:rPr>
        <w:t>1</w:t>
      </w:r>
      <w:r w:rsidR="00EE4766">
        <w:rPr>
          <w:rFonts w:ascii="Verdana" w:hAnsi="Verdana"/>
          <w:sz w:val="20"/>
          <w:szCs w:val="20"/>
          <w:lang w:val="es-ES"/>
        </w:rPr>
        <w:t>3</w:t>
      </w:r>
      <w:r w:rsidRPr="009C5D55">
        <w:rPr>
          <w:rFonts w:ascii="Verdana" w:hAnsi="Verdana"/>
          <w:sz w:val="20"/>
          <w:szCs w:val="20"/>
          <w:lang w:val="es-ES"/>
        </w:rPr>
        <w:t xml:space="preserve"> de la Sentencia.</w:t>
      </w:r>
    </w:p>
    <w:p w14:paraId="0960716B" w14:textId="6251EBE8" w:rsidR="00564925" w:rsidRPr="002621F7" w:rsidRDefault="00564925" w:rsidP="005D0F69">
      <w:pPr>
        <w:widowControl w:val="0"/>
        <w:tabs>
          <w:tab w:val="center" w:pos="567"/>
        </w:tabs>
        <w:autoSpaceDE w:val="0"/>
        <w:autoSpaceDN w:val="0"/>
        <w:adjustRightInd w:val="0"/>
        <w:contextualSpacing/>
        <w:jc w:val="both"/>
        <w:rPr>
          <w:rFonts w:ascii="Verdana" w:eastAsiaTheme="minorHAnsi" w:hAnsi="Verdana" w:cstheme="minorBidi"/>
          <w:sz w:val="20"/>
          <w:szCs w:val="20"/>
          <w:lang w:val="es-CR"/>
        </w:rPr>
      </w:pPr>
    </w:p>
    <w:p w14:paraId="3D8A5977" w14:textId="0971F5BF" w:rsidR="00564925" w:rsidRDefault="00564925" w:rsidP="00E66DD7">
      <w:pPr>
        <w:pStyle w:val="Heading2"/>
        <w:numPr>
          <w:ilvl w:val="0"/>
          <w:numId w:val="13"/>
        </w:numPr>
        <w:rPr>
          <w:i/>
          <w:szCs w:val="20"/>
        </w:rPr>
      </w:pPr>
      <w:bookmarkStart w:id="70" w:name="_Toc498333525"/>
      <w:r>
        <w:rPr>
          <w:i/>
          <w:szCs w:val="20"/>
        </w:rPr>
        <w:t>Otras medidas solicitadas</w:t>
      </w:r>
      <w:bookmarkEnd w:id="70"/>
    </w:p>
    <w:p w14:paraId="1AB68A0F" w14:textId="77777777" w:rsidR="003F07AD" w:rsidRDefault="003F07AD" w:rsidP="005D0F69">
      <w:pPr>
        <w:widowControl w:val="0"/>
        <w:tabs>
          <w:tab w:val="center" w:pos="567"/>
        </w:tabs>
        <w:autoSpaceDE w:val="0"/>
        <w:autoSpaceDN w:val="0"/>
        <w:adjustRightInd w:val="0"/>
        <w:contextualSpacing/>
        <w:jc w:val="both"/>
        <w:rPr>
          <w:rFonts w:ascii="Verdana" w:eastAsiaTheme="minorHAnsi" w:hAnsi="Verdana" w:cstheme="minorBidi"/>
          <w:sz w:val="20"/>
          <w:szCs w:val="20"/>
          <w:lang w:val="es-MX"/>
        </w:rPr>
      </w:pPr>
    </w:p>
    <w:p w14:paraId="0A71BC24" w14:textId="250FF451" w:rsidR="000C6082" w:rsidRDefault="000C6082" w:rsidP="00E66DD7">
      <w:pPr>
        <w:widowControl w:val="0"/>
        <w:numPr>
          <w:ilvl w:val="0"/>
          <w:numId w:val="1"/>
        </w:numPr>
        <w:tabs>
          <w:tab w:val="center" w:pos="567"/>
          <w:tab w:val="num" w:pos="840"/>
        </w:tabs>
        <w:autoSpaceDE w:val="0"/>
        <w:autoSpaceDN w:val="0"/>
        <w:adjustRightInd w:val="0"/>
        <w:ind w:left="0" w:firstLine="0"/>
        <w:contextualSpacing/>
        <w:jc w:val="both"/>
        <w:rPr>
          <w:rFonts w:ascii="Verdana" w:eastAsiaTheme="minorHAnsi" w:hAnsi="Verdana" w:cstheme="minorBidi"/>
          <w:sz w:val="20"/>
          <w:szCs w:val="20"/>
        </w:rPr>
      </w:pPr>
      <w:r w:rsidRPr="000C6082">
        <w:rPr>
          <w:rFonts w:ascii="Verdana" w:eastAsiaTheme="minorHAnsi" w:hAnsi="Verdana" w:cstheme="minorBidi"/>
          <w:sz w:val="20"/>
          <w:szCs w:val="20"/>
        </w:rPr>
        <w:t xml:space="preserve">La jurisprudencia </w:t>
      </w:r>
      <w:r w:rsidRPr="00334B6C">
        <w:rPr>
          <w:rFonts w:ascii="Verdana" w:eastAsiaTheme="minorHAnsi" w:hAnsi="Verdana" w:cstheme="minorBidi"/>
          <w:sz w:val="20"/>
          <w:szCs w:val="20"/>
        </w:rPr>
        <w:t>internacional</w:t>
      </w:r>
      <w:r w:rsidRPr="000C6082">
        <w:rPr>
          <w:rFonts w:ascii="Verdana" w:eastAsiaTheme="minorHAnsi" w:hAnsi="Verdana" w:cstheme="minorBidi"/>
          <w:sz w:val="20"/>
          <w:szCs w:val="20"/>
        </w:rPr>
        <w:t xml:space="preserve">, y en particular de esta Corte, ha establecido reiteradamente que la sentencia constituye </w:t>
      </w:r>
      <w:r>
        <w:rPr>
          <w:rFonts w:ascii="Verdana" w:eastAsiaTheme="minorHAnsi" w:hAnsi="Verdana" w:cstheme="minorBidi"/>
          <w:sz w:val="20"/>
          <w:szCs w:val="20"/>
        </w:rPr>
        <w:t xml:space="preserve">por sí misma una forma de reparación. No obstante, la Corte nota las demás medidas solicitadas por las partes y se pronunciará al respecto. </w:t>
      </w:r>
    </w:p>
    <w:p w14:paraId="4474E3C0" w14:textId="77777777" w:rsidR="000C6082" w:rsidRPr="005D0F69" w:rsidRDefault="000C6082" w:rsidP="005D0F69">
      <w:pPr>
        <w:widowControl w:val="0"/>
        <w:tabs>
          <w:tab w:val="center" w:pos="567"/>
        </w:tabs>
        <w:autoSpaceDE w:val="0"/>
        <w:autoSpaceDN w:val="0"/>
        <w:adjustRightInd w:val="0"/>
        <w:contextualSpacing/>
        <w:jc w:val="both"/>
        <w:rPr>
          <w:rFonts w:ascii="Verdana" w:eastAsiaTheme="minorHAnsi" w:hAnsi="Verdana" w:cstheme="minorBidi"/>
          <w:sz w:val="20"/>
          <w:szCs w:val="20"/>
        </w:rPr>
      </w:pPr>
    </w:p>
    <w:p w14:paraId="4BCAE3DE" w14:textId="45C5BFA7" w:rsidR="00232AA2" w:rsidRDefault="003F07AD" w:rsidP="00E66DD7">
      <w:pPr>
        <w:widowControl w:val="0"/>
        <w:numPr>
          <w:ilvl w:val="0"/>
          <w:numId w:val="1"/>
        </w:numPr>
        <w:tabs>
          <w:tab w:val="center" w:pos="567"/>
          <w:tab w:val="num" w:pos="840"/>
        </w:tabs>
        <w:autoSpaceDE w:val="0"/>
        <w:autoSpaceDN w:val="0"/>
        <w:adjustRightInd w:val="0"/>
        <w:ind w:left="0" w:firstLine="0"/>
        <w:contextualSpacing/>
        <w:jc w:val="both"/>
        <w:rPr>
          <w:rFonts w:ascii="Verdana" w:eastAsiaTheme="minorHAnsi" w:hAnsi="Verdana" w:cstheme="minorBidi"/>
          <w:sz w:val="20"/>
          <w:szCs w:val="20"/>
          <w:lang w:val="es-MX"/>
        </w:rPr>
      </w:pPr>
      <w:r>
        <w:rPr>
          <w:rFonts w:ascii="Verdana" w:eastAsiaTheme="minorHAnsi" w:hAnsi="Verdana" w:cstheme="minorBidi"/>
          <w:sz w:val="20"/>
          <w:szCs w:val="20"/>
          <w:lang w:val="es-EC"/>
        </w:rPr>
        <w:t xml:space="preserve">En relación con las </w:t>
      </w:r>
      <w:r w:rsidR="000C6082">
        <w:rPr>
          <w:rFonts w:ascii="Verdana" w:eastAsiaTheme="minorHAnsi" w:hAnsi="Verdana" w:cstheme="minorBidi"/>
          <w:sz w:val="20"/>
          <w:szCs w:val="20"/>
          <w:lang w:val="es-EC"/>
        </w:rPr>
        <w:t>demás</w:t>
      </w:r>
      <w:r>
        <w:rPr>
          <w:rFonts w:ascii="Verdana" w:eastAsiaTheme="minorHAnsi" w:hAnsi="Verdana" w:cstheme="minorBidi"/>
          <w:sz w:val="20"/>
          <w:szCs w:val="20"/>
          <w:lang w:val="es-EC"/>
        </w:rPr>
        <w:t xml:space="preserve"> medidas de </w:t>
      </w:r>
      <w:r w:rsidRPr="005D0F69">
        <w:rPr>
          <w:rFonts w:ascii="Verdana" w:eastAsiaTheme="minorHAnsi" w:hAnsi="Verdana" w:cstheme="minorBidi"/>
          <w:i/>
          <w:sz w:val="20"/>
          <w:szCs w:val="20"/>
          <w:lang w:val="es-EC"/>
        </w:rPr>
        <w:t>satisfacción</w:t>
      </w:r>
      <w:r>
        <w:rPr>
          <w:rFonts w:ascii="Verdana" w:eastAsiaTheme="minorHAnsi" w:hAnsi="Verdana" w:cstheme="minorBidi"/>
          <w:sz w:val="20"/>
          <w:szCs w:val="20"/>
          <w:lang w:val="es-EC"/>
        </w:rPr>
        <w:t xml:space="preserve"> solicitadas, l</w:t>
      </w:r>
      <w:r w:rsidR="00564925" w:rsidRPr="005D0F69">
        <w:rPr>
          <w:rFonts w:ascii="Verdana" w:eastAsiaTheme="minorHAnsi" w:hAnsi="Verdana" w:cstheme="minorBidi"/>
          <w:sz w:val="20"/>
          <w:szCs w:val="20"/>
          <w:lang w:val="es-EC"/>
        </w:rPr>
        <w:t xml:space="preserve">os </w:t>
      </w:r>
      <w:r w:rsidR="00564925" w:rsidRPr="005D0F69">
        <w:rPr>
          <w:rFonts w:ascii="Verdana" w:eastAsiaTheme="minorHAnsi" w:hAnsi="Verdana" w:cstheme="minorBidi"/>
          <w:b/>
          <w:i/>
          <w:sz w:val="20"/>
          <w:szCs w:val="20"/>
          <w:lang w:val="es-EC"/>
        </w:rPr>
        <w:t>representantes</w:t>
      </w:r>
      <w:r w:rsidR="00564925" w:rsidRPr="005D0F69">
        <w:rPr>
          <w:rFonts w:ascii="Verdana" w:eastAsiaTheme="minorHAnsi" w:hAnsi="Verdana" w:cstheme="minorBidi"/>
          <w:sz w:val="20"/>
          <w:szCs w:val="20"/>
          <w:lang w:val="es-EC"/>
        </w:rPr>
        <w:t xml:space="preserve"> </w:t>
      </w:r>
      <w:r w:rsidR="000C6082">
        <w:rPr>
          <w:rFonts w:ascii="Verdana" w:eastAsiaTheme="minorHAnsi" w:hAnsi="Verdana" w:cstheme="minorBidi"/>
          <w:sz w:val="20"/>
          <w:szCs w:val="20"/>
          <w:lang w:val="es-EC"/>
        </w:rPr>
        <w:t xml:space="preserve">requirieron </w:t>
      </w:r>
      <w:r w:rsidR="00564925" w:rsidRPr="005D0F69">
        <w:rPr>
          <w:rFonts w:ascii="Verdana" w:eastAsiaTheme="minorHAnsi" w:hAnsi="Verdana" w:cstheme="minorBidi"/>
          <w:sz w:val="20"/>
          <w:szCs w:val="20"/>
          <w:lang w:val="es-EC"/>
        </w:rPr>
        <w:t>que se realice un acto de disculpas públicas por las más altas autoridades del Estado.</w:t>
      </w:r>
      <w:r w:rsidR="00564925">
        <w:rPr>
          <w:rFonts w:ascii="Verdana" w:eastAsiaTheme="minorHAnsi" w:hAnsi="Verdana" w:cstheme="minorBidi"/>
          <w:sz w:val="20"/>
          <w:szCs w:val="20"/>
          <w:lang w:val="es-EC"/>
        </w:rPr>
        <w:t xml:space="preserve"> El </w:t>
      </w:r>
      <w:r w:rsidR="00564925" w:rsidRPr="005D0F69">
        <w:rPr>
          <w:rFonts w:ascii="Verdana" w:eastAsiaTheme="minorHAnsi" w:hAnsi="Verdana" w:cstheme="minorBidi"/>
          <w:b/>
          <w:i/>
          <w:sz w:val="20"/>
          <w:szCs w:val="20"/>
          <w:lang w:val="es-EC"/>
        </w:rPr>
        <w:t>Estado</w:t>
      </w:r>
      <w:r w:rsidR="00564925">
        <w:rPr>
          <w:rFonts w:ascii="Verdana" w:eastAsiaTheme="minorHAnsi" w:hAnsi="Verdana" w:cstheme="minorBidi"/>
          <w:sz w:val="20"/>
          <w:szCs w:val="20"/>
          <w:lang w:val="es-EC"/>
        </w:rPr>
        <w:t xml:space="preserve"> </w:t>
      </w:r>
      <w:r w:rsidR="00564925" w:rsidRPr="00564925">
        <w:rPr>
          <w:rFonts w:ascii="Verdana" w:eastAsiaTheme="minorHAnsi" w:hAnsi="Verdana" w:cstheme="minorBidi"/>
          <w:sz w:val="20"/>
          <w:szCs w:val="20"/>
          <w:lang w:val="es-MX"/>
        </w:rPr>
        <w:t>sostuvo que no se otorgó un acto público de disculpas en el caso Aguado Alfaro</w:t>
      </w:r>
      <w:r w:rsidR="00A07203">
        <w:rPr>
          <w:rFonts w:ascii="Verdana" w:eastAsiaTheme="minorHAnsi" w:hAnsi="Verdana" w:cstheme="minorBidi"/>
          <w:sz w:val="20"/>
          <w:szCs w:val="20"/>
          <w:lang w:val="es-MX"/>
        </w:rPr>
        <w:t xml:space="preserve"> </w:t>
      </w:r>
      <w:r w:rsidR="00A07203" w:rsidRPr="00A07203">
        <w:rPr>
          <w:rFonts w:ascii="Verdana" w:eastAsiaTheme="minorHAnsi" w:hAnsi="Verdana" w:cstheme="minorBidi"/>
          <w:sz w:val="20"/>
          <w:szCs w:val="20"/>
          <w:lang w:val="es-MX"/>
        </w:rPr>
        <w:t>(</w:t>
      </w:r>
      <w:r w:rsidR="00A07203" w:rsidRPr="00333304">
        <w:rPr>
          <w:rFonts w:ascii="Verdana" w:hAnsi="Verdana"/>
          <w:i/>
          <w:sz w:val="20"/>
          <w:szCs w:val="20"/>
          <w:lang w:val="es-CR"/>
        </w:rPr>
        <w:t>Caso Trabajadores Cesados del Congreso Vs. Perú</w:t>
      </w:r>
      <w:r w:rsidR="00A07203" w:rsidRPr="00333304">
        <w:rPr>
          <w:rFonts w:ascii="Verdana" w:eastAsiaTheme="minorHAnsi" w:hAnsi="Verdana" w:cstheme="minorBidi"/>
          <w:i/>
          <w:sz w:val="20"/>
          <w:szCs w:val="20"/>
          <w:lang w:val="es-CR"/>
        </w:rPr>
        <w:t>,</w:t>
      </w:r>
      <w:r w:rsidR="00A07203">
        <w:rPr>
          <w:rFonts w:ascii="Verdana" w:eastAsiaTheme="minorHAnsi" w:hAnsi="Verdana" w:cstheme="minorBidi"/>
          <w:sz w:val="20"/>
          <w:szCs w:val="20"/>
          <w:lang w:val="es-CR"/>
        </w:rPr>
        <w:t xml:space="preserve"> de </w:t>
      </w:r>
      <w:r w:rsidR="00A07203" w:rsidRPr="00333304">
        <w:rPr>
          <w:rFonts w:ascii="Verdana" w:hAnsi="Verdana"/>
          <w:sz w:val="20"/>
          <w:szCs w:val="20"/>
          <w:lang w:val="es-CR"/>
        </w:rPr>
        <w:t>24 de noviembre de 2006)</w:t>
      </w:r>
      <w:r w:rsidR="00564925" w:rsidRPr="00564925">
        <w:rPr>
          <w:rFonts w:ascii="Verdana" w:eastAsiaTheme="minorHAnsi" w:hAnsi="Verdana" w:cstheme="minorBidi"/>
          <w:sz w:val="20"/>
          <w:szCs w:val="20"/>
          <w:lang w:val="es-MX"/>
        </w:rPr>
        <w:t>, sobre despido colectivo, por lo que con mayor razón no correspondería la realización de un acto en este caso en que la presunta víctima es una</w:t>
      </w:r>
      <w:r w:rsidR="00564925">
        <w:rPr>
          <w:rFonts w:ascii="Verdana" w:eastAsiaTheme="minorHAnsi" w:hAnsi="Verdana" w:cstheme="minorBidi"/>
          <w:sz w:val="20"/>
          <w:szCs w:val="20"/>
          <w:lang w:val="es-MX"/>
        </w:rPr>
        <w:t xml:space="preserve"> persona</w:t>
      </w:r>
      <w:r w:rsidR="00564925" w:rsidRPr="00564925">
        <w:rPr>
          <w:rFonts w:ascii="Verdana" w:eastAsiaTheme="minorHAnsi" w:hAnsi="Verdana" w:cstheme="minorBidi"/>
          <w:sz w:val="20"/>
          <w:szCs w:val="20"/>
          <w:lang w:val="es-MX"/>
        </w:rPr>
        <w:t>.</w:t>
      </w:r>
      <w:r w:rsidR="00564925">
        <w:rPr>
          <w:rFonts w:ascii="Verdana" w:eastAsiaTheme="minorHAnsi" w:hAnsi="Verdana" w:cstheme="minorBidi"/>
          <w:sz w:val="20"/>
          <w:szCs w:val="20"/>
          <w:lang w:val="es-MX"/>
        </w:rPr>
        <w:t xml:space="preserve"> </w:t>
      </w:r>
    </w:p>
    <w:p w14:paraId="6807B2FA" w14:textId="77777777" w:rsidR="00232AA2" w:rsidRDefault="00232AA2" w:rsidP="005D0F69">
      <w:pPr>
        <w:widowControl w:val="0"/>
        <w:tabs>
          <w:tab w:val="center" w:pos="567"/>
        </w:tabs>
        <w:autoSpaceDE w:val="0"/>
        <w:autoSpaceDN w:val="0"/>
        <w:adjustRightInd w:val="0"/>
        <w:contextualSpacing/>
        <w:jc w:val="both"/>
        <w:rPr>
          <w:rFonts w:ascii="Verdana" w:eastAsiaTheme="minorHAnsi" w:hAnsi="Verdana" w:cstheme="minorBidi"/>
          <w:sz w:val="20"/>
          <w:szCs w:val="20"/>
          <w:lang w:val="es-MX"/>
        </w:rPr>
      </w:pPr>
    </w:p>
    <w:p w14:paraId="5512710C" w14:textId="77777777" w:rsidR="0062065E" w:rsidRPr="005D0F69" w:rsidRDefault="00564925" w:rsidP="00E66DD7">
      <w:pPr>
        <w:widowControl w:val="0"/>
        <w:numPr>
          <w:ilvl w:val="0"/>
          <w:numId w:val="1"/>
        </w:numPr>
        <w:tabs>
          <w:tab w:val="center" w:pos="567"/>
          <w:tab w:val="num" w:pos="840"/>
        </w:tabs>
        <w:autoSpaceDE w:val="0"/>
        <w:autoSpaceDN w:val="0"/>
        <w:adjustRightInd w:val="0"/>
        <w:ind w:left="0" w:firstLine="0"/>
        <w:contextualSpacing/>
        <w:jc w:val="both"/>
        <w:rPr>
          <w:rFonts w:ascii="Verdana" w:eastAsiaTheme="minorHAnsi" w:hAnsi="Verdana" w:cstheme="minorBidi"/>
          <w:sz w:val="20"/>
          <w:szCs w:val="20"/>
          <w:lang w:val="es-MX"/>
        </w:rPr>
      </w:pPr>
      <w:r w:rsidRPr="0062065E">
        <w:rPr>
          <w:rFonts w:ascii="Verdana" w:eastAsiaTheme="minorHAnsi" w:hAnsi="Verdana" w:cstheme="minorBidi"/>
          <w:sz w:val="20"/>
          <w:szCs w:val="20"/>
          <w:lang w:val="es-EC"/>
        </w:rPr>
        <w:t xml:space="preserve">En el caso en particular, la Corte considera que la emisión de la presente Sentencia, así como la publicación de este Fallo en diversos medios, resultan medidas de satisfacción suficientes y adecuadas para remediar las violaciones </w:t>
      </w:r>
      <w:r w:rsidRPr="00AD7CB4">
        <w:rPr>
          <w:rFonts w:ascii="Verdana" w:eastAsiaTheme="minorHAnsi" w:hAnsi="Verdana" w:cstheme="minorBidi"/>
          <w:sz w:val="20"/>
          <w:szCs w:val="20"/>
          <w:lang w:val="es-EC"/>
        </w:rPr>
        <w:t xml:space="preserve">ocasionadas a la víctima y cumplir con la finalidad indicada por los representantes. </w:t>
      </w:r>
    </w:p>
    <w:p w14:paraId="1ADD8032" w14:textId="77777777" w:rsidR="00EB3278" w:rsidRPr="005D0F69" w:rsidRDefault="00EB3278" w:rsidP="005D0F69">
      <w:pPr>
        <w:widowControl w:val="0"/>
        <w:tabs>
          <w:tab w:val="center" w:pos="567"/>
        </w:tabs>
        <w:autoSpaceDE w:val="0"/>
        <w:autoSpaceDN w:val="0"/>
        <w:adjustRightInd w:val="0"/>
        <w:contextualSpacing/>
        <w:jc w:val="both"/>
        <w:rPr>
          <w:rFonts w:ascii="Verdana" w:eastAsiaTheme="minorHAnsi" w:hAnsi="Verdana" w:cstheme="minorBidi"/>
          <w:sz w:val="20"/>
          <w:szCs w:val="20"/>
          <w:lang w:val="es-MX"/>
        </w:rPr>
      </w:pPr>
    </w:p>
    <w:p w14:paraId="2C7A740F" w14:textId="76FC59F1" w:rsidR="00232AA2" w:rsidRDefault="003F07AD" w:rsidP="00E66DD7">
      <w:pPr>
        <w:widowControl w:val="0"/>
        <w:numPr>
          <w:ilvl w:val="0"/>
          <w:numId w:val="1"/>
        </w:numPr>
        <w:tabs>
          <w:tab w:val="center" w:pos="0"/>
        </w:tabs>
        <w:autoSpaceDE w:val="0"/>
        <w:autoSpaceDN w:val="0"/>
        <w:adjustRightInd w:val="0"/>
        <w:ind w:left="0" w:firstLine="0"/>
        <w:contextualSpacing/>
        <w:jc w:val="both"/>
        <w:rPr>
          <w:rFonts w:ascii="Verdana" w:eastAsiaTheme="minorHAnsi" w:hAnsi="Verdana" w:cstheme="minorBidi"/>
          <w:sz w:val="20"/>
          <w:szCs w:val="20"/>
          <w:lang w:val="es-CR"/>
        </w:rPr>
      </w:pPr>
      <w:r>
        <w:rPr>
          <w:rFonts w:ascii="Verdana" w:eastAsiaTheme="minorHAnsi" w:hAnsi="Verdana" w:cstheme="minorBidi"/>
          <w:sz w:val="20"/>
          <w:szCs w:val="20"/>
          <w:lang w:val="es-MX"/>
        </w:rPr>
        <w:t xml:space="preserve">Respecto de las medidas de </w:t>
      </w:r>
      <w:r w:rsidRPr="005D0F69">
        <w:rPr>
          <w:rFonts w:ascii="Verdana" w:eastAsiaTheme="minorHAnsi" w:hAnsi="Verdana" w:cstheme="minorBidi"/>
          <w:i/>
          <w:sz w:val="20"/>
          <w:szCs w:val="20"/>
          <w:lang w:val="es-MX"/>
        </w:rPr>
        <w:t>rehabilitación</w:t>
      </w:r>
      <w:r>
        <w:rPr>
          <w:rFonts w:ascii="Verdana" w:eastAsiaTheme="minorHAnsi" w:hAnsi="Verdana" w:cstheme="minorBidi"/>
          <w:sz w:val="20"/>
          <w:szCs w:val="20"/>
          <w:lang w:val="es-MX"/>
        </w:rPr>
        <w:t xml:space="preserve"> solicitadas, l</w:t>
      </w:r>
      <w:r w:rsidR="00EB3278" w:rsidRPr="009C5D55">
        <w:rPr>
          <w:rFonts w:ascii="Verdana" w:eastAsiaTheme="minorHAnsi" w:hAnsi="Verdana" w:cstheme="minorBidi"/>
          <w:sz w:val="20"/>
          <w:szCs w:val="20"/>
          <w:lang w:val="es-MX"/>
        </w:rPr>
        <w:t xml:space="preserve">os </w:t>
      </w:r>
      <w:r w:rsidR="00EB3278" w:rsidRPr="009C5D55">
        <w:rPr>
          <w:rFonts w:ascii="Verdana" w:eastAsiaTheme="minorHAnsi" w:hAnsi="Verdana" w:cstheme="minorBidi"/>
          <w:b/>
          <w:i/>
          <w:sz w:val="20"/>
          <w:szCs w:val="20"/>
          <w:lang w:val="es-MX"/>
        </w:rPr>
        <w:t>representantes</w:t>
      </w:r>
      <w:r w:rsidR="00EB3278" w:rsidRPr="009C5D55">
        <w:rPr>
          <w:rFonts w:ascii="Verdana" w:eastAsiaTheme="minorHAnsi" w:hAnsi="Verdana" w:cstheme="minorBidi"/>
          <w:sz w:val="20"/>
          <w:szCs w:val="20"/>
          <w:lang w:val="es-MX"/>
        </w:rPr>
        <w:t xml:space="preserve"> solicitaron también que el Estado garantice un tratamiento médico y psicológico gratuito y permanente a la víctima y su familia. En la audiencia y en sus alegatos finales escritos, los representantes señalaron, reiterando lo señalado por el perito Carlos </w:t>
      </w:r>
      <w:proofErr w:type="spellStart"/>
      <w:r w:rsidR="00EB3278" w:rsidRPr="009C5D55">
        <w:rPr>
          <w:rFonts w:ascii="Verdana" w:eastAsiaTheme="minorHAnsi" w:hAnsi="Verdana" w:cstheme="minorBidi"/>
          <w:sz w:val="20"/>
          <w:szCs w:val="20"/>
          <w:lang w:val="es-MX"/>
        </w:rPr>
        <w:t>Jibaja</w:t>
      </w:r>
      <w:proofErr w:type="spellEnd"/>
      <w:r w:rsidR="00EB3278" w:rsidRPr="009C5D55">
        <w:rPr>
          <w:rFonts w:ascii="Verdana" w:eastAsiaTheme="minorHAnsi" w:hAnsi="Verdana" w:cstheme="minorBidi"/>
          <w:sz w:val="20"/>
          <w:szCs w:val="20"/>
          <w:lang w:val="es-MX"/>
        </w:rPr>
        <w:t xml:space="preserve"> Zárate, que </w:t>
      </w:r>
      <w:r w:rsidR="00EB3278" w:rsidRPr="009C5D55">
        <w:rPr>
          <w:rFonts w:ascii="Verdana" w:eastAsiaTheme="minorHAnsi" w:hAnsi="Verdana" w:cstheme="minorBidi"/>
          <w:sz w:val="20"/>
          <w:szCs w:val="20"/>
          <w:lang w:val="es-CR"/>
        </w:rPr>
        <w:t xml:space="preserve">la situación de despido y de violación de sus derechos humanos, así como la imposibilidad de encontrar justicia hasta la fecha, han sido fuentes importantes de estrés, ansiedad, preocupación, lo cual a lo largo de los años ha venido afectando el estado de salud del señor Lagos del Campo y señalaron que actualmente, el señor Lagos del Campo se encuentra en una precaria situación de salud, por su </w:t>
      </w:r>
      <w:r w:rsidR="00EB3278" w:rsidRPr="009C5D55">
        <w:rPr>
          <w:rFonts w:ascii="Verdana" w:eastAsiaTheme="minorHAnsi" w:hAnsi="Verdana" w:cstheme="minorBidi"/>
          <w:sz w:val="20"/>
          <w:szCs w:val="20"/>
          <w:lang w:val="es-CR"/>
        </w:rPr>
        <w:lastRenderedPageBreak/>
        <w:t>edad pero sobre todo desde el</w:t>
      </w:r>
      <w:r w:rsidR="00EB3278" w:rsidRPr="009C5D55">
        <w:rPr>
          <w:rFonts w:ascii="Verdana" w:eastAsiaTheme="minorHAnsi" w:hAnsi="Verdana" w:cstheme="minorBidi"/>
          <w:sz w:val="20"/>
          <w:szCs w:val="20"/>
          <w:lang w:val="es-MX"/>
        </w:rPr>
        <w:t xml:space="preserve"> accidente de cerebro vascular hemorrágico</w:t>
      </w:r>
      <w:r w:rsidR="00A07203">
        <w:rPr>
          <w:rFonts w:ascii="Verdana" w:eastAsiaTheme="minorHAnsi" w:hAnsi="Verdana" w:cstheme="minorBidi"/>
          <w:sz w:val="20"/>
          <w:szCs w:val="20"/>
          <w:lang w:val="es-MX"/>
        </w:rPr>
        <w:t xml:space="preserve">. </w:t>
      </w:r>
      <w:r w:rsidR="00EB3278" w:rsidRPr="0033330B">
        <w:rPr>
          <w:rFonts w:ascii="Verdana" w:eastAsiaTheme="minorHAnsi" w:hAnsi="Verdana" w:cstheme="minorBidi"/>
          <w:sz w:val="20"/>
          <w:szCs w:val="20"/>
          <w:lang w:val="es-MX"/>
        </w:rPr>
        <w:t xml:space="preserve">El </w:t>
      </w:r>
      <w:r w:rsidR="00EB3278" w:rsidRPr="0033330B">
        <w:rPr>
          <w:rFonts w:ascii="Verdana" w:eastAsiaTheme="minorHAnsi" w:hAnsi="Verdana" w:cstheme="minorBidi"/>
          <w:b/>
          <w:sz w:val="20"/>
          <w:szCs w:val="20"/>
          <w:lang w:val="es-MX"/>
        </w:rPr>
        <w:t>Estado</w:t>
      </w:r>
      <w:r w:rsidR="00EB3278" w:rsidRPr="0033330B">
        <w:rPr>
          <w:rFonts w:ascii="Verdana" w:eastAsiaTheme="minorHAnsi" w:hAnsi="Verdana" w:cstheme="minorBidi"/>
          <w:sz w:val="20"/>
          <w:szCs w:val="20"/>
          <w:lang w:val="es-MX"/>
        </w:rPr>
        <w:t xml:space="preserve"> sostuvo que no existe un nexo causal entre los hechos u omisiones atribuidos al Estado y la situación familiar. La alegación de que el señor Lagos del Campo sufrió estigmatización no tiene fundamento en los hechos, como tampoco ha sido demostrado en circunstancias específicas. Además señaló que en otros casos sobre despidos, no se otorgó atención médica y psicológica. Sin perjuicio de lo anterior, existe atención médica y psicológica gratuita en Perú para personas en situación de pobreza</w:t>
      </w:r>
      <w:r w:rsidR="00446B52">
        <w:rPr>
          <w:rFonts w:ascii="Verdana" w:eastAsiaTheme="minorHAnsi" w:hAnsi="Verdana" w:cstheme="minorBidi"/>
          <w:sz w:val="20"/>
          <w:szCs w:val="20"/>
          <w:lang w:val="es-MX"/>
        </w:rPr>
        <w:t>.</w:t>
      </w:r>
      <w:r w:rsidR="00EB3278" w:rsidRPr="0033330B">
        <w:rPr>
          <w:rFonts w:ascii="Verdana" w:eastAsiaTheme="minorHAnsi" w:hAnsi="Verdana" w:cstheme="minorBidi"/>
          <w:sz w:val="20"/>
          <w:szCs w:val="20"/>
          <w:lang w:val="es-MX"/>
        </w:rPr>
        <w:t xml:space="preserve"> Por último, en sus alegatos finales escritos el estado señaló que en relación con el deterioro de la salud del señor Lagos del Campo, no se ha acreditado su situación luego de sufrir el derrame cerebral y que exista algún diagnóstico de un médico neurólogo que pueda sostener científicamente que el alegado episodio del derrame cerebral se haya debido al presente caso. </w:t>
      </w:r>
    </w:p>
    <w:p w14:paraId="0E88D00B" w14:textId="77777777" w:rsidR="00232AA2" w:rsidRDefault="00232AA2" w:rsidP="005D0F69">
      <w:pPr>
        <w:widowControl w:val="0"/>
        <w:tabs>
          <w:tab w:val="center" w:pos="0"/>
        </w:tabs>
        <w:autoSpaceDE w:val="0"/>
        <w:autoSpaceDN w:val="0"/>
        <w:adjustRightInd w:val="0"/>
        <w:contextualSpacing/>
        <w:jc w:val="both"/>
        <w:rPr>
          <w:rFonts w:ascii="Verdana" w:eastAsiaTheme="minorHAnsi" w:hAnsi="Verdana" w:cstheme="minorBidi"/>
          <w:sz w:val="20"/>
          <w:szCs w:val="20"/>
          <w:lang w:val="es-CR"/>
        </w:rPr>
      </w:pPr>
    </w:p>
    <w:p w14:paraId="316EFDF6" w14:textId="5DFE0600" w:rsidR="00232AA2" w:rsidRDefault="00EB3278" w:rsidP="00E66DD7">
      <w:pPr>
        <w:widowControl w:val="0"/>
        <w:numPr>
          <w:ilvl w:val="0"/>
          <w:numId w:val="1"/>
        </w:numPr>
        <w:tabs>
          <w:tab w:val="center" w:pos="0"/>
        </w:tabs>
        <w:autoSpaceDE w:val="0"/>
        <w:autoSpaceDN w:val="0"/>
        <w:adjustRightInd w:val="0"/>
        <w:ind w:left="0" w:firstLine="0"/>
        <w:contextualSpacing/>
        <w:jc w:val="both"/>
        <w:rPr>
          <w:rFonts w:ascii="Verdana" w:eastAsiaTheme="minorHAnsi" w:hAnsi="Verdana" w:cstheme="minorBidi"/>
          <w:sz w:val="20"/>
          <w:szCs w:val="20"/>
          <w:lang w:val="es-CR"/>
        </w:rPr>
      </w:pPr>
      <w:r w:rsidRPr="0033330B">
        <w:rPr>
          <w:rFonts w:ascii="Verdana" w:eastAsiaTheme="minorHAnsi" w:hAnsi="Verdana" w:cstheme="minorBidi"/>
          <w:sz w:val="20"/>
          <w:szCs w:val="20"/>
          <w:lang w:val="es-CR"/>
        </w:rPr>
        <w:t xml:space="preserve">En el presente caso, la Corte </w:t>
      </w:r>
      <w:r w:rsidR="0033330B">
        <w:rPr>
          <w:rFonts w:ascii="Verdana" w:eastAsiaTheme="minorHAnsi" w:hAnsi="Verdana" w:cstheme="minorBidi"/>
          <w:sz w:val="20"/>
          <w:szCs w:val="20"/>
          <w:lang w:val="es-CR"/>
        </w:rPr>
        <w:t xml:space="preserve">constata </w:t>
      </w:r>
      <w:r w:rsidR="0062065E">
        <w:rPr>
          <w:rFonts w:ascii="Verdana" w:eastAsiaTheme="minorHAnsi" w:hAnsi="Verdana" w:cstheme="minorBidi"/>
          <w:sz w:val="20"/>
          <w:szCs w:val="20"/>
          <w:lang w:val="es-CR"/>
        </w:rPr>
        <w:t xml:space="preserve">que si bien </w:t>
      </w:r>
      <w:r w:rsidR="0033330B">
        <w:rPr>
          <w:rFonts w:ascii="Verdana" w:eastAsiaTheme="minorHAnsi" w:hAnsi="Verdana" w:cstheme="minorBidi"/>
          <w:sz w:val="20"/>
          <w:szCs w:val="20"/>
          <w:lang w:val="es-CR"/>
        </w:rPr>
        <w:t xml:space="preserve">existe un nexo causal entre los hechos del caso y las afectaciones </w:t>
      </w:r>
      <w:r w:rsidR="0062065E">
        <w:rPr>
          <w:rFonts w:ascii="Verdana" w:eastAsiaTheme="minorHAnsi" w:hAnsi="Verdana" w:cstheme="minorBidi"/>
          <w:sz w:val="20"/>
          <w:szCs w:val="20"/>
          <w:lang w:val="es-CR"/>
        </w:rPr>
        <w:t xml:space="preserve">especialmente </w:t>
      </w:r>
      <w:r w:rsidR="00FA445A">
        <w:rPr>
          <w:rFonts w:ascii="Verdana" w:eastAsiaTheme="minorHAnsi" w:hAnsi="Verdana" w:cstheme="minorBidi"/>
          <w:sz w:val="20"/>
          <w:szCs w:val="20"/>
          <w:lang w:val="es-CR"/>
        </w:rPr>
        <w:t>psicológicas del señor Lagos,</w:t>
      </w:r>
      <w:r w:rsidR="0033330B">
        <w:rPr>
          <w:rFonts w:ascii="Verdana" w:eastAsiaTheme="minorHAnsi" w:hAnsi="Verdana" w:cstheme="minorBidi"/>
          <w:sz w:val="20"/>
          <w:szCs w:val="20"/>
          <w:lang w:val="es-CR"/>
        </w:rPr>
        <w:t xml:space="preserve"> </w:t>
      </w:r>
      <w:r w:rsidR="0033330B" w:rsidRPr="0033330B">
        <w:rPr>
          <w:rFonts w:ascii="Verdana" w:eastAsiaTheme="minorHAnsi" w:hAnsi="Verdana" w:cstheme="minorBidi"/>
          <w:sz w:val="20"/>
          <w:szCs w:val="20"/>
          <w:lang w:val="es-CR"/>
        </w:rPr>
        <w:t xml:space="preserve">considera que, atendiendo a la solicitud de los representantes y dado el tiempo transcurrido, no corresponde en este caso ordenar al Estado que brinde tratamiento adecuado, pudiendo considerarse ese rubro dentro de las indemnizaciones compensatorias </w:t>
      </w:r>
      <w:r w:rsidR="00087FDE" w:rsidRPr="009A3098">
        <w:rPr>
          <w:rFonts w:ascii="Verdana" w:eastAsiaTheme="minorHAnsi" w:hAnsi="Verdana" w:cstheme="minorBidi"/>
          <w:sz w:val="20"/>
          <w:szCs w:val="20"/>
          <w:lang w:val="es-CR"/>
        </w:rPr>
        <w:t>por daño inmaterial</w:t>
      </w:r>
      <w:r w:rsidR="0033330B" w:rsidRPr="0033330B">
        <w:rPr>
          <w:rFonts w:ascii="Verdana" w:eastAsiaTheme="minorHAnsi" w:hAnsi="Verdana" w:cstheme="minorBidi"/>
          <w:sz w:val="20"/>
          <w:szCs w:val="20"/>
          <w:lang w:val="es-CR"/>
        </w:rPr>
        <w:t>.</w:t>
      </w:r>
      <w:r w:rsidR="0062065E">
        <w:rPr>
          <w:rFonts w:ascii="Verdana" w:eastAsiaTheme="minorHAnsi" w:hAnsi="Verdana" w:cstheme="minorBidi"/>
          <w:sz w:val="20"/>
          <w:szCs w:val="20"/>
          <w:lang w:val="es-CR"/>
        </w:rPr>
        <w:t xml:space="preserve"> En relación con el daño físico, no estima se haya probado un nexo causal con las violaciones acreditadas. </w:t>
      </w:r>
    </w:p>
    <w:p w14:paraId="32AA849F" w14:textId="77777777" w:rsidR="00232AA2" w:rsidRDefault="00232AA2" w:rsidP="005D0F69">
      <w:pPr>
        <w:widowControl w:val="0"/>
        <w:tabs>
          <w:tab w:val="center" w:pos="0"/>
        </w:tabs>
        <w:autoSpaceDE w:val="0"/>
        <w:autoSpaceDN w:val="0"/>
        <w:adjustRightInd w:val="0"/>
        <w:contextualSpacing/>
        <w:jc w:val="both"/>
        <w:rPr>
          <w:rFonts w:ascii="Verdana" w:eastAsiaTheme="minorHAnsi" w:hAnsi="Verdana" w:cstheme="minorBidi"/>
          <w:sz w:val="20"/>
          <w:szCs w:val="20"/>
          <w:lang w:val="es-CR"/>
        </w:rPr>
      </w:pPr>
    </w:p>
    <w:p w14:paraId="4BC651A8" w14:textId="5D0D7CF1" w:rsidR="00232AA2" w:rsidRPr="009C5D55" w:rsidRDefault="003F07AD" w:rsidP="00E66DD7">
      <w:pPr>
        <w:widowControl w:val="0"/>
        <w:numPr>
          <w:ilvl w:val="0"/>
          <w:numId w:val="1"/>
        </w:numPr>
        <w:tabs>
          <w:tab w:val="center" w:pos="0"/>
        </w:tabs>
        <w:autoSpaceDE w:val="0"/>
        <w:autoSpaceDN w:val="0"/>
        <w:adjustRightInd w:val="0"/>
        <w:ind w:left="0" w:firstLine="0"/>
        <w:contextualSpacing/>
        <w:jc w:val="both"/>
        <w:rPr>
          <w:rFonts w:ascii="Verdana" w:eastAsiaTheme="minorHAnsi" w:hAnsi="Verdana" w:cstheme="minorBidi"/>
          <w:sz w:val="20"/>
          <w:szCs w:val="20"/>
          <w:lang w:val="es-ES"/>
        </w:rPr>
      </w:pPr>
      <w:r>
        <w:rPr>
          <w:rFonts w:ascii="Verdana" w:eastAsiaTheme="minorHAnsi" w:hAnsi="Verdana" w:cstheme="minorBidi"/>
          <w:sz w:val="20"/>
          <w:szCs w:val="20"/>
          <w:lang w:val="es-ES"/>
        </w:rPr>
        <w:t>En relación con la</w:t>
      </w:r>
      <w:r w:rsidR="0062065E">
        <w:rPr>
          <w:rFonts w:ascii="Verdana" w:eastAsiaTheme="minorHAnsi" w:hAnsi="Verdana" w:cstheme="minorBidi"/>
          <w:sz w:val="20"/>
          <w:szCs w:val="20"/>
          <w:lang w:val="es-ES"/>
        </w:rPr>
        <w:t xml:space="preserve"> solicitud de </w:t>
      </w:r>
      <w:r w:rsidR="0062065E" w:rsidRPr="005D0F69">
        <w:rPr>
          <w:rFonts w:ascii="Verdana" w:eastAsiaTheme="minorHAnsi" w:hAnsi="Verdana" w:cstheme="minorBidi"/>
          <w:i/>
          <w:sz w:val="20"/>
          <w:szCs w:val="20"/>
          <w:lang w:val="es-ES"/>
        </w:rPr>
        <w:t>garantías</w:t>
      </w:r>
      <w:r w:rsidRPr="005D0F69">
        <w:rPr>
          <w:rFonts w:ascii="Verdana" w:eastAsiaTheme="minorHAnsi" w:hAnsi="Verdana" w:cstheme="minorBidi"/>
          <w:i/>
          <w:sz w:val="20"/>
          <w:szCs w:val="20"/>
          <w:lang w:val="es-ES"/>
        </w:rPr>
        <w:t xml:space="preserve"> de no repetición</w:t>
      </w:r>
      <w:r>
        <w:rPr>
          <w:rFonts w:ascii="Verdana" w:eastAsiaTheme="minorHAnsi" w:hAnsi="Verdana" w:cstheme="minorBidi"/>
          <w:sz w:val="20"/>
          <w:szCs w:val="20"/>
          <w:lang w:val="es-ES"/>
        </w:rPr>
        <w:t xml:space="preserve">, </w:t>
      </w:r>
      <w:r w:rsidR="0062065E">
        <w:rPr>
          <w:rFonts w:ascii="Verdana" w:eastAsiaTheme="minorHAnsi" w:hAnsi="Verdana" w:cstheme="minorBidi"/>
          <w:sz w:val="20"/>
          <w:szCs w:val="20"/>
          <w:lang w:val="es-ES"/>
        </w:rPr>
        <w:t>l</w:t>
      </w:r>
      <w:r w:rsidR="00232AA2" w:rsidRPr="00232AA2">
        <w:rPr>
          <w:rFonts w:ascii="Verdana" w:eastAsiaTheme="minorHAnsi" w:hAnsi="Verdana" w:cstheme="minorBidi"/>
          <w:sz w:val="20"/>
          <w:szCs w:val="20"/>
          <w:lang w:val="es-ES"/>
        </w:rPr>
        <w:t xml:space="preserve">a </w:t>
      </w:r>
      <w:r w:rsidR="00232AA2" w:rsidRPr="00232AA2">
        <w:rPr>
          <w:rFonts w:ascii="Verdana" w:eastAsiaTheme="minorHAnsi" w:hAnsi="Verdana" w:cstheme="minorBidi"/>
          <w:b/>
          <w:i/>
          <w:sz w:val="20"/>
          <w:szCs w:val="20"/>
          <w:lang w:val="es-ES"/>
        </w:rPr>
        <w:t>Comisión</w:t>
      </w:r>
      <w:r w:rsidR="00232AA2" w:rsidRPr="00232AA2">
        <w:rPr>
          <w:rFonts w:ascii="Verdana" w:eastAsiaTheme="minorHAnsi" w:hAnsi="Verdana" w:cstheme="minorBidi"/>
          <w:sz w:val="20"/>
          <w:szCs w:val="20"/>
          <w:lang w:val="es-ES"/>
        </w:rPr>
        <w:t xml:space="preserve"> </w:t>
      </w:r>
      <w:r w:rsidR="0062065E">
        <w:rPr>
          <w:rFonts w:ascii="Verdana" w:eastAsiaTheme="minorHAnsi" w:hAnsi="Verdana" w:cstheme="minorBidi"/>
          <w:sz w:val="20"/>
          <w:szCs w:val="20"/>
          <w:lang w:val="es-ES"/>
        </w:rPr>
        <w:t>requirió</w:t>
      </w:r>
      <w:r w:rsidR="00232AA2" w:rsidRPr="00232AA2">
        <w:rPr>
          <w:rFonts w:ascii="Verdana" w:eastAsiaTheme="minorHAnsi" w:hAnsi="Verdana" w:cstheme="minorBidi"/>
          <w:sz w:val="20"/>
          <w:szCs w:val="20"/>
          <w:lang w:val="es-ES"/>
        </w:rPr>
        <w:t xml:space="preserve"> </w:t>
      </w:r>
      <w:r w:rsidR="00232AA2" w:rsidRPr="00232AA2">
        <w:rPr>
          <w:rFonts w:ascii="Verdana" w:eastAsiaTheme="minorHAnsi" w:hAnsi="Verdana" w:cstheme="minorBidi"/>
          <w:sz w:val="20"/>
          <w:szCs w:val="20"/>
          <w:lang w:val="es-MX"/>
        </w:rPr>
        <w:t>adoptar medidas de no repetición a fin de asegurar que los representantes de los trabajadores y líderes sindicales puedan gozar de su derecho a la libertad de expresión, de conformidad con los estándares establecidos en el Informe de Fondo, así como adoptar medidas para asegurar que la legislación y su aplicación por parte de los tribunales internos se adecue a los principios establecidos por el derecho internacional de los derechos humanos en materia de libertad de expresión en contextos laborales</w:t>
      </w:r>
      <w:r w:rsidR="00A07203">
        <w:rPr>
          <w:rFonts w:ascii="Verdana" w:eastAsiaTheme="minorHAnsi" w:hAnsi="Verdana" w:cstheme="minorBidi"/>
          <w:sz w:val="20"/>
          <w:szCs w:val="20"/>
          <w:lang w:val="es-MX"/>
        </w:rPr>
        <w:t xml:space="preserve">. </w:t>
      </w:r>
      <w:r w:rsidR="00232AA2" w:rsidRPr="009C5D55">
        <w:rPr>
          <w:rFonts w:ascii="Verdana" w:eastAsiaTheme="minorHAnsi" w:hAnsi="Verdana" w:cstheme="minorBidi"/>
          <w:sz w:val="20"/>
          <w:szCs w:val="20"/>
          <w:lang w:val="es-ES"/>
        </w:rPr>
        <w:t xml:space="preserve">Los </w:t>
      </w:r>
      <w:r w:rsidR="00232AA2" w:rsidRPr="009C5D55">
        <w:rPr>
          <w:rFonts w:ascii="Verdana" w:eastAsiaTheme="minorHAnsi" w:hAnsi="Verdana" w:cstheme="minorBidi"/>
          <w:b/>
          <w:i/>
          <w:sz w:val="20"/>
          <w:szCs w:val="20"/>
          <w:lang w:val="es-ES"/>
        </w:rPr>
        <w:t>representantes</w:t>
      </w:r>
      <w:r w:rsidR="00232AA2" w:rsidRPr="009C5D55">
        <w:rPr>
          <w:rFonts w:ascii="Verdana" w:eastAsiaTheme="minorHAnsi" w:hAnsi="Verdana" w:cstheme="minorBidi"/>
          <w:sz w:val="20"/>
          <w:szCs w:val="20"/>
          <w:lang w:val="es-ES"/>
        </w:rPr>
        <w:t xml:space="preserve"> solicitaron que la Corte ordene, igualmente, asegurar que los representantes de los trabajadores y líderes sindicales puedan gozar de su derecho a la libertad de expresión, de conformidad con los estándares establecidos en el Informe de Fondo, así como adoptar medidas para asegurar que la legislación y su aplicación por parte de los tribunales internos se adecue a los principios establecidos por el derecho internacional de los derechos humanos en materia de libertad de expresión en contextos laborales</w:t>
      </w:r>
      <w:r w:rsidR="00E54DBC">
        <w:rPr>
          <w:rFonts w:ascii="Verdana" w:eastAsiaTheme="minorHAnsi" w:hAnsi="Verdana" w:cstheme="minorBidi"/>
          <w:sz w:val="20"/>
          <w:szCs w:val="20"/>
          <w:lang w:val="es-ES"/>
        </w:rPr>
        <w:t xml:space="preserve">. </w:t>
      </w:r>
      <w:r w:rsidR="00E54DBC" w:rsidRPr="00333304">
        <w:rPr>
          <w:rFonts w:ascii="Verdana" w:eastAsiaTheme="minorHAnsi" w:hAnsi="Verdana" w:cstheme="minorBidi"/>
          <w:sz w:val="20"/>
          <w:szCs w:val="20"/>
          <w:lang w:val="es-ES"/>
        </w:rPr>
        <w:t xml:space="preserve">En particular los representantes hicieron referencia a lo establecido por la Comisión en su Informe de Fondo sobre el Decreto Legislativo 24514, específicamente por </w:t>
      </w:r>
      <w:r w:rsidR="00F830E9" w:rsidRPr="00333304">
        <w:rPr>
          <w:rFonts w:ascii="Verdana" w:eastAsiaTheme="minorHAnsi" w:hAnsi="Verdana" w:cstheme="minorBidi"/>
          <w:sz w:val="20"/>
          <w:szCs w:val="20"/>
          <w:lang w:val="es-ES"/>
        </w:rPr>
        <w:t>la supuesta</w:t>
      </w:r>
      <w:r w:rsidR="00E54DBC" w:rsidRPr="00333304">
        <w:rPr>
          <w:rFonts w:ascii="Verdana" w:eastAsiaTheme="minorHAnsi" w:hAnsi="Verdana" w:cstheme="minorBidi"/>
          <w:sz w:val="20"/>
          <w:szCs w:val="20"/>
          <w:lang w:val="es-ES"/>
        </w:rPr>
        <w:t xml:space="preserve"> </w:t>
      </w:r>
      <w:r w:rsidR="001D4D46" w:rsidRPr="00333304">
        <w:rPr>
          <w:rFonts w:ascii="Verdana" w:eastAsiaTheme="minorHAnsi" w:hAnsi="Verdana" w:cstheme="minorBidi"/>
          <w:sz w:val="20"/>
          <w:szCs w:val="20"/>
          <w:lang w:val="es-ES"/>
        </w:rPr>
        <w:t>vaguedad</w:t>
      </w:r>
      <w:r w:rsidR="00E54DBC" w:rsidRPr="00333304">
        <w:rPr>
          <w:rFonts w:ascii="Verdana" w:eastAsiaTheme="minorHAnsi" w:hAnsi="Verdana" w:cstheme="minorBidi"/>
          <w:sz w:val="20"/>
          <w:szCs w:val="20"/>
          <w:lang w:val="es-ES"/>
        </w:rPr>
        <w:t xml:space="preserve"> e imprecis</w:t>
      </w:r>
      <w:r w:rsidR="00F830E9" w:rsidRPr="00333304">
        <w:rPr>
          <w:rFonts w:ascii="Verdana" w:eastAsiaTheme="minorHAnsi" w:hAnsi="Verdana" w:cstheme="minorBidi"/>
          <w:sz w:val="20"/>
          <w:szCs w:val="20"/>
          <w:lang w:val="es-ES"/>
        </w:rPr>
        <w:t>ión de esta norma</w:t>
      </w:r>
      <w:r w:rsidR="00E54DBC" w:rsidRPr="00333304">
        <w:rPr>
          <w:rFonts w:ascii="Verdana" w:eastAsiaTheme="minorHAnsi" w:hAnsi="Verdana" w:cstheme="minorBidi"/>
          <w:sz w:val="20"/>
          <w:szCs w:val="20"/>
          <w:lang w:val="es-ES"/>
        </w:rPr>
        <w:t xml:space="preserve"> </w:t>
      </w:r>
      <w:r w:rsidR="00F830E9" w:rsidRPr="00333304">
        <w:rPr>
          <w:rFonts w:ascii="Verdana" w:eastAsiaTheme="minorHAnsi" w:hAnsi="Verdana" w:cstheme="minorBidi"/>
          <w:sz w:val="20"/>
          <w:szCs w:val="20"/>
          <w:lang w:val="es-ES"/>
        </w:rPr>
        <w:t>y su alegado incumplimiento</w:t>
      </w:r>
      <w:r w:rsidR="00E54DBC" w:rsidRPr="00333304">
        <w:rPr>
          <w:rFonts w:ascii="Verdana" w:eastAsiaTheme="minorHAnsi" w:hAnsi="Verdana" w:cstheme="minorBidi"/>
          <w:sz w:val="20"/>
          <w:szCs w:val="20"/>
          <w:lang w:val="es-ES"/>
        </w:rPr>
        <w:t xml:space="preserve"> </w:t>
      </w:r>
      <w:r w:rsidR="00F830E9" w:rsidRPr="00333304">
        <w:rPr>
          <w:rFonts w:ascii="Verdana" w:eastAsiaTheme="minorHAnsi" w:hAnsi="Verdana" w:cstheme="minorBidi"/>
          <w:sz w:val="20"/>
          <w:szCs w:val="20"/>
          <w:lang w:val="es-ES"/>
        </w:rPr>
        <w:t>d</w:t>
      </w:r>
      <w:r w:rsidR="00E54DBC" w:rsidRPr="00333304">
        <w:rPr>
          <w:rFonts w:ascii="Verdana" w:eastAsiaTheme="minorHAnsi" w:hAnsi="Verdana" w:cstheme="minorBidi"/>
          <w:sz w:val="20"/>
          <w:szCs w:val="20"/>
          <w:lang w:val="es-ES"/>
        </w:rPr>
        <w:t>el artículo 2 de la Convención</w:t>
      </w:r>
      <w:r w:rsidR="00232AA2" w:rsidRPr="009C5D55">
        <w:rPr>
          <w:rFonts w:ascii="Verdana" w:eastAsiaTheme="minorHAnsi" w:hAnsi="Verdana" w:cstheme="minorBidi"/>
          <w:sz w:val="20"/>
          <w:szCs w:val="20"/>
          <w:lang w:val="es-ES"/>
        </w:rPr>
        <w:t xml:space="preserve">. El </w:t>
      </w:r>
      <w:r w:rsidR="00232AA2" w:rsidRPr="009C5D55">
        <w:rPr>
          <w:rFonts w:ascii="Verdana" w:eastAsiaTheme="minorHAnsi" w:hAnsi="Verdana" w:cstheme="minorBidi"/>
          <w:b/>
          <w:i/>
          <w:sz w:val="20"/>
          <w:szCs w:val="20"/>
          <w:lang w:val="es-ES"/>
        </w:rPr>
        <w:t>Estado</w:t>
      </w:r>
      <w:r w:rsidR="00232AA2" w:rsidRPr="009C5D55">
        <w:rPr>
          <w:rFonts w:ascii="Verdana" w:eastAsiaTheme="minorHAnsi" w:hAnsi="Verdana" w:cstheme="minorBidi"/>
          <w:sz w:val="20"/>
          <w:szCs w:val="20"/>
          <w:lang w:val="es-ES"/>
        </w:rPr>
        <w:t xml:space="preserve"> sostuvo que su derecho a defensa efectiva se vio afectado, pues no contó con la posibilidad real de saber qué tipo específico de medida se le requería adoptar</w:t>
      </w:r>
      <w:r w:rsidR="00A57AE0">
        <w:rPr>
          <w:rFonts w:ascii="Verdana" w:eastAsiaTheme="minorHAnsi" w:hAnsi="Verdana" w:cstheme="minorBidi"/>
          <w:sz w:val="20"/>
          <w:szCs w:val="20"/>
          <w:lang w:val="es-ES"/>
        </w:rPr>
        <w:t>,</w:t>
      </w:r>
      <w:r w:rsidR="00232AA2" w:rsidRPr="009C5D55">
        <w:rPr>
          <w:rFonts w:ascii="Verdana" w:eastAsiaTheme="minorHAnsi" w:hAnsi="Verdana" w:cstheme="minorBidi"/>
          <w:sz w:val="20"/>
          <w:szCs w:val="20"/>
          <w:lang w:val="es-ES"/>
        </w:rPr>
        <w:t xml:space="preserve"> </w:t>
      </w:r>
      <w:r w:rsidR="00F830E9" w:rsidRPr="00333304">
        <w:rPr>
          <w:rFonts w:ascii="Verdana" w:eastAsiaTheme="minorHAnsi" w:hAnsi="Verdana" w:cstheme="minorBidi"/>
          <w:sz w:val="20"/>
          <w:szCs w:val="20"/>
          <w:lang w:val="es-ES"/>
        </w:rPr>
        <w:t>puesto</w:t>
      </w:r>
      <w:r w:rsidR="00E54DBC" w:rsidRPr="00333304">
        <w:rPr>
          <w:rFonts w:ascii="Verdana" w:eastAsiaTheme="minorHAnsi" w:hAnsi="Verdana" w:cstheme="minorBidi"/>
          <w:sz w:val="20"/>
          <w:szCs w:val="20"/>
          <w:lang w:val="es-ES"/>
        </w:rPr>
        <w:t xml:space="preserve"> que la Comisión no precisó las medidas en concreto que debía implementar el Estado.</w:t>
      </w:r>
      <w:r w:rsidR="00E54DBC" w:rsidRPr="00E54DBC">
        <w:rPr>
          <w:rFonts w:ascii="Verdana" w:eastAsiaTheme="minorHAnsi" w:hAnsi="Verdana" w:cstheme="minorBidi"/>
          <w:b/>
          <w:sz w:val="20"/>
          <w:szCs w:val="20"/>
          <w:lang w:val="es-ES"/>
        </w:rPr>
        <w:t xml:space="preserve"> </w:t>
      </w:r>
    </w:p>
    <w:p w14:paraId="1237851B" w14:textId="77777777" w:rsidR="00232AA2" w:rsidRPr="009C5D55" w:rsidRDefault="00232AA2" w:rsidP="00232AA2">
      <w:pPr>
        <w:widowControl w:val="0"/>
        <w:tabs>
          <w:tab w:val="center" w:pos="567"/>
        </w:tabs>
        <w:autoSpaceDE w:val="0"/>
        <w:autoSpaceDN w:val="0"/>
        <w:adjustRightInd w:val="0"/>
        <w:contextualSpacing/>
        <w:jc w:val="both"/>
        <w:rPr>
          <w:rFonts w:ascii="Verdana" w:eastAsiaTheme="minorHAnsi" w:hAnsi="Verdana" w:cstheme="minorBidi"/>
          <w:sz w:val="20"/>
          <w:szCs w:val="20"/>
          <w:lang w:val="es-ES"/>
        </w:rPr>
      </w:pPr>
    </w:p>
    <w:p w14:paraId="76FA25F0" w14:textId="4B2768AD" w:rsidR="00232AA2" w:rsidRDefault="00A57AE0" w:rsidP="00E66DD7">
      <w:pPr>
        <w:widowControl w:val="0"/>
        <w:numPr>
          <w:ilvl w:val="0"/>
          <w:numId w:val="1"/>
        </w:numPr>
        <w:tabs>
          <w:tab w:val="center" w:pos="0"/>
        </w:tabs>
        <w:autoSpaceDE w:val="0"/>
        <w:autoSpaceDN w:val="0"/>
        <w:adjustRightInd w:val="0"/>
        <w:ind w:left="0" w:firstLine="0"/>
        <w:contextualSpacing/>
        <w:jc w:val="both"/>
        <w:rPr>
          <w:rFonts w:ascii="Verdana" w:eastAsiaTheme="minorHAnsi" w:hAnsi="Verdana" w:cstheme="minorBidi"/>
          <w:sz w:val="20"/>
          <w:szCs w:val="20"/>
          <w:lang w:val="es-EC"/>
        </w:rPr>
      </w:pPr>
      <w:r w:rsidRPr="00333304">
        <w:rPr>
          <w:rFonts w:ascii="Verdana" w:eastAsiaTheme="minorHAnsi" w:hAnsi="Verdana" w:cstheme="minorBidi"/>
          <w:sz w:val="20"/>
          <w:szCs w:val="20"/>
          <w:lang w:val="es-EC"/>
        </w:rPr>
        <w:t xml:space="preserve">La Corte </w:t>
      </w:r>
      <w:r w:rsidR="00A07203" w:rsidRPr="00333304">
        <w:rPr>
          <w:rFonts w:ascii="Verdana" w:eastAsiaTheme="minorHAnsi" w:hAnsi="Verdana" w:cstheme="minorBidi"/>
          <w:sz w:val="20"/>
          <w:szCs w:val="20"/>
          <w:lang w:val="es-EC"/>
        </w:rPr>
        <w:t xml:space="preserve">nota </w:t>
      </w:r>
      <w:r w:rsidRPr="00333304">
        <w:rPr>
          <w:rFonts w:ascii="Verdana" w:eastAsiaTheme="minorHAnsi" w:hAnsi="Verdana" w:cstheme="minorBidi"/>
          <w:sz w:val="20"/>
          <w:szCs w:val="20"/>
          <w:lang w:val="es-EC"/>
        </w:rPr>
        <w:t xml:space="preserve">que ni los representantes ni la Comisión realizaron una precisión expresa sobre </w:t>
      </w:r>
      <w:r w:rsidR="00F830E9" w:rsidRPr="00333304">
        <w:rPr>
          <w:rFonts w:ascii="Verdana" w:eastAsiaTheme="minorHAnsi" w:hAnsi="Verdana" w:cstheme="minorBidi"/>
          <w:sz w:val="20"/>
          <w:szCs w:val="20"/>
          <w:lang w:val="es-EC"/>
        </w:rPr>
        <w:t xml:space="preserve">el alcance de las </w:t>
      </w:r>
      <w:r w:rsidRPr="00333304">
        <w:rPr>
          <w:rFonts w:ascii="Verdana" w:eastAsiaTheme="minorHAnsi" w:hAnsi="Verdana" w:cstheme="minorBidi"/>
          <w:sz w:val="20"/>
          <w:szCs w:val="20"/>
          <w:lang w:val="es-EC"/>
        </w:rPr>
        <w:t xml:space="preserve">medidas </w:t>
      </w:r>
      <w:r w:rsidR="00F830E9" w:rsidRPr="00333304">
        <w:rPr>
          <w:rFonts w:ascii="Verdana" w:eastAsiaTheme="minorHAnsi" w:hAnsi="Verdana" w:cstheme="minorBidi"/>
          <w:sz w:val="20"/>
          <w:szCs w:val="20"/>
          <w:lang w:val="es-EC"/>
        </w:rPr>
        <w:t xml:space="preserve">que </w:t>
      </w:r>
      <w:r w:rsidRPr="00333304">
        <w:rPr>
          <w:rFonts w:ascii="Verdana" w:eastAsiaTheme="minorHAnsi" w:hAnsi="Verdana" w:cstheme="minorBidi"/>
          <w:sz w:val="20"/>
          <w:szCs w:val="20"/>
          <w:lang w:val="es-EC"/>
        </w:rPr>
        <w:t>deb</w:t>
      </w:r>
      <w:r w:rsidR="00F830E9" w:rsidRPr="00333304">
        <w:rPr>
          <w:rFonts w:ascii="Verdana" w:eastAsiaTheme="minorHAnsi" w:hAnsi="Verdana" w:cstheme="minorBidi"/>
          <w:sz w:val="20"/>
          <w:szCs w:val="20"/>
          <w:lang w:val="es-EC"/>
        </w:rPr>
        <w:t>erían</w:t>
      </w:r>
      <w:r w:rsidRPr="00333304">
        <w:rPr>
          <w:rFonts w:ascii="Verdana" w:eastAsiaTheme="minorHAnsi" w:hAnsi="Verdana" w:cstheme="minorBidi"/>
          <w:sz w:val="20"/>
          <w:szCs w:val="20"/>
          <w:lang w:val="es-EC"/>
        </w:rPr>
        <w:t xml:space="preserve"> ser aplicadas por el Estado. No obstante,</w:t>
      </w:r>
      <w:r w:rsidRPr="00A07203">
        <w:rPr>
          <w:rFonts w:ascii="Verdana" w:eastAsiaTheme="minorHAnsi" w:hAnsi="Verdana" w:cstheme="minorBidi"/>
          <w:sz w:val="20"/>
          <w:szCs w:val="20"/>
          <w:lang w:val="es-EC"/>
        </w:rPr>
        <w:t xml:space="preserve"> </w:t>
      </w:r>
      <w:r w:rsidRPr="00333304">
        <w:rPr>
          <w:rFonts w:ascii="Verdana" w:eastAsiaTheme="minorHAnsi" w:hAnsi="Verdana" w:cstheme="minorBidi"/>
          <w:sz w:val="20"/>
          <w:szCs w:val="20"/>
          <w:lang w:val="es-EC"/>
        </w:rPr>
        <w:t>e</w:t>
      </w:r>
      <w:r w:rsidR="00232AA2" w:rsidRPr="00A07203">
        <w:rPr>
          <w:rFonts w:ascii="Verdana" w:eastAsiaTheme="minorHAnsi" w:hAnsi="Verdana" w:cstheme="minorBidi"/>
          <w:sz w:val="20"/>
          <w:szCs w:val="20"/>
          <w:lang w:val="es-EC"/>
        </w:rPr>
        <w:t xml:space="preserve">n </w:t>
      </w:r>
      <w:r w:rsidR="00232AA2">
        <w:rPr>
          <w:rFonts w:ascii="Verdana" w:eastAsiaTheme="minorHAnsi" w:hAnsi="Verdana" w:cstheme="minorBidi"/>
          <w:sz w:val="20"/>
          <w:szCs w:val="20"/>
          <w:lang w:val="es-EC"/>
        </w:rPr>
        <w:t xml:space="preserve">el presente caso, la Corte concluyó que el inciso h) del artículo 5 de la Ley 24514 no era </w:t>
      </w:r>
      <w:r w:rsidR="00232AA2">
        <w:rPr>
          <w:rFonts w:ascii="Verdana" w:eastAsiaTheme="minorHAnsi" w:hAnsi="Verdana" w:cstheme="minorBidi"/>
          <w:i/>
          <w:sz w:val="20"/>
          <w:szCs w:val="20"/>
          <w:lang w:val="es-EC"/>
        </w:rPr>
        <w:t xml:space="preserve">per se </w:t>
      </w:r>
      <w:r w:rsidR="00232AA2">
        <w:rPr>
          <w:rFonts w:ascii="Verdana" w:eastAsiaTheme="minorHAnsi" w:hAnsi="Verdana" w:cstheme="minorBidi"/>
          <w:sz w:val="20"/>
          <w:szCs w:val="20"/>
          <w:lang w:val="es-EC"/>
        </w:rPr>
        <w:t>incompatible con el requisito de legalidad del artículo 13.2 de la Convención</w:t>
      </w:r>
      <w:r w:rsidR="0062065E">
        <w:rPr>
          <w:rFonts w:ascii="Verdana" w:eastAsiaTheme="minorHAnsi" w:hAnsi="Verdana" w:cstheme="minorBidi"/>
          <w:sz w:val="20"/>
          <w:szCs w:val="20"/>
          <w:lang w:val="es-EC"/>
        </w:rPr>
        <w:t>.</w:t>
      </w:r>
      <w:r w:rsidR="00232AA2">
        <w:rPr>
          <w:rFonts w:ascii="Verdana" w:eastAsiaTheme="minorHAnsi" w:hAnsi="Verdana" w:cstheme="minorBidi"/>
          <w:sz w:val="20"/>
          <w:szCs w:val="20"/>
          <w:lang w:val="es-EC"/>
        </w:rPr>
        <w:t xml:space="preserve"> Asimismo, determinó que no le corresponde pronunciarse sobre la compatibilidad </w:t>
      </w:r>
      <w:r w:rsidR="0062065E">
        <w:rPr>
          <w:rFonts w:ascii="Verdana" w:eastAsiaTheme="minorHAnsi" w:hAnsi="Verdana" w:cstheme="minorBidi"/>
          <w:sz w:val="20"/>
          <w:szCs w:val="20"/>
          <w:lang w:val="es-EC"/>
        </w:rPr>
        <w:t xml:space="preserve">de la norma actualmente vigente </w:t>
      </w:r>
      <w:r w:rsidR="00232AA2">
        <w:rPr>
          <w:rFonts w:ascii="Verdana" w:eastAsiaTheme="minorHAnsi" w:hAnsi="Verdana" w:cstheme="minorBidi"/>
          <w:sz w:val="20"/>
          <w:szCs w:val="20"/>
          <w:lang w:val="es-EC"/>
        </w:rPr>
        <w:t>(</w:t>
      </w:r>
      <w:r w:rsidR="00224537" w:rsidRPr="00224537">
        <w:rPr>
          <w:rFonts w:ascii="Verdana" w:eastAsiaTheme="minorHAnsi" w:hAnsi="Verdana" w:cstheme="minorBidi"/>
          <w:i/>
          <w:sz w:val="20"/>
          <w:szCs w:val="20"/>
          <w:lang w:val="es-EC"/>
        </w:rPr>
        <w:t>supra</w:t>
      </w:r>
      <w:r w:rsidR="00232AA2">
        <w:rPr>
          <w:rFonts w:ascii="Verdana" w:eastAsiaTheme="minorHAnsi" w:hAnsi="Verdana" w:cstheme="minorBidi"/>
          <w:sz w:val="20"/>
          <w:szCs w:val="20"/>
          <w:lang w:val="es-EC"/>
        </w:rPr>
        <w:t xml:space="preserve"> párr.</w:t>
      </w:r>
      <w:r w:rsidR="00B31162" w:rsidRPr="00333304">
        <w:rPr>
          <w:rFonts w:ascii="Verdana" w:eastAsiaTheme="minorHAnsi" w:hAnsi="Verdana" w:cstheme="minorBidi"/>
          <w:sz w:val="20"/>
          <w:szCs w:val="20"/>
          <w:lang w:val="es-EC"/>
        </w:rPr>
        <w:t xml:space="preserve"> 165</w:t>
      </w:r>
      <w:r w:rsidR="00232AA2">
        <w:rPr>
          <w:rFonts w:ascii="Verdana" w:eastAsiaTheme="minorHAnsi" w:hAnsi="Verdana" w:cstheme="minorBidi"/>
          <w:sz w:val="20"/>
          <w:szCs w:val="20"/>
          <w:lang w:val="es-EC"/>
        </w:rPr>
        <w:t>). En consecuencia, en el presente caso, no procede ordenar la adopción, modificación o adecuación de normas específicas de derecho interno.</w:t>
      </w:r>
      <w:r w:rsidR="00A07203">
        <w:rPr>
          <w:rFonts w:ascii="Verdana" w:eastAsiaTheme="minorHAnsi" w:hAnsi="Verdana" w:cstheme="minorBidi"/>
          <w:sz w:val="20"/>
          <w:szCs w:val="20"/>
          <w:lang w:val="es-EC"/>
        </w:rPr>
        <w:t xml:space="preserve"> Lo anterior, sin perjuicio de lo dispuesto en </w:t>
      </w:r>
      <w:r w:rsidR="00B31162">
        <w:rPr>
          <w:rFonts w:ascii="Verdana" w:eastAsiaTheme="minorHAnsi" w:hAnsi="Verdana" w:cstheme="minorBidi"/>
          <w:sz w:val="20"/>
          <w:szCs w:val="20"/>
          <w:lang w:val="es-EC"/>
        </w:rPr>
        <w:t>el párrafo 122</w:t>
      </w:r>
      <w:r w:rsidR="00A07203">
        <w:rPr>
          <w:rFonts w:ascii="Verdana" w:eastAsiaTheme="minorHAnsi" w:hAnsi="Verdana" w:cstheme="minorBidi"/>
          <w:sz w:val="20"/>
          <w:szCs w:val="20"/>
          <w:lang w:val="es-EC"/>
        </w:rPr>
        <w:t xml:space="preserve"> de la presente Sentencia. </w:t>
      </w:r>
    </w:p>
    <w:p w14:paraId="04CD50C9" w14:textId="77777777" w:rsidR="000C6082" w:rsidRDefault="000C6082" w:rsidP="000C6082"/>
    <w:p w14:paraId="2BB1E4E7" w14:textId="22D4B6C0" w:rsidR="000C6082" w:rsidRPr="005D0F69" w:rsidRDefault="000C6082" w:rsidP="00E66DD7">
      <w:pPr>
        <w:widowControl w:val="0"/>
        <w:numPr>
          <w:ilvl w:val="0"/>
          <w:numId w:val="1"/>
        </w:numPr>
        <w:tabs>
          <w:tab w:val="center" w:pos="567"/>
          <w:tab w:val="num" w:pos="840"/>
        </w:tabs>
        <w:autoSpaceDE w:val="0"/>
        <w:autoSpaceDN w:val="0"/>
        <w:adjustRightInd w:val="0"/>
        <w:ind w:left="0" w:firstLine="0"/>
        <w:contextualSpacing/>
        <w:jc w:val="both"/>
        <w:rPr>
          <w:rFonts w:ascii="Verdana" w:eastAsiaTheme="minorHAnsi" w:hAnsi="Verdana" w:cstheme="minorBidi"/>
          <w:sz w:val="20"/>
          <w:szCs w:val="20"/>
          <w:lang w:val="es-MX"/>
        </w:rPr>
      </w:pPr>
      <w:r>
        <w:rPr>
          <w:rFonts w:ascii="Verdana" w:eastAsiaTheme="minorHAnsi" w:hAnsi="Verdana" w:cstheme="minorBidi"/>
          <w:sz w:val="20"/>
          <w:szCs w:val="20"/>
        </w:rPr>
        <w:t>En conc</w:t>
      </w:r>
      <w:r w:rsidR="00087FDE">
        <w:rPr>
          <w:rFonts w:ascii="Verdana" w:eastAsiaTheme="minorHAnsi" w:hAnsi="Verdana" w:cstheme="minorBidi"/>
          <w:sz w:val="20"/>
          <w:szCs w:val="20"/>
        </w:rPr>
        <w:t>l</w:t>
      </w:r>
      <w:r>
        <w:rPr>
          <w:rFonts w:ascii="Verdana" w:eastAsiaTheme="minorHAnsi" w:hAnsi="Verdana" w:cstheme="minorBidi"/>
          <w:sz w:val="20"/>
          <w:szCs w:val="20"/>
        </w:rPr>
        <w:t xml:space="preserve">usión, la Corte reitera que </w:t>
      </w:r>
      <w:r w:rsidRPr="003F07AD">
        <w:rPr>
          <w:rFonts w:ascii="Verdana" w:eastAsiaTheme="minorHAnsi" w:hAnsi="Verdana" w:cstheme="minorBidi"/>
          <w:sz w:val="20"/>
          <w:szCs w:val="20"/>
        </w:rPr>
        <w:t xml:space="preserve">la emisión de la presente Sentencia y las reparaciones ordenadas en este capítulo resultan suficientes y adecuadas para remediar las violaciones sufridas por las víctimas, por lo que no considera necesario ordenar </w:t>
      </w:r>
      <w:r>
        <w:rPr>
          <w:rFonts w:ascii="Verdana" w:eastAsiaTheme="minorHAnsi" w:hAnsi="Verdana" w:cstheme="minorBidi"/>
          <w:sz w:val="20"/>
          <w:szCs w:val="20"/>
        </w:rPr>
        <w:t xml:space="preserve">otras </w:t>
      </w:r>
      <w:r w:rsidRPr="003F07AD">
        <w:rPr>
          <w:rFonts w:ascii="Verdana" w:eastAsiaTheme="minorHAnsi" w:hAnsi="Verdana" w:cstheme="minorBidi"/>
          <w:sz w:val="20"/>
          <w:szCs w:val="20"/>
        </w:rPr>
        <w:t>medidas</w:t>
      </w:r>
      <w:r w:rsidR="000828BB">
        <w:rPr>
          <w:rFonts w:ascii="Verdana" w:eastAsiaTheme="minorHAnsi" w:hAnsi="Verdana" w:cstheme="minorBidi"/>
          <w:sz w:val="20"/>
          <w:szCs w:val="20"/>
        </w:rPr>
        <w:t xml:space="preserve"> de naturaleza integral</w:t>
      </w:r>
      <w:r w:rsidRPr="003F07AD">
        <w:rPr>
          <w:rFonts w:ascii="Verdana" w:eastAsiaTheme="minorHAnsi" w:hAnsi="Verdana" w:cstheme="minorBidi"/>
          <w:sz w:val="20"/>
          <w:szCs w:val="20"/>
        </w:rPr>
        <w:t>.</w:t>
      </w:r>
    </w:p>
    <w:p w14:paraId="008DD2F4" w14:textId="77777777" w:rsidR="00564925" w:rsidRPr="005D0F69" w:rsidRDefault="00564925" w:rsidP="005D0F69"/>
    <w:p w14:paraId="3B1794ED" w14:textId="77777777" w:rsidR="009C5D55" w:rsidRPr="009C5D55" w:rsidRDefault="009C5D55" w:rsidP="00E66DD7">
      <w:pPr>
        <w:pStyle w:val="Heading2"/>
        <w:numPr>
          <w:ilvl w:val="0"/>
          <w:numId w:val="13"/>
        </w:numPr>
        <w:rPr>
          <w:b w:val="0"/>
          <w:bCs w:val="0"/>
          <w:i/>
          <w:szCs w:val="20"/>
        </w:rPr>
      </w:pPr>
      <w:bookmarkStart w:id="71" w:name="_Toc498333526"/>
      <w:r w:rsidRPr="00C0187C">
        <w:rPr>
          <w:i/>
          <w:szCs w:val="20"/>
        </w:rPr>
        <w:t>Indemnización compensatoria</w:t>
      </w:r>
      <w:bookmarkEnd w:id="71"/>
    </w:p>
    <w:p w14:paraId="12B92CBB" w14:textId="77777777" w:rsidR="009C5D55" w:rsidRPr="009C5D55" w:rsidRDefault="009C5D55" w:rsidP="009C5D55">
      <w:pPr>
        <w:contextualSpacing/>
        <w:jc w:val="both"/>
        <w:rPr>
          <w:rFonts w:ascii="Verdana" w:hAnsi="Verdana"/>
          <w:sz w:val="20"/>
          <w:szCs w:val="20"/>
          <w:lang w:val="es-CR"/>
        </w:rPr>
      </w:pPr>
    </w:p>
    <w:p w14:paraId="64F5B33C" w14:textId="77777777" w:rsidR="009C5D55" w:rsidRPr="00C0187C" w:rsidRDefault="009C5D55" w:rsidP="00E66DD7">
      <w:pPr>
        <w:pStyle w:val="Heading3"/>
        <w:numPr>
          <w:ilvl w:val="0"/>
          <w:numId w:val="15"/>
        </w:numPr>
        <w:rPr>
          <w:i/>
          <w:lang w:val="es-MX"/>
        </w:rPr>
      </w:pPr>
      <w:bookmarkStart w:id="72" w:name="_Toc498333527"/>
      <w:r w:rsidRPr="00C0187C">
        <w:rPr>
          <w:i/>
          <w:lang w:val="es-MX"/>
        </w:rPr>
        <w:lastRenderedPageBreak/>
        <w:t>Daño material</w:t>
      </w:r>
      <w:bookmarkEnd w:id="72"/>
    </w:p>
    <w:p w14:paraId="40E9F291" w14:textId="77777777" w:rsidR="009C5D55" w:rsidRPr="009C5D55" w:rsidRDefault="009C5D55" w:rsidP="009C5D55">
      <w:pPr>
        <w:rPr>
          <w:rFonts w:ascii="Verdana" w:hAnsi="Verdana"/>
          <w:sz w:val="20"/>
          <w:szCs w:val="20"/>
          <w:lang w:val="es-CR"/>
        </w:rPr>
      </w:pPr>
    </w:p>
    <w:p w14:paraId="6A0B827C" w14:textId="057B8D27"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ES"/>
        </w:rPr>
      </w:pPr>
      <w:r w:rsidRPr="009C5D55">
        <w:rPr>
          <w:rFonts w:ascii="Verdana" w:hAnsi="Verdana"/>
          <w:sz w:val="20"/>
          <w:szCs w:val="20"/>
          <w:lang w:val="es-CR"/>
        </w:rPr>
        <w:t xml:space="preserve">La </w:t>
      </w:r>
      <w:r w:rsidRPr="009C5D55">
        <w:rPr>
          <w:rFonts w:ascii="Verdana" w:hAnsi="Verdana"/>
          <w:b/>
          <w:i/>
          <w:sz w:val="20"/>
          <w:szCs w:val="20"/>
          <w:lang w:val="es-CR"/>
        </w:rPr>
        <w:t>Comisión</w:t>
      </w:r>
      <w:r w:rsidRPr="009C5D55">
        <w:rPr>
          <w:rFonts w:ascii="Verdana" w:hAnsi="Verdana"/>
          <w:sz w:val="20"/>
          <w:szCs w:val="20"/>
          <w:lang w:val="es-CR"/>
        </w:rPr>
        <w:t xml:space="preserve"> </w:t>
      </w:r>
      <w:r w:rsidRPr="009C5D55">
        <w:rPr>
          <w:rFonts w:ascii="Verdana" w:hAnsi="Verdana"/>
          <w:sz w:val="20"/>
          <w:szCs w:val="20"/>
          <w:lang w:val="es-MX"/>
        </w:rPr>
        <w:t>solicitó incorporar en la reparación tanto el daño material como moral</w:t>
      </w:r>
      <w:r w:rsidR="00315E10">
        <w:rPr>
          <w:rFonts w:ascii="Verdana" w:hAnsi="Verdana"/>
          <w:sz w:val="20"/>
          <w:szCs w:val="20"/>
          <w:lang w:val="es-MX"/>
        </w:rPr>
        <w:t>.</w:t>
      </w:r>
    </w:p>
    <w:p w14:paraId="5699B8C5" w14:textId="77777777" w:rsidR="009C5D55" w:rsidRPr="009C5D55" w:rsidRDefault="009C5D55" w:rsidP="009C5D55">
      <w:pPr>
        <w:widowControl w:val="0"/>
        <w:tabs>
          <w:tab w:val="center" w:pos="0"/>
        </w:tabs>
        <w:autoSpaceDE w:val="0"/>
        <w:autoSpaceDN w:val="0"/>
        <w:adjustRightInd w:val="0"/>
        <w:contextualSpacing/>
        <w:jc w:val="both"/>
        <w:rPr>
          <w:rFonts w:ascii="Verdana" w:hAnsi="Verdana"/>
          <w:sz w:val="20"/>
          <w:szCs w:val="20"/>
          <w:lang w:val="es-CR"/>
        </w:rPr>
      </w:pPr>
    </w:p>
    <w:p w14:paraId="625242B8" w14:textId="77981C17"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MX"/>
        </w:rPr>
      </w:pPr>
      <w:r w:rsidRPr="009C5D55">
        <w:rPr>
          <w:rFonts w:ascii="Verdana" w:hAnsi="Verdana"/>
          <w:sz w:val="20"/>
          <w:szCs w:val="20"/>
          <w:lang w:val="es-CR"/>
        </w:rPr>
        <w:t xml:space="preserve">Los </w:t>
      </w:r>
      <w:r w:rsidRPr="009C5D55">
        <w:rPr>
          <w:rFonts w:ascii="Verdana" w:hAnsi="Verdana"/>
          <w:b/>
          <w:i/>
          <w:sz w:val="20"/>
          <w:szCs w:val="20"/>
          <w:lang w:val="es-CR"/>
        </w:rPr>
        <w:t xml:space="preserve">representantes </w:t>
      </w:r>
      <w:r w:rsidRPr="009C5D55">
        <w:rPr>
          <w:rFonts w:ascii="Verdana" w:hAnsi="Verdana"/>
          <w:sz w:val="20"/>
          <w:szCs w:val="20"/>
          <w:lang w:val="es-MX"/>
        </w:rPr>
        <w:t>solicitaron que se indemnicen los gastos incurridos por la víctima en su búsqueda de la justicia fijando un monto en equidad. Asimismo</w:t>
      </w:r>
      <w:r w:rsidR="00315E10">
        <w:rPr>
          <w:rFonts w:ascii="Verdana" w:hAnsi="Verdana"/>
          <w:sz w:val="20"/>
          <w:szCs w:val="20"/>
          <w:lang w:val="es-MX"/>
        </w:rPr>
        <w:t>,</w:t>
      </w:r>
      <w:r w:rsidRPr="009C5D55">
        <w:rPr>
          <w:rFonts w:ascii="Verdana" w:hAnsi="Verdana"/>
          <w:sz w:val="20"/>
          <w:szCs w:val="20"/>
          <w:lang w:val="es-MX"/>
        </w:rPr>
        <w:t xml:space="preserve"> solicitaron que se fije el lucro cesante en equidad considerando que el señor Lagos del Campo no fue repuesto a su centro de labores, truncando sus derechos laborales. </w:t>
      </w:r>
      <w:r w:rsidR="00274C5F" w:rsidRPr="00FA445A">
        <w:rPr>
          <w:rFonts w:ascii="Verdana" w:hAnsi="Verdana"/>
          <w:sz w:val="20"/>
          <w:szCs w:val="20"/>
          <w:lang w:val="es-MX"/>
        </w:rPr>
        <w:t>Al respecto</w:t>
      </w:r>
      <w:r w:rsidR="00925FE5" w:rsidRPr="00FA445A">
        <w:rPr>
          <w:rFonts w:ascii="Verdana" w:hAnsi="Verdana"/>
          <w:sz w:val="20"/>
          <w:szCs w:val="20"/>
          <w:lang w:val="es-MX"/>
        </w:rPr>
        <w:t xml:space="preserve">, los representantes alegaron </w:t>
      </w:r>
      <w:r w:rsidR="00EE08D5" w:rsidRPr="00FA445A">
        <w:rPr>
          <w:rFonts w:ascii="Verdana" w:hAnsi="Verdana"/>
          <w:sz w:val="20"/>
          <w:szCs w:val="20"/>
          <w:lang w:val="es-MX"/>
        </w:rPr>
        <w:t>en audiencia</w:t>
      </w:r>
      <w:r w:rsidR="00EE08D5">
        <w:rPr>
          <w:rFonts w:ascii="Verdana" w:hAnsi="Verdana"/>
          <w:sz w:val="20"/>
          <w:szCs w:val="20"/>
          <w:lang w:val="es-MX"/>
        </w:rPr>
        <w:t xml:space="preserve"> </w:t>
      </w:r>
      <w:r w:rsidR="00925FE5" w:rsidRPr="00274C5F">
        <w:rPr>
          <w:rFonts w:ascii="Verdana" w:hAnsi="Verdana"/>
          <w:sz w:val="20"/>
          <w:szCs w:val="20"/>
          <w:lang w:val="es-MX"/>
        </w:rPr>
        <w:t>que el señor Lagos del Campo no cuenta con los años necesarios para acceder a una legítima pensión, así como a un seguro de salud, al haber quedado dicha expectativa truncada consecuencia del despido</w:t>
      </w:r>
      <w:r w:rsidR="00315E10">
        <w:rPr>
          <w:rFonts w:ascii="Verdana" w:hAnsi="Verdana"/>
          <w:sz w:val="20"/>
          <w:szCs w:val="20"/>
          <w:lang w:val="es-MX"/>
        </w:rPr>
        <w:t xml:space="preserve">. </w:t>
      </w:r>
      <w:r w:rsidRPr="009C5D55">
        <w:rPr>
          <w:rFonts w:ascii="Verdana" w:hAnsi="Verdana"/>
          <w:sz w:val="20"/>
          <w:szCs w:val="20"/>
          <w:lang w:val="es-MX"/>
        </w:rPr>
        <w:t>En sus alegatos finales escritos, los representantes señalaron que dado a que los gastos incurridos por el señor Lagos del Campo se han originado en un lapso de casi 28 años, el señor Lagos del Campo no conserva recibos de los mismos.</w:t>
      </w:r>
      <w:r w:rsidR="00925FE5">
        <w:rPr>
          <w:rFonts w:ascii="Verdana" w:hAnsi="Verdana"/>
          <w:sz w:val="20"/>
          <w:szCs w:val="20"/>
          <w:lang w:val="es-MX"/>
        </w:rPr>
        <w:t xml:space="preserve"> </w:t>
      </w:r>
    </w:p>
    <w:p w14:paraId="08D66EEE" w14:textId="77777777" w:rsidR="009C5D55" w:rsidRPr="009C5D55" w:rsidRDefault="009C5D55" w:rsidP="009C5D55">
      <w:pPr>
        <w:widowControl w:val="0"/>
        <w:tabs>
          <w:tab w:val="center" w:pos="0"/>
        </w:tabs>
        <w:autoSpaceDE w:val="0"/>
        <w:autoSpaceDN w:val="0"/>
        <w:adjustRightInd w:val="0"/>
        <w:contextualSpacing/>
        <w:jc w:val="both"/>
        <w:rPr>
          <w:rFonts w:ascii="Verdana" w:hAnsi="Verdana"/>
          <w:sz w:val="20"/>
          <w:szCs w:val="20"/>
          <w:lang w:val="es-CR"/>
        </w:rPr>
      </w:pPr>
    </w:p>
    <w:p w14:paraId="256A4B06" w14:textId="4C276F57" w:rsidR="009C5D55" w:rsidRPr="00DE3D07"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18"/>
          <w:szCs w:val="20"/>
          <w:lang w:val="es-MX"/>
        </w:rPr>
      </w:pPr>
      <w:r w:rsidRPr="009C5D55">
        <w:rPr>
          <w:rFonts w:ascii="Verdana" w:hAnsi="Verdana"/>
          <w:sz w:val="20"/>
          <w:szCs w:val="20"/>
          <w:lang w:val="es-CR"/>
        </w:rPr>
        <w:t xml:space="preserve">El </w:t>
      </w:r>
      <w:r w:rsidRPr="009C5D55">
        <w:rPr>
          <w:rFonts w:ascii="Verdana" w:hAnsi="Verdana"/>
          <w:b/>
          <w:i/>
          <w:sz w:val="20"/>
          <w:szCs w:val="20"/>
          <w:lang w:val="es-CR"/>
        </w:rPr>
        <w:t>Estado</w:t>
      </w:r>
      <w:r w:rsidRPr="009C5D55">
        <w:rPr>
          <w:rFonts w:ascii="Verdana" w:hAnsi="Verdana"/>
          <w:sz w:val="20"/>
          <w:szCs w:val="20"/>
          <w:lang w:val="es-CR"/>
        </w:rPr>
        <w:t xml:space="preserve"> </w:t>
      </w:r>
      <w:r w:rsidRPr="009C5D55">
        <w:rPr>
          <w:rFonts w:ascii="Verdana" w:hAnsi="Verdana"/>
          <w:sz w:val="20"/>
          <w:szCs w:val="20"/>
          <w:lang w:val="es-MX"/>
        </w:rPr>
        <w:t>sostuvo que los representantes omitieron señalar cuál es la relación de causalidad entre los actos u omisiones del Estado y los daños alegados. Alegó que no es posible indemnizar alegaciones genéricas e irrazonables. Además de que los procedimientos laborales y de amparo eran gratuitos en Perú</w:t>
      </w:r>
      <w:r w:rsidR="00315E10">
        <w:rPr>
          <w:rFonts w:ascii="Verdana" w:hAnsi="Verdana"/>
          <w:sz w:val="20"/>
          <w:szCs w:val="20"/>
          <w:lang w:val="es-MX"/>
        </w:rPr>
        <w:t>.</w:t>
      </w:r>
      <w:r w:rsidRPr="009C5D55">
        <w:rPr>
          <w:rFonts w:ascii="Verdana" w:hAnsi="Verdana"/>
          <w:b/>
          <w:sz w:val="20"/>
          <w:szCs w:val="20"/>
          <w:lang w:val="es-MX"/>
        </w:rPr>
        <w:t xml:space="preserve"> </w:t>
      </w:r>
      <w:r w:rsidRPr="009C5D55">
        <w:rPr>
          <w:rFonts w:ascii="Verdana" w:hAnsi="Verdana"/>
          <w:sz w:val="20"/>
          <w:szCs w:val="20"/>
          <w:lang w:val="es-MX"/>
        </w:rPr>
        <w:t>Asimismo</w:t>
      </w:r>
      <w:r w:rsidR="00315E10">
        <w:rPr>
          <w:rFonts w:ascii="Verdana" w:hAnsi="Verdana"/>
          <w:sz w:val="20"/>
          <w:szCs w:val="20"/>
          <w:lang w:val="es-MX"/>
        </w:rPr>
        <w:t>,</w:t>
      </w:r>
      <w:r w:rsidRPr="009C5D55">
        <w:rPr>
          <w:rFonts w:ascii="Verdana" w:hAnsi="Verdana"/>
          <w:sz w:val="20"/>
          <w:szCs w:val="20"/>
          <w:lang w:val="es-MX"/>
        </w:rPr>
        <w:t xml:space="preserve"> sostuvo que la fuente del trabajo era particular, no pública, por lo que el Estado nada debe a la presunta víctima. Respecto del lucro cesante, sostuvo que no corresponde analizar los daños que se derivarían de una violación a su derecho al trabajo, siendo que lo discutido es una violación a su derecho a la libre expresión. Alegó también, que no existe argumentación ni prueba alguna sobre el salario que recibía la presunta víctima. </w:t>
      </w:r>
      <w:r w:rsidR="00274C5F" w:rsidRPr="00333304">
        <w:rPr>
          <w:rFonts w:ascii="Verdana" w:hAnsi="Verdana"/>
          <w:sz w:val="20"/>
          <w:szCs w:val="20"/>
          <w:lang w:val="es-MX"/>
        </w:rPr>
        <w:t>En relación con los derechos a la jubilación del señor Lagos del Campo y a recibir una pensión, el Estado observó, en sus alegatos finales, que en el escrito de solicitudes y argumentos los representantes no argumentaron ni aportaron medio probatorios en este sentido.</w:t>
      </w:r>
      <w:r w:rsidR="00274C5F" w:rsidRPr="009C5D55">
        <w:rPr>
          <w:rFonts w:ascii="Verdana" w:hAnsi="Verdana"/>
          <w:sz w:val="20"/>
          <w:szCs w:val="20"/>
          <w:lang w:val="es-MX"/>
        </w:rPr>
        <w:t xml:space="preserve"> </w:t>
      </w:r>
    </w:p>
    <w:p w14:paraId="79CCDF3F" w14:textId="77777777" w:rsidR="009C5D55" w:rsidRPr="009C5D55" w:rsidRDefault="009C5D55" w:rsidP="009C5D55">
      <w:pPr>
        <w:widowControl w:val="0"/>
        <w:tabs>
          <w:tab w:val="center" w:pos="0"/>
        </w:tabs>
        <w:autoSpaceDE w:val="0"/>
        <w:autoSpaceDN w:val="0"/>
        <w:adjustRightInd w:val="0"/>
        <w:contextualSpacing/>
        <w:jc w:val="both"/>
        <w:rPr>
          <w:rFonts w:ascii="Verdana" w:hAnsi="Verdana"/>
          <w:sz w:val="20"/>
          <w:szCs w:val="20"/>
          <w:lang w:val="es-MX"/>
        </w:rPr>
      </w:pPr>
    </w:p>
    <w:p w14:paraId="439D6B53" w14:textId="1FE74043"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lang w:val="es-ES"/>
        </w:rPr>
      </w:pPr>
      <w:r w:rsidRPr="009C5D55">
        <w:rPr>
          <w:rFonts w:ascii="Verdana" w:hAnsi="Verdana"/>
          <w:sz w:val="20"/>
          <w:szCs w:val="20"/>
          <w:lang w:val="es-ES"/>
        </w:rPr>
        <w:t>La Corte ha desarrollado el concepto de daño material</w:t>
      </w:r>
      <w:r w:rsidRPr="009C5D55">
        <w:rPr>
          <w:rFonts w:ascii="Verdana" w:hAnsi="Verdana"/>
          <w:sz w:val="20"/>
          <w:szCs w:val="20"/>
          <w:vertAlign w:val="superscript"/>
          <w:lang w:val="es-ES"/>
        </w:rPr>
        <w:footnoteReference w:id="266"/>
      </w:r>
      <w:r w:rsidRPr="009C5D55">
        <w:rPr>
          <w:rFonts w:ascii="Verdana" w:hAnsi="Verdana"/>
          <w:sz w:val="20"/>
          <w:szCs w:val="20"/>
          <w:lang w:val="es-ES"/>
        </w:rPr>
        <w:t xml:space="preserve"> e inmaterial</w:t>
      </w:r>
      <w:r w:rsidRPr="009C5D55">
        <w:rPr>
          <w:rFonts w:ascii="Verdana" w:hAnsi="Verdana"/>
          <w:bCs/>
          <w:sz w:val="20"/>
          <w:szCs w:val="20"/>
          <w:vertAlign w:val="superscript"/>
          <w:lang w:val="es-ES"/>
        </w:rPr>
        <w:footnoteReference w:id="267"/>
      </w:r>
      <w:r w:rsidRPr="009C5D55">
        <w:rPr>
          <w:rFonts w:ascii="Verdana" w:hAnsi="Verdana"/>
          <w:sz w:val="20"/>
          <w:szCs w:val="20"/>
          <w:lang w:val="es-ES"/>
        </w:rPr>
        <w:t xml:space="preserve"> y los supuestos en </w:t>
      </w:r>
      <w:r w:rsidRPr="009C5D55">
        <w:rPr>
          <w:rFonts w:ascii="Verdana" w:eastAsia="Times New Roman" w:hAnsi="Verdana"/>
          <w:sz w:val="20"/>
          <w:szCs w:val="20"/>
          <w:lang w:val="es-ES"/>
        </w:rPr>
        <w:t>que</w:t>
      </w:r>
      <w:r w:rsidRPr="009C5D55">
        <w:rPr>
          <w:rFonts w:ascii="Verdana" w:hAnsi="Verdana"/>
          <w:sz w:val="20"/>
          <w:szCs w:val="20"/>
          <w:lang w:val="es-ES"/>
        </w:rPr>
        <w:t xml:space="preserve"> corresponde indemnizarlos.</w:t>
      </w:r>
      <w:r w:rsidRPr="009C5D55">
        <w:rPr>
          <w:rFonts w:ascii="Verdana" w:hAnsi="Verdana"/>
          <w:b/>
          <w:i/>
          <w:sz w:val="20"/>
          <w:szCs w:val="20"/>
          <w:lang w:val="es-ES"/>
        </w:rPr>
        <w:t xml:space="preserve"> </w:t>
      </w:r>
      <w:r w:rsidRPr="009C5D55">
        <w:rPr>
          <w:rFonts w:ascii="Verdana" w:hAnsi="Verdana"/>
          <w:sz w:val="20"/>
          <w:szCs w:val="20"/>
          <w:lang w:val="es-ES"/>
        </w:rPr>
        <w:t>En particular,</w:t>
      </w:r>
      <w:r w:rsidRPr="009C5D55">
        <w:rPr>
          <w:rFonts w:ascii="Verdana" w:hAnsi="Verdana"/>
          <w:b/>
          <w:i/>
          <w:sz w:val="20"/>
          <w:szCs w:val="20"/>
          <w:lang w:val="es-ES"/>
        </w:rPr>
        <w:t xml:space="preserve"> </w:t>
      </w:r>
      <w:r w:rsidRPr="009C5D55">
        <w:rPr>
          <w:rFonts w:ascii="Verdana" w:hAnsi="Verdana" w:cs="Verdana"/>
          <w:sz w:val="20"/>
          <w:szCs w:val="20"/>
          <w:lang w:bidi="en-US"/>
        </w:rPr>
        <w:t xml:space="preserve">la Corte ha desarrollado en su jurisprudencia el concepto de daño material y </w:t>
      </w:r>
      <w:r w:rsidRPr="009C5D55">
        <w:rPr>
          <w:rFonts w:ascii="Verdana" w:hAnsi="Verdana"/>
          <w:bCs/>
          <w:sz w:val="20"/>
          <w:szCs w:val="20"/>
        </w:rPr>
        <w:t>ha establecido que supone “la pérdida o detrimento de los ingresos de las víctimas, los gastos efectuados con motivo de los hechos y las consecuencias de carácter pecuniario que tengan un nexo causal con los hechos del caso</w:t>
      </w:r>
      <w:r w:rsidR="00315E10">
        <w:rPr>
          <w:rFonts w:ascii="Verdana" w:hAnsi="Verdana"/>
          <w:bCs/>
          <w:sz w:val="20"/>
          <w:szCs w:val="20"/>
        </w:rPr>
        <w:t>”</w:t>
      </w:r>
      <w:r w:rsidR="00341FCF">
        <w:rPr>
          <w:rStyle w:val="FootnoteReference"/>
          <w:bCs/>
          <w:szCs w:val="20"/>
        </w:rPr>
        <w:footnoteReference w:id="268"/>
      </w:r>
      <w:r w:rsidRPr="009C5D55">
        <w:rPr>
          <w:rFonts w:ascii="Verdana" w:hAnsi="Verdana"/>
          <w:bCs/>
          <w:sz w:val="20"/>
          <w:szCs w:val="20"/>
        </w:rPr>
        <w:t xml:space="preserve"> </w:t>
      </w:r>
      <w:r w:rsidRPr="009C5D55">
        <w:rPr>
          <w:rFonts w:ascii="Verdana" w:hAnsi="Verdana"/>
          <w:sz w:val="20"/>
          <w:szCs w:val="20"/>
          <w:lang w:val="es-ES"/>
        </w:rPr>
        <w:t>En razón de ello, la Corte determinará la pertinencia de otorgar reparaciones pecuniarias y los montos respectivos debidos en este caso.</w:t>
      </w:r>
    </w:p>
    <w:p w14:paraId="092B1729" w14:textId="77777777" w:rsidR="009C5D55" w:rsidRPr="009C5D55" w:rsidRDefault="009C5D55" w:rsidP="009C5D55">
      <w:pPr>
        <w:widowControl w:val="0"/>
        <w:tabs>
          <w:tab w:val="center" w:pos="0"/>
        </w:tabs>
        <w:autoSpaceDE w:val="0"/>
        <w:autoSpaceDN w:val="0"/>
        <w:adjustRightInd w:val="0"/>
        <w:contextualSpacing/>
        <w:jc w:val="both"/>
        <w:rPr>
          <w:rFonts w:ascii="Verdana" w:hAnsi="Verdana"/>
          <w:sz w:val="20"/>
          <w:szCs w:val="20"/>
          <w:lang w:val="es-ES"/>
        </w:rPr>
      </w:pPr>
    </w:p>
    <w:p w14:paraId="552448B9" w14:textId="5CA6A60F"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 xml:space="preserve">En cuanto al </w:t>
      </w:r>
      <w:r w:rsidRPr="009C5D55">
        <w:rPr>
          <w:rFonts w:ascii="Verdana" w:hAnsi="Verdana"/>
          <w:i/>
          <w:sz w:val="20"/>
          <w:szCs w:val="20"/>
          <w:lang w:val="es-CR"/>
        </w:rPr>
        <w:t>daño emergente</w:t>
      </w:r>
      <w:r w:rsidRPr="009C5D55">
        <w:rPr>
          <w:rFonts w:ascii="Verdana" w:hAnsi="Verdana"/>
          <w:sz w:val="20"/>
          <w:szCs w:val="20"/>
          <w:lang w:val="es-CR"/>
        </w:rPr>
        <w:t xml:space="preserve">, esta Corte considera que </w:t>
      </w:r>
      <w:r w:rsidR="00F535E6">
        <w:rPr>
          <w:rFonts w:ascii="Verdana" w:hAnsi="Verdana"/>
          <w:sz w:val="20"/>
          <w:szCs w:val="20"/>
          <w:lang w:val="es-CR"/>
        </w:rPr>
        <w:t>el alegato de los representantes se refiere a los gastos incurridos por el señor Lagos del Campo en el proceso judicial interno, por lo que será analizado en el acápite de “costas</w:t>
      </w:r>
      <w:r w:rsidR="004471D4" w:rsidRPr="004471D4">
        <w:rPr>
          <w:rFonts w:ascii="Verdana" w:hAnsi="Verdana"/>
          <w:sz w:val="20"/>
          <w:szCs w:val="20"/>
          <w:lang w:val="es-CR"/>
        </w:rPr>
        <w:t xml:space="preserve"> </w:t>
      </w:r>
      <w:r w:rsidR="004471D4">
        <w:rPr>
          <w:rFonts w:ascii="Verdana" w:hAnsi="Verdana"/>
          <w:sz w:val="20"/>
          <w:szCs w:val="20"/>
          <w:lang w:val="es-CR"/>
        </w:rPr>
        <w:t>y gastos</w:t>
      </w:r>
      <w:r w:rsidR="00F535E6">
        <w:rPr>
          <w:rFonts w:ascii="Verdana" w:hAnsi="Verdana"/>
          <w:sz w:val="20"/>
          <w:szCs w:val="20"/>
          <w:lang w:val="es-CR"/>
        </w:rPr>
        <w:t>” (</w:t>
      </w:r>
      <w:r w:rsidR="00F535E6" w:rsidRPr="00EB5530">
        <w:rPr>
          <w:rFonts w:ascii="Verdana" w:hAnsi="Verdana"/>
          <w:i/>
          <w:sz w:val="20"/>
          <w:szCs w:val="20"/>
          <w:lang w:val="es-CR"/>
        </w:rPr>
        <w:t>i</w:t>
      </w:r>
      <w:r w:rsidR="00F535E6" w:rsidRPr="00184C1D">
        <w:rPr>
          <w:rFonts w:ascii="Verdana" w:hAnsi="Verdana"/>
          <w:i/>
          <w:sz w:val="20"/>
          <w:szCs w:val="20"/>
          <w:lang w:val="es-CR"/>
        </w:rPr>
        <w:t>nfra</w:t>
      </w:r>
      <w:r w:rsidR="00F535E6">
        <w:rPr>
          <w:rFonts w:ascii="Verdana" w:hAnsi="Verdana"/>
          <w:sz w:val="20"/>
          <w:szCs w:val="20"/>
          <w:lang w:val="es-CR"/>
        </w:rPr>
        <w:t xml:space="preserve">, </w:t>
      </w:r>
      <w:proofErr w:type="spellStart"/>
      <w:r w:rsidR="00F535E6">
        <w:rPr>
          <w:rFonts w:ascii="Verdana" w:hAnsi="Verdana"/>
          <w:sz w:val="20"/>
          <w:szCs w:val="20"/>
          <w:lang w:val="es-CR"/>
        </w:rPr>
        <w:t>párr</w:t>
      </w:r>
      <w:r w:rsidR="00315E10">
        <w:rPr>
          <w:rFonts w:ascii="Verdana" w:hAnsi="Verdana"/>
          <w:sz w:val="20"/>
          <w:szCs w:val="20"/>
          <w:lang w:val="es-CR"/>
        </w:rPr>
        <w:t>s</w:t>
      </w:r>
      <w:proofErr w:type="spellEnd"/>
      <w:r w:rsidR="00315E10">
        <w:rPr>
          <w:rFonts w:ascii="Verdana" w:hAnsi="Verdana"/>
          <w:sz w:val="20"/>
          <w:szCs w:val="20"/>
          <w:lang w:val="es-CR"/>
        </w:rPr>
        <w:t xml:space="preserve">. 223 </w:t>
      </w:r>
      <w:r w:rsidR="00B31162">
        <w:rPr>
          <w:rFonts w:ascii="Verdana" w:hAnsi="Verdana"/>
          <w:sz w:val="20"/>
          <w:szCs w:val="20"/>
          <w:lang w:val="es-CR"/>
        </w:rPr>
        <w:t>a</w:t>
      </w:r>
      <w:r w:rsidR="00315E10">
        <w:rPr>
          <w:rFonts w:ascii="Verdana" w:hAnsi="Verdana"/>
          <w:sz w:val="20"/>
          <w:szCs w:val="20"/>
          <w:lang w:val="es-CR"/>
        </w:rPr>
        <w:t xml:space="preserve"> 227</w:t>
      </w:r>
      <w:r w:rsidR="00F535E6">
        <w:rPr>
          <w:rFonts w:ascii="Verdana" w:hAnsi="Verdana"/>
          <w:sz w:val="20"/>
          <w:szCs w:val="20"/>
          <w:lang w:val="es-CR"/>
        </w:rPr>
        <w:t>)</w:t>
      </w:r>
      <w:r w:rsidRPr="009C5D55">
        <w:rPr>
          <w:rFonts w:ascii="Verdana" w:hAnsi="Verdana"/>
          <w:sz w:val="20"/>
          <w:szCs w:val="20"/>
          <w:lang w:val="es-CR"/>
        </w:rPr>
        <w:t>.</w:t>
      </w:r>
    </w:p>
    <w:p w14:paraId="6C06D053" w14:textId="77777777" w:rsidR="009C5D55" w:rsidRPr="009C5D55" w:rsidRDefault="009C5D55" w:rsidP="009C5D55">
      <w:pPr>
        <w:widowControl w:val="0"/>
        <w:tabs>
          <w:tab w:val="center" w:pos="567"/>
        </w:tabs>
        <w:autoSpaceDE w:val="0"/>
        <w:autoSpaceDN w:val="0"/>
        <w:adjustRightInd w:val="0"/>
        <w:contextualSpacing/>
        <w:jc w:val="both"/>
        <w:rPr>
          <w:rFonts w:ascii="Verdana" w:hAnsi="Verdana"/>
          <w:sz w:val="20"/>
          <w:szCs w:val="20"/>
          <w:lang w:val="es-CR"/>
        </w:rPr>
      </w:pPr>
    </w:p>
    <w:p w14:paraId="5C72E84D" w14:textId="0711D71E" w:rsidR="009C5D55" w:rsidRPr="00333304"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u w:val="single"/>
          <w:lang w:val="es-CR"/>
        </w:rPr>
      </w:pPr>
      <w:r w:rsidRPr="009C5D55">
        <w:rPr>
          <w:rFonts w:ascii="Verdana" w:hAnsi="Verdana"/>
          <w:sz w:val="20"/>
          <w:szCs w:val="20"/>
          <w:lang w:val="es-CR"/>
        </w:rPr>
        <w:t xml:space="preserve">En cuanto al </w:t>
      </w:r>
      <w:r w:rsidRPr="009C5D55">
        <w:rPr>
          <w:rFonts w:ascii="Verdana" w:hAnsi="Verdana"/>
          <w:i/>
          <w:sz w:val="20"/>
          <w:szCs w:val="20"/>
          <w:lang w:val="es-CR"/>
        </w:rPr>
        <w:t>lucro cesante</w:t>
      </w:r>
      <w:r w:rsidRPr="009C5D55">
        <w:rPr>
          <w:rFonts w:ascii="Verdana" w:hAnsi="Verdana"/>
          <w:sz w:val="20"/>
          <w:szCs w:val="20"/>
          <w:lang w:val="es-CR"/>
        </w:rPr>
        <w:t xml:space="preserve"> o pérdida de ingreso, esta Corte observa que los representantes se limitaron a indicar que “el señor Lagos del Campo no fue repuesto a su centro de labores, truncando sus derechos laborales y consecuentemente sus derechos y beneficios sociales”, sin embargo no aportaron prueba específica en su escrito de argumentos y pruebas </w:t>
      </w:r>
      <w:r w:rsidRPr="009C5D55">
        <w:rPr>
          <w:rFonts w:ascii="Verdana" w:hAnsi="Verdana"/>
          <w:sz w:val="20"/>
          <w:szCs w:val="20"/>
          <w:lang w:val="es-CR"/>
        </w:rPr>
        <w:lastRenderedPageBreak/>
        <w:t>sobre los salarios percibidos por el señor Lagos del Campo previo al hecho, al igual que no se cuenta con información específica sobre el tiempo en que estuvo desempleado y las repercusiones económicas</w:t>
      </w:r>
      <w:r w:rsidR="008846D2">
        <w:rPr>
          <w:rFonts w:ascii="Verdana" w:hAnsi="Verdana"/>
          <w:sz w:val="20"/>
          <w:szCs w:val="20"/>
          <w:lang w:val="es-CR"/>
        </w:rPr>
        <w:t xml:space="preserve"> </w:t>
      </w:r>
      <w:r w:rsidRPr="009C5D55">
        <w:rPr>
          <w:rFonts w:ascii="Verdana" w:hAnsi="Verdana"/>
          <w:sz w:val="20"/>
          <w:szCs w:val="20"/>
          <w:lang w:val="es-CR"/>
        </w:rPr>
        <w:t xml:space="preserve">derivadas de los hechos del presente caso. No obstante lo anterior, se observa que en el anexo 2 del Informe de Fondo se aportó “la Boleta de Pago del señor Lagos del Campo. Semana del 26 de junio al 2 de julio de 1989” y en anexo 8 del Informe de Fondo se aportó </w:t>
      </w:r>
      <w:r w:rsidRPr="009C5D55">
        <w:rPr>
          <w:rFonts w:ascii="Verdana" w:hAnsi="Verdana"/>
          <w:sz w:val="20"/>
          <w:szCs w:val="20"/>
        </w:rPr>
        <w:t xml:space="preserve">la resolución del Juez del Décimo Quinto Juzgado de Trabajo en Lima de 5 de marzo de 1991 </w:t>
      </w:r>
      <w:r w:rsidRPr="009C5D55">
        <w:rPr>
          <w:rFonts w:ascii="Verdana" w:hAnsi="Verdana"/>
          <w:sz w:val="20"/>
          <w:szCs w:val="20"/>
          <w:lang w:val="es-CR"/>
        </w:rPr>
        <w:t xml:space="preserve">en donde consta que al momento de los hechos el señor Lagos percibió como su último jornal </w:t>
      </w:r>
      <w:r w:rsidR="00215464" w:rsidRPr="00333304">
        <w:rPr>
          <w:rFonts w:ascii="Verdana" w:hAnsi="Verdana"/>
          <w:sz w:val="20"/>
          <w:szCs w:val="20"/>
          <w:lang w:val="es-CR"/>
        </w:rPr>
        <w:t>diario la cantidad de 19,258</w:t>
      </w:r>
      <w:r w:rsidR="008846D2">
        <w:rPr>
          <w:rFonts w:ascii="Verdana" w:hAnsi="Verdana"/>
          <w:sz w:val="20"/>
          <w:szCs w:val="20"/>
          <w:lang w:val="es-CR"/>
        </w:rPr>
        <w:t>.53</w:t>
      </w:r>
      <w:r w:rsidR="00215464" w:rsidRPr="00333304">
        <w:rPr>
          <w:rFonts w:ascii="Verdana" w:hAnsi="Verdana"/>
          <w:sz w:val="20"/>
          <w:szCs w:val="20"/>
          <w:lang w:val="es-CR"/>
        </w:rPr>
        <w:t xml:space="preserve"> Intis</w:t>
      </w:r>
      <w:r w:rsidR="00215464" w:rsidRPr="00333304">
        <w:rPr>
          <w:rStyle w:val="FootnoteReference"/>
          <w:szCs w:val="20"/>
          <w:lang w:val="es-CR"/>
        </w:rPr>
        <w:footnoteReference w:id="269"/>
      </w:r>
      <w:r w:rsidR="00215464" w:rsidRPr="00DE3D07">
        <w:rPr>
          <w:rFonts w:ascii="Verdana" w:hAnsi="Verdana"/>
          <w:sz w:val="20"/>
          <w:szCs w:val="20"/>
          <w:lang w:val="es-CR"/>
        </w:rPr>
        <w:t>.</w:t>
      </w:r>
      <w:r w:rsidRPr="009C5D55">
        <w:rPr>
          <w:rFonts w:ascii="Verdana" w:hAnsi="Verdana"/>
          <w:sz w:val="20"/>
          <w:szCs w:val="20"/>
          <w:lang w:val="es-CR"/>
        </w:rPr>
        <w:t xml:space="preserve"> </w:t>
      </w:r>
      <w:r w:rsidR="003B4ECF" w:rsidRPr="003B4ECF">
        <w:rPr>
          <w:rFonts w:ascii="Verdana" w:hAnsi="Verdana"/>
          <w:sz w:val="20"/>
          <w:szCs w:val="20"/>
          <w:lang w:val="es-CR"/>
        </w:rPr>
        <w:t>L</w:t>
      </w:r>
      <w:r w:rsidR="003B4ECF">
        <w:rPr>
          <w:rFonts w:ascii="Verdana" w:hAnsi="Verdana"/>
          <w:sz w:val="20"/>
          <w:szCs w:val="20"/>
          <w:lang w:val="es-CR"/>
        </w:rPr>
        <w:t>a Corte estima que</w:t>
      </w:r>
      <w:r w:rsidRPr="003B4ECF">
        <w:rPr>
          <w:rFonts w:ascii="Verdana" w:hAnsi="Verdana"/>
          <w:sz w:val="20"/>
          <w:szCs w:val="20"/>
          <w:lang w:val="es-CR"/>
        </w:rPr>
        <w:t xml:space="preserve"> </w:t>
      </w:r>
      <w:r w:rsidR="003B4ECF" w:rsidRPr="003B4ECF">
        <w:rPr>
          <w:rFonts w:ascii="Verdana" w:hAnsi="Verdana"/>
          <w:sz w:val="20"/>
          <w:szCs w:val="20"/>
          <w:lang w:val="es-CR"/>
        </w:rPr>
        <w:t>con motivo del despido y desprotección judicial,</w:t>
      </w:r>
      <w:r w:rsidR="003B4ECF">
        <w:rPr>
          <w:rFonts w:ascii="Verdana" w:hAnsi="Verdana"/>
          <w:sz w:val="20"/>
          <w:szCs w:val="20"/>
          <w:lang w:val="es-CR"/>
        </w:rPr>
        <w:t xml:space="preserve"> </w:t>
      </w:r>
      <w:r w:rsidRPr="009C5D55">
        <w:rPr>
          <w:rFonts w:ascii="Verdana" w:hAnsi="Verdana"/>
          <w:sz w:val="20"/>
          <w:szCs w:val="20"/>
          <w:lang w:val="es-CR"/>
        </w:rPr>
        <w:t xml:space="preserve">la víctima se vio en una situación </w:t>
      </w:r>
      <w:r w:rsidRPr="00900CB9">
        <w:rPr>
          <w:rFonts w:ascii="Verdana" w:hAnsi="Verdana"/>
          <w:sz w:val="20"/>
          <w:szCs w:val="20"/>
          <w:lang w:val="es-CR"/>
        </w:rPr>
        <w:t>de des</w:t>
      </w:r>
      <w:r w:rsidR="00900CB9" w:rsidRPr="00900CB9">
        <w:rPr>
          <w:rFonts w:ascii="Verdana" w:hAnsi="Verdana"/>
          <w:sz w:val="20"/>
          <w:szCs w:val="20"/>
          <w:lang w:val="es-CR"/>
        </w:rPr>
        <w:t>amparo</w:t>
      </w:r>
      <w:r w:rsidRPr="00900CB9">
        <w:rPr>
          <w:rFonts w:ascii="Verdana" w:hAnsi="Verdana"/>
          <w:sz w:val="20"/>
          <w:szCs w:val="20"/>
          <w:lang w:val="es-CR"/>
        </w:rPr>
        <w:t xml:space="preserve"> </w:t>
      </w:r>
      <w:r w:rsidRPr="009C5D55">
        <w:rPr>
          <w:rFonts w:ascii="Verdana" w:hAnsi="Verdana"/>
          <w:sz w:val="20"/>
          <w:szCs w:val="20"/>
          <w:lang w:val="es-CR"/>
        </w:rPr>
        <w:t xml:space="preserve">acerca de su </w:t>
      </w:r>
      <w:r w:rsidR="003B4ECF">
        <w:rPr>
          <w:rFonts w:ascii="Verdana" w:hAnsi="Verdana"/>
          <w:sz w:val="20"/>
          <w:szCs w:val="20"/>
          <w:lang w:val="es-CR"/>
        </w:rPr>
        <w:t>situación</w:t>
      </w:r>
      <w:r w:rsidRPr="009C5D55">
        <w:rPr>
          <w:rFonts w:ascii="Verdana" w:hAnsi="Verdana"/>
          <w:sz w:val="20"/>
          <w:szCs w:val="20"/>
          <w:lang w:val="es-CR"/>
        </w:rPr>
        <w:t xml:space="preserve"> laboral, </w:t>
      </w:r>
      <w:r w:rsidR="008A7A52">
        <w:rPr>
          <w:rFonts w:ascii="Verdana" w:hAnsi="Verdana"/>
          <w:sz w:val="20"/>
          <w:szCs w:val="20"/>
          <w:lang w:val="es-CR"/>
        </w:rPr>
        <w:t xml:space="preserve">lo cual afectó </w:t>
      </w:r>
      <w:r w:rsidR="003B4ECF">
        <w:rPr>
          <w:rFonts w:ascii="Verdana" w:hAnsi="Verdana"/>
          <w:sz w:val="20"/>
          <w:szCs w:val="20"/>
          <w:lang w:val="es-CR"/>
        </w:rPr>
        <w:t xml:space="preserve">sus </w:t>
      </w:r>
      <w:r w:rsidRPr="009C5D55">
        <w:rPr>
          <w:rFonts w:ascii="Verdana" w:hAnsi="Verdana"/>
          <w:sz w:val="20"/>
          <w:szCs w:val="20"/>
          <w:lang w:val="es-CR"/>
        </w:rPr>
        <w:t>condiciones de vida. Por lo que la Corte esti</w:t>
      </w:r>
      <w:r w:rsidR="00215464">
        <w:rPr>
          <w:rFonts w:ascii="Verdana" w:hAnsi="Verdana"/>
          <w:sz w:val="20"/>
          <w:szCs w:val="20"/>
          <w:lang w:val="es-CR"/>
        </w:rPr>
        <w:t xml:space="preserve">ma que se otorgue </w:t>
      </w:r>
      <w:r w:rsidR="001D4D46" w:rsidRPr="00333304">
        <w:rPr>
          <w:rFonts w:ascii="Verdana" w:hAnsi="Verdana"/>
          <w:sz w:val="20"/>
          <w:szCs w:val="20"/>
          <w:lang w:val="es-CR"/>
        </w:rPr>
        <w:t>el monto</w:t>
      </w:r>
      <w:r w:rsidR="00DE3D07">
        <w:rPr>
          <w:rFonts w:ascii="Verdana" w:hAnsi="Verdana"/>
          <w:sz w:val="20"/>
          <w:szCs w:val="20"/>
          <w:lang w:val="es-CR"/>
        </w:rPr>
        <w:t xml:space="preserve"> </w:t>
      </w:r>
      <w:r w:rsidR="00215464" w:rsidRPr="00DE3D07">
        <w:rPr>
          <w:rFonts w:ascii="Verdana" w:hAnsi="Verdana"/>
          <w:sz w:val="20"/>
          <w:szCs w:val="20"/>
          <w:lang w:val="es-CR"/>
        </w:rPr>
        <w:t>de</w:t>
      </w:r>
      <w:r w:rsidRPr="00DE3D07">
        <w:rPr>
          <w:rFonts w:ascii="Verdana" w:hAnsi="Verdana"/>
          <w:sz w:val="20"/>
          <w:szCs w:val="20"/>
          <w:lang w:val="es-CR"/>
        </w:rPr>
        <w:t xml:space="preserve"> </w:t>
      </w:r>
      <w:r w:rsidR="00215464" w:rsidRPr="00333304">
        <w:rPr>
          <w:rFonts w:ascii="Verdana" w:hAnsi="Verdana"/>
          <w:sz w:val="20"/>
          <w:szCs w:val="20"/>
          <w:lang w:val="es-CR"/>
        </w:rPr>
        <w:t>USD $2</w:t>
      </w:r>
      <w:r w:rsidR="00A57AE0" w:rsidRPr="00333304">
        <w:rPr>
          <w:rFonts w:ascii="Verdana" w:hAnsi="Verdana"/>
          <w:sz w:val="20"/>
          <w:szCs w:val="20"/>
          <w:lang w:val="es-CR"/>
        </w:rPr>
        <w:t>8</w:t>
      </w:r>
      <w:r w:rsidR="00215464" w:rsidRPr="00333304">
        <w:rPr>
          <w:rFonts w:ascii="Verdana" w:hAnsi="Verdana"/>
          <w:sz w:val="20"/>
          <w:szCs w:val="20"/>
          <w:lang w:val="es-CR"/>
        </w:rPr>
        <w:t>,</w:t>
      </w:r>
      <w:r w:rsidR="00A57AE0" w:rsidRPr="00333304">
        <w:rPr>
          <w:rFonts w:ascii="Verdana" w:hAnsi="Verdana"/>
          <w:sz w:val="20"/>
          <w:szCs w:val="20"/>
          <w:lang w:val="es-CR"/>
        </w:rPr>
        <w:t>000</w:t>
      </w:r>
      <w:r w:rsidR="00215464" w:rsidRPr="00333304">
        <w:rPr>
          <w:rFonts w:ascii="Verdana" w:hAnsi="Verdana"/>
          <w:sz w:val="20"/>
          <w:szCs w:val="20"/>
          <w:lang w:val="es-CR"/>
        </w:rPr>
        <w:t xml:space="preserve"> (</w:t>
      </w:r>
      <w:r w:rsidR="00A57AE0" w:rsidRPr="00333304">
        <w:rPr>
          <w:rFonts w:ascii="Verdana" w:hAnsi="Verdana"/>
          <w:sz w:val="20"/>
          <w:szCs w:val="20"/>
          <w:lang w:val="es-CR"/>
        </w:rPr>
        <w:t>veintiocho mil dólares de los Estados Unidos de América</w:t>
      </w:r>
      <w:r w:rsidR="00215464" w:rsidRPr="00333304">
        <w:rPr>
          <w:rFonts w:ascii="Verdana" w:hAnsi="Verdana"/>
          <w:sz w:val="20"/>
          <w:szCs w:val="20"/>
          <w:lang w:val="es-CR"/>
        </w:rPr>
        <w:t>)</w:t>
      </w:r>
      <w:r w:rsidRPr="00333304">
        <w:rPr>
          <w:rFonts w:ascii="Verdana" w:hAnsi="Verdana"/>
          <w:sz w:val="20"/>
          <w:szCs w:val="20"/>
          <w:lang w:val="es-CR"/>
        </w:rPr>
        <w:t>.</w:t>
      </w:r>
    </w:p>
    <w:p w14:paraId="3F46BE3F" w14:textId="77777777" w:rsidR="009C5D55" w:rsidRPr="009C5D55" w:rsidRDefault="009C5D55" w:rsidP="009C5D55">
      <w:pPr>
        <w:widowControl w:val="0"/>
        <w:tabs>
          <w:tab w:val="center" w:pos="0"/>
        </w:tabs>
        <w:autoSpaceDE w:val="0"/>
        <w:autoSpaceDN w:val="0"/>
        <w:adjustRightInd w:val="0"/>
        <w:contextualSpacing/>
        <w:jc w:val="both"/>
        <w:rPr>
          <w:rFonts w:ascii="Verdana" w:hAnsi="Verdana"/>
          <w:sz w:val="20"/>
          <w:szCs w:val="20"/>
          <w:lang w:val="es-CR"/>
        </w:rPr>
      </w:pPr>
    </w:p>
    <w:p w14:paraId="3F1C7CA9" w14:textId="2E2A0099" w:rsidR="007C10CE" w:rsidRPr="008846D2" w:rsidRDefault="009C5D55" w:rsidP="00E66DD7">
      <w:pPr>
        <w:widowControl w:val="0"/>
        <w:numPr>
          <w:ilvl w:val="0"/>
          <w:numId w:val="1"/>
        </w:numPr>
        <w:tabs>
          <w:tab w:val="center" w:pos="567"/>
        </w:tabs>
        <w:autoSpaceDE w:val="0"/>
        <w:autoSpaceDN w:val="0"/>
        <w:adjustRightInd w:val="0"/>
        <w:ind w:left="0" w:firstLine="0"/>
        <w:jc w:val="both"/>
        <w:rPr>
          <w:rFonts w:ascii="Verdana" w:hAnsi="Verdana"/>
          <w:sz w:val="20"/>
          <w:szCs w:val="20"/>
          <w:lang w:val="es-CR"/>
        </w:rPr>
      </w:pPr>
      <w:r w:rsidRPr="00EE08D5">
        <w:rPr>
          <w:rFonts w:ascii="Verdana" w:hAnsi="Verdana"/>
          <w:sz w:val="20"/>
          <w:szCs w:val="20"/>
          <w:lang w:val="es-CR"/>
        </w:rPr>
        <w:t>En relación con el alegato sobre el acceso del señor Lagos del Campo</w:t>
      </w:r>
      <w:r w:rsidRPr="00EE08D5">
        <w:rPr>
          <w:rFonts w:ascii="Verdana" w:hAnsi="Verdana"/>
          <w:sz w:val="20"/>
          <w:szCs w:val="20"/>
          <w:lang w:val="es-MX"/>
        </w:rPr>
        <w:t xml:space="preserve"> </w:t>
      </w:r>
      <w:r w:rsidR="00EE08D5" w:rsidRPr="00EE08D5">
        <w:rPr>
          <w:rFonts w:ascii="Verdana" w:hAnsi="Verdana"/>
          <w:sz w:val="20"/>
          <w:szCs w:val="20"/>
          <w:lang w:val="es-MX"/>
        </w:rPr>
        <w:t xml:space="preserve">a </w:t>
      </w:r>
      <w:r w:rsidR="007C10CE" w:rsidRPr="00333304">
        <w:rPr>
          <w:rFonts w:ascii="Verdana" w:hAnsi="Verdana"/>
          <w:sz w:val="20"/>
          <w:szCs w:val="20"/>
          <w:lang w:val="es-MX"/>
        </w:rPr>
        <w:t>la legítima pensión de jubilación, la Corte estima que,</w:t>
      </w:r>
      <w:r w:rsidR="00F830E9" w:rsidRPr="00333304">
        <w:rPr>
          <w:rFonts w:ascii="Verdana" w:hAnsi="Verdana"/>
          <w:sz w:val="20"/>
          <w:szCs w:val="20"/>
          <w:lang w:val="es-MX"/>
        </w:rPr>
        <w:t xml:space="preserve"> </w:t>
      </w:r>
      <w:r w:rsidR="00895F4C" w:rsidRPr="00333304">
        <w:rPr>
          <w:rFonts w:ascii="Verdana" w:hAnsi="Verdana"/>
          <w:sz w:val="20"/>
          <w:szCs w:val="20"/>
          <w:lang w:val="es-MX"/>
        </w:rPr>
        <w:t>con motivo</w:t>
      </w:r>
      <w:r w:rsidR="00F830E9" w:rsidRPr="00333304">
        <w:rPr>
          <w:rFonts w:ascii="Verdana" w:hAnsi="Verdana"/>
          <w:sz w:val="20"/>
          <w:szCs w:val="20"/>
          <w:lang w:val="es-MX"/>
        </w:rPr>
        <w:t xml:space="preserve"> de las violaciones </w:t>
      </w:r>
      <w:r w:rsidR="00875782" w:rsidRPr="00333304">
        <w:rPr>
          <w:rFonts w:ascii="Verdana" w:hAnsi="Verdana"/>
          <w:sz w:val="20"/>
          <w:szCs w:val="20"/>
          <w:lang w:val="es-MX"/>
        </w:rPr>
        <w:t>fijadas</w:t>
      </w:r>
      <w:r w:rsidR="00F830E9" w:rsidRPr="00333304">
        <w:rPr>
          <w:rFonts w:ascii="Verdana" w:hAnsi="Verdana"/>
          <w:sz w:val="20"/>
          <w:szCs w:val="20"/>
          <w:lang w:val="es-MX"/>
        </w:rPr>
        <w:t>,</w:t>
      </w:r>
      <w:r w:rsidR="007C10CE" w:rsidRPr="00333304">
        <w:rPr>
          <w:rFonts w:ascii="Verdana" w:hAnsi="Verdana"/>
          <w:sz w:val="20"/>
          <w:szCs w:val="20"/>
          <w:lang w:val="es-MX"/>
        </w:rPr>
        <w:t xml:space="preserve"> </w:t>
      </w:r>
      <w:r w:rsidR="00F67F8B" w:rsidRPr="00333304">
        <w:rPr>
          <w:rFonts w:ascii="Verdana" w:hAnsi="Verdana"/>
          <w:sz w:val="20"/>
          <w:szCs w:val="20"/>
          <w:lang w:val="es-MX"/>
        </w:rPr>
        <w:t>derivadas</w:t>
      </w:r>
      <w:r w:rsidR="007C10CE" w:rsidRPr="00333304">
        <w:rPr>
          <w:rFonts w:ascii="Verdana" w:hAnsi="Verdana"/>
          <w:sz w:val="20"/>
          <w:szCs w:val="20"/>
          <w:lang w:val="es-MX"/>
        </w:rPr>
        <w:t xml:space="preserve"> de</w:t>
      </w:r>
      <w:r w:rsidR="00895F4C" w:rsidRPr="00333304">
        <w:rPr>
          <w:rFonts w:ascii="Verdana" w:hAnsi="Verdana"/>
          <w:sz w:val="20"/>
          <w:szCs w:val="20"/>
          <w:lang w:val="es-MX"/>
        </w:rPr>
        <w:t>l</w:t>
      </w:r>
      <w:r w:rsidR="007C10CE" w:rsidRPr="00333304">
        <w:rPr>
          <w:rFonts w:ascii="Verdana" w:hAnsi="Verdana"/>
          <w:sz w:val="20"/>
          <w:szCs w:val="20"/>
          <w:lang w:val="es-MX"/>
        </w:rPr>
        <w:t xml:space="preserve"> despido</w:t>
      </w:r>
      <w:r w:rsidR="00895F4C" w:rsidRPr="00333304">
        <w:rPr>
          <w:rFonts w:ascii="Verdana" w:hAnsi="Verdana"/>
          <w:sz w:val="20"/>
          <w:szCs w:val="20"/>
          <w:lang w:val="es-MX"/>
        </w:rPr>
        <w:t xml:space="preserve"> arbitrario</w:t>
      </w:r>
      <w:r w:rsidR="00F830E9" w:rsidRPr="00333304">
        <w:rPr>
          <w:rFonts w:ascii="Verdana" w:hAnsi="Verdana"/>
          <w:sz w:val="20"/>
          <w:szCs w:val="20"/>
          <w:lang w:val="es-MX"/>
        </w:rPr>
        <w:t>, la vulneración de la estabilidad laboral</w:t>
      </w:r>
      <w:r w:rsidR="007C10CE" w:rsidRPr="00333304">
        <w:rPr>
          <w:rFonts w:ascii="Verdana" w:hAnsi="Verdana"/>
          <w:sz w:val="20"/>
          <w:szCs w:val="20"/>
          <w:lang w:val="es-MX"/>
        </w:rPr>
        <w:t xml:space="preserve"> y la subsecuente desprotección judicial, el señor Lagos del Campo perdió la posibilidad de acceder a una pensión</w:t>
      </w:r>
      <w:r w:rsidR="00F830E9" w:rsidRPr="00333304">
        <w:rPr>
          <w:rFonts w:ascii="Verdana" w:hAnsi="Verdana"/>
          <w:sz w:val="20"/>
          <w:szCs w:val="20"/>
          <w:lang w:val="es-MX"/>
        </w:rPr>
        <w:t xml:space="preserve"> y beneficios sociales.</w:t>
      </w:r>
      <w:r w:rsidR="007C10CE" w:rsidRPr="00333304">
        <w:rPr>
          <w:rFonts w:ascii="Verdana" w:hAnsi="Verdana"/>
          <w:sz w:val="20"/>
          <w:szCs w:val="20"/>
          <w:lang w:val="es-MX"/>
        </w:rPr>
        <w:t xml:space="preserve"> En razón de lo anterior, la Corte estima que se le otorgue un monto razonable de </w:t>
      </w:r>
      <w:r w:rsidR="007C10CE" w:rsidRPr="00333304">
        <w:rPr>
          <w:rFonts w:ascii="Verdana" w:hAnsi="Verdana"/>
          <w:sz w:val="20"/>
          <w:szCs w:val="20"/>
          <w:lang w:val="es-CR"/>
        </w:rPr>
        <w:t>USD $30,000 (treinta mil dólares de los Estados Unidos de América).</w:t>
      </w:r>
    </w:p>
    <w:p w14:paraId="3EDD25E8" w14:textId="77777777" w:rsidR="003610EB" w:rsidRPr="009C5D55" w:rsidRDefault="003610EB" w:rsidP="009C5D55">
      <w:pPr>
        <w:contextualSpacing/>
        <w:jc w:val="both"/>
        <w:rPr>
          <w:rFonts w:ascii="Verdana" w:hAnsi="Verdana"/>
          <w:sz w:val="20"/>
          <w:szCs w:val="20"/>
          <w:lang w:val="es-CR"/>
        </w:rPr>
      </w:pPr>
    </w:p>
    <w:p w14:paraId="508E288B" w14:textId="77777777" w:rsidR="009C5D55" w:rsidRPr="00C0187C" w:rsidRDefault="009C5D55" w:rsidP="00E66DD7">
      <w:pPr>
        <w:pStyle w:val="Heading3"/>
        <w:numPr>
          <w:ilvl w:val="0"/>
          <w:numId w:val="15"/>
        </w:numPr>
        <w:rPr>
          <w:i/>
          <w:lang w:val="es-MX"/>
        </w:rPr>
      </w:pPr>
      <w:bookmarkStart w:id="73" w:name="_Toc498333528"/>
      <w:r w:rsidRPr="00C0187C">
        <w:rPr>
          <w:i/>
          <w:lang w:val="es-MX"/>
        </w:rPr>
        <w:t>Daño inmaterial</w:t>
      </w:r>
      <w:bookmarkEnd w:id="73"/>
    </w:p>
    <w:p w14:paraId="78B63848" w14:textId="77777777" w:rsidR="009C5D55" w:rsidRPr="009C5D55" w:rsidRDefault="009C5D55" w:rsidP="009C5D55">
      <w:pPr>
        <w:contextualSpacing/>
        <w:rPr>
          <w:rFonts w:ascii="Verdana" w:hAnsi="Verdana"/>
          <w:sz w:val="20"/>
          <w:szCs w:val="20"/>
          <w:lang w:val="es-CR"/>
        </w:rPr>
      </w:pPr>
    </w:p>
    <w:p w14:paraId="43236ADA" w14:textId="77777777" w:rsidR="000A123A" w:rsidRDefault="009C5D55" w:rsidP="00333304">
      <w:pPr>
        <w:numPr>
          <w:ilvl w:val="0"/>
          <w:numId w:val="1"/>
        </w:numPr>
        <w:ind w:left="0" w:firstLine="0"/>
        <w:contextualSpacing/>
        <w:rPr>
          <w:rFonts w:ascii="Verdana" w:hAnsi="Verdana"/>
          <w:sz w:val="20"/>
          <w:szCs w:val="20"/>
          <w:lang w:val="es-CR"/>
        </w:rPr>
      </w:pPr>
      <w:r w:rsidRPr="000A123A">
        <w:rPr>
          <w:rFonts w:ascii="Verdana" w:hAnsi="Verdana"/>
          <w:sz w:val="20"/>
          <w:szCs w:val="20"/>
        </w:rPr>
        <w:t xml:space="preserve">La </w:t>
      </w:r>
      <w:r w:rsidRPr="000A123A">
        <w:rPr>
          <w:rFonts w:ascii="Verdana" w:hAnsi="Verdana"/>
          <w:b/>
          <w:i/>
          <w:sz w:val="20"/>
          <w:szCs w:val="20"/>
        </w:rPr>
        <w:t>Comisión</w:t>
      </w:r>
      <w:r w:rsidRPr="000A123A">
        <w:rPr>
          <w:rFonts w:ascii="Verdana" w:hAnsi="Verdana"/>
          <w:sz w:val="20"/>
          <w:szCs w:val="20"/>
        </w:rPr>
        <w:t xml:space="preserve"> </w:t>
      </w:r>
      <w:r w:rsidRPr="000A123A">
        <w:rPr>
          <w:rFonts w:ascii="Verdana" w:hAnsi="Verdana"/>
          <w:sz w:val="20"/>
          <w:szCs w:val="20"/>
          <w:lang w:val="es-CR"/>
        </w:rPr>
        <w:t>solicitó incorporar en la reparación tanto el daño material como moral</w:t>
      </w:r>
      <w:r w:rsidR="000A123A">
        <w:rPr>
          <w:rFonts w:ascii="Verdana" w:hAnsi="Verdana"/>
          <w:sz w:val="20"/>
          <w:szCs w:val="20"/>
          <w:lang w:val="es-CR"/>
        </w:rPr>
        <w:t>.</w:t>
      </w:r>
    </w:p>
    <w:p w14:paraId="28354AC8" w14:textId="77777777" w:rsidR="009C5D55" w:rsidRPr="000A123A" w:rsidRDefault="009C5D55" w:rsidP="000A123A">
      <w:pPr>
        <w:contextualSpacing/>
        <w:rPr>
          <w:rFonts w:ascii="Verdana" w:hAnsi="Verdana"/>
          <w:sz w:val="20"/>
          <w:szCs w:val="20"/>
          <w:lang w:val="es-CR"/>
        </w:rPr>
      </w:pPr>
    </w:p>
    <w:p w14:paraId="32D1A08E" w14:textId="7C5F34A4" w:rsidR="009C5D55" w:rsidRPr="00274C5F"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sz w:val="20"/>
          <w:szCs w:val="20"/>
          <w:lang w:val="es-CR"/>
        </w:rPr>
      </w:pPr>
      <w:r w:rsidRPr="00274C5F">
        <w:rPr>
          <w:rFonts w:ascii="Verdana" w:hAnsi="Verdana"/>
          <w:sz w:val="20"/>
          <w:szCs w:val="20"/>
          <w:lang w:val="es-CR"/>
        </w:rPr>
        <w:t xml:space="preserve">Los </w:t>
      </w:r>
      <w:r w:rsidRPr="00274C5F">
        <w:rPr>
          <w:rFonts w:ascii="Verdana" w:hAnsi="Verdana"/>
          <w:b/>
          <w:i/>
          <w:sz w:val="20"/>
          <w:szCs w:val="20"/>
          <w:lang w:val="es-CR"/>
        </w:rPr>
        <w:t>representantes</w:t>
      </w:r>
      <w:r w:rsidRPr="00274C5F">
        <w:rPr>
          <w:rFonts w:ascii="Verdana" w:hAnsi="Verdana"/>
          <w:sz w:val="20"/>
          <w:szCs w:val="20"/>
          <w:lang w:val="es-CR"/>
        </w:rPr>
        <w:t xml:space="preserve"> </w:t>
      </w:r>
      <w:r w:rsidRPr="00274C5F">
        <w:rPr>
          <w:rFonts w:ascii="Verdana" w:hAnsi="Verdana"/>
          <w:sz w:val="20"/>
          <w:szCs w:val="20"/>
          <w:lang w:val="es-MX"/>
        </w:rPr>
        <w:t xml:space="preserve">solicitaron que se fije en equidad la reparación del daño moral, </w:t>
      </w:r>
      <w:r w:rsidR="001B481A" w:rsidRPr="00333304">
        <w:rPr>
          <w:rFonts w:ascii="Verdana" w:hAnsi="Verdana"/>
          <w:sz w:val="20"/>
          <w:szCs w:val="20"/>
          <w:lang w:val="es-MX"/>
        </w:rPr>
        <w:t>puesto</w:t>
      </w:r>
      <w:r w:rsidR="001B481A" w:rsidRPr="00274C5F">
        <w:rPr>
          <w:rFonts w:ascii="Verdana" w:hAnsi="Verdana"/>
          <w:sz w:val="20"/>
          <w:szCs w:val="20"/>
          <w:lang w:val="es-MX"/>
        </w:rPr>
        <w:t xml:space="preserve"> </w:t>
      </w:r>
      <w:r w:rsidRPr="00274C5F">
        <w:rPr>
          <w:rFonts w:ascii="Verdana" w:hAnsi="Verdana"/>
          <w:sz w:val="20"/>
          <w:szCs w:val="20"/>
          <w:lang w:val="es-MX"/>
        </w:rPr>
        <w:t>que la afe</w:t>
      </w:r>
      <w:r w:rsidR="00DE3D07">
        <w:rPr>
          <w:rFonts w:ascii="Verdana" w:hAnsi="Verdana"/>
          <w:sz w:val="20"/>
          <w:szCs w:val="20"/>
          <w:lang w:val="es-MX"/>
        </w:rPr>
        <w:t xml:space="preserve">ctación sufrida por la víctima </w:t>
      </w:r>
      <w:r w:rsidRPr="00274C5F">
        <w:rPr>
          <w:rFonts w:ascii="Verdana" w:hAnsi="Verdana"/>
          <w:sz w:val="20"/>
          <w:szCs w:val="20"/>
          <w:lang w:val="es-MX"/>
        </w:rPr>
        <w:t xml:space="preserve">como a su familia, tuvo duras consecuencias y significó una grave conculcación psíquica y moral para cada uno de ellos, sobre todo para la víctima. </w:t>
      </w:r>
    </w:p>
    <w:p w14:paraId="2F093001" w14:textId="77777777" w:rsidR="009C5D55" w:rsidRPr="009C5D55" w:rsidRDefault="009C5D55" w:rsidP="009C5D55">
      <w:pPr>
        <w:contextualSpacing/>
        <w:rPr>
          <w:rFonts w:ascii="Verdana" w:hAnsi="Verdana"/>
          <w:sz w:val="20"/>
          <w:szCs w:val="20"/>
          <w:lang w:val="es-CR"/>
        </w:rPr>
      </w:pPr>
    </w:p>
    <w:p w14:paraId="0E837257" w14:textId="44BEE852" w:rsidR="009C5D55" w:rsidRPr="009C5D55"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sz w:val="20"/>
          <w:szCs w:val="20"/>
        </w:rPr>
      </w:pPr>
      <w:r w:rsidRPr="009C5D55">
        <w:rPr>
          <w:rFonts w:ascii="Verdana" w:hAnsi="Verdana"/>
          <w:sz w:val="20"/>
          <w:szCs w:val="20"/>
          <w:lang w:val="es-CR"/>
        </w:rPr>
        <w:t xml:space="preserve">El </w:t>
      </w:r>
      <w:r w:rsidRPr="009C5D55">
        <w:rPr>
          <w:rFonts w:ascii="Verdana" w:hAnsi="Verdana"/>
          <w:b/>
          <w:i/>
          <w:sz w:val="20"/>
          <w:szCs w:val="20"/>
          <w:lang w:val="es-CR"/>
        </w:rPr>
        <w:t>Estado</w:t>
      </w:r>
      <w:r w:rsidRPr="009C5D55">
        <w:rPr>
          <w:rFonts w:ascii="Verdana" w:hAnsi="Verdana"/>
          <w:sz w:val="20"/>
          <w:szCs w:val="20"/>
          <w:lang w:val="es-CR"/>
        </w:rPr>
        <w:t xml:space="preserve"> </w:t>
      </w:r>
      <w:r w:rsidRPr="009C5D55">
        <w:rPr>
          <w:rFonts w:ascii="Verdana" w:hAnsi="Verdana"/>
          <w:sz w:val="20"/>
          <w:szCs w:val="20"/>
          <w:lang w:val="es-MX"/>
        </w:rPr>
        <w:t>sostuvo que los criterios citados por los representantes se basan en jurisprudencia que no se relaciona con los hechos del presente caso</w:t>
      </w:r>
      <w:r w:rsidRPr="00801513">
        <w:rPr>
          <w:rFonts w:ascii="Verdana" w:hAnsi="Verdana"/>
          <w:b/>
          <w:sz w:val="20"/>
          <w:szCs w:val="20"/>
          <w:lang w:val="es-MX"/>
        </w:rPr>
        <w:t xml:space="preserve"> </w:t>
      </w:r>
      <w:r w:rsidR="0089338A" w:rsidRPr="00333304">
        <w:rPr>
          <w:rFonts w:ascii="Verdana" w:hAnsi="Verdana"/>
          <w:sz w:val="20"/>
          <w:szCs w:val="20"/>
          <w:lang w:val="es-MX"/>
        </w:rPr>
        <w:t>puesto</w:t>
      </w:r>
      <w:r w:rsidR="0089338A" w:rsidRPr="009C5D55">
        <w:rPr>
          <w:rFonts w:ascii="Verdana" w:hAnsi="Verdana"/>
          <w:sz w:val="20"/>
          <w:szCs w:val="20"/>
          <w:lang w:val="es-MX"/>
        </w:rPr>
        <w:t xml:space="preserve"> </w:t>
      </w:r>
      <w:r w:rsidRPr="009C5D55">
        <w:rPr>
          <w:rFonts w:ascii="Verdana" w:hAnsi="Verdana"/>
          <w:sz w:val="20"/>
          <w:szCs w:val="20"/>
          <w:lang w:val="es-MX"/>
        </w:rPr>
        <w:t xml:space="preserve">que el caso no trata de una grave violación de derechos humanos ni de la pretendida vulneración de algún derecho que pertenezca al núcleo duro de los derechos humanos. Por lo que a tales presuntas violaciones, el daño moral sería de otra naturaleza y menor entidad que las establecidas para las graves violaciones de derechos humanos. </w:t>
      </w:r>
    </w:p>
    <w:p w14:paraId="63C638E0" w14:textId="77777777" w:rsidR="009C5D55" w:rsidRPr="009C5D55" w:rsidRDefault="009C5D55" w:rsidP="009C5D55">
      <w:pPr>
        <w:widowControl w:val="0"/>
        <w:tabs>
          <w:tab w:val="center" w:pos="567"/>
        </w:tabs>
        <w:autoSpaceDE w:val="0"/>
        <w:autoSpaceDN w:val="0"/>
        <w:adjustRightInd w:val="0"/>
        <w:contextualSpacing/>
        <w:jc w:val="both"/>
        <w:rPr>
          <w:rFonts w:ascii="Verdana" w:hAnsi="Verdana"/>
          <w:sz w:val="20"/>
          <w:szCs w:val="20"/>
        </w:rPr>
      </w:pPr>
    </w:p>
    <w:p w14:paraId="4680D396" w14:textId="77777777" w:rsidR="009C5D55" w:rsidRPr="009C5D55"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sz w:val="20"/>
          <w:szCs w:val="20"/>
          <w:lang w:val="es-CR"/>
        </w:rPr>
      </w:pPr>
      <w:r w:rsidRPr="009C5D55">
        <w:rPr>
          <w:rFonts w:ascii="Verdana" w:hAnsi="Verdana" w:cs="Verdana"/>
          <w:sz w:val="20"/>
          <w:szCs w:val="20"/>
          <w:lang w:val="es-CR" w:bidi="en-US"/>
        </w:rPr>
        <w:t xml:space="preserve">El Tribunal ha expuesto en su jurisprudencia el concepto de daño inmaterial y </w:t>
      </w:r>
      <w:r w:rsidRPr="009C5D55">
        <w:rPr>
          <w:rFonts w:ascii="Verdana" w:hAnsi="Verdana"/>
          <w:sz w:val="20"/>
          <w:szCs w:val="20"/>
          <w:lang w:val="es-CR"/>
        </w:rPr>
        <w:t>ha establecido que este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9C5D55">
        <w:rPr>
          <w:rFonts w:ascii="Verdana" w:hAnsi="Verdana"/>
          <w:sz w:val="20"/>
          <w:szCs w:val="20"/>
          <w:vertAlign w:val="superscript"/>
          <w:lang w:val="es-CR"/>
        </w:rPr>
        <w:footnoteReference w:id="270"/>
      </w:r>
      <w:r w:rsidRPr="009C5D55">
        <w:rPr>
          <w:rFonts w:ascii="Verdana" w:hAnsi="Verdana" w:cs="Verdana"/>
          <w:sz w:val="20"/>
          <w:szCs w:val="20"/>
          <w:lang w:val="es-CR" w:bidi="en-US"/>
        </w:rPr>
        <w:t>.</w:t>
      </w:r>
      <w:r w:rsidRPr="009C5D55">
        <w:rPr>
          <w:rFonts w:ascii="Verdana" w:hAnsi="Verdana"/>
          <w:sz w:val="20"/>
          <w:szCs w:val="20"/>
          <w:highlight w:val="white"/>
          <w:lang w:val="es-CR"/>
        </w:rPr>
        <w:t xml:space="preserve"> </w:t>
      </w:r>
      <w:r w:rsidRPr="009C5D55">
        <w:rPr>
          <w:rFonts w:ascii="Verdana" w:hAnsi="Verdana" w:cs="Tahoma"/>
          <w:color w:val="000000"/>
          <w:sz w:val="20"/>
          <w:szCs w:val="20"/>
          <w:lang w:val="es-CR"/>
        </w:rPr>
        <w:t>Dicho daño debe ser probado para casos como el presente.</w:t>
      </w:r>
    </w:p>
    <w:p w14:paraId="5741FA6E" w14:textId="77777777" w:rsidR="009C5D55" w:rsidRPr="009C5D55" w:rsidRDefault="009C5D55" w:rsidP="009C5D55">
      <w:pPr>
        <w:rPr>
          <w:rFonts w:ascii="Verdana" w:hAnsi="Verdana"/>
          <w:sz w:val="20"/>
          <w:szCs w:val="20"/>
          <w:lang w:val="es-CR"/>
        </w:rPr>
      </w:pPr>
    </w:p>
    <w:p w14:paraId="659E110D" w14:textId="6AE3725F" w:rsidR="00FF2083"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hAnsi="Verdana" w:cs="Tahoma"/>
          <w:color w:val="000000"/>
          <w:sz w:val="20"/>
          <w:szCs w:val="20"/>
          <w:lang w:val="es-CR"/>
        </w:rPr>
        <w:t>La</w:t>
      </w:r>
      <w:r w:rsidRPr="009C5D55">
        <w:rPr>
          <w:rFonts w:ascii="Verdana" w:hAnsi="Verdana"/>
          <w:sz w:val="20"/>
          <w:szCs w:val="20"/>
          <w:lang w:val="es-CR"/>
        </w:rPr>
        <w:t xml:space="preserve"> Corte toma en consideración que el señor Lagos del Campo fue declarado víctima de la violación a la los </w:t>
      </w:r>
      <w:r w:rsidRPr="00333304">
        <w:rPr>
          <w:rFonts w:ascii="Verdana" w:hAnsi="Verdana"/>
          <w:sz w:val="20"/>
          <w:szCs w:val="20"/>
          <w:lang w:val="es-CR"/>
        </w:rPr>
        <w:t xml:space="preserve">artículos </w:t>
      </w:r>
      <w:r w:rsidR="00F830E9" w:rsidRPr="00333304">
        <w:rPr>
          <w:rFonts w:ascii="Verdana" w:hAnsi="Verdana"/>
          <w:sz w:val="20"/>
          <w:szCs w:val="20"/>
          <w:lang w:val="es-CR"/>
        </w:rPr>
        <w:t>13, 8, 26, 16 y 25</w:t>
      </w:r>
      <w:r w:rsidRPr="00333304">
        <w:rPr>
          <w:rFonts w:ascii="Verdana" w:hAnsi="Verdana"/>
          <w:sz w:val="20"/>
          <w:szCs w:val="20"/>
          <w:lang w:val="es-CR"/>
        </w:rPr>
        <w:t>.</w:t>
      </w:r>
      <w:r w:rsidRPr="009C5D55">
        <w:rPr>
          <w:rFonts w:ascii="Verdana" w:hAnsi="Verdana"/>
          <w:sz w:val="20"/>
          <w:szCs w:val="20"/>
          <w:lang w:val="es-CR"/>
        </w:rPr>
        <w:t xml:space="preserve"> </w:t>
      </w:r>
      <w:r w:rsidR="008A7A52" w:rsidRPr="008A7A52">
        <w:rPr>
          <w:rFonts w:ascii="Verdana" w:hAnsi="Verdana"/>
          <w:sz w:val="20"/>
          <w:szCs w:val="20"/>
          <w:lang w:val="es-CR"/>
        </w:rPr>
        <w:t xml:space="preserve">Dichas </w:t>
      </w:r>
      <w:r w:rsidRPr="008A7A52">
        <w:rPr>
          <w:rFonts w:ascii="Verdana" w:hAnsi="Verdana"/>
          <w:sz w:val="20"/>
          <w:szCs w:val="20"/>
          <w:lang w:val="es-CR"/>
        </w:rPr>
        <w:t xml:space="preserve">violaciones </w:t>
      </w:r>
      <w:r w:rsidR="008A7A52">
        <w:rPr>
          <w:rFonts w:ascii="Verdana" w:hAnsi="Verdana"/>
          <w:sz w:val="20"/>
          <w:szCs w:val="20"/>
          <w:lang w:val="es-CR"/>
        </w:rPr>
        <w:t xml:space="preserve">tuvieron como consecuencia </w:t>
      </w:r>
      <w:r w:rsidRPr="009C5D55">
        <w:rPr>
          <w:rFonts w:ascii="Verdana" w:hAnsi="Verdana"/>
          <w:sz w:val="20"/>
          <w:szCs w:val="20"/>
          <w:lang w:val="es-CR"/>
        </w:rPr>
        <w:t xml:space="preserve">un daño cierto; la víctima fue diagnosticado con </w:t>
      </w:r>
      <w:r w:rsidRPr="009C5D55">
        <w:rPr>
          <w:rFonts w:ascii="Verdana" w:hAnsi="Verdana"/>
          <w:sz w:val="20"/>
          <w:szCs w:val="20"/>
          <w:lang w:val="es-MX"/>
        </w:rPr>
        <w:t>la alteración clínica clasificada por el CIE-10 como transformación persistente de la personalidad tras experiencia traumática y/o catastrófica luego de la situación denunciada y el curso del proceso judicial</w:t>
      </w:r>
      <w:r w:rsidRPr="009C5D55">
        <w:rPr>
          <w:rFonts w:ascii="Verdana" w:hAnsi="Verdana"/>
          <w:sz w:val="20"/>
          <w:szCs w:val="20"/>
          <w:vertAlign w:val="superscript"/>
          <w:lang w:val="es-CR"/>
        </w:rPr>
        <w:footnoteReference w:id="271"/>
      </w:r>
      <w:r w:rsidRPr="009C5D55">
        <w:rPr>
          <w:rFonts w:ascii="Verdana" w:hAnsi="Verdana"/>
          <w:sz w:val="20"/>
          <w:szCs w:val="20"/>
          <w:lang w:val="es-CR"/>
        </w:rPr>
        <w:t xml:space="preserve">. Por lo que se logró </w:t>
      </w:r>
      <w:r w:rsidRPr="009C5D55">
        <w:rPr>
          <w:rFonts w:ascii="Verdana" w:hAnsi="Verdana"/>
          <w:sz w:val="20"/>
          <w:szCs w:val="20"/>
          <w:lang w:val="es-CR"/>
        </w:rPr>
        <w:lastRenderedPageBreak/>
        <w:t>comprobar que la situación de despido y de violación de sus derechos humanos, así como la imposibilidad de encontrar justicia hasta la fecha, han sido fuentes importantes de estrés, ansiedad</w:t>
      </w:r>
      <w:r w:rsidR="000A123A">
        <w:rPr>
          <w:rFonts w:ascii="Verdana" w:hAnsi="Verdana"/>
          <w:sz w:val="20"/>
          <w:szCs w:val="20"/>
          <w:lang w:val="es-CR"/>
        </w:rPr>
        <w:t xml:space="preserve"> y</w:t>
      </w:r>
      <w:r w:rsidRPr="009C5D55">
        <w:rPr>
          <w:rFonts w:ascii="Verdana" w:hAnsi="Verdana"/>
          <w:sz w:val="20"/>
          <w:szCs w:val="20"/>
          <w:lang w:val="es-CR"/>
        </w:rPr>
        <w:t xml:space="preserve"> preocupación, lo cual a lo largo de los años ha venido afectando el estado de salud del señor Lagos del Campo.</w:t>
      </w:r>
    </w:p>
    <w:p w14:paraId="131A265F" w14:textId="77777777" w:rsidR="00FF2083" w:rsidRDefault="00FF2083" w:rsidP="00FF2083">
      <w:pPr>
        <w:widowControl w:val="0"/>
        <w:tabs>
          <w:tab w:val="center" w:pos="0"/>
        </w:tabs>
        <w:autoSpaceDE w:val="0"/>
        <w:autoSpaceDN w:val="0"/>
        <w:adjustRightInd w:val="0"/>
        <w:contextualSpacing/>
        <w:jc w:val="both"/>
        <w:rPr>
          <w:rFonts w:ascii="Verdana" w:hAnsi="Verdana"/>
          <w:sz w:val="20"/>
          <w:szCs w:val="20"/>
          <w:lang w:val="es-CR"/>
        </w:rPr>
      </w:pPr>
    </w:p>
    <w:p w14:paraId="67638406" w14:textId="73F5092F" w:rsidR="003610EB" w:rsidRPr="00D9490E"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FF2083">
        <w:rPr>
          <w:rFonts w:ascii="Verdana" w:hAnsi="Verdana"/>
          <w:sz w:val="20"/>
          <w:szCs w:val="20"/>
          <w:lang w:val="es-CR"/>
        </w:rPr>
        <w:t xml:space="preserve">Como consecuencia de estas violaciones, la Corte estima pertinente fijar, en equidad, una compensación por daño inmaterial que corresponde a la </w:t>
      </w:r>
      <w:r w:rsidRPr="00184C1D">
        <w:rPr>
          <w:rFonts w:ascii="Verdana" w:hAnsi="Verdana"/>
          <w:sz w:val="20"/>
          <w:szCs w:val="20"/>
          <w:lang w:val="es-CR"/>
        </w:rPr>
        <w:t xml:space="preserve">suma </w:t>
      </w:r>
      <w:r w:rsidR="007C10CE" w:rsidRPr="00333304">
        <w:rPr>
          <w:rFonts w:ascii="Verdana" w:hAnsi="Verdana"/>
          <w:sz w:val="20"/>
          <w:szCs w:val="20"/>
          <w:lang w:val="es-CR"/>
        </w:rPr>
        <w:t>USD $20,000 (veinte mil dólares de los Estados Unidos de América).</w:t>
      </w:r>
      <w:r w:rsidRPr="00D9490E">
        <w:rPr>
          <w:rFonts w:ascii="Verdana" w:hAnsi="Verdana"/>
          <w:sz w:val="20"/>
          <w:szCs w:val="20"/>
          <w:lang w:val="es-CR"/>
        </w:rPr>
        <w:t xml:space="preserve"> </w:t>
      </w:r>
    </w:p>
    <w:p w14:paraId="26E799AB" w14:textId="77777777" w:rsidR="009C5D55" w:rsidRPr="009C5D55" w:rsidRDefault="009C5D55" w:rsidP="009C5D55">
      <w:pPr>
        <w:rPr>
          <w:rFonts w:ascii="Verdana" w:hAnsi="Verdana"/>
          <w:sz w:val="20"/>
          <w:szCs w:val="20"/>
          <w:lang w:val="es-CR"/>
        </w:rPr>
      </w:pPr>
    </w:p>
    <w:p w14:paraId="1DFEEBD2" w14:textId="77777777" w:rsidR="009C5D55" w:rsidRPr="00C0187C" w:rsidRDefault="009C5D55" w:rsidP="00E66DD7">
      <w:pPr>
        <w:pStyle w:val="Heading2"/>
        <w:numPr>
          <w:ilvl w:val="0"/>
          <w:numId w:val="13"/>
        </w:numPr>
        <w:rPr>
          <w:i/>
          <w:szCs w:val="20"/>
        </w:rPr>
      </w:pPr>
      <w:bookmarkStart w:id="74" w:name="_Toc498333529"/>
      <w:r w:rsidRPr="00C0187C">
        <w:rPr>
          <w:i/>
          <w:szCs w:val="20"/>
        </w:rPr>
        <w:t>Costas y gastos</w:t>
      </w:r>
      <w:bookmarkEnd w:id="74"/>
    </w:p>
    <w:p w14:paraId="57A9A1B1" w14:textId="77777777" w:rsidR="009C5D55" w:rsidRPr="009C5D55" w:rsidRDefault="009C5D55" w:rsidP="009C5D55">
      <w:pPr>
        <w:rPr>
          <w:rFonts w:ascii="Verdana" w:hAnsi="Verdana"/>
          <w:sz w:val="20"/>
          <w:szCs w:val="20"/>
          <w:lang w:val="es-CR"/>
        </w:rPr>
      </w:pPr>
    </w:p>
    <w:p w14:paraId="21ACEB4E" w14:textId="6990846E"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 xml:space="preserve">Los </w:t>
      </w:r>
      <w:r w:rsidRPr="009C5D55">
        <w:rPr>
          <w:rFonts w:ascii="Verdana" w:hAnsi="Verdana"/>
          <w:b/>
          <w:i/>
          <w:sz w:val="20"/>
          <w:szCs w:val="20"/>
          <w:lang w:val="es-CR"/>
        </w:rPr>
        <w:t xml:space="preserve">representantes </w:t>
      </w:r>
      <w:r w:rsidRPr="009C5D55">
        <w:rPr>
          <w:rFonts w:ascii="Verdana" w:hAnsi="Verdana"/>
          <w:sz w:val="20"/>
          <w:szCs w:val="20"/>
          <w:lang w:val="es-CR"/>
        </w:rPr>
        <w:t>explicaron que el señor Lagos del Campo incurrió en gastos propios en sendos procesos judiciales, incluyendo cuando acudió a la Comisión. Tiempo después contó con el patrocinio de APRODEH</w:t>
      </w:r>
      <w:r w:rsidRPr="008A7A52">
        <w:rPr>
          <w:rFonts w:ascii="Verdana" w:hAnsi="Verdana"/>
          <w:sz w:val="20"/>
          <w:szCs w:val="20"/>
          <w:lang w:val="es-CR"/>
        </w:rPr>
        <w:t>.</w:t>
      </w:r>
      <w:r w:rsidRPr="009C5D55">
        <w:rPr>
          <w:rFonts w:ascii="Verdana" w:hAnsi="Verdana"/>
          <w:sz w:val="20"/>
          <w:szCs w:val="20"/>
          <w:lang w:val="es-CR"/>
        </w:rPr>
        <w:t xml:space="preserve"> Solicitaron por tanto que la Corte fije en equidad la suma de los gastos correspondientes al señor Lagos del Campo, y lo que le corresponda a APRODEH en calidad de representantes de la víctima. Asimismo, solicitaron que se les otorgue la oportunidad de presentar cifras y comprobantes sobre gastos futuros en la etapa procesal correspondiente</w:t>
      </w:r>
      <w:r w:rsidR="00012864">
        <w:rPr>
          <w:rStyle w:val="FootnoteReference"/>
          <w:szCs w:val="20"/>
          <w:lang w:val="es-CR"/>
        </w:rPr>
        <w:footnoteReference w:id="272"/>
      </w:r>
      <w:r w:rsidRPr="009C5D55">
        <w:rPr>
          <w:rFonts w:ascii="Verdana" w:hAnsi="Verdana"/>
          <w:sz w:val="20"/>
          <w:szCs w:val="20"/>
          <w:lang w:val="es-CR"/>
        </w:rPr>
        <w:t>.</w:t>
      </w:r>
      <w:r w:rsidR="007D7DF2">
        <w:rPr>
          <w:rFonts w:ascii="Verdana" w:hAnsi="Verdana"/>
          <w:sz w:val="20"/>
          <w:szCs w:val="20"/>
          <w:lang w:val="es-CR"/>
        </w:rPr>
        <w:t xml:space="preserve"> </w:t>
      </w:r>
      <w:r w:rsidRPr="009C5D55">
        <w:rPr>
          <w:rFonts w:ascii="Verdana" w:hAnsi="Verdana"/>
          <w:sz w:val="20"/>
          <w:szCs w:val="20"/>
          <w:lang w:val="es-CR"/>
        </w:rPr>
        <w:t xml:space="preserve"> </w:t>
      </w:r>
    </w:p>
    <w:p w14:paraId="01CBC750" w14:textId="77777777" w:rsidR="009C5D55" w:rsidRPr="009C5D55" w:rsidRDefault="009C5D55" w:rsidP="009C5D55">
      <w:pPr>
        <w:widowControl w:val="0"/>
        <w:tabs>
          <w:tab w:val="center" w:pos="0"/>
        </w:tabs>
        <w:autoSpaceDE w:val="0"/>
        <w:autoSpaceDN w:val="0"/>
        <w:adjustRightInd w:val="0"/>
        <w:contextualSpacing/>
        <w:jc w:val="both"/>
        <w:rPr>
          <w:rFonts w:ascii="Verdana" w:hAnsi="Verdana"/>
          <w:sz w:val="20"/>
          <w:szCs w:val="20"/>
          <w:lang w:val="es-CR"/>
        </w:rPr>
      </w:pPr>
    </w:p>
    <w:p w14:paraId="01A9EF7B" w14:textId="51525AA3"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 xml:space="preserve">El </w:t>
      </w:r>
      <w:r w:rsidRPr="009C5D55">
        <w:rPr>
          <w:rFonts w:ascii="Verdana" w:hAnsi="Verdana"/>
          <w:b/>
          <w:i/>
          <w:sz w:val="20"/>
          <w:szCs w:val="20"/>
          <w:lang w:val="es-CR"/>
        </w:rPr>
        <w:t>Estado</w:t>
      </w:r>
      <w:r w:rsidRPr="009C5D55">
        <w:rPr>
          <w:rFonts w:ascii="Verdana" w:hAnsi="Verdana"/>
          <w:sz w:val="20"/>
          <w:szCs w:val="20"/>
          <w:lang w:val="es-CR"/>
        </w:rPr>
        <w:t xml:space="preserve"> sostuvo que se deben presentar comprobantes para el reembolso de costas y gastos.</w:t>
      </w:r>
      <w:r w:rsidR="00D9490E">
        <w:rPr>
          <w:rFonts w:ascii="Verdana" w:hAnsi="Verdana"/>
          <w:sz w:val="20"/>
          <w:szCs w:val="20"/>
          <w:lang w:val="es-CR"/>
        </w:rPr>
        <w:t xml:space="preserve"> </w:t>
      </w:r>
      <w:r w:rsidRPr="009C5D55">
        <w:rPr>
          <w:rFonts w:ascii="Verdana" w:hAnsi="Verdana"/>
          <w:sz w:val="20"/>
          <w:szCs w:val="20"/>
          <w:lang w:val="es-CR"/>
        </w:rPr>
        <w:t>Sobre los gastos futuros señaló que le parece razonable la alegación de los representantes, pero que se reserva el derecho a observar los gastos en la oportunidad procesal correspondiente.</w:t>
      </w:r>
    </w:p>
    <w:p w14:paraId="6F54E3A0" w14:textId="77777777" w:rsidR="009C5D55" w:rsidRPr="009C5D55" w:rsidRDefault="009C5D55" w:rsidP="009C5D55">
      <w:pPr>
        <w:widowControl w:val="0"/>
        <w:tabs>
          <w:tab w:val="center" w:pos="0"/>
        </w:tabs>
        <w:autoSpaceDE w:val="0"/>
        <w:autoSpaceDN w:val="0"/>
        <w:adjustRightInd w:val="0"/>
        <w:contextualSpacing/>
        <w:jc w:val="both"/>
        <w:rPr>
          <w:rFonts w:ascii="Verdana" w:hAnsi="Verdana"/>
          <w:sz w:val="20"/>
          <w:szCs w:val="20"/>
          <w:lang w:val="es-CR"/>
        </w:rPr>
      </w:pPr>
    </w:p>
    <w:p w14:paraId="26AD6CD4" w14:textId="39685C98"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La Corte reitera que, conforme a su jurisprudencia</w:t>
      </w:r>
      <w:r w:rsidRPr="009C5D55">
        <w:rPr>
          <w:rFonts w:ascii="Verdana" w:hAnsi="Verdana"/>
          <w:sz w:val="20"/>
          <w:szCs w:val="20"/>
          <w:vertAlign w:val="superscript"/>
          <w:lang w:val="es-CR"/>
        </w:rPr>
        <w:footnoteReference w:id="273"/>
      </w:r>
      <w:r w:rsidR="009A3098">
        <w:rPr>
          <w:rFonts w:ascii="Verdana" w:hAnsi="Verdana"/>
          <w:sz w:val="20"/>
          <w:szCs w:val="20"/>
          <w:lang w:val="es-CR"/>
        </w:rPr>
        <w:t>,</w:t>
      </w:r>
      <w:r w:rsidRPr="009C5D55">
        <w:rPr>
          <w:rFonts w:ascii="Verdana" w:hAnsi="Verdana"/>
          <w:sz w:val="20"/>
          <w:szCs w:val="20"/>
          <w:lang w:val="es-CR"/>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debe ser realizada tomando en cuenta los gastos señalados por las partes, siempre que su </w:t>
      </w:r>
      <w:r w:rsidRPr="009C5D55">
        <w:rPr>
          <w:rFonts w:ascii="Verdana" w:hAnsi="Verdana"/>
          <w:i/>
          <w:sz w:val="20"/>
          <w:szCs w:val="20"/>
          <w:lang w:val="es-CR"/>
        </w:rPr>
        <w:t>quantum</w:t>
      </w:r>
      <w:r w:rsidRPr="009C5D55">
        <w:rPr>
          <w:rFonts w:ascii="Verdana" w:hAnsi="Verdana"/>
          <w:sz w:val="20"/>
          <w:szCs w:val="20"/>
          <w:lang w:val="es-CR"/>
        </w:rPr>
        <w:t xml:space="preserve"> sea razonable</w:t>
      </w:r>
      <w:r w:rsidRPr="009C5D55">
        <w:rPr>
          <w:rFonts w:ascii="Verdana" w:hAnsi="Verdana"/>
          <w:sz w:val="20"/>
          <w:szCs w:val="20"/>
          <w:vertAlign w:val="superscript"/>
          <w:lang w:val="es-CR"/>
        </w:rPr>
        <w:footnoteReference w:id="274"/>
      </w:r>
      <w:r w:rsidRPr="009C5D55">
        <w:rPr>
          <w:rFonts w:ascii="Verdana" w:hAnsi="Verdana"/>
          <w:sz w:val="20"/>
          <w:szCs w:val="20"/>
          <w:lang w:val="es-CR"/>
        </w:rPr>
        <w:t xml:space="preserve">. </w:t>
      </w:r>
    </w:p>
    <w:p w14:paraId="6634C37A" w14:textId="77777777" w:rsidR="009C5D55" w:rsidRPr="009C5D55" w:rsidRDefault="009C5D55" w:rsidP="009C5D55">
      <w:pPr>
        <w:contextualSpacing/>
        <w:rPr>
          <w:rFonts w:ascii="Verdana" w:hAnsi="Verdana"/>
          <w:sz w:val="20"/>
          <w:szCs w:val="20"/>
          <w:lang w:val="es-CR"/>
        </w:rPr>
      </w:pPr>
    </w:p>
    <w:p w14:paraId="113BFD95" w14:textId="77777777"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Este</w:t>
      </w:r>
      <w:r w:rsidRPr="009C5D55">
        <w:rPr>
          <w:rFonts w:ascii="Verdana" w:hAnsi="Verdana"/>
          <w:spacing w:val="-2"/>
          <w:sz w:val="20"/>
          <w:szCs w:val="20"/>
          <w:lang w:val="es-CR"/>
        </w:rPr>
        <w:t xml:space="preserve"> Tribunal </w:t>
      </w:r>
      <w:r w:rsidRPr="009C5D55">
        <w:rPr>
          <w:rFonts w:ascii="Verdana" w:eastAsia="Verdana" w:hAnsi="Verdana" w:cs="Verdana"/>
          <w:spacing w:val="1"/>
          <w:sz w:val="20"/>
          <w:szCs w:val="20"/>
          <w:lang w:val="es-CR"/>
        </w:rPr>
        <w:t>h</w:t>
      </w:r>
      <w:r w:rsidRPr="009C5D55">
        <w:rPr>
          <w:rFonts w:ascii="Verdana" w:eastAsia="Verdana" w:hAnsi="Verdana" w:cs="Verdana"/>
          <w:sz w:val="20"/>
          <w:szCs w:val="20"/>
          <w:lang w:val="es-CR"/>
        </w:rPr>
        <w:t>a</w:t>
      </w:r>
      <w:r w:rsidRPr="009C5D55">
        <w:rPr>
          <w:rFonts w:ascii="Verdana" w:eastAsia="Verdana" w:hAnsi="Verdana" w:cs="Verdana"/>
          <w:spacing w:val="59"/>
          <w:sz w:val="20"/>
          <w:szCs w:val="20"/>
          <w:lang w:val="es-CR"/>
        </w:rPr>
        <w:t xml:space="preserve"> </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e</w:t>
      </w:r>
      <w:r w:rsidRPr="009C5D55">
        <w:rPr>
          <w:rFonts w:ascii="Verdana" w:eastAsia="Verdana" w:hAnsi="Verdana" w:cs="Verdana"/>
          <w:spacing w:val="1"/>
          <w:sz w:val="20"/>
          <w:szCs w:val="20"/>
          <w:lang w:val="es-CR"/>
        </w:rPr>
        <w:t>ñ</w:t>
      </w:r>
      <w:r w:rsidRPr="009C5D55">
        <w:rPr>
          <w:rFonts w:ascii="Verdana" w:eastAsia="Verdana" w:hAnsi="Verdana" w:cs="Verdana"/>
          <w:sz w:val="20"/>
          <w:szCs w:val="20"/>
          <w:lang w:val="es-CR"/>
        </w:rPr>
        <w:t>a</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d</w:t>
      </w:r>
      <w:r w:rsidRPr="009C5D55">
        <w:rPr>
          <w:rFonts w:ascii="Verdana" w:eastAsia="Verdana" w:hAnsi="Verdana" w:cs="Verdana"/>
          <w:sz w:val="20"/>
          <w:szCs w:val="20"/>
          <w:lang w:val="es-CR"/>
        </w:rPr>
        <w:t>o</w:t>
      </w:r>
      <w:r w:rsidRPr="009C5D55">
        <w:rPr>
          <w:rFonts w:ascii="Verdana" w:eastAsia="Verdana" w:hAnsi="Verdana" w:cs="Verdana"/>
          <w:spacing w:val="51"/>
          <w:sz w:val="20"/>
          <w:szCs w:val="20"/>
          <w:lang w:val="es-CR"/>
        </w:rPr>
        <w:t xml:space="preserve"> </w:t>
      </w:r>
      <w:r w:rsidRPr="009C5D55">
        <w:rPr>
          <w:rFonts w:ascii="Verdana" w:eastAsia="Verdana" w:hAnsi="Verdana" w:cs="Verdana"/>
          <w:spacing w:val="1"/>
          <w:sz w:val="20"/>
          <w:szCs w:val="20"/>
          <w:lang w:val="es-CR"/>
        </w:rPr>
        <w:t>qu</w:t>
      </w:r>
      <w:r w:rsidRPr="009C5D55">
        <w:rPr>
          <w:rFonts w:ascii="Verdana" w:eastAsia="Verdana" w:hAnsi="Verdana" w:cs="Verdana"/>
          <w:sz w:val="20"/>
          <w:szCs w:val="20"/>
          <w:lang w:val="es-CR"/>
        </w:rPr>
        <w:t>e</w:t>
      </w:r>
      <w:r w:rsidRPr="009C5D55">
        <w:rPr>
          <w:rFonts w:ascii="Verdana" w:eastAsia="Verdana" w:hAnsi="Verdana" w:cs="Verdana"/>
          <w:spacing w:val="59"/>
          <w:sz w:val="20"/>
          <w:szCs w:val="20"/>
          <w:lang w:val="es-CR"/>
        </w:rPr>
        <w:t xml:space="preserve"> </w:t>
      </w:r>
      <w:r w:rsidRPr="009C5D55">
        <w:rPr>
          <w:rFonts w:ascii="Verdana" w:eastAsia="Verdana" w:hAnsi="Verdana" w:cs="Verdana"/>
          <w:sz w:val="20"/>
          <w:szCs w:val="20"/>
          <w:lang w:val="es-CR"/>
        </w:rPr>
        <w:t>“</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as</w:t>
      </w:r>
      <w:r w:rsidRPr="009C5D55">
        <w:rPr>
          <w:rFonts w:ascii="Verdana" w:eastAsia="Verdana" w:hAnsi="Verdana" w:cs="Verdana"/>
          <w:spacing w:val="58"/>
          <w:sz w:val="20"/>
          <w:szCs w:val="20"/>
          <w:lang w:val="es-CR"/>
        </w:rPr>
        <w:t xml:space="preserve"> </w:t>
      </w:r>
      <w:r w:rsidRPr="009C5D55">
        <w:rPr>
          <w:rFonts w:ascii="Verdana" w:eastAsia="Verdana" w:hAnsi="Verdana" w:cs="Verdana"/>
          <w:spacing w:val="1"/>
          <w:sz w:val="20"/>
          <w:szCs w:val="20"/>
          <w:lang w:val="es-CR"/>
        </w:rPr>
        <w:t>p</w:t>
      </w:r>
      <w:r w:rsidRPr="009C5D55">
        <w:rPr>
          <w:rFonts w:ascii="Verdana" w:eastAsia="Verdana" w:hAnsi="Verdana" w:cs="Verdana"/>
          <w:spacing w:val="-1"/>
          <w:sz w:val="20"/>
          <w:szCs w:val="20"/>
          <w:lang w:val="es-CR"/>
        </w:rPr>
        <w:t>re</w:t>
      </w:r>
      <w:r w:rsidRPr="009C5D55">
        <w:rPr>
          <w:rFonts w:ascii="Verdana" w:eastAsia="Verdana" w:hAnsi="Verdana" w:cs="Verdana"/>
          <w:spacing w:val="3"/>
          <w:sz w:val="20"/>
          <w:szCs w:val="20"/>
          <w:lang w:val="es-CR"/>
        </w:rPr>
        <w:t>t</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n</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i</w:t>
      </w:r>
      <w:r w:rsidRPr="009C5D55">
        <w:rPr>
          <w:rFonts w:ascii="Verdana" w:eastAsia="Verdana" w:hAnsi="Verdana" w:cs="Verdana"/>
          <w:spacing w:val="-1"/>
          <w:sz w:val="20"/>
          <w:szCs w:val="20"/>
          <w:lang w:val="es-CR"/>
        </w:rPr>
        <w:t>o</w:t>
      </w:r>
      <w:r w:rsidRPr="009C5D55">
        <w:rPr>
          <w:rFonts w:ascii="Verdana" w:eastAsia="Verdana" w:hAnsi="Verdana" w:cs="Verdana"/>
          <w:spacing w:val="1"/>
          <w:sz w:val="20"/>
          <w:szCs w:val="20"/>
          <w:lang w:val="es-CR"/>
        </w:rPr>
        <w:t>ne</w:t>
      </w:r>
      <w:r w:rsidRPr="009C5D55">
        <w:rPr>
          <w:rFonts w:ascii="Verdana" w:eastAsia="Verdana" w:hAnsi="Verdana" w:cs="Verdana"/>
          <w:sz w:val="20"/>
          <w:szCs w:val="20"/>
          <w:lang w:val="es-CR"/>
        </w:rPr>
        <w:t>s</w:t>
      </w:r>
      <w:r w:rsidRPr="009C5D55">
        <w:rPr>
          <w:rFonts w:ascii="Verdana" w:eastAsia="Verdana" w:hAnsi="Verdana" w:cs="Verdana"/>
          <w:spacing w:val="48"/>
          <w:sz w:val="20"/>
          <w:szCs w:val="20"/>
          <w:lang w:val="es-CR"/>
        </w:rPr>
        <w:t xml:space="preserve"> </w:t>
      </w:r>
      <w:r w:rsidRPr="009C5D55">
        <w:rPr>
          <w:rFonts w:ascii="Verdana" w:eastAsia="Verdana" w:hAnsi="Verdana" w:cs="Verdana"/>
          <w:spacing w:val="1"/>
          <w:sz w:val="20"/>
          <w:szCs w:val="20"/>
          <w:lang w:val="es-CR"/>
        </w:rPr>
        <w:t>d</w:t>
      </w:r>
      <w:r w:rsidRPr="009C5D55">
        <w:rPr>
          <w:rFonts w:ascii="Verdana" w:eastAsia="Verdana" w:hAnsi="Verdana" w:cs="Verdana"/>
          <w:sz w:val="20"/>
          <w:szCs w:val="20"/>
          <w:lang w:val="es-CR"/>
        </w:rPr>
        <w:t>e</w:t>
      </w:r>
      <w:r w:rsidRPr="009C5D55">
        <w:rPr>
          <w:rFonts w:ascii="Verdana" w:eastAsia="Verdana" w:hAnsi="Verdana" w:cs="Verdana"/>
          <w:spacing w:val="58"/>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as</w:t>
      </w:r>
      <w:r w:rsidRPr="009C5D55">
        <w:rPr>
          <w:rFonts w:ascii="Verdana" w:eastAsia="Verdana" w:hAnsi="Verdana" w:cs="Verdana"/>
          <w:spacing w:val="59"/>
          <w:sz w:val="20"/>
          <w:szCs w:val="20"/>
          <w:lang w:val="es-CR"/>
        </w:rPr>
        <w:t xml:space="preserve"> </w:t>
      </w:r>
      <w:r w:rsidRPr="009C5D55">
        <w:rPr>
          <w:rFonts w:ascii="Verdana" w:eastAsia="Verdana" w:hAnsi="Verdana" w:cs="Verdana"/>
          <w:sz w:val="20"/>
          <w:szCs w:val="20"/>
          <w:lang w:val="es-CR"/>
        </w:rPr>
        <w:t>v</w:t>
      </w:r>
      <w:r w:rsidRPr="009C5D55">
        <w:rPr>
          <w:rFonts w:ascii="Verdana" w:eastAsia="Verdana" w:hAnsi="Verdana" w:cs="Verdana"/>
          <w:spacing w:val="3"/>
          <w:sz w:val="20"/>
          <w:szCs w:val="20"/>
          <w:lang w:val="es-CR"/>
        </w:rPr>
        <w:t>í</w:t>
      </w:r>
      <w:r w:rsidRPr="009C5D55">
        <w:rPr>
          <w:rFonts w:ascii="Verdana" w:eastAsia="Verdana" w:hAnsi="Verdana" w:cs="Verdana"/>
          <w:sz w:val="20"/>
          <w:szCs w:val="20"/>
          <w:lang w:val="es-CR"/>
        </w:rPr>
        <w:t>ct</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m</w:t>
      </w:r>
      <w:r w:rsidRPr="009C5D55">
        <w:rPr>
          <w:rFonts w:ascii="Verdana" w:eastAsia="Verdana" w:hAnsi="Verdana" w:cs="Verdana"/>
          <w:spacing w:val="1"/>
          <w:sz w:val="20"/>
          <w:szCs w:val="20"/>
          <w:lang w:val="es-CR"/>
        </w:rPr>
        <w:t>a</w:t>
      </w:r>
      <w:r w:rsidRPr="009C5D55">
        <w:rPr>
          <w:rFonts w:ascii="Verdana" w:eastAsia="Verdana" w:hAnsi="Verdana" w:cs="Verdana"/>
          <w:sz w:val="20"/>
          <w:szCs w:val="20"/>
          <w:lang w:val="es-CR"/>
        </w:rPr>
        <w:t>s</w:t>
      </w:r>
      <w:r w:rsidRPr="009C5D55">
        <w:rPr>
          <w:rFonts w:ascii="Verdana" w:eastAsia="Verdana" w:hAnsi="Verdana" w:cs="Verdana"/>
          <w:spacing w:val="52"/>
          <w:sz w:val="20"/>
          <w:szCs w:val="20"/>
          <w:lang w:val="es-CR"/>
        </w:rPr>
        <w:t xml:space="preserve"> </w:t>
      </w:r>
      <w:r w:rsidRPr="009C5D55">
        <w:rPr>
          <w:rFonts w:ascii="Verdana" w:eastAsia="Verdana" w:hAnsi="Verdana" w:cs="Verdana"/>
          <w:sz w:val="20"/>
          <w:szCs w:val="20"/>
          <w:lang w:val="es-CR"/>
        </w:rPr>
        <w:t>o</w:t>
      </w:r>
      <w:r w:rsidRPr="009C5D55">
        <w:rPr>
          <w:rFonts w:ascii="Verdana" w:eastAsia="Verdana" w:hAnsi="Verdana" w:cs="Verdana"/>
          <w:spacing w:val="59"/>
          <w:sz w:val="20"/>
          <w:szCs w:val="20"/>
          <w:lang w:val="es-CR"/>
        </w:rPr>
        <w:t xml:space="preserve"> </w:t>
      </w:r>
      <w:r w:rsidRPr="009C5D55">
        <w:rPr>
          <w:rFonts w:ascii="Verdana" w:eastAsia="Verdana" w:hAnsi="Verdana" w:cs="Verdana"/>
          <w:spacing w:val="2"/>
          <w:sz w:val="20"/>
          <w:szCs w:val="20"/>
          <w:lang w:val="es-CR"/>
        </w:rPr>
        <w:t>s</w:t>
      </w:r>
      <w:r w:rsidRPr="009C5D55">
        <w:rPr>
          <w:rFonts w:ascii="Verdana" w:eastAsia="Verdana" w:hAnsi="Verdana" w:cs="Verdana"/>
          <w:spacing w:val="1"/>
          <w:sz w:val="20"/>
          <w:szCs w:val="20"/>
          <w:lang w:val="es-CR"/>
        </w:rPr>
        <w:t>u</w:t>
      </w:r>
      <w:r w:rsidRPr="009C5D55">
        <w:rPr>
          <w:rFonts w:ascii="Verdana" w:eastAsia="Verdana" w:hAnsi="Verdana" w:cs="Verdana"/>
          <w:sz w:val="20"/>
          <w:szCs w:val="20"/>
          <w:lang w:val="es-CR"/>
        </w:rPr>
        <w:t>s</w:t>
      </w:r>
      <w:r w:rsidRPr="009C5D55">
        <w:rPr>
          <w:rFonts w:ascii="Verdana" w:eastAsia="Verdana" w:hAnsi="Verdana" w:cs="Verdana"/>
          <w:spacing w:val="57"/>
          <w:sz w:val="20"/>
          <w:szCs w:val="20"/>
          <w:lang w:val="es-CR"/>
        </w:rPr>
        <w:t xml:space="preserve"> </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pr</w:t>
      </w:r>
      <w:r w:rsidRPr="009C5D55">
        <w:rPr>
          <w:rFonts w:ascii="Verdana" w:eastAsia="Verdana" w:hAnsi="Verdana" w:cs="Verdana"/>
          <w:spacing w:val="-1"/>
          <w:sz w:val="20"/>
          <w:szCs w:val="20"/>
          <w:lang w:val="es-CR"/>
        </w:rPr>
        <w:t>e</w:t>
      </w:r>
      <w:r w:rsidRPr="009C5D55">
        <w:rPr>
          <w:rFonts w:ascii="Verdana" w:eastAsia="Verdana" w:hAnsi="Verdana" w:cs="Verdana"/>
          <w:spacing w:val="2"/>
          <w:sz w:val="20"/>
          <w:szCs w:val="20"/>
          <w:lang w:val="es-CR"/>
        </w:rPr>
        <w:t>s</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nt</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nt</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w:t>
      </w:r>
      <w:r w:rsidRPr="009C5D55">
        <w:rPr>
          <w:rFonts w:ascii="Verdana" w:eastAsia="Verdana" w:hAnsi="Verdana" w:cs="Verdana"/>
          <w:spacing w:val="48"/>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n m</w:t>
      </w:r>
      <w:r w:rsidRPr="009C5D55">
        <w:rPr>
          <w:rFonts w:ascii="Verdana" w:eastAsia="Verdana" w:hAnsi="Verdana" w:cs="Verdana"/>
          <w:spacing w:val="1"/>
          <w:sz w:val="20"/>
          <w:szCs w:val="20"/>
          <w:lang w:val="es-CR"/>
        </w:rPr>
        <w:t>at</w:t>
      </w:r>
      <w:r w:rsidRPr="009C5D55">
        <w:rPr>
          <w:rFonts w:ascii="Verdana" w:eastAsia="Verdana" w:hAnsi="Verdana" w:cs="Verdana"/>
          <w:spacing w:val="-1"/>
          <w:sz w:val="20"/>
          <w:szCs w:val="20"/>
          <w:lang w:val="es-CR"/>
        </w:rPr>
        <w:t>er</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a</w:t>
      </w:r>
      <w:r w:rsidRPr="009C5D55">
        <w:rPr>
          <w:rFonts w:ascii="Verdana" w:eastAsia="Verdana" w:hAnsi="Verdana" w:cs="Verdana"/>
          <w:spacing w:val="6"/>
          <w:sz w:val="20"/>
          <w:szCs w:val="20"/>
          <w:lang w:val="es-CR"/>
        </w:rPr>
        <w:t xml:space="preserve"> </w:t>
      </w:r>
      <w:r w:rsidRPr="009C5D55">
        <w:rPr>
          <w:rFonts w:ascii="Verdana" w:eastAsia="Verdana" w:hAnsi="Verdana" w:cs="Verdana"/>
          <w:spacing w:val="1"/>
          <w:sz w:val="20"/>
          <w:szCs w:val="20"/>
          <w:lang w:val="es-CR"/>
        </w:rPr>
        <w:t>d</w:t>
      </w:r>
      <w:r w:rsidRPr="009C5D55">
        <w:rPr>
          <w:rFonts w:ascii="Verdana" w:eastAsia="Verdana" w:hAnsi="Verdana" w:cs="Verdana"/>
          <w:sz w:val="20"/>
          <w:szCs w:val="20"/>
          <w:lang w:val="es-CR"/>
        </w:rPr>
        <w:t>e</w:t>
      </w:r>
      <w:r w:rsidRPr="009C5D55">
        <w:rPr>
          <w:rFonts w:ascii="Verdana" w:eastAsia="Verdana" w:hAnsi="Verdana" w:cs="Verdana"/>
          <w:spacing w:val="10"/>
          <w:sz w:val="20"/>
          <w:szCs w:val="20"/>
          <w:lang w:val="es-CR"/>
        </w:rPr>
        <w:t xml:space="preserve"> </w:t>
      </w:r>
      <w:r w:rsidRPr="009C5D55">
        <w:rPr>
          <w:rFonts w:ascii="Verdana" w:eastAsia="Verdana" w:hAnsi="Verdana" w:cs="Verdana"/>
          <w:sz w:val="20"/>
          <w:szCs w:val="20"/>
          <w:lang w:val="es-CR"/>
        </w:rPr>
        <w:t>c</w:t>
      </w:r>
      <w:r w:rsidRPr="009C5D55">
        <w:rPr>
          <w:rFonts w:ascii="Verdana" w:eastAsia="Verdana" w:hAnsi="Verdana" w:cs="Verdana"/>
          <w:spacing w:val="3"/>
          <w:sz w:val="20"/>
          <w:szCs w:val="20"/>
          <w:lang w:val="es-CR"/>
        </w:rPr>
        <w:t>o</w:t>
      </w:r>
      <w:r w:rsidRPr="009C5D55">
        <w:rPr>
          <w:rFonts w:ascii="Verdana" w:eastAsia="Verdana" w:hAnsi="Verdana" w:cs="Verdana"/>
          <w:sz w:val="20"/>
          <w:szCs w:val="20"/>
          <w:lang w:val="es-CR"/>
        </w:rPr>
        <w:t>stas</w:t>
      </w:r>
      <w:r w:rsidRPr="009C5D55">
        <w:rPr>
          <w:rFonts w:ascii="Verdana" w:eastAsia="Verdana" w:hAnsi="Verdana" w:cs="Verdana"/>
          <w:spacing w:val="8"/>
          <w:sz w:val="20"/>
          <w:szCs w:val="20"/>
          <w:lang w:val="es-CR"/>
        </w:rPr>
        <w:t xml:space="preserve"> </w:t>
      </w:r>
      <w:r w:rsidRPr="009C5D55">
        <w:rPr>
          <w:rFonts w:ascii="Verdana" w:eastAsia="Verdana" w:hAnsi="Verdana" w:cs="Verdana"/>
          <w:sz w:val="20"/>
          <w:szCs w:val="20"/>
          <w:lang w:val="es-CR"/>
        </w:rPr>
        <w:t>y</w:t>
      </w:r>
      <w:r w:rsidRPr="009C5D55">
        <w:rPr>
          <w:rFonts w:ascii="Verdana" w:eastAsia="Verdana" w:hAnsi="Verdana" w:cs="Verdana"/>
          <w:spacing w:val="13"/>
          <w:sz w:val="20"/>
          <w:szCs w:val="20"/>
          <w:lang w:val="es-CR"/>
        </w:rPr>
        <w:t xml:space="preserve"> </w:t>
      </w:r>
      <w:r w:rsidRPr="009C5D55">
        <w:rPr>
          <w:rFonts w:ascii="Verdana" w:eastAsia="Verdana" w:hAnsi="Verdana" w:cs="Verdana"/>
          <w:spacing w:val="1"/>
          <w:sz w:val="20"/>
          <w:szCs w:val="20"/>
          <w:lang w:val="es-CR"/>
        </w:rPr>
        <w:t>g</w:t>
      </w:r>
      <w:r w:rsidRPr="009C5D55">
        <w:rPr>
          <w:rFonts w:ascii="Verdana" w:eastAsia="Verdana" w:hAnsi="Verdana" w:cs="Verdana"/>
          <w:spacing w:val="2"/>
          <w:sz w:val="20"/>
          <w:szCs w:val="20"/>
          <w:lang w:val="es-CR"/>
        </w:rPr>
        <w:t>a</w:t>
      </w:r>
      <w:r w:rsidRPr="009C5D55">
        <w:rPr>
          <w:rFonts w:ascii="Verdana" w:eastAsia="Verdana" w:hAnsi="Verdana" w:cs="Verdana"/>
          <w:sz w:val="20"/>
          <w:szCs w:val="20"/>
          <w:lang w:val="es-CR"/>
        </w:rPr>
        <w:t>st</w:t>
      </w:r>
      <w:r w:rsidRPr="009C5D55">
        <w:rPr>
          <w:rFonts w:ascii="Verdana" w:eastAsia="Verdana" w:hAnsi="Verdana" w:cs="Verdana"/>
          <w:spacing w:val="-1"/>
          <w:sz w:val="20"/>
          <w:szCs w:val="20"/>
          <w:lang w:val="es-CR"/>
        </w:rPr>
        <w:t>o</w:t>
      </w:r>
      <w:r w:rsidRPr="009C5D55">
        <w:rPr>
          <w:rFonts w:ascii="Verdana" w:eastAsia="Verdana" w:hAnsi="Verdana" w:cs="Verdana"/>
          <w:spacing w:val="2"/>
          <w:sz w:val="20"/>
          <w:szCs w:val="20"/>
          <w:lang w:val="es-CR"/>
        </w:rPr>
        <w:t>s</w:t>
      </w:r>
      <w:r w:rsidRPr="009C5D55">
        <w:rPr>
          <w:rFonts w:ascii="Verdana" w:eastAsia="Verdana" w:hAnsi="Verdana" w:cs="Verdana"/>
          <w:sz w:val="20"/>
          <w:szCs w:val="20"/>
          <w:lang w:val="es-CR"/>
        </w:rPr>
        <w:t>,</w:t>
      </w:r>
      <w:r w:rsidRPr="009C5D55">
        <w:rPr>
          <w:rFonts w:ascii="Verdana" w:eastAsia="Verdana" w:hAnsi="Verdana" w:cs="Verdana"/>
          <w:spacing w:val="7"/>
          <w:sz w:val="20"/>
          <w:szCs w:val="20"/>
          <w:lang w:val="es-CR"/>
        </w:rPr>
        <w:t xml:space="preserve"> </w:t>
      </w:r>
      <w:r w:rsidRPr="009C5D55">
        <w:rPr>
          <w:rFonts w:ascii="Verdana" w:eastAsia="Verdana" w:hAnsi="Verdana" w:cs="Verdana"/>
          <w:sz w:val="20"/>
          <w:szCs w:val="20"/>
          <w:lang w:val="es-CR"/>
        </w:rPr>
        <w:t>y</w:t>
      </w:r>
      <w:r w:rsidRPr="009C5D55">
        <w:rPr>
          <w:rFonts w:ascii="Verdana" w:eastAsia="Verdana" w:hAnsi="Verdana" w:cs="Verdana"/>
          <w:spacing w:val="13"/>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as</w:t>
      </w:r>
      <w:r w:rsidRPr="009C5D55">
        <w:rPr>
          <w:rFonts w:ascii="Verdana" w:eastAsia="Verdana" w:hAnsi="Verdana" w:cs="Verdana"/>
          <w:spacing w:val="11"/>
          <w:sz w:val="20"/>
          <w:szCs w:val="20"/>
          <w:lang w:val="es-CR"/>
        </w:rPr>
        <w:t xml:space="preserve"> </w:t>
      </w:r>
      <w:r w:rsidRPr="009C5D55">
        <w:rPr>
          <w:rFonts w:ascii="Verdana" w:eastAsia="Verdana" w:hAnsi="Verdana" w:cs="Verdana"/>
          <w:spacing w:val="1"/>
          <w:sz w:val="20"/>
          <w:szCs w:val="20"/>
          <w:lang w:val="es-CR"/>
        </w:rPr>
        <w:t>p</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u</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b</w:t>
      </w:r>
      <w:r w:rsidRPr="009C5D55">
        <w:rPr>
          <w:rFonts w:ascii="Verdana" w:eastAsia="Verdana" w:hAnsi="Verdana" w:cs="Verdana"/>
          <w:sz w:val="20"/>
          <w:szCs w:val="20"/>
          <w:lang w:val="es-CR"/>
        </w:rPr>
        <w:t>as</w:t>
      </w:r>
      <w:r w:rsidRPr="009C5D55">
        <w:rPr>
          <w:rFonts w:ascii="Verdana" w:eastAsia="Verdana" w:hAnsi="Verdana" w:cs="Verdana"/>
          <w:spacing w:val="6"/>
          <w:sz w:val="20"/>
          <w:szCs w:val="20"/>
          <w:lang w:val="es-CR"/>
        </w:rPr>
        <w:t xml:space="preserve"> </w:t>
      </w:r>
      <w:r w:rsidRPr="009C5D55">
        <w:rPr>
          <w:rFonts w:ascii="Verdana" w:eastAsia="Verdana" w:hAnsi="Verdana" w:cs="Verdana"/>
          <w:spacing w:val="1"/>
          <w:sz w:val="20"/>
          <w:szCs w:val="20"/>
          <w:lang w:val="es-CR"/>
        </w:rPr>
        <w:t>qu</w:t>
      </w:r>
      <w:r w:rsidRPr="009C5D55">
        <w:rPr>
          <w:rFonts w:ascii="Verdana" w:eastAsia="Verdana" w:hAnsi="Verdana" w:cs="Verdana"/>
          <w:sz w:val="20"/>
          <w:szCs w:val="20"/>
          <w:lang w:val="es-CR"/>
        </w:rPr>
        <w:t>e</w:t>
      </w:r>
      <w:r w:rsidRPr="009C5D55">
        <w:rPr>
          <w:rFonts w:ascii="Verdana" w:eastAsia="Verdana" w:hAnsi="Verdana" w:cs="Verdana"/>
          <w:spacing w:val="11"/>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as</w:t>
      </w:r>
      <w:r w:rsidRPr="009C5D55">
        <w:rPr>
          <w:rFonts w:ascii="Verdana" w:eastAsia="Verdana" w:hAnsi="Verdana" w:cs="Verdana"/>
          <w:spacing w:val="11"/>
          <w:sz w:val="20"/>
          <w:szCs w:val="20"/>
          <w:lang w:val="es-CR"/>
        </w:rPr>
        <w:t xml:space="preserve"> </w:t>
      </w:r>
      <w:r w:rsidRPr="009C5D55">
        <w:rPr>
          <w:rFonts w:ascii="Verdana" w:eastAsia="Verdana" w:hAnsi="Verdana" w:cs="Verdana"/>
          <w:sz w:val="20"/>
          <w:szCs w:val="20"/>
          <w:lang w:val="es-CR"/>
        </w:rPr>
        <w:t>sust</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nt</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n</w:t>
      </w:r>
      <w:r w:rsidRPr="009C5D55">
        <w:rPr>
          <w:rFonts w:ascii="Verdana" w:eastAsia="Verdana" w:hAnsi="Verdana" w:cs="Verdana"/>
          <w:sz w:val="20"/>
          <w:szCs w:val="20"/>
          <w:lang w:val="es-CR"/>
        </w:rPr>
        <w:t>,</w:t>
      </w:r>
      <w:r w:rsidRPr="009C5D55">
        <w:rPr>
          <w:rFonts w:ascii="Verdana" w:eastAsia="Verdana" w:hAnsi="Verdana" w:cs="Verdana"/>
          <w:spacing w:val="3"/>
          <w:sz w:val="20"/>
          <w:szCs w:val="20"/>
          <w:lang w:val="es-CR"/>
        </w:rPr>
        <w:t xml:space="preserve"> </w:t>
      </w:r>
      <w:r w:rsidRPr="009C5D55">
        <w:rPr>
          <w:rFonts w:ascii="Verdana" w:eastAsia="Verdana" w:hAnsi="Verdana" w:cs="Verdana"/>
          <w:spacing w:val="1"/>
          <w:sz w:val="20"/>
          <w:szCs w:val="20"/>
          <w:lang w:val="es-CR"/>
        </w:rPr>
        <w:t>d</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b</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n</w:t>
      </w:r>
      <w:r w:rsidRPr="009C5D55">
        <w:rPr>
          <w:rFonts w:ascii="Verdana" w:eastAsia="Verdana" w:hAnsi="Verdana" w:cs="Verdana"/>
          <w:spacing w:val="9"/>
          <w:sz w:val="20"/>
          <w:szCs w:val="20"/>
          <w:lang w:val="es-CR"/>
        </w:rPr>
        <w:t xml:space="preserve"> </w:t>
      </w:r>
      <w:r w:rsidRPr="009C5D55">
        <w:rPr>
          <w:rFonts w:ascii="Verdana" w:eastAsia="Verdana" w:hAnsi="Verdana" w:cs="Verdana"/>
          <w:spacing w:val="1"/>
          <w:sz w:val="20"/>
          <w:szCs w:val="20"/>
          <w:lang w:val="es-CR"/>
        </w:rPr>
        <w:t>p</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e</w:t>
      </w:r>
      <w:r w:rsidRPr="009C5D55">
        <w:rPr>
          <w:rFonts w:ascii="Verdana" w:eastAsia="Verdana" w:hAnsi="Verdana" w:cs="Verdana"/>
          <w:spacing w:val="1"/>
          <w:sz w:val="20"/>
          <w:szCs w:val="20"/>
          <w:lang w:val="es-CR"/>
        </w:rPr>
        <w:t>nt</w:t>
      </w:r>
      <w:r w:rsidRPr="009C5D55">
        <w:rPr>
          <w:rFonts w:ascii="Verdana" w:eastAsia="Verdana" w:hAnsi="Verdana" w:cs="Verdana"/>
          <w:sz w:val="20"/>
          <w:szCs w:val="20"/>
          <w:lang w:val="es-CR"/>
        </w:rPr>
        <w:t>a</w:t>
      </w:r>
      <w:r w:rsidRPr="009C5D55">
        <w:rPr>
          <w:rFonts w:ascii="Verdana" w:eastAsia="Verdana" w:hAnsi="Verdana" w:cs="Verdana"/>
          <w:spacing w:val="2"/>
          <w:sz w:val="20"/>
          <w:szCs w:val="20"/>
          <w:lang w:val="es-CR"/>
        </w:rPr>
        <w:t>r</w:t>
      </w:r>
      <w:r w:rsidRPr="009C5D55">
        <w:rPr>
          <w:rFonts w:ascii="Verdana" w:eastAsia="Verdana" w:hAnsi="Verdana" w:cs="Verdana"/>
          <w:sz w:val="20"/>
          <w:szCs w:val="20"/>
          <w:lang w:val="es-CR"/>
        </w:rPr>
        <w:t>se a</w:t>
      </w:r>
      <w:r w:rsidRPr="009C5D55">
        <w:rPr>
          <w:rFonts w:ascii="Verdana" w:eastAsia="Verdana" w:hAnsi="Verdana" w:cs="Verdana"/>
          <w:spacing w:val="13"/>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w:t>
      </w:r>
      <w:r w:rsidRPr="009C5D55">
        <w:rPr>
          <w:rFonts w:ascii="Verdana" w:eastAsia="Verdana" w:hAnsi="Verdana" w:cs="Verdana"/>
          <w:spacing w:val="12"/>
          <w:sz w:val="20"/>
          <w:szCs w:val="20"/>
          <w:lang w:val="es-CR"/>
        </w:rPr>
        <w:t xml:space="preserve"> </w:t>
      </w:r>
      <w:r w:rsidRPr="009C5D55">
        <w:rPr>
          <w:rFonts w:ascii="Verdana" w:eastAsia="Verdana" w:hAnsi="Verdana" w:cs="Verdana"/>
          <w:sz w:val="20"/>
          <w:szCs w:val="20"/>
          <w:lang w:val="es-CR"/>
        </w:rPr>
        <w:t>C</w:t>
      </w:r>
      <w:r w:rsidRPr="009C5D55">
        <w:rPr>
          <w:rFonts w:ascii="Verdana" w:eastAsia="Verdana" w:hAnsi="Verdana" w:cs="Verdana"/>
          <w:spacing w:val="-1"/>
          <w:sz w:val="20"/>
          <w:szCs w:val="20"/>
          <w:lang w:val="es-CR"/>
        </w:rPr>
        <w:t>or</w:t>
      </w:r>
      <w:r w:rsidRPr="009C5D55">
        <w:rPr>
          <w:rFonts w:ascii="Verdana" w:eastAsia="Verdana" w:hAnsi="Verdana" w:cs="Verdana"/>
          <w:spacing w:val="3"/>
          <w:sz w:val="20"/>
          <w:szCs w:val="20"/>
          <w:lang w:val="es-CR"/>
        </w:rPr>
        <w:t>t</w:t>
      </w:r>
      <w:r w:rsidRPr="009C5D55">
        <w:rPr>
          <w:rFonts w:ascii="Verdana" w:eastAsia="Verdana" w:hAnsi="Verdana" w:cs="Verdana"/>
          <w:sz w:val="20"/>
          <w:szCs w:val="20"/>
          <w:lang w:val="es-CR"/>
        </w:rPr>
        <w:t>e</w:t>
      </w:r>
      <w:r w:rsidRPr="009C5D55">
        <w:rPr>
          <w:rFonts w:ascii="Verdana" w:eastAsia="Verdana" w:hAnsi="Verdana" w:cs="Verdana"/>
          <w:spacing w:val="9"/>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n</w:t>
      </w:r>
      <w:r w:rsidRPr="009C5D55">
        <w:rPr>
          <w:rFonts w:ascii="Verdana" w:eastAsia="Verdana" w:hAnsi="Verdana" w:cs="Verdana"/>
          <w:spacing w:val="12"/>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 xml:space="preserve">l </w:t>
      </w:r>
      <w:r w:rsidRPr="009C5D55">
        <w:rPr>
          <w:rFonts w:ascii="Verdana" w:eastAsia="Verdana" w:hAnsi="Verdana" w:cs="Verdana"/>
          <w:spacing w:val="1"/>
          <w:sz w:val="20"/>
          <w:szCs w:val="20"/>
          <w:lang w:val="es-CR"/>
        </w:rPr>
        <w:t>p</w:t>
      </w:r>
      <w:r w:rsidRPr="009C5D55">
        <w:rPr>
          <w:rFonts w:ascii="Verdana" w:eastAsia="Verdana" w:hAnsi="Verdana" w:cs="Verdana"/>
          <w:spacing w:val="-1"/>
          <w:sz w:val="20"/>
          <w:szCs w:val="20"/>
          <w:lang w:val="es-CR"/>
        </w:rPr>
        <w:t>r</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mer</w:t>
      </w:r>
      <w:r w:rsidRPr="009C5D55">
        <w:rPr>
          <w:rFonts w:ascii="Verdana" w:eastAsia="Verdana" w:hAnsi="Verdana" w:cs="Verdana"/>
          <w:spacing w:val="-5"/>
          <w:sz w:val="20"/>
          <w:szCs w:val="20"/>
          <w:lang w:val="es-CR"/>
        </w:rPr>
        <w:t xml:space="preserve"> </w:t>
      </w:r>
      <w:r w:rsidRPr="009C5D55">
        <w:rPr>
          <w:rFonts w:ascii="Verdana" w:eastAsia="Verdana" w:hAnsi="Verdana" w:cs="Verdana"/>
          <w:sz w:val="20"/>
          <w:szCs w:val="20"/>
          <w:lang w:val="es-CR"/>
        </w:rPr>
        <w:t>mo</w:t>
      </w:r>
      <w:r w:rsidRPr="009C5D55">
        <w:rPr>
          <w:rFonts w:ascii="Verdana" w:eastAsia="Verdana" w:hAnsi="Verdana" w:cs="Verdana"/>
          <w:spacing w:val="3"/>
          <w:sz w:val="20"/>
          <w:szCs w:val="20"/>
          <w:lang w:val="es-CR"/>
        </w:rPr>
        <w:t>m</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nt</w:t>
      </w:r>
      <w:r w:rsidRPr="009C5D55">
        <w:rPr>
          <w:rFonts w:ascii="Verdana" w:eastAsia="Verdana" w:hAnsi="Verdana" w:cs="Verdana"/>
          <w:sz w:val="20"/>
          <w:szCs w:val="20"/>
          <w:lang w:val="es-CR"/>
        </w:rPr>
        <w:t>o</w:t>
      </w:r>
      <w:r w:rsidRPr="009C5D55">
        <w:rPr>
          <w:rFonts w:ascii="Verdana" w:eastAsia="Verdana" w:hAnsi="Verdana" w:cs="Verdana"/>
          <w:spacing w:val="-7"/>
          <w:sz w:val="20"/>
          <w:szCs w:val="20"/>
          <w:lang w:val="es-CR"/>
        </w:rPr>
        <w:t xml:space="preserve"> </w:t>
      </w:r>
      <w:r w:rsidRPr="009C5D55">
        <w:rPr>
          <w:rFonts w:ascii="Verdana" w:eastAsia="Verdana" w:hAnsi="Verdana" w:cs="Verdana"/>
          <w:spacing w:val="1"/>
          <w:sz w:val="20"/>
          <w:szCs w:val="20"/>
          <w:lang w:val="es-CR"/>
        </w:rPr>
        <w:t>p</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ce</w:t>
      </w:r>
      <w:r w:rsidRPr="009C5D55">
        <w:rPr>
          <w:rFonts w:ascii="Verdana" w:eastAsia="Verdana" w:hAnsi="Verdana" w:cs="Verdana"/>
          <w:spacing w:val="2"/>
          <w:sz w:val="20"/>
          <w:szCs w:val="20"/>
          <w:lang w:val="es-CR"/>
        </w:rPr>
        <w:t>s</w:t>
      </w:r>
      <w:r w:rsidRPr="009C5D55">
        <w:rPr>
          <w:rFonts w:ascii="Verdana" w:eastAsia="Verdana" w:hAnsi="Verdana" w:cs="Verdana"/>
          <w:sz w:val="20"/>
          <w:szCs w:val="20"/>
          <w:lang w:val="es-CR"/>
        </w:rPr>
        <w:t>al</w:t>
      </w:r>
      <w:r w:rsidRPr="009C5D55">
        <w:rPr>
          <w:rFonts w:ascii="Verdana" w:eastAsia="Verdana" w:hAnsi="Verdana" w:cs="Verdana"/>
          <w:spacing w:val="-4"/>
          <w:sz w:val="20"/>
          <w:szCs w:val="20"/>
          <w:lang w:val="es-CR"/>
        </w:rPr>
        <w:t xml:space="preserve"> </w:t>
      </w:r>
      <w:r w:rsidRPr="009C5D55">
        <w:rPr>
          <w:rFonts w:ascii="Verdana" w:eastAsia="Verdana" w:hAnsi="Verdana" w:cs="Verdana"/>
          <w:spacing w:val="1"/>
          <w:sz w:val="20"/>
          <w:szCs w:val="20"/>
          <w:lang w:val="es-CR"/>
        </w:rPr>
        <w:t>qu</w:t>
      </w:r>
      <w:r w:rsidRPr="009C5D55">
        <w:rPr>
          <w:rFonts w:ascii="Verdana" w:eastAsia="Verdana" w:hAnsi="Verdana" w:cs="Verdana"/>
          <w:sz w:val="20"/>
          <w:szCs w:val="20"/>
          <w:lang w:val="es-CR"/>
        </w:rPr>
        <w:t>e</w:t>
      </w:r>
      <w:r w:rsidRPr="009C5D55">
        <w:rPr>
          <w:rFonts w:ascii="Verdana" w:eastAsia="Verdana" w:hAnsi="Verdana" w:cs="Verdana"/>
          <w:spacing w:val="-1"/>
          <w:sz w:val="20"/>
          <w:szCs w:val="20"/>
          <w:lang w:val="es-CR"/>
        </w:rPr>
        <w:t xml:space="preserve"> </w:t>
      </w:r>
      <w:r w:rsidRPr="009C5D55">
        <w:rPr>
          <w:rFonts w:ascii="Verdana" w:eastAsia="Verdana" w:hAnsi="Verdana" w:cs="Verdana"/>
          <w:sz w:val="20"/>
          <w:szCs w:val="20"/>
          <w:lang w:val="es-CR"/>
        </w:rPr>
        <w:t xml:space="preserve">se </w:t>
      </w:r>
      <w:r w:rsidRPr="009C5D55">
        <w:rPr>
          <w:rFonts w:ascii="Verdana" w:eastAsia="Verdana" w:hAnsi="Verdana" w:cs="Verdana"/>
          <w:spacing w:val="3"/>
          <w:sz w:val="20"/>
          <w:szCs w:val="20"/>
          <w:lang w:val="es-CR"/>
        </w:rPr>
        <w:t>l</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 c</w:t>
      </w:r>
      <w:r w:rsidRPr="009C5D55">
        <w:rPr>
          <w:rFonts w:ascii="Verdana" w:eastAsia="Verdana" w:hAnsi="Verdana" w:cs="Verdana"/>
          <w:spacing w:val="-2"/>
          <w:sz w:val="20"/>
          <w:szCs w:val="20"/>
          <w:lang w:val="es-CR"/>
        </w:rPr>
        <w:t>o</w:t>
      </w:r>
      <w:r w:rsidRPr="009C5D55">
        <w:rPr>
          <w:rFonts w:ascii="Verdana" w:eastAsia="Verdana" w:hAnsi="Verdana" w:cs="Verdana"/>
          <w:spacing w:val="1"/>
          <w:sz w:val="20"/>
          <w:szCs w:val="20"/>
          <w:lang w:val="es-CR"/>
        </w:rPr>
        <w:t>n</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e</w:t>
      </w:r>
      <w:r w:rsidRPr="009C5D55">
        <w:rPr>
          <w:rFonts w:ascii="Verdana" w:eastAsia="Verdana" w:hAnsi="Verdana" w:cs="Verdana"/>
          <w:spacing w:val="3"/>
          <w:sz w:val="20"/>
          <w:szCs w:val="20"/>
          <w:lang w:val="es-CR"/>
        </w:rPr>
        <w:t>d</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w:t>
      </w:r>
      <w:r w:rsidRPr="009C5D55">
        <w:rPr>
          <w:rFonts w:ascii="Verdana" w:eastAsia="Verdana" w:hAnsi="Verdana" w:cs="Verdana"/>
          <w:spacing w:val="-3"/>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sto</w:t>
      </w:r>
      <w:r w:rsidRPr="009C5D55">
        <w:rPr>
          <w:rFonts w:ascii="Verdana" w:eastAsia="Verdana" w:hAnsi="Verdana" w:cs="Verdana"/>
          <w:spacing w:val="-1"/>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 xml:space="preserve">s,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n</w:t>
      </w:r>
      <w:r w:rsidRPr="009C5D55">
        <w:rPr>
          <w:rFonts w:ascii="Verdana" w:eastAsia="Verdana" w:hAnsi="Verdana" w:cs="Verdana"/>
          <w:spacing w:val="3"/>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l</w:t>
      </w:r>
      <w:r w:rsidRPr="009C5D55">
        <w:rPr>
          <w:rFonts w:ascii="Verdana" w:eastAsia="Verdana" w:hAnsi="Verdana" w:cs="Verdana"/>
          <w:spacing w:val="4"/>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w:t>
      </w:r>
      <w:r w:rsidRPr="009C5D55">
        <w:rPr>
          <w:rFonts w:ascii="Verdana" w:eastAsia="Verdana" w:hAnsi="Verdana" w:cs="Verdana"/>
          <w:spacing w:val="1"/>
          <w:sz w:val="20"/>
          <w:szCs w:val="20"/>
          <w:lang w:val="es-CR"/>
        </w:rPr>
        <w:t>c</w:t>
      </w:r>
      <w:r w:rsidRPr="009C5D55">
        <w:rPr>
          <w:rFonts w:ascii="Verdana" w:eastAsia="Verdana" w:hAnsi="Verdana" w:cs="Verdana"/>
          <w:spacing w:val="-1"/>
          <w:sz w:val="20"/>
          <w:szCs w:val="20"/>
          <w:lang w:val="es-CR"/>
        </w:rPr>
        <w:t>r</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t</w:t>
      </w:r>
      <w:r w:rsidRPr="009C5D55">
        <w:rPr>
          <w:rFonts w:ascii="Verdana" w:eastAsia="Verdana" w:hAnsi="Verdana" w:cs="Verdana"/>
          <w:sz w:val="20"/>
          <w:szCs w:val="20"/>
          <w:lang w:val="es-CR"/>
        </w:rPr>
        <w:t>o</w:t>
      </w:r>
      <w:r w:rsidRPr="009C5D55">
        <w:rPr>
          <w:rFonts w:ascii="Verdana" w:eastAsia="Verdana" w:hAnsi="Verdana" w:cs="Verdana"/>
          <w:spacing w:val="-4"/>
          <w:sz w:val="20"/>
          <w:szCs w:val="20"/>
          <w:lang w:val="es-CR"/>
        </w:rPr>
        <w:t xml:space="preserve"> </w:t>
      </w:r>
      <w:r w:rsidRPr="009C5D55">
        <w:rPr>
          <w:rFonts w:ascii="Verdana" w:eastAsia="Verdana" w:hAnsi="Verdana" w:cs="Verdana"/>
          <w:spacing w:val="1"/>
          <w:sz w:val="20"/>
          <w:szCs w:val="20"/>
          <w:lang w:val="es-CR"/>
        </w:rPr>
        <w:t>d</w:t>
      </w:r>
      <w:r w:rsidRPr="009C5D55">
        <w:rPr>
          <w:rFonts w:ascii="Verdana" w:eastAsia="Verdana" w:hAnsi="Verdana" w:cs="Verdana"/>
          <w:sz w:val="20"/>
          <w:szCs w:val="20"/>
          <w:lang w:val="es-CR"/>
        </w:rPr>
        <w:t>e</w:t>
      </w:r>
      <w:r w:rsidRPr="009C5D55">
        <w:rPr>
          <w:rFonts w:ascii="Verdana" w:eastAsia="Verdana" w:hAnsi="Verdana" w:cs="Verdana"/>
          <w:spacing w:val="1"/>
          <w:sz w:val="20"/>
          <w:szCs w:val="20"/>
          <w:lang w:val="es-CR"/>
        </w:rPr>
        <w:t xml:space="preserve"> </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o</w:t>
      </w:r>
      <w:r w:rsidRPr="009C5D55">
        <w:rPr>
          <w:rFonts w:ascii="Verdana" w:eastAsia="Verdana" w:hAnsi="Verdana" w:cs="Verdana"/>
          <w:spacing w:val="3"/>
          <w:sz w:val="20"/>
          <w:szCs w:val="20"/>
          <w:lang w:val="es-CR"/>
        </w:rPr>
        <w:t>li</w:t>
      </w:r>
      <w:r w:rsidRPr="009C5D55">
        <w:rPr>
          <w:rFonts w:ascii="Verdana" w:eastAsia="Verdana" w:hAnsi="Verdana" w:cs="Verdana"/>
          <w:spacing w:val="-3"/>
          <w:sz w:val="20"/>
          <w:szCs w:val="20"/>
          <w:lang w:val="es-CR"/>
        </w:rPr>
        <w:t>c</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tud</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w:t>
      </w:r>
      <w:r w:rsidRPr="009C5D55">
        <w:rPr>
          <w:rFonts w:ascii="Verdana" w:eastAsia="Verdana" w:hAnsi="Verdana" w:cs="Verdana"/>
          <w:spacing w:val="-7"/>
          <w:sz w:val="20"/>
          <w:szCs w:val="20"/>
          <w:lang w:val="es-CR"/>
        </w:rPr>
        <w:t xml:space="preserve"> </w:t>
      </w:r>
      <w:r w:rsidRPr="009C5D55">
        <w:rPr>
          <w:rFonts w:ascii="Verdana" w:eastAsia="Verdana" w:hAnsi="Verdana" w:cs="Verdana"/>
          <w:sz w:val="20"/>
          <w:szCs w:val="20"/>
          <w:lang w:val="es-CR"/>
        </w:rPr>
        <w:t>y</w:t>
      </w:r>
      <w:r w:rsidRPr="009C5D55">
        <w:rPr>
          <w:rFonts w:ascii="Verdana" w:eastAsia="Verdana" w:hAnsi="Verdana" w:cs="Verdana"/>
          <w:spacing w:val="3"/>
          <w:sz w:val="20"/>
          <w:szCs w:val="20"/>
          <w:lang w:val="es-CR"/>
        </w:rPr>
        <w:t xml:space="preserve"> </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gu</w:t>
      </w:r>
      <w:r w:rsidRPr="009C5D55">
        <w:rPr>
          <w:rFonts w:ascii="Verdana" w:eastAsia="Verdana" w:hAnsi="Verdana" w:cs="Verdana"/>
          <w:sz w:val="20"/>
          <w:szCs w:val="20"/>
          <w:lang w:val="es-CR"/>
        </w:rPr>
        <w:t>men</w:t>
      </w:r>
      <w:r w:rsidRPr="009C5D55">
        <w:rPr>
          <w:rFonts w:ascii="Verdana" w:eastAsia="Verdana" w:hAnsi="Verdana" w:cs="Verdana"/>
          <w:spacing w:val="1"/>
          <w:sz w:val="20"/>
          <w:szCs w:val="20"/>
          <w:lang w:val="es-CR"/>
        </w:rPr>
        <w:t>t</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s,</w:t>
      </w:r>
      <w:r w:rsidRPr="009C5D55">
        <w:rPr>
          <w:rFonts w:ascii="Verdana" w:eastAsia="Verdana" w:hAnsi="Verdana" w:cs="Verdana"/>
          <w:spacing w:val="-10"/>
          <w:sz w:val="20"/>
          <w:szCs w:val="20"/>
          <w:lang w:val="es-CR"/>
        </w:rPr>
        <w:t xml:space="preserve"> </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i</w:t>
      </w:r>
      <w:r w:rsidRPr="009C5D55">
        <w:rPr>
          <w:rFonts w:ascii="Verdana" w:eastAsia="Verdana" w:hAnsi="Verdana" w:cs="Verdana"/>
          <w:sz w:val="20"/>
          <w:szCs w:val="20"/>
          <w:lang w:val="es-CR"/>
        </w:rPr>
        <w:t xml:space="preserve">n </w:t>
      </w:r>
      <w:r w:rsidRPr="009C5D55">
        <w:rPr>
          <w:rFonts w:ascii="Verdana" w:eastAsia="Verdana" w:hAnsi="Verdana" w:cs="Verdana"/>
          <w:spacing w:val="1"/>
          <w:sz w:val="20"/>
          <w:szCs w:val="20"/>
          <w:lang w:val="es-CR"/>
        </w:rPr>
        <w:t>p</w:t>
      </w:r>
      <w:r w:rsidRPr="009C5D55">
        <w:rPr>
          <w:rFonts w:ascii="Verdana" w:eastAsia="Verdana" w:hAnsi="Verdana" w:cs="Verdana"/>
          <w:spacing w:val="-1"/>
          <w:sz w:val="20"/>
          <w:szCs w:val="20"/>
          <w:lang w:val="es-CR"/>
        </w:rPr>
        <w:t>er</w:t>
      </w:r>
      <w:r w:rsidRPr="009C5D55">
        <w:rPr>
          <w:rFonts w:ascii="Verdana" w:eastAsia="Verdana" w:hAnsi="Verdana" w:cs="Verdana"/>
          <w:spacing w:val="1"/>
          <w:sz w:val="20"/>
          <w:szCs w:val="20"/>
          <w:lang w:val="es-CR"/>
        </w:rPr>
        <w:t>ju</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i</w:t>
      </w:r>
      <w:r w:rsidRPr="009C5D55">
        <w:rPr>
          <w:rFonts w:ascii="Verdana" w:eastAsia="Verdana" w:hAnsi="Verdana" w:cs="Verdana"/>
          <w:sz w:val="20"/>
          <w:szCs w:val="20"/>
          <w:lang w:val="es-CR"/>
        </w:rPr>
        <w:t>o</w:t>
      </w:r>
      <w:r w:rsidRPr="009C5D55">
        <w:rPr>
          <w:rFonts w:ascii="Verdana" w:eastAsia="Verdana" w:hAnsi="Verdana" w:cs="Verdana"/>
          <w:spacing w:val="1"/>
          <w:sz w:val="20"/>
          <w:szCs w:val="20"/>
          <w:lang w:val="es-CR"/>
        </w:rPr>
        <w:t xml:space="preserve"> d</w:t>
      </w:r>
      <w:r w:rsidRPr="009C5D55">
        <w:rPr>
          <w:rFonts w:ascii="Verdana" w:eastAsia="Verdana" w:hAnsi="Verdana" w:cs="Verdana"/>
          <w:sz w:val="20"/>
          <w:szCs w:val="20"/>
          <w:lang w:val="es-CR"/>
        </w:rPr>
        <w:t>e</w:t>
      </w:r>
      <w:r w:rsidRPr="009C5D55">
        <w:rPr>
          <w:rFonts w:ascii="Verdana" w:eastAsia="Verdana" w:hAnsi="Verdana" w:cs="Verdana"/>
          <w:spacing w:val="7"/>
          <w:sz w:val="20"/>
          <w:szCs w:val="20"/>
          <w:lang w:val="es-CR"/>
        </w:rPr>
        <w:t xml:space="preserve"> </w:t>
      </w:r>
      <w:r w:rsidRPr="009C5D55">
        <w:rPr>
          <w:rFonts w:ascii="Verdana" w:eastAsia="Verdana" w:hAnsi="Verdana" w:cs="Verdana"/>
          <w:spacing w:val="1"/>
          <w:sz w:val="20"/>
          <w:szCs w:val="20"/>
          <w:lang w:val="es-CR"/>
        </w:rPr>
        <w:t>qu</w:t>
      </w:r>
      <w:r w:rsidRPr="009C5D55">
        <w:rPr>
          <w:rFonts w:ascii="Verdana" w:eastAsia="Verdana" w:hAnsi="Verdana" w:cs="Verdana"/>
          <w:sz w:val="20"/>
          <w:szCs w:val="20"/>
          <w:lang w:val="es-CR"/>
        </w:rPr>
        <w:t>e</w:t>
      </w:r>
      <w:r w:rsidRPr="009C5D55">
        <w:rPr>
          <w:rFonts w:ascii="Verdana" w:eastAsia="Verdana" w:hAnsi="Verdana" w:cs="Verdana"/>
          <w:spacing w:val="6"/>
          <w:sz w:val="20"/>
          <w:szCs w:val="20"/>
          <w:lang w:val="es-CR"/>
        </w:rPr>
        <w:t xml:space="preserve"> </w:t>
      </w:r>
      <w:r w:rsidRPr="009C5D55">
        <w:rPr>
          <w:rFonts w:ascii="Verdana" w:eastAsia="Verdana" w:hAnsi="Verdana" w:cs="Verdana"/>
          <w:spacing w:val="1"/>
          <w:sz w:val="20"/>
          <w:szCs w:val="20"/>
          <w:lang w:val="es-CR"/>
        </w:rPr>
        <w:t>t</w:t>
      </w:r>
      <w:r w:rsidRPr="009C5D55">
        <w:rPr>
          <w:rFonts w:ascii="Verdana" w:eastAsia="Verdana" w:hAnsi="Verdana" w:cs="Verdana"/>
          <w:sz w:val="20"/>
          <w:szCs w:val="20"/>
          <w:lang w:val="es-CR"/>
        </w:rPr>
        <w:t>a</w:t>
      </w:r>
      <w:r w:rsidRPr="009C5D55">
        <w:rPr>
          <w:rFonts w:ascii="Verdana" w:eastAsia="Verdana" w:hAnsi="Verdana" w:cs="Verdana"/>
          <w:spacing w:val="3"/>
          <w:sz w:val="20"/>
          <w:szCs w:val="20"/>
          <w:lang w:val="es-CR"/>
        </w:rPr>
        <w:t>l</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w:t>
      </w:r>
      <w:r w:rsidRPr="009C5D55">
        <w:rPr>
          <w:rFonts w:ascii="Verdana" w:eastAsia="Verdana" w:hAnsi="Verdana" w:cs="Verdana"/>
          <w:spacing w:val="5"/>
          <w:sz w:val="20"/>
          <w:szCs w:val="20"/>
          <w:lang w:val="es-CR"/>
        </w:rPr>
        <w:t xml:space="preserve"> </w:t>
      </w:r>
      <w:r w:rsidRPr="009C5D55">
        <w:rPr>
          <w:rFonts w:ascii="Verdana" w:eastAsia="Verdana" w:hAnsi="Verdana" w:cs="Verdana"/>
          <w:spacing w:val="3"/>
          <w:sz w:val="20"/>
          <w:szCs w:val="20"/>
          <w:lang w:val="es-CR"/>
        </w:rPr>
        <w:t>p</w:t>
      </w:r>
      <w:r w:rsidRPr="009C5D55">
        <w:rPr>
          <w:rFonts w:ascii="Verdana" w:eastAsia="Verdana" w:hAnsi="Verdana" w:cs="Verdana"/>
          <w:spacing w:val="-1"/>
          <w:sz w:val="20"/>
          <w:szCs w:val="20"/>
          <w:lang w:val="es-CR"/>
        </w:rPr>
        <w:t>re</w:t>
      </w:r>
      <w:r w:rsidRPr="009C5D55">
        <w:rPr>
          <w:rFonts w:ascii="Verdana" w:eastAsia="Verdana" w:hAnsi="Verdana" w:cs="Verdana"/>
          <w:spacing w:val="3"/>
          <w:sz w:val="20"/>
          <w:szCs w:val="20"/>
          <w:lang w:val="es-CR"/>
        </w:rPr>
        <w:t>t</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n</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i</w:t>
      </w:r>
      <w:r w:rsidRPr="009C5D55">
        <w:rPr>
          <w:rFonts w:ascii="Verdana" w:eastAsia="Verdana" w:hAnsi="Verdana" w:cs="Verdana"/>
          <w:spacing w:val="-1"/>
          <w:sz w:val="20"/>
          <w:szCs w:val="20"/>
          <w:lang w:val="es-CR"/>
        </w:rPr>
        <w:t>o</w:t>
      </w:r>
      <w:r w:rsidRPr="009C5D55">
        <w:rPr>
          <w:rFonts w:ascii="Verdana" w:eastAsia="Verdana" w:hAnsi="Verdana" w:cs="Verdana"/>
          <w:spacing w:val="1"/>
          <w:sz w:val="20"/>
          <w:szCs w:val="20"/>
          <w:lang w:val="es-CR"/>
        </w:rPr>
        <w:t>n</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 xml:space="preserve">s </w:t>
      </w:r>
      <w:r w:rsidRPr="009C5D55">
        <w:rPr>
          <w:rFonts w:ascii="Verdana" w:eastAsia="Verdana" w:hAnsi="Verdana" w:cs="Verdana"/>
          <w:spacing w:val="2"/>
          <w:sz w:val="20"/>
          <w:szCs w:val="20"/>
          <w:lang w:val="es-CR"/>
        </w:rPr>
        <w:t>s</w:t>
      </w:r>
      <w:r w:rsidRPr="009C5D55">
        <w:rPr>
          <w:rFonts w:ascii="Verdana" w:eastAsia="Verdana" w:hAnsi="Verdana" w:cs="Verdana"/>
          <w:sz w:val="20"/>
          <w:szCs w:val="20"/>
          <w:lang w:val="es-CR"/>
        </w:rPr>
        <w:t>e</w:t>
      </w:r>
      <w:r w:rsidRPr="009C5D55">
        <w:rPr>
          <w:rFonts w:ascii="Verdana" w:eastAsia="Verdana" w:hAnsi="Verdana" w:cs="Verdana"/>
          <w:spacing w:val="8"/>
          <w:sz w:val="20"/>
          <w:szCs w:val="20"/>
          <w:lang w:val="es-CR"/>
        </w:rPr>
        <w:t xml:space="preserve"> </w:t>
      </w:r>
      <w:r w:rsidRPr="009C5D55">
        <w:rPr>
          <w:rFonts w:ascii="Verdana" w:eastAsia="Verdana" w:hAnsi="Verdana" w:cs="Verdana"/>
          <w:sz w:val="20"/>
          <w:szCs w:val="20"/>
          <w:lang w:val="es-CR"/>
        </w:rPr>
        <w:t>act</w:t>
      </w:r>
      <w:r w:rsidRPr="009C5D55">
        <w:rPr>
          <w:rFonts w:ascii="Verdana" w:eastAsia="Verdana" w:hAnsi="Verdana" w:cs="Verdana"/>
          <w:spacing w:val="2"/>
          <w:sz w:val="20"/>
          <w:szCs w:val="20"/>
          <w:lang w:val="es-CR"/>
        </w:rPr>
        <w:t>u</w:t>
      </w:r>
      <w:r w:rsidRPr="009C5D55">
        <w:rPr>
          <w:rFonts w:ascii="Verdana" w:eastAsia="Verdana" w:hAnsi="Verdana" w:cs="Verdana"/>
          <w:sz w:val="20"/>
          <w:szCs w:val="20"/>
          <w:lang w:val="es-CR"/>
        </w:rPr>
        <w:t>a</w:t>
      </w:r>
      <w:r w:rsidRPr="009C5D55">
        <w:rPr>
          <w:rFonts w:ascii="Verdana" w:eastAsia="Verdana" w:hAnsi="Verdana" w:cs="Verdana"/>
          <w:spacing w:val="3"/>
          <w:sz w:val="20"/>
          <w:szCs w:val="20"/>
          <w:lang w:val="es-CR"/>
        </w:rPr>
        <w:t>li</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e</w:t>
      </w:r>
      <w:r w:rsidRPr="009C5D55">
        <w:rPr>
          <w:rFonts w:ascii="Verdana" w:eastAsia="Verdana" w:hAnsi="Verdana" w:cs="Verdana"/>
          <w:sz w:val="20"/>
          <w:szCs w:val="20"/>
          <w:lang w:val="es-CR"/>
        </w:rPr>
        <w:t>n</w:t>
      </w:r>
      <w:r w:rsidRPr="009C5D55">
        <w:rPr>
          <w:rFonts w:ascii="Verdana" w:eastAsia="Verdana" w:hAnsi="Verdana" w:cs="Verdana"/>
          <w:spacing w:val="2"/>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n</w:t>
      </w:r>
      <w:r w:rsidRPr="009C5D55">
        <w:rPr>
          <w:rFonts w:ascii="Verdana" w:eastAsia="Verdana" w:hAnsi="Verdana" w:cs="Verdana"/>
          <w:spacing w:val="9"/>
          <w:sz w:val="20"/>
          <w:szCs w:val="20"/>
          <w:lang w:val="es-CR"/>
        </w:rPr>
        <w:t xml:space="preserve"> </w:t>
      </w:r>
      <w:r w:rsidRPr="009C5D55">
        <w:rPr>
          <w:rFonts w:ascii="Verdana" w:eastAsia="Verdana" w:hAnsi="Verdana" w:cs="Verdana"/>
          <w:spacing w:val="1"/>
          <w:sz w:val="20"/>
          <w:szCs w:val="20"/>
          <w:lang w:val="es-CR"/>
        </w:rPr>
        <w:t>u</w:t>
      </w:r>
      <w:r w:rsidRPr="009C5D55">
        <w:rPr>
          <w:rFonts w:ascii="Verdana" w:eastAsia="Verdana" w:hAnsi="Verdana" w:cs="Verdana"/>
          <w:sz w:val="20"/>
          <w:szCs w:val="20"/>
          <w:lang w:val="es-CR"/>
        </w:rPr>
        <w:t>n</w:t>
      </w:r>
      <w:r w:rsidRPr="009C5D55">
        <w:rPr>
          <w:rFonts w:ascii="Verdana" w:eastAsia="Verdana" w:hAnsi="Verdana" w:cs="Verdana"/>
          <w:spacing w:val="9"/>
          <w:sz w:val="20"/>
          <w:szCs w:val="20"/>
          <w:lang w:val="es-CR"/>
        </w:rPr>
        <w:t xml:space="preserve"> </w:t>
      </w:r>
      <w:r w:rsidRPr="009C5D55">
        <w:rPr>
          <w:rFonts w:ascii="Verdana" w:eastAsia="Verdana" w:hAnsi="Verdana" w:cs="Verdana"/>
          <w:sz w:val="20"/>
          <w:szCs w:val="20"/>
          <w:lang w:val="es-CR"/>
        </w:rPr>
        <w:t>mo</w:t>
      </w:r>
      <w:r w:rsidRPr="009C5D55">
        <w:rPr>
          <w:rFonts w:ascii="Verdana" w:eastAsia="Verdana" w:hAnsi="Verdana" w:cs="Verdana"/>
          <w:spacing w:val="3"/>
          <w:sz w:val="20"/>
          <w:szCs w:val="20"/>
          <w:lang w:val="es-CR"/>
        </w:rPr>
        <w:t>m</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nt</w:t>
      </w:r>
      <w:r w:rsidRPr="009C5D55">
        <w:rPr>
          <w:rFonts w:ascii="Verdana" w:eastAsia="Verdana" w:hAnsi="Verdana" w:cs="Verdana"/>
          <w:sz w:val="20"/>
          <w:szCs w:val="20"/>
          <w:lang w:val="es-CR"/>
        </w:rPr>
        <w:t>o</w:t>
      </w:r>
      <w:r w:rsidRPr="009C5D55">
        <w:rPr>
          <w:rFonts w:ascii="Verdana" w:eastAsia="Verdana" w:hAnsi="Verdana" w:cs="Verdana"/>
          <w:spacing w:val="2"/>
          <w:sz w:val="20"/>
          <w:szCs w:val="20"/>
          <w:lang w:val="es-CR"/>
        </w:rPr>
        <w:t xml:space="preserve"> </w:t>
      </w:r>
      <w:r w:rsidRPr="009C5D55">
        <w:rPr>
          <w:rFonts w:ascii="Verdana" w:eastAsia="Verdana" w:hAnsi="Verdana" w:cs="Verdana"/>
          <w:spacing w:val="1"/>
          <w:sz w:val="20"/>
          <w:szCs w:val="20"/>
          <w:lang w:val="es-CR"/>
        </w:rPr>
        <w:t>po</w:t>
      </w:r>
      <w:r w:rsidRPr="009C5D55">
        <w:rPr>
          <w:rFonts w:ascii="Verdana" w:eastAsia="Verdana" w:hAnsi="Verdana" w:cs="Verdana"/>
          <w:sz w:val="20"/>
          <w:szCs w:val="20"/>
          <w:lang w:val="es-CR"/>
        </w:rPr>
        <w:t>st</w:t>
      </w:r>
      <w:r w:rsidRPr="009C5D55">
        <w:rPr>
          <w:rFonts w:ascii="Verdana" w:eastAsia="Verdana" w:hAnsi="Verdana" w:cs="Verdana"/>
          <w:spacing w:val="-1"/>
          <w:sz w:val="20"/>
          <w:szCs w:val="20"/>
          <w:lang w:val="es-CR"/>
        </w:rPr>
        <w:t>er</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o</w:t>
      </w:r>
      <w:r w:rsidRPr="009C5D55">
        <w:rPr>
          <w:rFonts w:ascii="Verdana" w:eastAsia="Verdana" w:hAnsi="Verdana" w:cs="Verdana"/>
          <w:spacing w:val="10"/>
          <w:sz w:val="20"/>
          <w:szCs w:val="20"/>
          <w:lang w:val="es-CR"/>
        </w:rPr>
        <w:t>r</w:t>
      </w:r>
      <w:r w:rsidRPr="009C5D55">
        <w:rPr>
          <w:rFonts w:ascii="Verdana" w:eastAsia="Verdana" w:hAnsi="Verdana" w:cs="Verdana"/>
          <w:sz w:val="20"/>
          <w:szCs w:val="20"/>
          <w:lang w:val="es-CR"/>
        </w:rPr>
        <w:t xml:space="preserve">, </w:t>
      </w:r>
      <w:r w:rsidRPr="009C5D55">
        <w:rPr>
          <w:rFonts w:ascii="Verdana" w:eastAsia="Verdana" w:hAnsi="Verdana" w:cs="Verdana"/>
          <w:spacing w:val="2"/>
          <w:sz w:val="20"/>
          <w:szCs w:val="20"/>
          <w:lang w:val="es-CR"/>
        </w:rPr>
        <w:t>c</w:t>
      </w:r>
      <w:r w:rsidRPr="009C5D55">
        <w:rPr>
          <w:rFonts w:ascii="Verdana" w:eastAsia="Verdana" w:hAnsi="Verdana" w:cs="Verdana"/>
          <w:spacing w:val="-1"/>
          <w:sz w:val="20"/>
          <w:szCs w:val="20"/>
          <w:lang w:val="es-CR"/>
        </w:rPr>
        <w:t>o</w:t>
      </w:r>
      <w:r w:rsidRPr="009C5D55">
        <w:rPr>
          <w:rFonts w:ascii="Verdana" w:eastAsia="Verdana" w:hAnsi="Verdana" w:cs="Verdana"/>
          <w:spacing w:val="1"/>
          <w:sz w:val="20"/>
          <w:szCs w:val="20"/>
          <w:lang w:val="es-CR"/>
        </w:rPr>
        <w:t>n</w:t>
      </w:r>
      <w:r w:rsidRPr="009C5D55">
        <w:rPr>
          <w:rFonts w:ascii="Verdana" w:eastAsia="Verdana" w:hAnsi="Verdana" w:cs="Verdana"/>
          <w:spacing w:val="2"/>
          <w:sz w:val="20"/>
          <w:szCs w:val="20"/>
          <w:lang w:val="es-CR"/>
        </w:rPr>
        <w:t>f</w:t>
      </w:r>
      <w:r w:rsidRPr="009C5D55">
        <w:rPr>
          <w:rFonts w:ascii="Verdana" w:eastAsia="Verdana" w:hAnsi="Verdana" w:cs="Verdana"/>
          <w:spacing w:val="-1"/>
          <w:sz w:val="20"/>
          <w:szCs w:val="20"/>
          <w:lang w:val="es-CR"/>
        </w:rPr>
        <w:t>or</w:t>
      </w:r>
      <w:r w:rsidRPr="009C5D55">
        <w:rPr>
          <w:rFonts w:ascii="Verdana" w:eastAsia="Verdana" w:hAnsi="Verdana" w:cs="Verdana"/>
          <w:spacing w:val="3"/>
          <w:sz w:val="20"/>
          <w:szCs w:val="20"/>
          <w:lang w:val="es-CR"/>
        </w:rPr>
        <w:t>m</w:t>
      </w:r>
      <w:r w:rsidRPr="009C5D55">
        <w:rPr>
          <w:rFonts w:ascii="Verdana" w:eastAsia="Verdana" w:hAnsi="Verdana" w:cs="Verdana"/>
          <w:sz w:val="20"/>
          <w:szCs w:val="20"/>
          <w:lang w:val="es-CR"/>
        </w:rPr>
        <w:t>e a</w:t>
      </w:r>
      <w:r w:rsidRPr="009C5D55">
        <w:rPr>
          <w:rFonts w:ascii="Verdana" w:eastAsia="Verdana" w:hAnsi="Verdana" w:cs="Verdana"/>
          <w:spacing w:val="12"/>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as</w:t>
      </w:r>
      <w:r w:rsidRPr="009C5D55">
        <w:rPr>
          <w:rFonts w:ascii="Verdana" w:eastAsia="Verdana" w:hAnsi="Verdana" w:cs="Verdana"/>
          <w:spacing w:val="8"/>
          <w:sz w:val="20"/>
          <w:szCs w:val="20"/>
          <w:lang w:val="es-CR"/>
        </w:rPr>
        <w:t xml:space="preserve"> </w:t>
      </w:r>
      <w:r w:rsidRPr="009C5D55">
        <w:rPr>
          <w:rFonts w:ascii="Verdana" w:eastAsia="Verdana" w:hAnsi="Verdana" w:cs="Verdana"/>
          <w:spacing w:val="1"/>
          <w:sz w:val="20"/>
          <w:szCs w:val="20"/>
          <w:lang w:val="es-CR"/>
        </w:rPr>
        <w:t>nu</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v</w:t>
      </w:r>
      <w:r w:rsidRPr="009C5D55">
        <w:rPr>
          <w:rFonts w:ascii="Verdana" w:eastAsia="Verdana" w:hAnsi="Verdana" w:cs="Verdana"/>
          <w:spacing w:val="2"/>
          <w:sz w:val="20"/>
          <w:szCs w:val="20"/>
          <w:lang w:val="es-CR"/>
        </w:rPr>
        <w:t>a</w:t>
      </w:r>
      <w:r w:rsidRPr="009C5D55">
        <w:rPr>
          <w:rFonts w:ascii="Verdana" w:eastAsia="Verdana" w:hAnsi="Verdana" w:cs="Verdana"/>
          <w:sz w:val="20"/>
          <w:szCs w:val="20"/>
          <w:lang w:val="es-CR"/>
        </w:rPr>
        <w:t>s c</w:t>
      </w:r>
      <w:r w:rsidRPr="009C5D55">
        <w:rPr>
          <w:rFonts w:ascii="Verdana" w:eastAsia="Verdana" w:hAnsi="Verdana" w:cs="Verdana"/>
          <w:spacing w:val="-2"/>
          <w:sz w:val="20"/>
          <w:szCs w:val="20"/>
          <w:lang w:val="es-CR"/>
        </w:rPr>
        <w:t>o</w:t>
      </w:r>
      <w:r w:rsidRPr="009C5D55">
        <w:rPr>
          <w:rFonts w:ascii="Verdana" w:eastAsia="Verdana" w:hAnsi="Verdana" w:cs="Verdana"/>
          <w:sz w:val="20"/>
          <w:szCs w:val="20"/>
          <w:lang w:val="es-CR"/>
        </w:rPr>
        <w:t>st</w:t>
      </w:r>
      <w:r w:rsidRPr="009C5D55">
        <w:rPr>
          <w:rFonts w:ascii="Verdana" w:eastAsia="Verdana" w:hAnsi="Verdana" w:cs="Verdana"/>
          <w:spacing w:val="3"/>
          <w:sz w:val="20"/>
          <w:szCs w:val="20"/>
          <w:lang w:val="es-CR"/>
        </w:rPr>
        <w:t>a</w:t>
      </w:r>
      <w:r w:rsidRPr="009C5D55">
        <w:rPr>
          <w:rFonts w:ascii="Verdana" w:eastAsia="Verdana" w:hAnsi="Verdana" w:cs="Verdana"/>
          <w:sz w:val="20"/>
          <w:szCs w:val="20"/>
          <w:lang w:val="es-CR"/>
        </w:rPr>
        <w:t>s</w:t>
      </w:r>
      <w:r w:rsidRPr="009C5D55">
        <w:rPr>
          <w:rFonts w:ascii="Verdana" w:eastAsia="Verdana" w:hAnsi="Verdana" w:cs="Verdana"/>
          <w:spacing w:val="8"/>
          <w:sz w:val="20"/>
          <w:szCs w:val="20"/>
          <w:lang w:val="es-CR"/>
        </w:rPr>
        <w:t xml:space="preserve"> </w:t>
      </w:r>
      <w:r w:rsidRPr="009C5D55">
        <w:rPr>
          <w:rFonts w:ascii="Verdana" w:eastAsia="Verdana" w:hAnsi="Verdana" w:cs="Verdana"/>
          <w:sz w:val="20"/>
          <w:szCs w:val="20"/>
          <w:lang w:val="es-CR"/>
        </w:rPr>
        <w:t>y</w:t>
      </w:r>
      <w:r w:rsidRPr="009C5D55">
        <w:rPr>
          <w:rFonts w:ascii="Verdana" w:eastAsia="Verdana" w:hAnsi="Verdana" w:cs="Verdana"/>
          <w:spacing w:val="13"/>
          <w:sz w:val="20"/>
          <w:szCs w:val="20"/>
          <w:lang w:val="es-CR"/>
        </w:rPr>
        <w:t xml:space="preserve"> </w:t>
      </w:r>
      <w:r w:rsidRPr="009C5D55">
        <w:rPr>
          <w:rFonts w:ascii="Verdana" w:eastAsia="Verdana" w:hAnsi="Verdana" w:cs="Verdana"/>
          <w:spacing w:val="1"/>
          <w:sz w:val="20"/>
          <w:szCs w:val="20"/>
          <w:lang w:val="es-CR"/>
        </w:rPr>
        <w:t>g</w:t>
      </w:r>
      <w:r w:rsidRPr="009C5D55">
        <w:rPr>
          <w:rFonts w:ascii="Verdana" w:eastAsia="Verdana" w:hAnsi="Verdana" w:cs="Verdana"/>
          <w:sz w:val="20"/>
          <w:szCs w:val="20"/>
          <w:lang w:val="es-CR"/>
        </w:rPr>
        <w:t>astos</w:t>
      </w:r>
      <w:r w:rsidRPr="009C5D55">
        <w:rPr>
          <w:rFonts w:ascii="Verdana" w:eastAsia="Verdana" w:hAnsi="Verdana" w:cs="Verdana"/>
          <w:spacing w:val="10"/>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n</w:t>
      </w:r>
      <w:r w:rsidRPr="009C5D55">
        <w:rPr>
          <w:rFonts w:ascii="Verdana" w:eastAsia="Verdana" w:hAnsi="Verdana" w:cs="Verdana"/>
          <w:spacing w:val="14"/>
          <w:sz w:val="20"/>
          <w:szCs w:val="20"/>
          <w:lang w:val="es-CR"/>
        </w:rPr>
        <w:t xml:space="preserve"> </w:t>
      </w:r>
      <w:r w:rsidRPr="009C5D55">
        <w:rPr>
          <w:rFonts w:ascii="Verdana" w:eastAsia="Verdana" w:hAnsi="Verdana" w:cs="Verdana"/>
          <w:spacing w:val="1"/>
          <w:sz w:val="20"/>
          <w:szCs w:val="20"/>
          <w:lang w:val="es-CR"/>
        </w:rPr>
        <w:t>qu</w:t>
      </w:r>
      <w:r w:rsidRPr="009C5D55">
        <w:rPr>
          <w:rFonts w:ascii="Verdana" w:eastAsia="Verdana" w:hAnsi="Verdana" w:cs="Verdana"/>
          <w:sz w:val="20"/>
          <w:szCs w:val="20"/>
          <w:lang w:val="es-CR"/>
        </w:rPr>
        <w:t>e</w:t>
      </w:r>
      <w:r w:rsidRPr="009C5D55">
        <w:rPr>
          <w:rFonts w:ascii="Verdana" w:eastAsia="Verdana" w:hAnsi="Verdana" w:cs="Verdana"/>
          <w:spacing w:val="11"/>
          <w:sz w:val="20"/>
          <w:szCs w:val="20"/>
          <w:lang w:val="es-CR"/>
        </w:rPr>
        <w:t xml:space="preserve"> </w:t>
      </w:r>
      <w:r w:rsidRPr="009C5D55">
        <w:rPr>
          <w:rFonts w:ascii="Verdana" w:eastAsia="Verdana" w:hAnsi="Verdana" w:cs="Verdana"/>
          <w:sz w:val="20"/>
          <w:szCs w:val="20"/>
          <w:lang w:val="es-CR"/>
        </w:rPr>
        <w:t>se</w:t>
      </w:r>
      <w:r w:rsidRPr="009C5D55">
        <w:rPr>
          <w:rFonts w:ascii="Verdana" w:eastAsia="Verdana" w:hAnsi="Verdana" w:cs="Verdana"/>
          <w:spacing w:val="11"/>
          <w:sz w:val="20"/>
          <w:szCs w:val="20"/>
          <w:lang w:val="es-CR"/>
        </w:rPr>
        <w:t xml:space="preserve"> </w:t>
      </w:r>
      <w:r w:rsidRPr="009C5D55">
        <w:rPr>
          <w:rFonts w:ascii="Verdana" w:eastAsia="Verdana" w:hAnsi="Verdana" w:cs="Verdana"/>
          <w:spacing w:val="1"/>
          <w:sz w:val="20"/>
          <w:szCs w:val="20"/>
          <w:lang w:val="es-CR"/>
        </w:rPr>
        <w:t>h</w:t>
      </w:r>
      <w:r w:rsidRPr="009C5D55">
        <w:rPr>
          <w:rFonts w:ascii="Verdana" w:eastAsia="Verdana" w:hAnsi="Verdana" w:cs="Verdana"/>
          <w:sz w:val="20"/>
          <w:szCs w:val="20"/>
          <w:lang w:val="es-CR"/>
        </w:rPr>
        <w:t>aya</w:t>
      </w:r>
      <w:r w:rsidRPr="009C5D55">
        <w:rPr>
          <w:rFonts w:ascii="Verdana" w:eastAsia="Verdana" w:hAnsi="Verdana" w:cs="Verdana"/>
          <w:spacing w:val="10"/>
          <w:sz w:val="20"/>
          <w:szCs w:val="20"/>
          <w:lang w:val="es-CR"/>
        </w:rPr>
        <w:t xml:space="preserve"> </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n</w:t>
      </w:r>
      <w:r w:rsidRPr="009C5D55">
        <w:rPr>
          <w:rFonts w:ascii="Verdana" w:eastAsia="Verdana" w:hAnsi="Verdana" w:cs="Verdana"/>
          <w:sz w:val="20"/>
          <w:szCs w:val="20"/>
          <w:lang w:val="es-CR"/>
        </w:rPr>
        <w:t>cur</w:t>
      </w:r>
      <w:r w:rsidRPr="009C5D55">
        <w:rPr>
          <w:rFonts w:ascii="Verdana" w:eastAsia="Verdana" w:hAnsi="Verdana" w:cs="Verdana"/>
          <w:spacing w:val="-2"/>
          <w:sz w:val="20"/>
          <w:szCs w:val="20"/>
          <w:lang w:val="es-CR"/>
        </w:rPr>
        <w:t>r</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d</w:t>
      </w:r>
      <w:r w:rsidRPr="009C5D55">
        <w:rPr>
          <w:rFonts w:ascii="Verdana" w:eastAsia="Verdana" w:hAnsi="Verdana" w:cs="Verdana"/>
          <w:sz w:val="20"/>
          <w:szCs w:val="20"/>
          <w:lang w:val="es-CR"/>
        </w:rPr>
        <w:t>o</w:t>
      </w:r>
      <w:r w:rsidRPr="009C5D55">
        <w:rPr>
          <w:rFonts w:ascii="Verdana" w:eastAsia="Verdana" w:hAnsi="Verdana" w:cs="Verdana"/>
          <w:spacing w:val="5"/>
          <w:sz w:val="20"/>
          <w:szCs w:val="20"/>
          <w:lang w:val="es-CR"/>
        </w:rPr>
        <w:t xml:space="preserve"> </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o</w:t>
      </w:r>
      <w:r w:rsidRPr="009C5D55">
        <w:rPr>
          <w:rFonts w:ascii="Verdana" w:eastAsia="Verdana" w:hAnsi="Verdana" w:cs="Verdana"/>
          <w:sz w:val="20"/>
          <w:szCs w:val="20"/>
          <w:lang w:val="es-CR"/>
        </w:rPr>
        <w:t>n</w:t>
      </w:r>
      <w:r w:rsidRPr="009C5D55">
        <w:rPr>
          <w:rFonts w:ascii="Verdana" w:eastAsia="Verdana" w:hAnsi="Verdana" w:cs="Verdana"/>
          <w:spacing w:val="13"/>
          <w:sz w:val="20"/>
          <w:szCs w:val="20"/>
          <w:lang w:val="es-CR"/>
        </w:rPr>
        <w:t xml:space="preserve"> </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ca</w:t>
      </w:r>
      <w:r w:rsidRPr="009C5D55">
        <w:rPr>
          <w:rFonts w:ascii="Verdana" w:eastAsia="Verdana" w:hAnsi="Verdana" w:cs="Verdana"/>
          <w:spacing w:val="-1"/>
          <w:sz w:val="20"/>
          <w:szCs w:val="20"/>
          <w:lang w:val="es-CR"/>
        </w:rPr>
        <w:t>s</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ó</w:t>
      </w:r>
      <w:r w:rsidRPr="009C5D55">
        <w:rPr>
          <w:rFonts w:ascii="Verdana" w:eastAsia="Verdana" w:hAnsi="Verdana" w:cs="Verdana"/>
          <w:sz w:val="20"/>
          <w:szCs w:val="20"/>
          <w:lang w:val="es-CR"/>
        </w:rPr>
        <w:t>n</w:t>
      </w:r>
      <w:r w:rsidRPr="009C5D55">
        <w:rPr>
          <w:rFonts w:ascii="Verdana" w:eastAsia="Verdana" w:hAnsi="Verdana" w:cs="Verdana"/>
          <w:spacing w:val="9"/>
          <w:sz w:val="20"/>
          <w:szCs w:val="20"/>
          <w:lang w:val="es-CR"/>
        </w:rPr>
        <w:t xml:space="preserve"> </w:t>
      </w:r>
      <w:r w:rsidRPr="009C5D55">
        <w:rPr>
          <w:rFonts w:ascii="Verdana" w:eastAsia="Verdana" w:hAnsi="Verdana" w:cs="Verdana"/>
          <w:spacing w:val="1"/>
          <w:sz w:val="20"/>
          <w:szCs w:val="20"/>
          <w:lang w:val="es-CR"/>
        </w:rPr>
        <w:t>d</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l</w:t>
      </w:r>
      <w:r w:rsidRPr="009C5D55">
        <w:rPr>
          <w:rFonts w:ascii="Verdana" w:eastAsia="Verdana" w:hAnsi="Verdana" w:cs="Verdana"/>
          <w:spacing w:val="15"/>
          <w:sz w:val="20"/>
          <w:szCs w:val="20"/>
          <w:lang w:val="es-CR"/>
        </w:rPr>
        <w:t xml:space="preserve"> </w:t>
      </w:r>
      <w:r w:rsidRPr="009C5D55">
        <w:rPr>
          <w:rFonts w:ascii="Verdana" w:eastAsia="Verdana" w:hAnsi="Verdana" w:cs="Verdana"/>
          <w:spacing w:val="1"/>
          <w:sz w:val="20"/>
          <w:szCs w:val="20"/>
          <w:lang w:val="es-CR"/>
        </w:rPr>
        <w:t>p</w:t>
      </w:r>
      <w:r w:rsidRPr="009C5D55">
        <w:rPr>
          <w:rFonts w:ascii="Verdana" w:eastAsia="Verdana" w:hAnsi="Verdana" w:cs="Verdana"/>
          <w:spacing w:val="-1"/>
          <w:sz w:val="20"/>
          <w:szCs w:val="20"/>
          <w:lang w:val="es-CR"/>
        </w:rPr>
        <w:t>ro</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e</w:t>
      </w:r>
      <w:r w:rsidRPr="009C5D55">
        <w:rPr>
          <w:rFonts w:ascii="Verdana" w:eastAsia="Verdana" w:hAnsi="Verdana" w:cs="Verdana"/>
          <w:spacing w:val="1"/>
          <w:sz w:val="20"/>
          <w:szCs w:val="20"/>
          <w:lang w:val="es-CR"/>
        </w:rPr>
        <w:t>d</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m</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nt</w:t>
      </w:r>
      <w:r w:rsidRPr="009C5D55">
        <w:rPr>
          <w:rFonts w:ascii="Verdana" w:eastAsia="Verdana" w:hAnsi="Verdana" w:cs="Verdana"/>
          <w:sz w:val="20"/>
          <w:szCs w:val="20"/>
          <w:lang w:val="es-CR"/>
        </w:rPr>
        <w:t>o a</w:t>
      </w:r>
      <w:r w:rsidRPr="009C5D55">
        <w:rPr>
          <w:rFonts w:ascii="Verdana" w:eastAsia="Verdana" w:hAnsi="Verdana" w:cs="Verdana"/>
          <w:spacing w:val="1"/>
          <w:sz w:val="20"/>
          <w:szCs w:val="20"/>
          <w:lang w:val="es-CR"/>
        </w:rPr>
        <w:t>nt</w:t>
      </w:r>
      <w:r w:rsidRPr="009C5D55">
        <w:rPr>
          <w:rFonts w:ascii="Verdana" w:eastAsia="Verdana" w:hAnsi="Verdana" w:cs="Verdana"/>
          <w:sz w:val="20"/>
          <w:szCs w:val="20"/>
          <w:lang w:val="es-CR"/>
        </w:rPr>
        <w:t>e</w:t>
      </w:r>
      <w:r w:rsidRPr="009C5D55">
        <w:rPr>
          <w:rFonts w:ascii="Verdana" w:eastAsia="Verdana" w:hAnsi="Verdana" w:cs="Verdana"/>
          <w:spacing w:val="10"/>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sta</w:t>
      </w:r>
      <w:r w:rsidRPr="009C5D55">
        <w:rPr>
          <w:rFonts w:ascii="Verdana" w:eastAsia="Verdana" w:hAnsi="Verdana" w:cs="Verdana"/>
          <w:spacing w:val="11"/>
          <w:sz w:val="20"/>
          <w:szCs w:val="20"/>
          <w:lang w:val="es-CR"/>
        </w:rPr>
        <w:t xml:space="preserve"> </w:t>
      </w:r>
      <w:r w:rsidRPr="009C5D55">
        <w:rPr>
          <w:rFonts w:ascii="Verdana" w:eastAsia="Verdana" w:hAnsi="Verdana" w:cs="Verdana"/>
          <w:sz w:val="20"/>
          <w:szCs w:val="20"/>
          <w:lang w:val="es-CR"/>
        </w:rPr>
        <w:t>C</w:t>
      </w:r>
      <w:r w:rsidRPr="009C5D55">
        <w:rPr>
          <w:rFonts w:ascii="Verdana" w:eastAsia="Verdana" w:hAnsi="Verdana" w:cs="Verdana"/>
          <w:spacing w:val="-1"/>
          <w:sz w:val="20"/>
          <w:szCs w:val="20"/>
          <w:lang w:val="es-CR"/>
        </w:rPr>
        <w:t>or</w:t>
      </w:r>
      <w:r w:rsidRPr="009C5D55">
        <w:rPr>
          <w:rFonts w:ascii="Verdana" w:eastAsia="Verdana" w:hAnsi="Verdana" w:cs="Verdana"/>
          <w:spacing w:val="3"/>
          <w:sz w:val="20"/>
          <w:szCs w:val="20"/>
          <w:lang w:val="es-CR"/>
        </w:rPr>
        <w:t>t</w:t>
      </w:r>
      <w:r w:rsidRPr="009C5D55">
        <w:rPr>
          <w:rFonts w:ascii="Verdana" w:eastAsia="Verdana" w:hAnsi="Verdana" w:cs="Verdana"/>
          <w:spacing w:val="-1"/>
          <w:sz w:val="20"/>
          <w:szCs w:val="20"/>
          <w:lang w:val="es-CR"/>
        </w:rPr>
        <w:t>e</w:t>
      </w:r>
      <w:r w:rsidRPr="009C5D55">
        <w:rPr>
          <w:rFonts w:ascii="Verdana" w:eastAsia="Verdana" w:hAnsi="Verdana" w:cs="Verdana"/>
          <w:spacing w:val="11"/>
          <w:sz w:val="20"/>
          <w:szCs w:val="20"/>
          <w:lang w:val="es-CR"/>
        </w:rPr>
        <w:t>”</w:t>
      </w:r>
      <w:r w:rsidRPr="009C5D55">
        <w:rPr>
          <w:rFonts w:ascii="Verdana" w:eastAsia="Verdana" w:hAnsi="Verdana" w:cs="Verdana"/>
          <w:spacing w:val="11"/>
          <w:sz w:val="20"/>
          <w:szCs w:val="20"/>
          <w:vertAlign w:val="superscript"/>
          <w:lang w:val="es-CR"/>
        </w:rPr>
        <w:footnoteReference w:id="275"/>
      </w:r>
      <w:r w:rsidRPr="009C5D55">
        <w:rPr>
          <w:rFonts w:ascii="Verdana" w:eastAsia="Verdana" w:hAnsi="Verdana" w:cs="Verdana"/>
          <w:sz w:val="20"/>
          <w:szCs w:val="20"/>
          <w:lang w:val="es-CR"/>
        </w:rPr>
        <w:t>. As</w:t>
      </w:r>
      <w:r w:rsidRPr="009C5D55">
        <w:rPr>
          <w:rFonts w:ascii="Verdana" w:eastAsia="Verdana" w:hAnsi="Verdana" w:cs="Verdana"/>
          <w:spacing w:val="3"/>
          <w:sz w:val="20"/>
          <w:szCs w:val="20"/>
          <w:lang w:val="es-CR"/>
        </w:rPr>
        <w:t>i</w:t>
      </w:r>
      <w:r w:rsidRPr="009C5D55">
        <w:rPr>
          <w:rFonts w:ascii="Verdana" w:eastAsia="Verdana" w:hAnsi="Verdana" w:cs="Verdana"/>
          <w:spacing w:val="-2"/>
          <w:sz w:val="20"/>
          <w:szCs w:val="20"/>
          <w:lang w:val="es-CR"/>
        </w:rPr>
        <w:t>m</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sm</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w:t>
      </w:r>
      <w:r w:rsidRPr="009C5D55">
        <w:rPr>
          <w:rFonts w:ascii="Verdana" w:eastAsia="Verdana" w:hAnsi="Verdana" w:cs="Verdana"/>
          <w:spacing w:val="1"/>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w:t>
      </w:r>
      <w:r w:rsidRPr="009C5D55">
        <w:rPr>
          <w:rFonts w:ascii="Verdana" w:eastAsia="Verdana" w:hAnsi="Verdana" w:cs="Verdana"/>
          <w:spacing w:val="9"/>
          <w:sz w:val="20"/>
          <w:szCs w:val="20"/>
          <w:lang w:val="es-CR"/>
        </w:rPr>
        <w:t xml:space="preserve"> </w:t>
      </w:r>
      <w:r w:rsidRPr="009C5D55">
        <w:rPr>
          <w:rFonts w:ascii="Verdana" w:eastAsia="Verdana" w:hAnsi="Verdana" w:cs="Verdana"/>
          <w:sz w:val="20"/>
          <w:szCs w:val="20"/>
          <w:lang w:val="es-CR"/>
        </w:rPr>
        <w:t>C</w:t>
      </w:r>
      <w:r w:rsidRPr="009C5D55">
        <w:rPr>
          <w:rFonts w:ascii="Verdana" w:eastAsia="Verdana" w:hAnsi="Verdana" w:cs="Verdana"/>
          <w:spacing w:val="-1"/>
          <w:sz w:val="20"/>
          <w:szCs w:val="20"/>
          <w:lang w:val="es-CR"/>
        </w:rPr>
        <w:t>or</w:t>
      </w:r>
      <w:r w:rsidRPr="009C5D55">
        <w:rPr>
          <w:rFonts w:ascii="Verdana" w:eastAsia="Verdana" w:hAnsi="Verdana" w:cs="Verdana"/>
          <w:spacing w:val="3"/>
          <w:sz w:val="20"/>
          <w:szCs w:val="20"/>
          <w:lang w:val="es-CR"/>
        </w:rPr>
        <w:t>t</w:t>
      </w:r>
      <w:r w:rsidRPr="009C5D55">
        <w:rPr>
          <w:rFonts w:ascii="Verdana" w:eastAsia="Verdana" w:hAnsi="Verdana" w:cs="Verdana"/>
          <w:sz w:val="20"/>
          <w:szCs w:val="20"/>
          <w:lang w:val="es-CR"/>
        </w:rPr>
        <w:t>e</w:t>
      </w:r>
      <w:r w:rsidRPr="009C5D55">
        <w:rPr>
          <w:rFonts w:ascii="Verdana" w:eastAsia="Verdana" w:hAnsi="Verdana" w:cs="Verdana"/>
          <w:spacing w:val="7"/>
          <w:sz w:val="20"/>
          <w:szCs w:val="20"/>
          <w:lang w:val="es-CR"/>
        </w:rPr>
        <w:t xml:space="preserve"> </w:t>
      </w:r>
      <w:r w:rsidRPr="009C5D55">
        <w:rPr>
          <w:rFonts w:ascii="Verdana" w:eastAsia="Verdana" w:hAnsi="Verdana" w:cs="Verdana"/>
          <w:spacing w:val="-1"/>
          <w:sz w:val="20"/>
          <w:szCs w:val="20"/>
          <w:lang w:val="es-CR"/>
        </w:rPr>
        <w:t>re</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t</w:t>
      </w:r>
      <w:r w:rsidRPr="009C5D55">
        <w:rPr>
          <w:rFonts w:ascii="Verdana" w:eastAsia="Verdana" w:hAnsi="Verdana" w:cs="Verdana"/>
          <w:spacing w:val="-1"/>
          <w:sz w:val="20"/>
          <w:szCs w:val="20"/>
          <w:lang w:val="es-CR"/>
        </w:rPr>
        <w:t>er</w:t>
      </w:r>
      <w:r w:rsidRPr="009C5D55">
        <w:rPr>
          <w:rFonts w:ascii="Verdana" w:eastAsia="Verdana" w:hAnsi="Verdana" w:cs="Verdana"/>
          <w:sz w:val="20"/>
          <w:szCs w:val="20"/>
          <w:lang w:val="es-CR"/>
        </w:rPr>
        <w:t>a</w:t>
      </w:r>
      <w:r w:rsidRPr="009C5D55">
        <w:rPr>
          <w:rFonts w:ascii="Verdana" w:eastAsia="Verdana" w:hAnsi="Verdana" w:cs="Verdana"/>
          <w:spacing w:val="7"/>
          <w:sz w:val="20"/>
          <w:szCs w:val="20"/>
          <w:lang w:val="es-CR"/>
        </w:rPr>
        <w:t xml:space="preserve"> </w:t>
      </w:r>
      <w:r w:rsidRPr="009C5D55">
        <w:rPr>
          <w:rFonts w:ascii="Verdana" w:eastAsia="Verdana" w:hAnsi="Verdana" w:cs="Verdana"/>
          <w:spacing w:val="1"/>
          <w:sz w:val="20"/>
          <w:szCs w:val="20"/>
          <w:lang w:val="es-CR"/>
        </w:rPr>
        <w:t>qu</w:t>
      </w:r>
      <w:r w:rsidRPr="009C5D55">
        <w:rPr>
          <w:rFonts w:ascii="Verdana" w:eastAsia="Verdana" w:hAnsi="Verdana" w:cs="Verdana"/>
          <w:sz w:val="20"/>
          <w:szCs w:val="20"/>
          <w:lang w:val="es-CR"/>
        </w:rPr>
        <w:t>e</w:t>
      </w:r>
      <w:r w:rsidRPr="009C5D55">
        <w:rPr>
          <w:rFonts w:ascii="Verdana" w:eastAsia="Verdana" w:hAnsi="Verdana" w:cs="Verdana"/>
          <w:spacing w:val="6"/>
          <w:sz w:val="20"/>
          <w:szCs w:val="20"/>
          <w:lang w:val="es-CR"/>
        </w:rPr>
        <w:t xml:space="preserve"> </w:t>
      </w:r>
      <w:r w:rsidRPr="009C5D55">
        <w:rPr>
          <w:rFonts w:ascii="Verdana" w:eastAsia="Verdana" w:hAnsi="Verdana" w:cs="Verdana"/>
          <w:spacing w:val="1"/>
          <w:sz w:val="20"/>
          <w:szCs w:val="20"/>
          <w:lang w:val="es-CR"/>
        </w:rPr>
        <w:t>n</w:t>
      </w:r>
      <w:r w:rsidRPr="009C5D55">
        <w:rPr>
          <w:rFonts w:ascii="Verdana" w:eastAsia="Verdana" w:hAnsi="Verdana" w:cs="Verdana"/>
          <w:sz w:val="20"/>
          <w:szCs w:val="20"/>
          <w:lang w:val="es-CR"/>
        </w:rPr>
        <w:t>o</w:t>
      </w:r>
      <w:r w:rsidRPr="009C5D55">
        <w:rPr>
          <w:rFonts w:ascii="Verdana" w:eastAsia="Verdana" w:hAnsi="Verdana" w:cs="Verdana"/>
          <w:spacing w:val="10"/>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w:t>
      </w:r>
      <w:r w:rsidRPr="009C5D55">
        <w:rPr>
          <w:rFonts w:ascii="Verdana" w:eastAsia="Verdana" w:hAnsi="Verdana" w:cs="Verdana"/>
          <w:spacing w:val="8"/>
          <w:sz w:val="20"/>
          <w:szCs w:val="20"/>
          <w:lang w:val="es-CR"/>
        </w:rPr>
        <w:t xml:space="preserve"> </w:t>
      </w:r>
      <w:r w:rsidRPr="009C5D55">
        <w:rPr>
          <w:rFonts w:ascii="Verdana" w:eastAsia="Verdana" w:hAnsi="Verdana" w:cs="Verdana"/>
          <w:sz w:val="20"/>
          <w:szCs w:val="20"/>
          <w:lang w:val="es-CR"/>
        </w:rPr>
        <w:t>suf</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i</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nt</w:t>
      </w:r>
      <w:r w:rsidRPr="009C5D55">
        <w:rPr>
          <w:rFonts w:ascii="Verdana" w:eastAsia="Verdana" w:hAnsi="Verdana" w:cs="Verdana"/>
          <w:sz w:val="20"/>
          <w:szCs w:val="20"/>
          <w:lang w:val="es-CR"/>
        </w:rPr>
        <w:t xml:space="preserve">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w:t>
      </w:r>
      <w:r w:rsidRPr="009C5D55">
        <w:rPr>
          <w:rFonts w:ascii="Verdana" w:eastAsia="Verdana" w:hAnsi="Verdana" w:cs="Verdana"/>
          <w:spacing w:val="9"/>
          <w:sz w:val="20"/>
          <w:szCs w:val="20"/>
          <w:lang w:val="es-CR"/>
        </w:rPr>
        <w:t xml:space="preserve"> </w:t>
      </w:r>
      <w:r w:rsidRPr="009C5D55">
        <w:rPr>
          <w:rFonts w:ascii="Verdana" w:eastAsia="Verdana" w:hAnsi="Verdana" w:cs="Verdana"/>
          <w:spacing w:val="-1"/>
          <w:sz w:val="20"/>
          <w:szCs w:val="20"/>
          <w:lang w:val="es-CR"/>
        </w:rPr>
        <w:t>re</w:t>
      </w:r>
      <w:r w:rsidRPr="009C5D55">
        <w:rPr>
          <w:rFonts w:ascii="Verdana" w:eastAsia="Verdana" w:hAnsi="Verdana" w:cs="Verdana"/>
          <w:sz w:val="20"/>
          <w:szCs w:val="20"/>
          <w:lang w:val="es-CR"/>
        </w:rPr>
        <w:t>m</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i</w:t>
      </w:r>
      <w:r w:rsidRPr="009C5D55">
        <w:rPr>
          <w:rFonts w:ascii="Verdana" w:eastAsia="Verdana" w:hAnsi="Verdana" w:cs="Verdana"/>
          <w:spacing w:val="-1"/>
          <w:sz w:val="20"/>
          <w:szCs w:val="20"/>
          <w:lang w:val="es-CR"/>
        </w:rPr>
        <w:t>ó</w:t>
      </w:r>
      <w:r w:rsidRPr="009C5D55">
        <w:rPr>
          <w:rFonts w:ascii="Verdana" w:eastAsia="Verdana" w:hAnsi="Verdana" w:cs="Verdana"/>
          <w:sz w:val="20"/>
          <w:szCs w:val="20"/>
          <w:lang w:val="es-CR"/>
        </w:rPr>
        <w:t>n</w:t>
      </w:r>
      <w:r w:rsidRPr="009C5D55">
        <w:rPr>
          <w:rFonts w:ascii="Verdana" w:eastAsia="Verdana" w:hAnsi="Verdana" w:cs="Verdana"/>
          <w:spacing w:val="3"/>
          <w:sz w:val="20"/>
          <w:szCs w:val="20"/>
          <w:lang w:val="es-CR"/>
        </w:rPr>
        <w:t xml:space="preserve"> </w:t>
      </w:r>
      <w:r w:rsidRPr="009C5D55">
        <w:rPr>
          <w:rFonts w:ascii="Verdana" w:eastAsia="Verdana" w:hAnsi="Verdana" w:cs="Verdana"/>
          <w:spacing w:val="1"/>
          <w:sz w:val="20"/>
          <w:szCs w:val="20"/>
          <w:lang w:val="es-CR"/>
        </w:rPr>
        <w:t>d</w:t>
      </w:r>
      <w:r w:rsidRPr="009C5D55">
        <w:rPr>
          <w:rFonts w:ascii="Verdana" w:eastAsia="Verdana" w:hAnsi="Verdana" w:cs="Verdana"/>
          <w:sz w:val="20"/>
          <w:szCs w:val="20"/>
          <w:lang w:val="es-CR"/>
        </w:rPr>
        <w:t>e</w:t>
      </w:r>
      <w:r w:rsidRPr="009C5D55">
        <w:rPr>
          <w:rFonts w:ascii="Verdana" w:eastAsia="Verdana" w:hAnsi="Verdana" w:cs="Verdana"/>
          <w:spacing w:val="8"/>
          <w:sz w:val="20"/>
          <w:szCs w:val="20"/>
          <w:lang w:val="es-CR"/>
        </w:rPr>
        <w:t xml:space="preserve"> </w:t>
      </w:r>
      <w:r w:rsidRPr="009C5D55">
        <w:rPr>
          <w:rFonts w:ascii="Verdana" w:eastAsia="Verdana" w:hAnsi="Verdana" w:cs="Verdana"/>
          <w:spacing w:val="1"/>
          <w:sz w:val="20"/>
          <w:szCs w:val="20"/>
          <w:lang w:val="es-CR"/>
        </w:rPr>
        <w:t>d</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cu</w:t>
      </w:r>
      <w:r w:rsidRPr="009C5D55">
        <w:rPr>
          <w:rFonts w:ascii="Verdana" w:eastAsia="Verdana" w:hAnsi="Verdana" w:cs="Verdana"/>
          <w:spacing w:val="3"/>
          <w:sz w:val="20"/>
          <w:szCs w:val="20"/>
          <w:lang w:val="es-CR"/>
        </w:rPr>
        <w:t>m</w:t>
      </w:r>
      <w:r w:rsidRPr="009C5D55">
        <w:rPr>
          <w:rFonts w:ascii="Verdana" w:eastAsia="Verdana" w:hAnsi="Verdana" w:cs="Verdana"/>
          <w:spacing w:val="1"/>
          <w:sz w:val="20"/>
          <w:szCs w:val="20"/>
          <w:lang w:val="es-CR"/>
        </w:rPr>
        <w:t>ent</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 xml:space="preserve"> </w:t>
      </w:r>
      <w:r w:rsidRPr="009C5D55">
        <w:rPr>
          <w:rFonts w:ascii="Verdana" w:eastAsia="Verdana" w:hAnsi="Verdana" w:cs="Verdana"/>
          <w:spacing w:val="1"/>
          <w:sz w:val="20"/>
          <w:szCs w:val="20"/>
          <w:lang w:val="es-CR"/>
        </w:rPr>
        <w:t>pr</w:t>
      </w:r>
      <w:r w:rsidRPr="009C5D55">
        <w:rPr>
          <w:rFonts w:ascii="Verdana" w:eastAsia="Verdana" w:hAnsi="Verdana" w:cs="Verdana"/>
          <w:spacing w:val="-1"/>
          <w:sz w:val="20"/>
          <w:szCs w:val="20"/>
          <w:lang w:val="es-CR"/>
        </w:rPr>
        <w:t>o</w:t>
      </w:r>
      <w:r w:rsidRPr="009C5D55">
        <w:rPr>
          <w:rFonts w:ascii="Verdana" w:eastAsia="Verdana" w:hAnsi="Verdana" w:cs="Verdana"/>
          <w:spacing w:val="1"/>
          <w:sz w:val="20"/>
          <w:szCs w:val="20"/>
          <w:lang w:val="es-CR"/>
        </w:rPr>
        <w:t>b</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to</w:t>
      </w:r>
      <w:r w:rsidRPr="009C5D55">
        <w:rPr>
          <w:rFonts w:ascii="Verdana" w:eastAsia="Verdana" w:hAnsi="Verdana" w:cs="Verdana"/>
          <w:spacing w:val="-1"/>
          <w:sz w:val="20"/>
          <w:szCs w:val="20"/>
          <w:lang w:val="es-CR"/>
        </w:rPr>
        <w:t>r</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s,</w:t>
      </w:r>
      <w:r w:rsidRPr="009C5D55">
        <w:rPr>
          <w:rFonts w:ascii="Verdana" w:eastAsia="Verdana" w:hAnsi="Verdana" w:cs="Verdana"/>
          <w:spacing w:val="1"/>
          <w:sz w:val="20"/>
          <w:szCs w:val="20"/>
          <w:lang w:val="es-CR"/>
        </w:rPr>
        <w:t xml:space="preserve"> </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i</w:t>
      </w:r>
      <w:r w:rsidRPr="009C5D55">
        <w:rPr>
          <w:rFonts w:ascii="Verdana" w:eastAsia="Verdana" w:hAnsi="Verdana" w:cs="Verdana"/>
          <w:spacing w:val="1"/>
          <w:sz w:val="20"/>
          <w:szCs w:val="20"/>
          <w:lang w:val="es-CR"/>
        </w:rPr>
        <w:t>n</w:t>
      </w:r>
      <w:r w:rsidRPr="009C5D55">
        <w:rPr>
          <w:rFonts w:ascii="Verdana" w:eastAsia="Verdana" w:hAnsi="Verdana" w:cs="Verdana"/>
          <w:sz w:val="20"/>
          <w:szCs w:val="20"/>
          <w:lang w:val="es-CR"/>
        </w:rPr>
        <w:t>o</w:t>
      </w:r>
      <w:r w:rsidRPr="009C5D55">
        <w:rPr>
          <w:rFonts w:ascii="Verdana" w:eastAsia="Verdana" w:hAnsi="Verdana" w:cs="Verdana"/>
          <w:spacing w:val="6"/>
          <w:sz w:val="20"/>
          <w:szCs w:val="20"/>
          <w:lang w:val="es-CR"/>
        </w:rPr>
        <w:t xml:space="preserve"> </w:t>
      </w:r>
      <w:r w:rsidRPr="009C5D55">
        <w:rPr>
          <w:rFonts w:ascii="Verdana" w:eastAsia="Verdana" w:hAnsi="Verdana" w:cs="Verdana"/>
          <w:spacing w:val="1"/>
          <w:sz w:val="20"/>
          <w:szCs w:val="20"/>
          <w:lang w:val="es-CR"/>
        </w:rPr>
        <w:t>qu</w:t>
      </w:r>
      <w:r w:rsidRPr="009C5D55">
        <w:rPr>
          <w:rFonts w:ascii="Verdana" w:eastAsia="Verdana" w:hAnsi="Verdana" w:cs="Verdana"/>
          <w:sz w:val="20"/>
          <w:szCs w:val="20"/>
          <w:lang w:val="es-CR"/>
        </w:rPr>
        <w:t>e</w:t>
      </w:r>
      <w:r w:rsidRPr="009C5D55">
        <w:rPr>
          <w:rFonts w:ascii="Verdana" w:eastAsia="Verdana" w:hAnsi="Verdana" w:cs="Verdana"/>
          <w:spacing w:val="6"/>
          <w:sz w:val="20"/>
          <w:szCs w:val="20"/>
          <w:lang w:val="es-CR"/>
        </w:rPr>
        <w:t xml:space="preserve"> </w:t>
      </w:r>
      <w:r w:rsidRPr="009C5D55">
        <w:rPr>
          <w:rFonts w:ascii="Verdana" w:eastAsia="Verdana" w:hAnsi="Verdana" w:cs="Verdana"/>
          <w:spacing w:val="2"/>
          <w:sz w:val="20"/>
          <w:szCs w:val="20"/>
          <w:lang w:val="es-CR"/>
        </w:rPr>
        <w:t>s</w:t>
      </w:r>
      <w:r w:rsidRPr="009C5D55">
        <w:rPr>
          <w:rFonts w:ascii="Verdana" w:eastAsia="Verdana" w:hAnsi="Verdana" w:cs="Verdana"/>
          <w:sz w:val="20"/>
          <w:szCs w:val="20"/>
          <w:lang w:val="es-CR"/>
        </w:rPr>
        <w:t xml:space="preserve">e </w:t>
      </w:r>
      <w:r w:rsidRPr="009C5D55">
        <w:rPr>
          <w:rFonts w:ascii="Verdana" w:eastAsia="Verdana" w:hAnsi="Verdana" w:cs="Verdana"/>
          <w:spacing w:val="-1"/>
          <w:sz w:val="20"/>
          <w:szCs w:val="20"/>
          <w:lang w:val="es-CR"/>
        </w:rPr>
        <w:t>re</w:t>
      </w:r>
      <w:r w:rsidRPr="009C5D55">
        <w:rPr>
          <w:rFonts w:ascii="Verdana" w:eastAsia="Verdana" w:hAnsi="Verdana" w:cs="Verdana"/>
          <w:spacing w:val="1"/>
          <w:sz w:val="20"/>
          <w:szCs w:val="20"/>
          <w:lang w:val="es-CR"/>
        </w:rPr>
        <w:t>qu</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r</w:t>
      </w:r>
      <w:r w:rsidRPr="009C5D55">
        <w:rPr>
          <w:rFonts w:ascii="Verdana" w:eastAsia="Verdana" w:hAnsi="Verdana" w:cs="Verdana"/>
          <w:sz w:val="20"/>
          <w:szCs w:val="20"/>
          <w:lang w:val="es-CR"/>
        </w:rPr>
        <w:t>e</w:t>
      </w:r>
      <w:r w:rsidRPr="009C5D55">
        <w:rPr>
          <w:rFonts w:ascii="Verdana" w:eastAsia="Verdana" w:hAnsi="Verdana" w:cs="Verdana"/>
          <w:spacing w:val="33"/>
          <w:sz w:val="20"/>
          <w:szCs w:val="20"/>
          <w:lang w:val="es-CR"/>
        </w:rPr>
        <w:t xml:space="preserve"> </w:t>
      </w:r>
      <w:r w:rsidRPr="009C5D55">
        <w:rPr>
          <w:rFonts w:ascii="Verdana" w:eastAsia="Verdana" w:hAnsi="Verdana" w:cs="Verdana"/>
          <w:spacing w:val="1"/>
          <w:sz w:val="20"/>
          <w:szCs w:val="20"/>
          <w:lang w:val="es-CR"/>
        </w:rPr>
        <w:t>qu</w:t>
      </w:r>
      <w:r w:rsidRPr="009C5D55">
        <w:rPr>
          <w:rFonts w:ascii="Verdana" w:eastAsia="Verdana" w:hAnsi="Verdana" w:cs="Verdana"/>
          <w:sz w:val="20"/>
          <w:szCs w:val="20"/>
          <w:lang w:val="es-CR"/>
        </w:rPr>
        <w:t>e</w:t>
      </w:r>
      <w:r w:rsidRPr="009C5D55">
        <w:rPr>
          <w:rFonts w:ascii="Verdana" w:eastAsia="Verdana" w:hAnsi="Verdana" w:cs="Verdana"/>
          <w:spacing w:val="38"/>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as</w:t>
      </w:r>
      <w:r w:rsidRPr="009C5D55">
        <w:rPr>
          <w:rFonts w:ascii="Verdana" w:eastAsia="Verdana" w:hAnsi="Verdana" w:cs="Verdana"/>
          <w:spacing w:val="40"/>
          <w:sz w:val="20"/>
          <w:szCs w:val="20"/>
          <w:lang w:val="es-CR"/>
        </w:rPr>
        <w:t xml:space="preserve"> </w:t>
      </w:r>
      <w:r w:rsidRPr="009C5D55">
        <w:rPr>
          <w:rFonts w:ascii="Verdana" w:eastAsia="Verdana" w:hAnsi="Verdana" w:cs="Verdana"/>
          <w:spacing w:val="1"/>
          <w:sz w:val="20"/>
          <w:szCs w:val="20"/>
          <w:lang w:val="es-CR"/>
        </w:rPr>
        <w:t>p</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te</w:t>
      </w:r>
      <w:r w:rsidRPr="009C5D55">
        <w:rPr>
          <w:rFonts w:ascii="Verdana" w:eastAsia="Verdana" w:hAnsi="Verdana" w:cs="Verdana"/>
          <w:sz w:val="20"/>
          <w:szCs w:val="20"/>
          <w:lang w:val="es-CR"/>
        </w:rPr>
        <w:t>s</w:t>
      </w:r>
      <w:r w:rsidRPr="009C5D55">
        <w:rPr>
          <w:rFonts w:ascii="Verdana" w:eastAsia="Verdana" w:hAnsi="Verdana" w:cs="Verdana"/>
          <w:spacing w:val="37"/>
          <w:sz w:val="20"/>
          <w:szCs w:val="20"/>
          <w:lang w:val="es-CR"/>
        </w:rPr>
        <w:t xml:space="preserve"> </w:t>
      </w:r>
      <w:r w:rsidRPr="009C5D55">
        <w:rPr>
          <w:rFonts w:ascii="Verdana" w:eastAsia="Verdana" w:hAnsi="Verdana" w:cs="Verdana"/>
          <w:spacing w:val="1"/>
          <w:sz w:val="20"/>
          <w:szCs w:val="20"/>
          <w:lang w:val="es-CR"/>
        </w:rPr>
        <w:t>h</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g</w:t>
      </w:r>
      <w:r w:rsidRPr="009C5D55">
        <w:rPr>
          <w:rFonts w:ascii="Verdana" w:eastAsia="Verdana" w:hAnsi="Verdana" w:cs="Verdana"/>
          <w:sz w:val="20"/>
          <w:szCs w:val="20"/>
          <w:lang w:val="es-CR"/>
        </w:rPr>
        <w:t>an</w:t>
      </w:r>
      <w:r w:rsidRPr="009C5D55">
        <w:rPr>
          <w:rFonts w:ascii="Verdana" w:eastAsia="Verdana" w:hAnsi="Verdana" w:cs="Verdana"/>
          <w:spacing w:val="37"/>
          <w:sz w:val="20"/>
          <w:szCs w:val="20"/>
          <w:lang w:val="es-CR"/>
        </w:rPr>
        <w:t xml:space="preserve"> </w:t>
      </w:r>
      <w:r w:rsidRPr="009C5D55">
        <w:rPr>
          <w:rFonts w:ascii="Verdana" w:eastAsia="Verdana" w:hAnsi="Verdana" w:cs="Verdana"/>
          <w:spacing w:val="1"/>
          <w:sz w:val="20"/>
          <w:szCs w:val="20"/>
          <w:lang w:val="es-CR"/>
        </w:rPr>
        <w:t>un</w:t>
      </w:r>
      <w:r w:rsidRPr="009C5D55">
        <w:rPr>
          <w:rFonts w:ascii="Verdana" w:eastAsia="Verdana" w:hAnsi="Verdana" w:cs="Verdana"/>
          <w:sz w:val="20"/>
          <w:szCs w:val="20"/>
          <w:lang w:val="es-CR"/>
        </w:rPr>
        <w:t>a</w:t>
      </w:r>
      <w:r w:rsidRPr="009C5D55">
        <w:rPr>
          <w:rFonts w:ascii="Verdana" w:eastAsia="Verdana" w:hAnsi="Verdana" w:cs="Verdana"/>
          <w:spacing w:val="39"/>
          <w:sz w:val="20"/>
          <w:szCs w:val="20"/>
          <w:lang w:val="es-CR"/>
        </w:rPr>
        <w:t xml:space="preserve"> </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gu</w:t>
      </w:r>
      <w:r w:rsidRPr="009C5D55">
        <w:rPr>
          <w:rFonts w:ascii="Verdana" w:eastAsia="Verdana" w:hAnsi="Verdana" w:cs="Verdana"/>
          <w:sz w:val="20"/>
          <w:szCs w:val="20"/>
          <w:lang w:val="es-CR"/>
        </w:rPr>
        <w:t>men</w:t>
      </w:r>
      <w:r w:rsidRPr="009C5D55">
        <w:rPr>
          <w:rFonts w:ascii="Verdana" w:eastAsia="Verdana" w:hAnsi="Verdana" w:cs="Verdana"/>
          <w:spacing w:val="1"/>
          <w:sz w:val="20"/>
          <w:szCs w:val="20"/>
          <w:lang w:val="es-CR"/>
        </w:rPr>
        <w:t>t</w:t>
      </w:r>
      <w:r w:rsidRPr="009C5D55">
        <w:rPr>
          <w:rFonts w:ascii="Verdana" w:eastAsia="Verdana" w:hAnsi="Verdana" w:cs="Verdana"/>
          <w:spacing w:val="6"/>
          <w:sz w:val="20"/>
          <w:szCs w:val="20"/>
          <w:lang w:val="es-CR"/>
        </w:rPr>
        <w:t>a</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i</w:t>
      </w:r>
      <w:r w:rsidRPr="009C5D55">
        <w:rPr>
          <w:rFonts w:ascii="Verdana" w:eastAsia="Verdana" w:hAnsi="Verdana" w:cs="Verdana"/>
          <w:spacing w:val="-1"/>
          <w:sz w:val="20"/>
          <w:szCs w:val="20"/>
          <w:lang w:val="es-CR"/>
        </w:rPr>
        <w:t>ó</w:t>
      </w:r>
      <w:r w:rsidRPr="009C5D55">
        <w:rPr>
          <w:rFonts w:ascii="Verdana" w:eastAsia="Verdana" w:hAnsi="Verdana" w:cs="Verdana"/>
          <w:sz w:val="20"/>
          <w:szCs w:val="20"/>
          <w:lang w:val="es-CR"/>
        </w:rPr>
        <w:t>n</w:t>
      </w:r>
      <w:r w:rsidRPr="009C5D55">
        <w:rPr>
          <w:rFonts w:ascii="Verdana" w:eastAsia="Verdana" w:hAnsi="Verdana" w:cs="Verdana"/>
          <w:spacing w:val="28"/>
          <w:sz w:val="20"/>
          <w:szCs w:val="20"/>
          <w:lang w:val="es-CR"/>
        </w:rPr>
        <w:t xml:space="preserve"> </w:t>
      </w:r>
      <w:r w:rsidRPr="009C5D55">
        <w:rPr>
          <w:rFonts w:ascii="Verdana" w:eastAsia="Verdana" w:hAnsi="Verdana" w:cs="Verdana"/>
          <w:spacing w:val="1"/>
          <w:sz w:val="20"/>
          <w:szCs w:val="20"/>
          <w:lang w:val="es-CR"/>
        </w:rPr>
        <w:t>qu</w:t>
      </w:r>
      <w:r w:rsidRPr="009C5D55">
        <w:rPr>
          <w:rFonts w:ascii="Verdana" w:eastAsia="Verdana" w:hAnsi="Verdana" w:cs="Verdana"/>
          <w:sz w:val="20"/>
          <w:szCs w:val="20"/>
          <w:lang w:val="es-CR"/>
        </w:rPr>
        <w:t>e</w:t>
      </w:r>
      <w:r w:rsidRPr="009C5D55">
        <w:rPr>
          <w:rFonts w:ascii="Verdana" w:eastAsia="Verdana" w:hAnsi="Verdana" w:cs="Verdana"/>
          <w:spacing w:val="38"/>
          <w:sz w:val="20"/>
          <w:szCs w:val="20"/>
          <w:lang w:val="es-CR"/>
        </w:rPr>
        <w:t xml:space="preserve"> </w:t>
      </w:r>
      <w:r w:rsidRPr="009C5D55">
        <w:rPr>
          <w:rFonts w:ascii="Verdana" w:eastAsia="Verdana" w:hAnsi="Verdana" w:cs="Verdana"/>
          <w:spacing w:val="-1"/>
          <w:sz w:val="20"/>
          <w:szCs w:val="20"/>
          <w:lang w:val="es-CR"/>
        </w:rPr>
        <w:t>re</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ac</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o</w:t>
      </w:r>
      <w:r w:rsidRPr="009C5D55">
        <w:rPr>
          <w:rFonts w:ascii="Verdana" w:eastAsia="Verdana" w:hAnsi="Verdana" w:cs="Verdana"/>
          <w:spacing w:val="1"/>
          <w:sz w:val="20"/>
          <w:szCs w:val="20"/>
          <w:lang w:val="es-CR"/>
        </w:rPr>
        <w:t>n</w:t>
      </w:r>
      <w:r w:rsidRPr="009C5D55">
        <w:rPr>
          <w:rFonts w:ascii="Verdana" w:eastAsia="Verdana" w:hAnsi="Verdana" w:cs="Verdana"/>
          <w:sz w:val="20"/>
          <w:szCs w:val="20"/>
          <w:lang w:val="es-CR"/>
        </w:rPr>
        <w:t>e</w:t>
      </w:r>
      <w:r w:rsidRPr="009C5D55">
        <w:rPr>
          <w:rFonts w:ascii="Verdana" w:eastAsia="Verdana" w:hAnsi="Verdana" w:cs="Verdana"/>
          <w:spacing w:val="32"/>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w:t>
      </w:r>
      <w:r w:rsidRPr="009C5D55">
        <w:rPr>
          <w:rFonts w:ascii="Verdana" w:eastAsia="Verdana" w:hAnsi="Verdana" w:cs="Verdana"/>
          <w:spacing w:val="41"/>
          <w:sz w:val="20"/>
          <w:szCs w:val="20"/>
          <w:lang w:val="es-CR"/>
        </w:rPr>
        <w:t xml:space="preserve"> </w:t>
      </w:r>
      <w:r w:rsidRPr="009C5D55">
        <w:rPr>
          <w:rFonts w:ascii="Verdana" w:eastAsia="Verdana" w:hAnsi="Verdana" w:cs="Verdana"/>
          <w:spacing w:val="-2"/>
          <w:sz w:val="20"/>
          <w:szCs w:val="20"/>
          <w:lang w:val="es-CR"/>
        </w:rPr>
        <w:t>p</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u</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b</w:t>
      </w:r>
      <w:r w:rsidRPr="009C5D55">
        <w:rPr>
          <w:rFonts w:ascii="Verdana" w:eastAsia="Verdana" w:hAnsi="Verdana" w:cs="Verdana"/>
          <w:sz w:val="20"/>
          <w:szCs w:val="20"/>
          <w:lang w:val="es-CR"/>
        </w:rPr>
        <w:t>a</w:t>
      </w:r>
      <w:r w:rsidRPr="009C5D55">
        <w:rPr>
          <w:rFonts w:ascii="Verdana" w:eastAsia="Verdana" w:hAnsi="Verdana" w:cs="Verdana"/>
          <w:spacing w:val="35"/>
          <w:sz w:val="20"/>
          <w:szCs w:val="20"/>
          <w:lang w:val="es-CR"/>
        </w:rPr>
        <w:t xml:space="preserve"> </w:t>
      </w:r>
      <w:r w:rsidRPr="009C5D55">
        <w:rPr>
          <w:rFonts w:ascii="Verdana" w:eastAsia="Verdana" w:hAnsi="Verdana" w:cs="Verdana"/>
          <w:spacing w:val="2"/>
          <w:sz w:val="20"/>
          <w:szCs w:val="20"/>
          <w:lang w:val="es-CR"/>
        </w:rPr>
        <w:t>c</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n</w:t>
      </w:r>
      <w:r w:rsidRPr="009C5D55">
        <w:rPr>
          <w:rFonts w:ascii="Verdana" w:eastAsia="Verdana" w:hAnsi="Verdana" w:cs="Verdana"/>
          <w:spacing w:val="40"/>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l</w:t>
      </w:r>
      <w:r w:rsidRPr="009C5D55">
        <w:rPr>
          <w:rFonts w:ascii="Verdana" w:eastAsia="Verdana" w:hAnsi="Verdana" w:cs="Verdana"/>
          <w:spacing w:val="43"/>
          <w:sz w:val="20"/>
          <w:szCs w:val="20"/>
          <w:lang w:val="es-CR"/>
        </w:rPr>
        <w:t xml:space="preserve"> </w:t>
      </w:r>
      <w:r w:rsidRPr="009C5D55">
        <w:rPr>
          <w:rFonts w:ascii="Verdana" w:eastAsia="Verdana" w:hAnsi="Verdana" w:cs="Verdana"/>
          <w:spacing w:val="1"/>
          <w:sz w:val="20"/>
          <w:szCs w:val="20"/>
          <w:lang w:val="es-CR"/>
        </w:rPr>
        <w:t>h</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cho</w:t>
      </w:r>
      <w:r w:rsidRPr="009C5D55">
        <w:rPr>
          <w:rFonts w:ascii="Verdana" w:eastAsia="Verdana" w:hAnsi="Verdana" w:cs="Verdana"/>
          <w:spacing w:val="35"/>
          <w:sz w:val="20"/>
          <w:szCs w:val="20"/>
          <w:lang w:val="es-CR"/>
        </w:rPr>
        <w:t xml:space="preserve"> </w:t>
      </w:r>
      <w:r w:rsidRPr="009C5D55">
        <w:rPr>
          <w:rFonts w:ascii="Verdana" w:eastAsia="Verdana" w:hAnsi="Verdana" w:cs="Verdana"/>
          <w:spacing w:val="1"/>
          <w:sz w:val="20"/>
          <w:szCs w:val="20"/>
          <w:lang w:val="es-CR"/>
        </w:rPr>
        <w:t>q</w:t>
      </w:r>
      <w:r w:rsidRPr="009C5D55">
        <w:rPr>
          <w:rFonts w:ascii="Verdana" w:eastAsia="Verdana" w:hAnsi="Verdana" w:cs="Verdana"/>
          <w:spacing w:val="3"/>
          <w:sz w:val="20"/>
          <w:szCs w:val="20"/>
          <w:lang w:val="es-CR"/>
        </w:rPr>
        <w:t>u</w:t>
      </w:r>
      <w:r w:rsidRPr="009C5D55">
        <w:rPr>
          <w:rFonts w:ascii="Verdana" w:eastAsia="Verdana" w:hAnsi="Verdana" w:cs="Verdana"/>
          <w:sz w:val="20"/>
          <w:szCs w:val="20"/>
          <w:lang w:val="es-CR"/>
        </w:rPr>
        <w:t>e</w:t>
      </w:r>
      <w:r w:rsidRPr="009C5D55">
        <w:rPr>
          <w:rFonts w:ascii="Verdana" w:eastAsia="Verdana" w:hAnsi="Verdana" w:cs="Verdana"/>
          <w:spacing w:val="38"/>
          <w:sz w:val="20"/>
          <w:szCs w:val="20"/>
          <w:lang w:val="es-CR"/>
        </w:rPr>
        <w:t xml:space="preserve"> </w:t>
      </w:r>
      <w:r w:rsidRPr="009C5D55">
        <w:rPr>
          <w:rFonts w:ascii="Verdana" w:eastAsia="Verdana" w:hAnsi="Verdana" w:cs="Verdana"/>
          <w:spacing w:val="2"/>
          <w:sz w:val="20"/>
          <w:szCs w:val="20"/>
          <w:lang w:val="es-CR"/>
        </w:rPr>
        <w:t>s</w:t>
      </w:r>
      <w:r w:rsidRPr="009C5D55">
        <w:rPr>
          <w:rFonts w:ascii="Verdana" w:eastAsia="Verdana" w:hAnsi="Verdana" w:cs="Verdana"/>
          <w:sz w:val="20"/>
          <w:szCs w:val="20"/>
          <w:lang w:val="es-CR"/>
        </w:rPr>
        <w:t>e c</w:t>
      </w:r>
      <w:r w:rsidRPr="009C5D55">
        <w:rPr>
          <w:rFonts w:ascii="Verdana" w:eastAsia="Verdana" w:hAnsi="Verdana" w:cs="Verdana"/>
          <w:spacing w:val="-2"/>
          <w:sz w:val="20"/>
          <w:szCs w:val="20"/>
          <w:lang w:val="es-CR"/>
        </w:rPr>
        <w:t>o</w:t>
      </w:r>
      <w:r w:rsidRPr="009C5D55">
        <w:rPr>
          <w:rFonts w:ascii="Verdana" w:eastAsia="Verdana" w:hAnsi="Verdana" w:cs="Verdana"/>
          <w:spacing w:val="1"/>
          <w:sz w:val="20"/>
          <w:szCs w:val="20"/>
          <w:lang w:val="es-CR"/>
        </w:rPr>
        <w:t>n</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i</w:t>
      </w:r>
      <w:r w:rsidRPr="009C5D55">
        <w:rPr>
          <w:rFonts w:ascii="Verdana" w:eastAsia="Verdana" w:hAnsi="Verdana" w:cs="Verdana"/>
          <w:spacing w:val="1"/>
          <w:sz w:val="20"/>
          <w:szCs w:val="20"/>
          <w:lang w:val="es-CR"/>
        </w:rPr>
        <w:t>d</w:t>
      </w:r>
      <w:r w:rsidRPr="009C5D55">
        <w:rPr>
          <w:rFonts w:ascii="Verdana" w:eastAsia="Verdana" w:hAnsi="Verdana" w:cs="Verdana"/>
          <w:spacing w:val="-1"/>
          <w:sz w:val="20"/>
          <w:szCs w:val="20"/>
          <w:lang w:val="es-CR"/>
        </w:rPr>
        <w:t>er</w:t>
      </w:r>
      <w:r w:rsidRPr="009C5D55">
        <w:rPr>
          <w:rFonts w:ascii="Verdana" w:eastAsia="Verdana" w:hAnsi="Verdana" w:cs="Verdana"/>
          <w:sz w:val="20"/>
          <w:szCs w:val="20"/>
          <w:lang w:val="es-CR"/>
        </w:rPr>
        <w:t>a</w:t>
      </w:r>
      <w:r w:rsidRPr="009C5D55">
        <w:rPr>
          <w:rFonts w:ascii="Verdana" w:eastAsia="Verdana" w:hAnsi="Verdana" w:cs="Verdana"/>
          <w:spacing w:val="-6"/>
          <w:sz w:val="20"/>
          <w:szCs w:val="20"/>
          <w:lang w:val="es-CR"/>
        </w:rPr>
        <w:t xml:space="preserve"> </w:t>
      </w:r>
      <w:r w:rsidRPr="009C5D55">
        <w:rPr>
          <w:rFonts w:ascii="Verdana" w:eastAsia="Verdana" w:hAnsi="Verdana" w:cs="Verdana"/>
          <w:spacing w:val="-1"/>
          <w:sz w:val="20"/>
          <w:szCs w:val="20"/>
          <w:lang w:val="es-CR"/>
        </w:rPr>
        <w:t>re</w:t>
      </w:r>
      <w:r w:rsidRPr="009C5D55">
        <w:rPr>
          <w:rFonts w:ascii="Verdana" w:eastAsia="Verdana" w:hAnsi="Verdana" w:cs="Verdana"/>
          <w:spacing w:val="3"/>
          <w:sz w:val="20"/>
          <w:szCs w:val="20"/>
          <w:lang w:val="es-CR"/>
        </w:rPr>
        <w:t>p</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e</w:t>
      </w:r>
      <w:r w:rsidRPr="009C5D55">
        <w:rPr>
          <w:rFonts w:ascii="Verdana" w:eastAsia="Verdana" w:hAnsi="Verdana" w:cs="Verdana"/>
          <w:spacing w:val="1"/>
          <w:sz w:val="20"/>
          <w:szCs w:val="20"/>
          <w:lang w:val="es-CR"/>
        </w:rPr>
        <w:t>nt</w:t>
      </w:r>
      <w:r w:rsidRPr="009C5D55">
        <w:rPr>
          <w:rFonts w:ascii="Verdana" w:eastAsia="Verdana" w:hAnsi="Verdana" w:cs="Verdana"/>
          <w:sz w:val="20"/>
          <w:szCs w:val="20"/>
          <w:lang w:val="es-CR"/>
        </w:rPr>
        <w:t>a</w:t>
      </w:r>
      <w:r w:rsidRPr="009C5D55">
        <w:rPr>
          <w:rFonts w:ascii="Verdana" w:eastAsia="Verdana" w:hAnsi="Verdana" w:cs="Verdana"/>
          <w:spacing w:val="3"/>
          <w:sz w:val="20"/>
          <w:szCs w:val="20"/>
          <w:lang w:val="es-CR"/>
        </w:rPr>
        <w:t>d</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w:t>
      </w:r>
      <w:r w:rsidRPr="009C5D55">
        <w:rPr>
          <w:rFonts w:ascii="Verdana" w:eastAsia="Verdana" w:hAnsi="Verdana" w:cs="Verdana"/>
          <w:spacing w:val="-11"/>
          <w:sz w:val="20"/>
          <w:szCs w:val="20"/>
          <w:lang w:val="es-CR"/>
        </w:rPr>
        <w:t xml:space="preserve"> </w:t>
      </w:r>
      <w:r w:rsidRPr="009C5D55">
        <w:rPr>
          <w:rFonts w:ascii="Verdana" w:eastAsia="Verdana" w:hAnsi="Verdana" w:cs="Verdana"/>
          <w:sz w:val="20"/>
          <w:szCs w:val="20"/>
          <w:lang w:val="es-CR"/>
        </w:rPr>
        <w:t xml:space="preserve">y </w:t>
      </w:r>
      <w:r w:rsidRPr="009C5D55">
        <w:rPr>
          <w:rFonts w:ascii="Verdana" w:eastAsia="Verdana" w:hAnsi="Verdana" w:cs="Verdana"/>
          <w:spacing w:val="1"/>
          <w:sz w:val="20"/>
          <w:szCs w:val="20"/>
          <w:lang w:val="es-CR"/>
        </w:rPr>
        <w:t>qu</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w:t>
      </w:r>
      <w:r w:rsidRPr="009C5D55">
        <w:rPr>
          <w:rFonts w:ascii="Verdana" w:eastAsia="Verdana" w:hAnsi="Verdana" w:cs="Verdana"/>
          <w:spacing w:val="-3"/>
          <w:sz w:val="20"/>
          <w:szCs w:val="20"/>
          <w:lang w:val="es-CR"/>
        </w:rPr>
        <w:t xml:space="preserve"> </w:t>
      </w:r>
      <w:r w:rsidRPr="009C5D55">
        <w:rPr>
          <w:rFonts w:ascii="Verdana" w:eastAsia="Verdana" w:hAnsi="Verdana" w:cs="Verdana"/>
          <w:sz w:val="20"/>
          <w:szCs w:val="20"/>
          <w:lang w:val="es-CR"/>
        </w:rPr>
        <w:t>al</w:t>
      </w:r>
      <w:r w:rsidRPr="009C5D55">
        <w:rPr>
          <w:rFonts w:ascii="Verdana" w:eastAsia="Verdana" w:hAnsi="Verdana" w:cs="Verdana"/>
          <w:spacing w:val="2"/>
          <w:sz w:val="20"/>
          <w:szCs w:val="20"/>
          <w:lang w:val="es-CR"/>
        </w:rPr>
        <w:t xml:space="preserve"> </w:t>
      </w:r>
      <w:r w:rsidRPr="009C5D55">
        <w:rPr>
          <w:rFonts w:ascii="Verdana" w:eastAsia="Verdana" w:hAnsi="Verdana" w:cs="Verdana"/>
          <w:spacing w:val="1"/>
          <w:sz w:val="20"/>
          <w:szCs w:val="20"/>
          <w:lang w:val="es-CR"/>
        </w:rPr>
        <w:t>t</w:t>
      </w:r>
      <w:r w:rsidRPr="009C5D55">
        <w:rPr>
          <w:rFonts w:ascii="Verdana" w:eastAsia="Verdana" w:hAnsi="Verdana" w:cs="Verdana"/>
          <w:spacing w:val="-1"/>
          <w:sz w:val="20"/>
          <w:szCs w:val="20"/>
          <w:lang w:val="es-CR"/>
        </w:rPr>
        <w:t>r</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t</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r</w:t>
      </w:r>
      <w:r w:rsidRPr="009C5D55">
        <w:rPr>
          <w:rFonts w:ascii="Verdana" w:eastAsia="Verdana" w:hAnsi="Verdana" w:cs="Verdana"/>
          <w:sz w:val="20"/>
          <w:szCs w:val="20"/>
          <w:lang w:val="es-CR"/>
        </w:rPr>
        <w:t>se</w:t>
      </w:r>
      <w:r w:rsidRPr="009C5D55">
        <w:rPr>
          <w:rFonts w:ascii="Verdana" w:eastAsia="Verdana" w:hAnsi="Verdana" w:cs="Verdana"/>
          <w:spacing w:val="-8"/>
          <w:sz w:val="20"/>
          <w:szCs w:val="20"/>
          <w:lang w:val="es-CR"/>
        </w:rPr>
        <w:t xml:space="preserve"> </w:t>
      </w:r>
      <w:r w:rsidRPr="009C5D55">
        <w:rPr>
          <w:rFonts w:ascii="Verdana" w:eastAsia="Verdana" w:hAnsi="Verdana" w:cs="Verdana"/>
          <w:spacing w:val="1"/>
          <w:sz w:val="20"/>
          <w:szCs w:val="20"/>
          <w:lang w:val="es-CR"/>
        </w:rPr>
        <w:t>d</w:t>
      </w:r>
      <w:r w:rsidRPr="009C5D55">
        <w:rPr>
          <w:rFonts w:ascii="Verdana" w:eastAsia="Verdana" w:hAnsi="Verdana" w:cs="Verdana"/>
          <w:sz w:val="20"/>
          <w:szCs w:val="20"/>
          <w:lang w:val="es-CR"/>
        </w:rPr>
        <w:t>e</w:t>
      </w:r>
      <w:r w:rsidRPr="009C5D55">
        <w:rPr>
          <w:rFonts w:ascii="Verdana" w:eastAsia="Verdana" w:hAnsi="Verdana" w:cs="Verdana"/>
          <w:spacing w:val="-2"/>
          <w:sz w:val="20"/>
          <w:szCs w:val="20"/>
          <w:lang w:val="es-CR"/>
        </w:rPr>
        <w:t xml:space="preserve"> </w:t>
      </w:r>
      <w:r w:rsidRPr="009C5D55">
        <w:rPr>
          <w:rFonts w:ascii="Verdana" w:eastAsia="Verdana" w:hAnsi="Verdana" w:cs="Verdana"/>
          <w:sz w:val="20"/>
          <w:szCs w:val="20"/>
          <w:lang w:val="es-CR"/>
        </w:rPr>
        <w:t>a</w:t>
      </w:r>
      <w:r w:rsidRPr="009C5D55">
        <w:rPr>
          <w:rFonts w:ascii="Verdana" w:eastAsia="Verdana" w:hAnsi="Verdana" w:cs="Verdana"/>
          <w:spacing w:val="3"/>
          <w:sz w:val="20"/>
          <w:szCs w:val="20"/>
          <w:lang w:val="es-CR"/>
        </w:rPr>
        <w:t>l</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g</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do</w:t>
      </w:r>
      <w:r w:rsidRPr="009C5D55">
        <w:rPr>
          <w:rFonts w:ascii="Verdana" w:eastAsia="Verdana" w:hAnsi="Verdana" w:cs="Verdana"/>
          <w:sz w:val="20"/>
          <w:szCs w:val="20"/>
          <w:lang w:val="es-CR"/>
        </w:rPr>
        <w:t>s</w:t>
      </w:r>
      <w:r w:rsidRPr="009C5D55">
        <w:rPr>
          <w:rFonts w:ascii="Verdana" w:eastAsia="Verdana" w:hAnsi="Verdana" w:cs="Verdana"/>
          <w:spacing w:val="-8"/>
          <w:sz w:val="20"/>
          <w:szCs w:val="20"/>
          <w:lang w:val="es-CR"/>
        </w:rPr>
        <w:t xml:space="preserve"> </w:t>
      </w:r>
      <w:r w:rsidRPr="009C5D55">
        <w:rPr>
          <w:rFonts w:ascii="Verdana" w:eastAsia="Verdana" w:hAnsi="Verdana" w:cs="Verdana"/>
          <w:spacing w:val="1"/>
          <w:sz w:val="20"/>
          <w:szCs w:val="20"/>
          <w:lang w:val="es-CR"/>
        </w:rPr>
        <w:t>d</w:t>
      </w:r>
      <w:r w:rsidRPr="009C5D55">
        <w:rPr>
          <w:rFonts w:ascii="Verdana" w:eastAsia="Verdana" w:hAnsi="Verdana" w:cs="Verdana"/>
          <w:spacing w:val="-1"/>
          <w:sz w:val="20"/>
          <w:szCs w:val="20"/>
          <w:lang w:val="es-CR"/>
        </w:rPr>
        <w:t>e</w:t>
      </w:r>
      <w:r w:rsidRPr="009C5D55">
        <w:rPr>
          <w:rFonts w:ascii="Verdana" w:eastAsia="Verdana" w:hAnsi="Verdana" w:cs="Verdana"/>
          <w:spacing w:val="2"/>
          <w:sz w:val="20"/>
          <w:szCs w:val="20"/>
          <w:lang w:val="es-CR"/>
        </w:rPr>
        <w:t>s</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m</w:t>
      </w:r>
      <w:r w:rsidRPr="009C5D55">
        <w:rPr>
          <w:rFonts w:ascii="Verdana" w:eastAsia="Verdana" w:hAnsi="Verdana" w:cs="Verdana"/>
          <w:spacing w:val="3"/>
          <w:sz w:val="20"/>
          <w:szCs w:val="20"/>
          <w:lang w:val="es-CR"/>
        </w:rPr>
        <w:t>b</w:t>
      </w:r>
      <w:r w:rsidRPr="009C5D55">
        <w:rPr>
          <w:rFonts w:ascii="Verdana" w:eastAsia="Verdana" w:hAnsi="Verdana" w:cs="Verdana"/>
          <w:spacing w:val="-1"/>
          <w:sz w:val="20"/>
          <w:szCs w:val="20"/>
          <w:lang w:val="es-CR"/>
        </w:rPr>
        <w:t>o</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s</w:t>
      </w:r>
      <w:r w:rsidRPr="009C5D55">
        <w:rPr>
          <w:rFonts w:ascii="Verdana" w:eastAsia="Verdana" w:hAnsi="Verdana" w:cs="Verdana"/>
          <w:spacing w:val="-2"/>
          <w:sz w:val="20"/>
          <w:szCs w:val="20"/>
          <w:lang w:val="es-CR"/>
        </w:rPr>
        <w:t>o</w:t>
      </w:r>
      <w:r w:rsidRPr="009C5D55">
        <w:rPr>
          <w:rFonts w:ascii="Verdana" w:eastAsia="Verdana" w:hAnsi="Verdana" w:cs="Verdana"/>
          <w:sz w:val="20"/>
          <w:szCs w:val="20"/>
          <w:lang w:val="es-CR"/>
        </w:rPr>
        <w:t>s</w:t>
      </w:r>
      <w:r w:rsidRPr="009C5D55">
        <w:rPr>
          <w:rFonts w:ascii="Verdana" w:eastAsia="Verdana" w:hAnsi="Verdana" w:cs="Verdana"/>
          <w:spacing w:val="-12"/>
          <w:sz w:val="20"/>
          <w:szCs w:val="20"/>
          <w:lang w:val="es-CR"/>
        </w:rPr>
        <w:t xml:space="preserve"> </w:t>
      </w:r>
      <w:r w:rsidRPr="009C5D55">
        <w:rPr>
          <w:rFonts w:ascii="Verdana" w:eastAsia="Verdana" w:hAnsi="Verdana" w:cs="Verdana"/>
          <w:spacing w:val="1"/>
          <w:sz w:val="20"/>
          <w:szCs w:val="20"/>
          <w:lang w:val="es-CR"/>
        </w:rPr>
        <w:t>e</w:t>
      </w:r>
      <w:r w:rsidRPr="009C5D55">
        <w:rPr>
          <w:rFonts w:ascii="Verdana" w:eastAsia="Verdana" w:hAnsi="Verdana" w:cs="Verdana"/>
          <w:spacing w:val="2"/>
          <w:sz w:val="20"/>
          <w:szCs w:val="20"/>
          <w:lang w:val="es-CR"/>
        </w:rPr>
        <w:t>c</w:t>
      </w:r>
      <w:r w:rsidRPr="009C5D55">
        <w:rPr>
          <w:rFonts w:ascii="Verdana" w:eastAsia="Verdana" w:hAnsi="Verdana" w:cs="Verdana"/>
          <w:spacing w:val="-1"/>
          <w:sz w:val="20"/>
          <w:szCs w:val="20"/>
          <w:lang w:val="es-CR"/>
        </w:rPr>
        <w:t>o</w:t>
      </w:r>
      <w:r w:rsidRPr="009C5D55">
        <w:rPr>
          <w:rFonts w:ascii="Verdana" w:eastAsia="Verdana" w:hAnsi="Verdana" w:cs="Verdana"/>
          <w:spacing w:val="1"/>
          <w:sz w:val="20"/>
          <w:szCs w:val="20"/>
          <w:lang w:val="es-CR"/>
        </w:rPr>
        <w:t>n</w:t>
      </w:r>
      <w:r w:rsidRPr="009C5D55">
        <w:rPr>
          <w:rFonts w:ascii="Verdana" w:eastAsia="Verdana" w:hAnsi="Verdana" w:cs="Verdana"/>
          <w:spacing w:val="-1"/>
          <w:sz w:val="20"/>
          <w:szCs w:val="20"/>
          <w:lang w:val="es-CR"/>
        </w:rPr>
        <w:t>ó</w:t>
      </w:r>
      <w:r w:rsidRPr="009C5D55">
        <w:rPr>
          <w:rFonts w:ascii="Verdana" w:eastAsia="Verdana" w:hAnsi="Verdana" w:cs="Verdana"/>
          <w:sz w:val="20"/>
          <w:szCs w:val="20"/>
          <w:lang w:val="es-CR"/>
        </w:rPr>
        <w:t>m</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o</w:t>
      </w:r>
      <w:r w:rsidRPr="009C5D55">
        <w:rPr>
          <w:rFonts w:ascii="Verdana" w:eastAsia="Verdana" w:hAnsi="Verdana" w:cs="Verdana"/>
          <w:spacing w:val="2"/>
          <w:sz w:val="20"/>
          <w:szCs w:val="20"/>
          <w:lang w:val="es-CR"/>
        </w:rPr>
        <w:t>s</w:t>
      </w:r>
      <w:r w:rsidRPr="009C5D55">
        <w:rPr>
          <w:rFonts w:ascii="Verdana" w:eastAsia="Verdana" w:hAnsi="Verdana" w:cs="Verdana"/>
          <w:sz w:val="20"/>
          <w:szCs w:val="20"/>
          <w:lang w:val="es-CR"/>
        </w:rPr>
        <w:t>,</w:t>
      </w:r>
      <w:r w:rsidRPr="009C5D55">
        <w:rPr>
          <w:rFonts w:ascii="Verdana" w:eastAsia="Verdana" w:hAnsi="Verdana" w:cs="Verdana"/>
          <w:spacing w:val="-11"/>
          <w:sz w:val="20"/>
          <w:szCs w:val="20"/>
          <w:lang w:val="es-CR"/>
        </w:rPr>
        <w:t xml:space="preserve"> </w:t>
      </w:r>
      <w:r w:rsidRPr="009C5D55">
        <w:rPr>
          <w:rFonts w:ascii="Verdana" w:eastAsia="Verdana" w:hAnsi="Verdana" w:cs="Verdana"/>
          <w:sz w:val="20"/>
          <w:szCs w:val="20"/>
          <w:lang w:val="es-CR"/>
        </w:rPr>
        <w:t xml:space="preserve">se </w:t>
      </w:r>
      <w:r w:rsidRPr="009C5D55">
        <w:rPr>
          <w:rFonts w:ascii="Verdana" w:eastAsia="Verdana" w:hAnsi="Verdana" w:cs="Verdana"/>
          <w:spacing w:val="-1"/>
          <w:sz w:val="20"/>
          <w:szCs w:val="20"/>
          <w:lang w:val="es-CR"/>
        </w:rPr>
        <w:t>e</w:t>
      </w:r>
      <w:r w:rsidRPr="009C5D55">
        <w:rPr>
          <w:rFonts w:ascii="Verdana" w:eastAsia="Verdana" w:hAnsi="Verdana" w:cs="Verdana"/>
          <w:sz w:val="20"/>
          <w:szCs w:val="20"/>
          <w:lang w:val="es-CR"/>
        </w:rPr>
        <w:t>sta</w:t>
      </w:r>
      <w:r w:rsidRPr="009C5D55">
        <w:rPr>
          <w:rFonts w:ascii="Verdana" w:eastAsia="Verdana" w:hAnsi="Verdana" w:cs="Verdana"/>
          <w:spacing w:val="1"/>
          <w:sz w:val="20"/>
          <w:szCs w:val="20"/>
          <w:lang w:val="es-CR"/>
        </w:rPr>
        <w:t>b</w:t>
      </w:r>
      <w:r w:rsidRPr="009C5D55">
        <w:rPr>
          <w:rFonts w:ascii="Verdana" w:eastAsia="Verdana" w:hAnsi="Verdana" w:cs="Verdana"/>
          <w:spacing w:val="3"/>
          <w:sz w:val="20"/>
          <w:szCs w:val="20"/>
          <w:lang w:val="es-CR"/>
        </w:rPr>
        <w:t>l</w:t>
      </w:r>
      <w:r w:rsidRPr="009C5D55">
        <w:rPr>
          <w:rFonts w:ascii="Verdana" w:eastAsia="Verdana" w:hAnsi="Verdana" w:cs="Verdana"/>
          <w:spacing w:val="-1"/>
          <w:sz w:val="20"/>
          <w:szCs w:val="20"/>
          <w:lang w:val="es-CR"/>
        </w:rPr>
        <w:t>e</w:t>
      </w:r>
      <w:r w:rsidRPr="009C5D55">
        <w:rPr>
          <w:rFonts w:ascii="Verdana" w:eastAsia="Verdana" w:hAnsi="Verdana" w:cs="Verdana"/>
          <w:spacing w:val="1"/>
          <w:sz w:val="20"/>
          <w:szCs w:val="20"/>
          <w:lang w:val="es-CR"/>
        </w:rPr>
        <w:t>z</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a</w:t>
      </w:r>
      <w:r w:rsidRPr="009C5D55">
        <w:rPr>
          <w:rFonts w:ascii="Verdana" w:eastAsia="Verdana" w:hAnsi="Verdana" w:cs="Verdana"/>
          <w:sz w:val="20"/>
          <w:szCs w:val="20"/>
          <w:lang w:val="es-CR"/>
        </w:rPr>
        <w:t>n</w:t>
      </w:r>
      <w:r w:rsidRPr="009C5D55">
        <w:rPr>
          <w:rFonts w:ascii="Verdana" w:eastAsia="Verdana" w:hAnsi="Verdana" w:cs="Verdana"/>
          <w:spacing w:val="-10"/>
          <w:sz w:val="20"/>
          <w:szCs w:val="20"/>
          <w:lang w:val="es-CR"/>
        </w:rPr>
        <w:t xml:space="preserve"> </w:t>
      </w:r>
      <w:r w:rsidRPr="009C5D55">
        <w:rPr>
          <w:rFonts w:ascii="Verdana" w:eastAsia="Verdana" w:hAnsi="Verdana" w:cs="Verdana"/>
          <w:sz w:val="20"/>
          <w:szCs w:val="20"/>
          <w:lang w:val="es-CR"/>
        </w:rPr>
        <w:t>c</w:t>
      </w:r>
      <w:r w:rsidRPr="009C5D55">
        <w:rPr>
          <w:rFonts w:ascii="Verdana" w:eastAsia="Verdana" w:hAnsi="Verdana" w:cs="Verdana"/>
          <w:spacing w:val="-2"/>
          <w:sz w:val="20"/>
          <w:szCs w:val="20"/>
          <w:lang w:val="es-CR"/>
        </w:rPr>
        <w:t>o</w:t>
      </w:r>
      <w:r w:rsidRPr="009C5D55">
        <w:rPr>
          <w:rFonts w:ascii="Verdana" w:eastAsia="Verdana" w:hAnsi="Verdana" w:cs="Verdana"/>
          <w:sz w:val="20"/>
          <w:szCs w:val="20"/>
          <w:lang w:val="es-CR"/>
        </w:rPr>
        <w:t>n c</w:t>
      </w:r>
      <w:r w:rsidRPr="009C5D55">
        <w:rPr>
          <w:rFonts w:ascii="Verdana" w:eastAsia="Verdana" w:hAnsi="Verdana" w:cs="Verdana"/>
          <w:spacing w:val="2"/>
          <w:sz w:val="20"/>
          <w:szCs w:val="20"/>
          <w:lang w:val="es-CR"/>
        </w:rPr>
        <w:t>l</w:t>
      </w:r>
      <w:r w:rsidRPr="009C5D55">
        <w:rPr>
          <w:rFonts w:ascii="Verdana" w:eastAsia="Verdana" w:hAnsi="Verdana" w:cs="Verdana"/>
          <w:sz w:val="20"/>
          <w:szCs w:val="20"/>
          <w:lang w:val="es-CR"/>
        </w:rPr>
        <w:t>a</w:t>
      </w:r>
      <w:r w:rsidRPr="009C5D55">
        <w:rPr>
          <w:rFonts w:ascii="Verdana" w:eastAsia="Verdana" w:hAnsi="Verdana" w:cs="Verdana"/>
          <w:spacing w:val="-1"/>
          <w:sz w:val="20"/>
          <w:szCs w:val="20"/>
          <w:lang w:val="es-CR"/>
        </w:rPr>
        <w:t>r</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d</w:t>
      </w:r>
      <w:r w:rsidRPr="009C5D55">
        <w:rPr>
          <w:rFonts w:ascii="Verdana" w:eastAsia="Verdana" w:hAnsi="Verdana" w:cs="Verdana"/>
          <w:sz w:val="20"/>
          <w:szCs w:val="20"/>
          <w:lang w:val="es-CR"/>
        </w:rPr>
        <w:t>ad</w:t>
      </w:r>
      <w:r w:rsidRPr="009C5D55">
        <w:rPr>
          <w:rFonts w:ascii="Verdana" w:eastAsia="Verdana" w:hAnsi="Verdana" w:cs="Verdana"/>
          <w:spacing w:val="-10"/>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s</w:t>
      </w:r>
      <w:r w:rsidRPr="009C5D55">
        <w:rPr>
          <w:rFonts w:ascii="Verdana" w:eastAsia="Verdana" w:hAnsi="Verdana" w:cs="Verdana"/>
          <w:spacing w:val="-4"/>
          <w:sz w:val="20"/>
          <w:szCs w:val="20"/>
          <w:lang w:val="es-CR"/>
        </w:rPr>
        <w:t xml:space="preserve"> </w:t>
      </w:r>
      <w:r w:rsidRPr="009C5D55">
        <w:rPr>
          <w:rFonts w:ascii="Verdana" w:eastAsia="Verdana" w:hAnsi="Verdana" w:cs="Verdana"/>
          <w:spacing w:val="-1"/>
          <w:sz w:val="20"/>
          <w:szCs w:val="20"/>
          <w:lang w:val="es-CR"/>
        </w:rPr>
        <w:t>r</w:t>
      </w:r>
      <w:r w:rsidRPr="009C5D55">
        <w:rPr>
          <w:rFonts w:ascii="Verdana" w:eastAsia="Verdana" w:hAnsi="Verdana" w:cs="Verdana"/>
          <w:spacing w:val="1"/>
          <w:sz w:val="20"/>
          <w:szCs w:val="20"/>
          <w:lang w:val="es-CR"/>
        </w:rPr>
        <w:t>ubr</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s</w:t>
      </w:r>
      <w:r w:rsidRPr="009C5D55">
        <w:rPr>
          <w:rFonts w:ascii="Verdana" w:eastAsia="Verdana" w:hAnsi="Verdana" w:cs="Verdana"/>
          <w:spacing w:val="-5"/>
          <w:sz w:val="20"/>
          <w:szCs w:val="20"/>
          <w:lang w:val="es-CR"/>
        </w:rPr>
        <w:t xml:space="preserve"> </w:t>
      </w:r>
      <w:r w:rsidRPr="009C5D55">
        <w:rPr>
          <w:rFonts w:ascii="Verdana" w:eastAsia="Verdana" w:hAnsi="Verdana" w:cs="Verdana"/>
          <w:sz w:val="20"/>
          <w:szCs w:val="20"/>
          <w:lang w:val="es-CR"/>
        </w:rPr>
        <w:t>y</w:t>
      </w:r>
      <w:r w:rsidRPr="009C5D55">
        <w:rPr>
          <w:rFonts w:ascii="Verdana" w:eastAsia="Verdana" w:hAnsi="Verdana" w:cs="Verdana"/>
          <w:spacing w:val="-2"/>
          <w:sz w:val="20"/>
          <w:szCs w:val="20"/>
          <w:lang w:val="es-CR"/>
        </w:rPr>
        <w:t xml:space="preserve"> </w:t>
      </w:r>
      <w:r w:rsidRPr="009C5D55">
        <w:rPr>
          <w:rFonts w:ascii="Verdana" w:eastAsia="Verdana" w:hAnsi="Verdana" w:cs="Verdana"/>
          <w:spacing w:val="3"/>
          <w:sz w:val="20"/>
          <w:szCs w:val="20"/>
          <w:lang w:val="es-CR"/>
        </w:rPr>
        <w:t>l</w:t>
      </w:r>
      <w:r w:rsidRPr="009C5D55">
        <w:rPr>
          <w:rFonts w:ascii="Verdana" w:eastAsia="Verdana" w:hAnsi="Verdana" w:cs="Verdana"/>
          <w:sz w:val="20"/>
          <w:szCs w:val="20"/>
          <w:lang w:val="es-CR"/>
        </w:rPr>
        <w:t>a</w:t>
      </w:r>
      <w:r w:rsidRPr="009C5D55">
        <w:rPr>
          <w:rFonts w:ascii="Verdana" w:eastAsia="Verdana" w:hAnsi="Verdana" w:cs="Verdana"/>
          <w:spacing w:val="-2"/>
          <w:sz w:val="20"/>
          <w:szCs w:val="20"/>
          <w:lang w:val="es-CR"/>
        </w:rPr>
        <w:t xml:space="preserve"> </w:t>
      </w:r>
      <w:r w:rsidRPr="009C5D55">
        <w:rPr>
          <w:rFonts w:ascii="Verdana" w:eastAsia="Verdana" w:hAnsi="Verdana" w:cs="Verdana"/>
          <w:spacing w:val="1"/>
          <w:sz w:val="20"/>
          <w:szCs w:val="20"/>
          <w:lang w:val="es-CR"/>
        </w:rPr>
        <w:lastRenderedPageBreak/>
        <w:t>ju</w:t>
      </w:r>
      <w:r w:rsidRPr="009C5D55">
        <w:rPr>
          <w:rFonts w:ascii="Verdana" w:eastAsia="Verdana" w:hAnsi="Verdana" w:cs="Verdana"/>
          <w:sz w:val="20"/>
          <w:szCs w:val="20"/>
          <w:lang w:val="es-CR"/>
        </w:rPr>
        <w:t>st</w:t>
      </w:r>
      <w:r w:rsidRPr="009C5D55">
        <w:rPr>
          <w:rFonts w:ascii="Verdana" w:eastAsia="Verdana" w:hAnsi="Verdana" w:cs="Verdana"/>
          <w:spacing w:val="3"/>
          <w:sz w:val="20"/>
          <w:szCs w:val="20"/>
          <w:lang w:val="es-CR"/>
        </w:rPr>
        <w:t>i</w:t>
      </w:r>
      <w:r w:rsidRPr="009C5D55">
        <w:rPr>
          <w:rFonts w:ascii="Verdana" w:eastAsia="Verdana" w:hAnsi="Verdana" w:cs="Verdana"/>
          <w:spacing w:val="-3"/>
          <w:sz w:val="20"/>
          <w:szCs w:val="20"/>
          <w:lang w:val="es-CR"/>
        </w:rPr>
        <w:t>f</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ca</w:t>
      </w:r>
      <w:r w:rsidRPr="009C5D55">
        <w:rPr>
          <w:rFonts w:ascii="Verdana" w:eastAsia="Verdana" w:hAnsi="Verdana" w:cs="Verdana"/>
          <w:spacing w:val="-1"/>
          <w:sz w:val="20"/>
          <w:szCs w:val="20"/>
          <w:lang w:val="es-CR"/>
        </w:rPr>
        <w:t>c</w:t>
      </w:r>
      <w:r w:rsidRPr="009C5D55">
        <w:rPr>
          <w:rFonts w:ascii="Verdana" w:eastAsia="Verdana" w:hAnsi="Verdana" w:cs="Verdana"/>
          <w:spacing w:val="3"/>
          <w:sz w:val="20"/>
          <w:szCs w:val="20"/>
          <w:lang w:val="es-CR"/>
        </w:rPr>
        <w:t>i</w:t>
      </w:r>
      <w:r w:rsidRPr="009C5D55">
        <w:rPr>
          <w:rFonts w:ascii="Verdana" w:eastAsia="Verdana" w:hAnsi="Verdana" w:cs="Verdana"/>
          <w:spacing w:val="-1"/>
          <w:sz w:val="20"/>
          <w:szCs w:val="20"/>
          <w:lang w:val="es-CR"/>
        </w:rPr>
        <w:t>ó</w:t>
      </w:r>
      <w:r w:rsidRPr="009C5D55">
        <w:rPr>
          <w:rFonts w:ascii="Verdana" w:eastAsia="Verdana" w:hAnsi="Verdana" w:cs="Verdana"/>
          <w:sz w:val="20"/>
          <w:szCs w:val="20"/>
          <w:lang w:val="es-CR"/>
        </w:rPr>
        <w:t>n</w:t>
      </w:r>
      <w:r w:rsidRPr="009C5D55">
        <w:rPr>
          <w:rFonts w:ascii="Verdana" w:eastAsia="Verdana" w:hAnsi="Verdana" w:cs="Verdana"/>
          <w:spacing w:val="-11"/>
          <w:sz w:val="20"/>
          <w:szCs w:val="20"/>
          <w:lang w:val="es-CR"/>
        </w:rPr>
        <w:t xml:space="preserve"> </w:t>
      </w:r>
      <w:r w:rsidRPr="009C5D55">
        <w:rPr>
          <w:rFonts w:ascii="Verdana" w:eastAsia="Verdana" w:hAnsi="Verdana" w:cs="Verdana"/>
          <w:sz w:val="20"/>
          <w:szCs w:val="20"/>
          <w:lang w:val="es-CR"/>
        </w:rPr>
        <w:t>de</w:t>
      </w:r>
      <w:r w:rsidRPr="009C5D55">
        <w:rPr>
          <w:rFonts w:ascii="Verdana" w:eastAsia="Verdana" w:hAnsi="Verdana" w:cs="Verdana"/>
          <w:spacing w:val="-3"/>
          <w:sz w:val="20"/>
          <w:szCs w:val="20"/>
          <w:lang w:val="es-CR"/>
        </w:rPr>
        <w:t xml:space="preserve"> </w:t>
      </w:r>
      <w:r w:rsidRPr="009C5D55">
        <w:rPr>
          <w:rFonts w:ascii="Verdana" w:eastAsia="Verdana" w:hAnsi="Verdana" w:cs="Verdana"/>
          <w:spacing w:val="2"/>
          <w:sz w:val="20"/>
          <w:szCs w:val="20"/>
          <w:lang w:val="es-CR"/>
        </w:rPr>
        <w:t>l</w:t>
      </w:r>
      <w:r w:rsidRPr="009C5D55">
        <w:rPr>
          <w:rFonts w:ascii="Verdana" w:eastAsia="Verdana" w:hAnsi="Verdana" w:cs="Verdana"/>
          <w:spacing w:val="-1"/>
          <w:sz w:val="20"/>
          <w:szCs w:val="20"/>
          <w:lang w:val="es-CR"/>
        </w:rPr>
        <w:t>o</w:t>
      </w:r>
      <w:r w:rsidRPr="009C5D55">
        <w:rPr>
          <w:rFonts w:ascii="Verdana" w:eastAsia="Verdana" w:hAnsi="Verdana" w:cs="Verdana"/>
          <w:sz w:val="20"/>
          <w:szCs w:val="20"/>
          <w:lang w:val="es-CR"/>
        </w:rPr>
        <w:t>s</w:t>
      </w:r>
      <w:r w:rsidRPr="009C5D55">
        <w:rPr>
          <w:rFonts w:ascii="Verdana" w:eastAsia="Verdana" w:hAnsi="Verdana" w:cs="Verdana"/>
          <w:spacing w:val="-4"/>
          <w:sz w:val="20"/>
          <w:szCs w:val="20"/>
          <w:lang w:val="es-CR"/>
        </w:rPr>
        <w:t xml:space="preserve"> </w:t>
      </w:r>
      <w:r w:rsidRPr="009C5D55">
        <w:rPr>
          <w:rFonts w:ascii="Verdana" w:eastAsia="Verdana" w:hAnsi="Verdana" w:cs="Verdana"/>
          <w:sz w:val="20"/>
          <w:szCs w:val="20"/>
          <w:lang w:val="es-CR"/>
        </w:rPr>
        <w:t>m</w:t>
      </w:r>
      <w:r w:rsidRPr="009C5D55">
        <w:rPr>
          <w:rFonts w:ascii="Verdana" w:eastAsia="Verdana" w:hAnsi="Verdana" w:cs="Verdana"/>
          <w:spacing w:val="3"/>
          <w:sz w:val="20"/>
          <w:szCs w:val="20"/>
          <w:lang w:val="es-CR"/>
        </w:rPr>
        <w:t>i</w:t>
      </w:r>
      <w:r w:rsidRPr="009C5D55">
        <w:rPr>
          <w:rFonts w:ascii="Verdana" w:eastAsia="Verdana" w:hAnsi="Verdana" w:cs="Verdana"/>
          <w:sz w:val="20"/>
          <w:szCs w:val="20"/>
          <w:lang w:val="es-CR"/>
        </w:rPr>
        <w:t>sm</w:t>
      </w:r>
      <w:r w:rsidRPr="009C5D55">
        <w:rPr>
          <w:rFonts w:ascii="Verdana" w:eastAsia="Verdana" w:hAnsi="Verdana" w:cs="Verdana"/>
          <w:spacing w:val="-1"/>
          <w:sz w:val="20"/>
          <w:szCs w:val="20"/>
          <w:lang w:val="es-CR"/>
        </w:rPr>
        <w:t>o</w:t>
      </w:r>
      <w:r w:rsidRPr="009C5D55">
        <w:rPr>
          <w:rFonts w:ascii="Verdana" w:eastAsia="Verdana" w:hAnsi="Verdana" w:cs="Verdana"/>
          <w:spacing w:val="7"/>
          <w:sz w:val="20"/>
          <w:szCs w:val="20"/>
          <w:lang w:val="es-CR"/>
        </w:rPr>
        <w:t>s</w:t>
      </w:r>
      <w:r w:rsidRPr="009C5D55">
        <w:rPr>
          <w:rFonts w:ascii="Verdana" w:eastAsia="Verdana" w:hAnsi="Verdana" w:cs="Verdana"/>
          <w:spacing w:val="7"/>
          <w:sz w:val="20"/>
          <w:szCs w:val="20"/>
          <w:vertAlign w:val="superscript"/>
          <w:lang w:val="es-CR"/>
        </w:rPr>
        <w:footnoteReference w:id="276"/>
      </w:r>
      <w:r w:rsidRPr="009C5D55">
        <w:rPr>
          <w:rFonts w:ascii="Verdana" w:eastAsia="Verdana" w:hAnsi="Verdana" w:cs="Verdana"/>
          <w:sz w:val="20"/>
          <w:szCs w:val="20"/>
          <w:lang w:val="es-CR"/>
        </w:rPr>
        <w:t>.</w:t>
      </w:r>
      <w:r w:rsidRPr="009C5D55">
        <w:rPr>
          <w:rFonts w:ascii="Verdana" w:hAnsi="Verdana"/>
          <w:sz w:val="20"/>
          <w:szCs w:val="20"/>
          <w:lang w:val="es-CR"/>
        </w:rPr>
        <w:t xml:space="preserve"> </w:t>
      </w:r>
    </w:p>
    <w:p w14:paraId="457C03F0" w14:textId="77777777" w:rsidR="009C5D55" w:rsidRPr="009C5D55" w:rsidRDefault="009C5D55" w:rsidP="009C5D55">
      <w:pPr>
        <w:widowControl w:val="0"/>
        <w:tabs>
          <w:tab w:val="center" w:pos="0"/>
        </w:tabs>
        <w:autoSpaceDE w:val="0"/>
        <w:autoSpaceDN w:val="0"/>
        <w:adjustRightInd w:val="0"/>
        <w:contextualSpacing/>
        <w:jc w:val="both"/>
        <w:rPr>
          <w:lang w:val="es-CR"/>
        </w:rPr>
      </w:pPr>
    </w:p>
    <w:p w14:paraId="41AFDA9D" w14:textId="5F6BFFDF" w:rsidR="009C5D55" w:rsidRPr="009C5D55"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En el presente caso</w:t>
      </w:r>
      <w:r w:rsidRPr="009C5D55">
        <w:rPr>
          <w:rFonts w:ascii="Verdana" w:hAnsi="Verdana"/>
          <w:color w:val="000000"/>
          <w:sz w:val="20"/>
          <w:szCs w:val="20"/>
          <w:lang w:val="es-CR"/>
        </w:rPr>
        <w:t xml:space="preserve">, la Corte constata que los representantes no se refirieron al monto de los gastos incurridos durante el litigio a nivel nacional ni tampoco aportaron prueba al respecto, en vista de que los hechos ocurrieron hace aproximadamente 28 años, y que el proceso internacional se inició en 1998, es decir hace aproximadamente 19 años. Por tanto, la Corte no cuenta con el respaldo probatorio para determinar los gastos realizados. En relación con los gastos incurridos por la Asociación Pro Derechos Humanos durante el proceso internacional tampoco se aportó prueba para establecer los gastos realizados. Sin embargo, la Corte considera que es razonable </w:t>
      </w:r>
      <w:r w:rsidRPr="00627E5D">
        <w:rPr>
          <w:rFonts w:ascii="Verdana" w:hAnsi="Verdana"/>
          <w:color w:val="000000"/>
          <w:sz w:val="20"/>
          <w:szCs w:val="20"/>
          <w:lang w:val="es-CR"/>
        </w:rPr>
        <w:t>suponer</w:t>
      </w:r>
      <w:r w:rsidRPr="009C5D55">
        <w:rPr>
          <w:rFonts w:ascii="Verdana" w:hAnsi="Verdana"/>
          <w:color w:val="000000"/>
          <w:sz w:val="20"/>
          <w:szCs w:val="20"/>
          <w:lang w:val="es-CR"/>
        </w:rPr>
        <w:t xml:space="preserve"> que durante los años de trámite del presente caso ante la jurisdicción interna la víctima realizó erogaciones económicas. Por otra parte, la Corte también considera </w:t>
      </w:r>
      <w:r w:rsidRPr="00627E5D">
        <w:rPr>
          <w:rFonts w:ascii="Verdana" w:hAnsi="Verdana"/>
          <w:color w:val="000000"/>
          <w:sz w:val="20"/>
          <w:szCs w:val="20"/>
          <w:lang w:val="es-CR"/>
        </w:rPr>
        <w:t xml:space="preserve">razonable </w:t>
      </w:r>
      <w:r w:rsidRPr="009C5D55">
        <w:rPr>
          <w:rFonts w:ascii="Verdana" w:hAnsi="Verdana"/>
          <w:color w:val="000000"/>
          <w:sz w:val="20"/>
          <w:szCs w:val="20"/>
          <w:lang w:val="es-CR"/>
        </w:rPr>
        <w:t xml:space="preserve">que el señor Lagos del Campo y sus representantes han incurrido en diversos gastos relativos a honorarios, recolección de prueba, transporte, servicios de comunicación, entre otros, en el trámite internacional del presente caso. </w:t>
      </w:r>
      <w:r w:rsidRPr="009C5D55">
        <w:rPr>
          <w:rFonts w:ascii="Verdana" w:hAnsi="Verdana"/>
          <w:sz w:val="20"/>
          <w:szCs w:val="20"/>
          <w:lang w:val="es-CR"/>
        </w:rPr>
        <w:t xml:space="preserve">En consecuencia, la Corte decide fijar </w:t>
      </w:r>
      <w:r w:rsidR="00AE6C98">
        <w:rPr>
          <w:rFonts w:ascii="Verdana" w:hAnsi="Verdana"/>
          <w:sz w:val="20"/>
          <w:szCs w:val="20"/>
          <w:lang w:val="es-CR"/>
        </w:rPr>
        <w:t xml:space="preserve">un monto razonable por </w:t>
      </w:r>
      <w:r w:rsidRPr="009C5D55">
        <w:rPr>
          <w:rFonts w:ascii="Verdana" w:hAnsi="Verdana"/>
          <w:sz w:val="20"/>
          <w:szCs w:val="20"/>
          <w:lang w:val="es-CR"/>
        </w:rPr>
        <w:t xml:space="preserve">la cantidad de </w:t>
      </w:r>
      <w:r w:rsidR="007C10CE" w:rsidRPr="00333304">
        <w:rPr>
          <w:rFonts w:ascii="Verdana" w:hAnsi="Verdana"/>
          <w:sz w:val="20"/>
          <w:szCs w:val="20"/>
          <w:lang w:val="es-CR"/>
        </w:rPr>
        <w:t>USD $20,000 (veinte mil dólares de los Estados Unidos de América)</w:t>
      </w:r>
      <w:r w:rsidR="007C10CE" w:rsidRPr="00D9490E">
        <w:rPr>
          <w:rFonts w:ascii="Verdana" w:hAnsi="Verdana"/>
          <w:sz w:val="20"/>
          <w:szCs w:val="20"/>
          <w:lang w:val="es-CR"/>
        </w:rPr>
        <w:t xml:space="preserve"> </w:t>
      </w:r>
      <w:r w:rsidR="00AE6C98">
        <w:rPr>
          <w:rFonts w:ascii="Verdana" w:hAnsi="Verdana"/>
          <w:sz w:val="20"/>
          <w:szCs w:val="20"/>
          <w:lang w:val="es-CR"/>
        </w:rPr>
        <w:t>con motivo de las labores realizada</w:t>
      </w:r>
      <w:r w:rsidRPr="009C5D55">
        <w:rPr>
          <w:rFonts w:ascii="Verdana" w:hAnsi="Verdana"/>
          <w:sz w:val="20"/>
          <w:szCs w:val="20"/>
          <w:lang w:val="es-CR"/>
        </w:rPr>
        <w:t>s en el litigio del presente caso</w:t>
      </w:r>
      <w:r w:rsidR="00F535E6">
        <w:rPr>
          <w:rFonts w:ascii="Verdana" w:hAnsi="Verdana"/>
          <w:sz w:val="20"/>
          <w:szCs w:val="20"/>
          <w:lang w:val="es-CR"/>
        </w:rPr>
        <w:t xml:space="preserve">, </w:t>
      </w:r>
      <w:r w:rsidR="00AE6C98">
        <w:rPr>
          <w:rFonts w:ascii="Verdana" w:hAnsi="Verdana"/>
          <w:sz w:val="20"/>
          <w:szCs w:val="20"/>
          <w:lang w:val="es-CR"/>
        </w:rPr>
        <w:t>el cual deberá</w:t>
      </w:r>
      <w:r w:rsidR="00F535E6">
        <w:rPr>
          <w:rFonts w:ascii="Verdana" w:hAnsi="Verdana"/>
          <w:sz w:val="20"/>
          <w:szCs w:val="20"/>
          <w:lang w:val="es-CR"/>
        </w:rPr>
        <w:t xml:space="preserve"> ser</w:t>
      </w:r>
      <w:r w:rsidR="00AE6C98">
        <w:rPr>
          <w:rFonts w:ascii="Verdana" w:hAnsi="Verdana"/>
          <w:sz w:val="20"/>
          <w:szCs w:val="20"/>
          <w:lang w:val="es-CR"/>
        </w:rPr>
        <w:t xml:space="preserve"> entregado</w:t>
      </w:r>
      <w:r w:rsidR="00E4380F">
        <w:rPr>
          <w:rFonts w:ascii="Verdana" w:hAnsi="Verdana"/>
          <w:sz w:val="20"/>
          <w:szCs w:val="20"/>
          <w:lang w:val="es-CR"/>
        </w:rPr>
        <w:t xml:space="preserve"> al señor Lagos del Campo, quien entregará a sus representantes la cantidad que corresponda, conforme a la asistencia que estos le hubieren prestado</w:t>
      </w:r>
      <w:r w:rsidRPr="009C5D55">
        <w:rPr>
          <w:rFonts w:ascii="Verdana" w:hAnsi="Verdana"/>
          <w:sz w:val="20"/>
          <w:szCs w:val="20"/>
          <w:lang w:val="es-CR"/>
        </w:rPr>
        <w:t xml:space="preserve">. </w:t>
      </w:r>
    </w:p>
    <w:p w14:paraId="12629D5E" w14:textId="77777777" w:rsidR="009C5D55" w:rsidRPr="009C5D55" w:rsidRDefault="009C5D55" w:rsidP="009C5D55">
      <w:pPr>
        <w:rPr>
          <w:rFonts w:ascii="Verdana" w:hAnsi="Verdana"/>
          <w:sz w:val="20"/>
          <w:szCs w:val="20"/>
          <w:lang w:val="es-CR"/>
        </w:rPr>
      </w:pPr>
    </w:p>
    <w:p w14:paraId="6C3BDAF0" w14:textId="77777777" w:rsidR="009C5D55" w:rsidRPr="0062065E" w:rsidRDefault="009C5D55" w:rsidP="00E66DD7">
      <w:pPr>
        <w:pStyle w:val="Heading2"/>
        <w:numPr>
          <w:ilvl w:val="0"/>
          <w:numId w:val="13"/>
        </w:numPr>
        <w:rPr>
          <w:i/>
        </w:rPr>
      </w:pPr>
      <w:bookmarkStart w:id="75" w:name="_Toc498333530"/>
      <w:r w:rsidRPr="0062065E">
        <w:rPr>
          <w:i/>
        </w:rPr>
        <w:t>Reintegro de los gastos al Fondo de Asistencia Legal de Víctimas</w:t>
      </w:r>
      <w:bookmarkEnd w:id="75"/>
    </w:p>
    <w:p w14:paraId="4F4B2771" w14:textId="77777777" w:rsidR="009C5D55" w:rsidRPr="00AD7CB4" w:rsidRDefault="009C5D55" w:rsidP="009C5D55">
      <w:pPr>
        <w:autoSpaceDE w:val="0"/>
        <w:autoSpaceDN w:val="0"/>
        <w:adjustRightInd w:val="0"/>
        <w:ind w:right="49"/>
        <w:contextualSpacing/>
        <w:jc w:val="both"/>
        <w:rPr>
          <w:rFonts w:ascii="Verdana" w:hAnsi="Verdana" w:cs="Verdana"/>
          <w:sz w:val="20"/>
          <w:szCs w:val="20"/>
          <w:lang w:val="es-CR"/>
        </w:rPr>
      </w:pPr>
    </w:p>
    <w:p w14:paraId="1134F671" w14:textId="28868B54" w:rsidR="009C5D55" w:rsidRPr="005D0F69"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cs="Verdana"/>
          <w:color w:val="000000"/>
          <w:sz w:val="20"/>
          <w:szCs w:val="20"/>
          <w:lang w:val="es-CR"/>
        </w:rPr>
      </w:pPr>
      <w:r w:rsidRPr="00AD7CB4">
        <w:rPr>
          <w:rFonts w:ascii="Verdana" w:hAnsi="Verdana" w:cs="Verdana"/>
          <w:color w:val="000000"/>
          <w:sz w:val="20"/>
          <w:szCs w:val="20"/>
          <w:lang w:val="es-CR"/>
        </w:rPr>
        <w:t xml:space="preserve"> L</w:t>
      </w:r>
      <w:r w:rsidR="00925FE5" w:rsidRPr="00535854">
        <w:rPr>
          <w:rFonts w:ascii="Verdana" w:hAnsi="Verdana" w:cs="Verdana"/>
          <w:color w:val="000000"/>
          <w:sz w:val="20"/>
          <w:szCs w:val="20"/>
          <w:lang w:val="es-CR"/>
        </w:rPr>
        <w:t xml:space="preserve">a víctima </w:t>
      </w:r>
      <w:r w:rsidR="00925FE5" w:rsidRPr="00577DD8">
        <w:rPr>
          <w:rFonts w:ascii="Verdana" w:hAnsi="Verdana" w:cs="Verdana"/>
          <w:color w:val="000000"/>
          <w:sz w:val="20"/>
          <w:szCs w:val="20"/>
          <w:lang w:val="es-CR"/>
        </w:rPr>
        <w:t>solicitó</w:t>
      </w:r>
      <w:r w:rsidR="00925FE5" w:rsidRPr="005D0F69">
        <w:rPr>
          <w:rFonts w:ascii="Verdana" w:hAnsi="Verdana" w:cs="Verdana"/>
          <w:color w:val="000000"/>
          <w:sz w:val="20"/>
          <w:szCs w:val="20"/>
          <w:lang w:val="es-CR"/>
        </w:rPr>
        <w:t xml:space="preserve"> </w:t>
      </w:r>
      <w:r w:rsidRPr="005D0F69">
        <w:rPr>
          <w:rFonts w:ascii="Verdana" w:hAnsi="Verdana" w:cs="Verdana"/>
          <w:color w:val="000000"/>
          <w:sz w:val="20"/>
          <w:szCs w:val="20"/>
          <w:lang w:val="es-CR"/>
        </w:rPr>
        <w:t>acogerse al Fondo de Asistencia de la Corte</w:t>
      </w:r>
      <w:r w:rsidR="00D9490E">
        <w:rPr>
          <w:rFonts w:ascii="Verdana" w:hAnsi="Verdana" w:cs="Verdana"/>
          <w:b/>
          <w:color w:val="000000"/>
          <w:sz w:val="20"/>
          <w:szCs w:val="20"/>
          <w:lang w:val="es-CR"/>
        </w:rPr>
        <w:t>.</w:t>
      </w:r>
      <w:r w:rsidRPr="005D0F69">
        <w:rPr>
          <w:rFonts w:ascii="Verdana" w:hAnsi="Verdana" w:cs="Verdana"/>
          <w:color w:val="000000"/>
          <w:sz w:val="20"/>
          <w:szCs w:val="20"/>
          <w:lang w:val="es-CR"/>
        </w:rPr>
        <w:t xml:space="preserve"> Mediante Resolución de la Presidencia de </w:t>
      </w:r>
      <w:r w:rsidRPr="005D0F69">
        <w:rPr>
          <w:rFonts w:ascii="Verdana" w:hAnsi="Verdana" w:cs="Verdana"/>
          <w:sz w:val="20"/>
          <w:szCs w:val="20"/>
          <w:lang w:val="es-CR"/>
        </w:rPr>
        <w:t xml:space="preserve">14 de julio de 2016, </w:t>
      </w:r>
      <w:r w:rsidRPr="005D0F69">
        <w:rPr>
          <w:rFonts w:ascii="Verdana" w:hAnsi="Verdana" w:cs="Verdana"/>
          <w:color w:val="000000"/>
          <w:sz w:val="20"/>
          <w:szCs w:val="20"/>
          <w:lang w:val="es-CR"/>
        </w:rPr>
        <w:t xml:space="preserve">se dispuso que la asistencia económica estaría asignada para cubrir los gastos, entre otros, del viaje y estadía necesarios para que la presunta víctima asistiera a la audiencia pública, así como los relativos a la formalización y envío del affidávit del perito Carlos </w:t>
      </w:r>
      <w:proofErr w:type="spellStart"/>
      <w:r w:rsidRPr="005D0F69">
        <w:rPr>
          <w:rFonts w:ascii="Verdana" w:hAnsi="Verdana" w:cs="Verdana"/>
          <w:color w:val="000000"/>
          <w:sz w:val="20"/>
          <w:szCs w:val="20"/>
          <w:lang w:val="es-CR"/>
        </w:rPr>
        <w:t>Jibaja</w:t>
      </w:r>
      <w:proofErr w:type="spellEnd"/>
      <w:r w:rsidRPr="005D0F69">
        <w:rPr>
          <w:rFonts w:ascii="Verdana" w:hAnsi="Verdana" w:cs="Verdana"/>
          <w:color w:val="000000"/>
          <w:sz w:val="20"/>
          <w:szCs w:val="20"/>
          <w:lang w:val="es-CR"/>
        </w:rPr>
        <w:t xml:space="preserve"> Zárate, que se rindieron ante fedatario público</w:t>
      </w:r>
      <w:r w:rsidRPr="005D0F69">
        <w:rPr>
          <w:rFonts w:ascii="Verdana" w:hAnsi="Verdana" w:cs="Verdana"/>
          <w:color w:val="000000"/>
          <w:sz w:val="20"/>
          <w:szCs w:val="20"/>
          <w:vertAlign w:val="superscript"/>
          <w:lang w:val="es-CR"/>
        </w:rPr>
        <w:footnoteReference w:id="277"/>
      </w:r>
      <w:r w:rsidRPr="005D0F69">
        <w:rPr>
          <w:rFonts w:ascii="Verdana" w:hAnsi="Verdana" w:cs="Verdana"/>
          <w:color w:val="000000"/>
          <w:sz w:val="20"/>
          <w:szCs w:val="20"/>
          <w:lang w:val="es-CR"/>
        </w:rPr>
        <w:t>.</w:t>
      </w:r>
    </w:p>
    <w:p w14:paraId="37DEFF1B" w14:textId="77777777" w:rsidR="009C5D55" w:rsidRPr="009C5D55" w:rsidRDefault="009C5D55" w:rsidP="009C5D55">
      <w:pPr>
        <w:tabs>
          <w:tab w:val="center" w:pos="0"/>
        </w:tabs>
        <w:autoSpaceDE w:val="0"/>
        <w:autoSpaceDN w:val="0"/>
        <w:adjustRightInd w:val="0"/>
        <w:jc w:val="both"/>
        <w:rPr>
          <w:rFonts w:ascii="Verdana" w:hAnsi="Verdana" w:cs="Verdana"/>
          <w:color w:val="000000"/>
          <w:sz w:val="20"/>
          <w:szCs w:val="20"/>
          <w:lang w:val="es-CR"/>
        </w:rPr>
      </w:pPr>
    </w:p>
    <w:p w14:paraId="628D946D" w14:textId="7339658E" w:rsidR="0056094E" w:rsidRPr="005D0F69" w:rsidRDefault="009C5D55" w:rsidP="00E66DD7">
      <w:pPr>
        <w:widowControl w:val="0"/>
        <w:numPr>
          <w:ilvl w:val="0"/>
          <w:numId w:val="1"/>
        </w:numPr>
        <w:tabs>
          <w:tab w:val="center" w:pos="0"/>
        </w:tabs>
        <w:autoSpaceDE w:val="0"/>
        <w:autoSpaceDN w:val="0"/>
        <w:adjustRightInd w:val="0"/>
        <w:ind w:left="0" w:firstLine="0"/>
        <w:contextualSpacing/>
        <w:jc w:val="both"/>
        <w:rPr>
          <w:rFonts w:ascii="Verdana" w:hAnsi="Verdana" w:cs="Verdana"/>
          <w:color w:val="000000"/>
          <w:sz w:val="20"/>
          <w:szCs w:val="20"/>
          <w:lang w:val="es-CR"/>
        </w:rPr>
      </w:pPr>
      <w:r w:rsidRPr="009C5D55">
        <w:rPr>
          <w:rFonts w:ascii="Verdana" w:hAnsi="Verdana" w:cs="Verdana"/>
          <w:color w:val="000000"/>
          <w:sz w:val="20"/>
          <w:szCs w:val="20"/>
          <w:lang w:val="es-CR"/>
        </w:rPr>
        <w:t xml:space="preserve"> Mediante nota de Secretaría de la Corte de </w:t>
      </w:r>
      <w:r w:rsidR="0056094E">
        <w:rPr>
          <w:rFonts w:ascii="Verdana" w:hAnsi="Verdana" w:cs="Verdana"/>
          <w:sz w:val="20"/>
          <w:szCs w:val="20"/>
          <w:lang w:val="es-CR"/>
        </w:rPr>
        <w:t>7 de abril de 201</w:t>
      </w:r>
      <w:r w:rsidR="00D9490E" w:rsidRPr="00333304">
        <w:rPr>
          <w:rFonts w:ascii="Verdana" w:hAnsi="Verdana" w:cs="Verdana"/>
          <w:sz w:val="20"/>
          <w:szCs w:val="20"/>
          <w:lang w:val="es-CR"/>
        </w:rPr>
        <w:t>7</w:t>
      </w:r>
      <w:r w:rsidRPr="00B31162">
        <w:rPr>
          <w:rFonts w:ascii="Verdana" w:hAnsi="Verdana" w:cs="Verdana"/>
          <w:sz w:val="20"/>
          <w:szCs w:val="20"/>
          <w:lang w:val="es-CR"/>
        </w:rPr>
        <w:t>,</w:t>
      </w:r>
      <w:r w:rsidRPr="009C5D55">
        <w:rPr>
          <w:rFonts w:ascii="Verdana" w:hAnsi="Verdana" w:cs="Verdana"/>
          <w:sz w:val="20"/>
          <w:szCs w:val="20"/>
          <w:lang w:val="es-CR"/>
        </w:rPr>
        <w:t xml:space="preserve"> </w:t>
      </w:r>
      <w:r w:rsidRPr="009C5D55">
        <w:rPr>
          <w:rFonts w:ascii="Verdana" w:hAnsi="Verdana" w:cs="Verdana"/>
          <w:color w:val="000000"/>
          <w:sz w:val="20"/>
          <w:szCs w:val="20"/>
          <w:lang w:val="es-CR"/>
        </w:rPr>
        <w:t xml:space="preserve">se remitió un informe al Estado sobre las erogaciones efectuadas en aplicación del Fondo de Asistencia en el presente caso, las cuales ascendieron a la suma de USD </w:t>
      </w:r>
      <w:r w:rsidRPr="009C5D55">
        <w:rPr>
          <w:rFonts w:ascii="Verdana" w:hAnsi="Verdana" w:cs="Verdana"/>
          <w:sz w:val="20"/>
          <w:szCs w:val="20"/>
          <w:lang w:val="es-CR"/>
        </w:rPr>
        <w:t>1,336.81 (mil trescientos treinta y seis dólares</w:t>
      </w:r>
      <w:r w:rsidR="00D9490E">
        <w:rPr>
          <w:rFonts w:ascii="Verdana" w:hAnsi="Verdana" w:cs="Verdana"/>
          <w:sz w:val="20"/>
          <w:szCs w:val="20"/>
          <w:lang w:val="es-CR"/>
        </w:rPr>
        <w:t xml:space="preserve"> con ochenta y un centavos </w:t>
      </w:r>
      <w:r w:rsidRPr="009C5D55">
        <w:rPr>
          <w:rFonts w:ascii="Verdana" w:hAnsi="Verdana" w:cs="Verdana"/>
          <w:sz w:val="20"/>
          <w:szCs w:val="20"/>
          <w:lang w:val="es-CR"/>
        </w:rPr>
        <w:t>de los Estados Unidos de América)</w:t>
      </w:r>
      <w:r w:rsidRPr="009C5D55">
        <w:rPr>
          <w:rFonts w:ascii="Verdana" w:hAnsi="Verdana"/>
          <w:sz w:val="20"/>
          <w:szCs w:val="20"/>
          <w:vertAlign w:val="superscript"/>
          <w:lang w:val="es-CR"/>
        </w:rPr>
        <w:footnoteReference w:id="278"/>
      </w:r>
      <w:r w:rsidRPr="009C5D55">
        <w:rPr>
          <w:rFonts w:ascii="Verdana" w:hAnsi="Verdana" w:cs="Verdana"/>
          <w:sz w:val="20"/>
          <w:szCs w:val="20"/>
          <w:lang w:val="es-CR"/>
        </w:rPr>
        <w:t xml:space="preserve"> </w:t>
      </w:r>
      <w:r w:rsidRPr="009C5D55">
        <w:rPr>
          <w:rFonts w:ascii="Verdana" w:hAnsi="Verdana" w:cs="Verdana"/>
          <w:color w:val="000000"/>
          <w:sz w:val="20"/>
          <w:szCs w:val="20"/>
          <w:lang w:val="es-CR"/>
        </w:rPr>
        <w:t>y, según lo dispuesto en el artículo 5 del Reglamento de la Corte sobre el Funcionamiento del referido Fondo, se otorgó un plazo para que el Perú presentara las observaciones que estimara pertinentes</w:t>
      </w:r>
      <w:r w:rsidR="005B3D37">
        <w:rPr>
          <w:rStyle w:val="FootnoteReference"/>
          <w:szCs w:val="20"/>
          <w:lang w:val="es-CR"/>
        </w:rPr>
        <w:footnoteReference w:id="279"/>
      </w:r>
      <w:r w:rsidR="0056094E">
        <w:rPr>
          <w:rFonts w:ascii="Verdana" w:hAnsi="Verdana" w:cs="Verdana"/>
          <w:sz w:val="20"/>
          <w:szCs w:val="20"/>
          <w:lang w:val="es-CR"/>
        </w:rPr>
        <w:t>.</w:t>
      </w:r>
      <w:r w:rsidR="005B3D37">
        <w:rPr>
          <w:rFonts w:ascii="Verdana" w:hAnsi="Verdana" w:cs="Verdana"/>
          <w:sz w:val="20"/>
          <w:szCs w:val="20"/>
          <w:lang w:val="es-CR"/>
        </w:rPr>
        <w:t xml:space="preserve"> En vista de lo anterior, dicha cantidad deberá ser reintegrada en el plazo de noventa días, contados a partir de la notificación del presente Fallo.</w:t>
      </w:r>
    </w:p>
    <w:p w14:paraId="2FCEC5F3" w14:textId="77777777" w:rsidR="009C5D55" w:rsidRPr="009C5D55" w:rsidRDefault="009C5D55" w:rsidP="009C5D55">
      <w:pPr>
        <w:rPr>
          <w:rFonts w:ascii="Verdana" w:hAnsi="Verdana"/>
          <w:sz w:val="20"/>
          <w:szCs w:val="20"/>
          <w:lang w:val="es-CR"/>
        </w:rPr>
      </w:pPr>
    </w:p>
    <w:p w14:paraId="2A8CC263" w14:textId="77777777" w:rsidR="009C5D55" w:rsidRPr="00C0187C" w:rsidRDefault="009C5D55" w:rsidP="00E66DD7">
      <w:pPr>
        <w:pStyle w:val="Heading2"/>
        <w:numPr>
          <w:ilvl w:val="0"/>
          <w:numId w:val="13"/>
        </w:numPr>
        <w:rPr>
          <w:i/>
          <w:szCs w:val="20"/>
        </w:rPr>
      </w:pPr>
      <w:bookmarkStart w:id="76" w:name="_Toc498333531"/>
      <w:r w:rsidRPr="00C0187C">
        <w:rPr>
          <w:i/>
          <w:szCs w:val="20"/>
        </w:rPr>
        <w:t>Modalidad de cumplimiento de los pagos ordenados</w:t>
      </w:r>
      <w:bookmarkEnd w:id="76"/>
    </w:p>
    <w:p w14:paraId="750A1D66" w14:textId="77777777" w:rsidR="009C5D55" w:rsidRPr="009C5D55" w:rsidRDefault="009C5D55" w:rsidP="009C5D55">
      <w:pPr>
        <w:rPr>
          <w:rFonts w:ascii="Verdana" w:hAnsi="Verdana"/>
          <w:sz w:val="20"/>
          <w:szCs w:val="20"/>
          <w:lang w:val="es-CR"/>
        </w:rPr>
      </w:pPr>
    </w:p>
    <w:p w14:paraId="2016DAEA" w14:textId="77777777" w:rsidR="009C5D55" w:rsidRPr="00AD7CB4"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El Estado deberá efectuar el pago de las indemnizaciones por concepto de daño material e inmaterial, así como el reintegro de las costas y gastos establecidos en la presente Sentencia directamente a la persona indicada en la misma</w:t>
      </w:r>
      <w:r w:rsidRPr="0062065E">
        <w:rPr>
          <w:rFonts w:ascii="Verdana" w:hAnsi="Verdana"/>
          <w:sz w:val="20"/>
          <w:szCs w:val="20"/>
          <w:lang w:val="es-CR"/>
        </w:rPr>
        <w:t xml:space="preserve">, </w:t>
      </w:r>
      <w:r w:rsidRPr="00AD7CB4">
        <w:rPr>
          <w:rFonts w:ascii="Verdana" w:hAnsi="Verdana"/>
          <w:sz w:val="20"/>
          <w:szCs w:val="20"/>
          <w:lang w:val="es-CR"/>
        </w:rPr>
        <w:t xml:space="preserve">dentro del plazo de un año contado a partir de la notificación del presente Fallo, en los términos de los siguientes párrafos. </w:t>
      </w:r>
    </w:p>
    <w:p w14:paraId="27D900AD" w14:textId="77777777" w:rsidR="009C5D55" w:rsidRPr="00AD7CB4" w:rsidRDefault="009C5D55" w:rsidP="009C5D55">
      <w:pPr>
        <w:widowControl w:val="0"/>
        <w:tabs>
          <w:tab w:val="center" w:pos="567"/>
        </w:tabs>
        <w:autoSpaceDE w:val="0"/>
        <w:autoSpaceDN w:val="0"/>
        <w:adjustRightInd w:val="0"/>
        <w:contextualSpacing/>
        <w:jc w:val="both"/>
        <w:rPr>
          <w:rFonts w:ascii="Verdana" w:hAnsi="Verdana"/>
          <w:sz w:val="20"/>
          <w:szCs w:val="20"/>
          <w:lang w:val="es-CR"/>
        </w:rPr>
      </w:pPr>
    </w:p>
    <w:p w14:paraId="4AFBB321" w14:textId="77777777" w:rsidR="009C5D55" w:rsidRPr="005D0F69"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sz w:val="20"/>
          <w:szCs w:val="20"/>
          <w:lang w:val="es-CR"/>
        </w:rPr>
      </w:pPr>
      <w:r w:rsidRPr="005D0F69">
        <w:rPr>
          <w:rFonts w:ascii="Verdana" w:hAnsi="Verdana"/>
          <w:sz w:val="20"/>
          <w:szCs w:val="20"/>
          <w:lang w:val="es-CR"/>
        </w:rPr>
        <w:t xml:space="preserve">En caso de que el beneficiario fallezca antes de que les sean entregadas las indemnizaciones respectivas, éstas se efectuarán directamente a sus derechohabientes, conforme al derecho interno aplicable. </w:t>
      </w:r>
    </w:p>
    <w:p w14:paraId="3513E15D" w14:textId="77777777" w:rsidR="009C5D55" w:rsidRPr="005D0F69" w:rsidRDefault="009C5D55" w:rsidP="009C5D55">
      <w:pPr>
        <w:contextualSpacing/>
        <w:rPr>
          <w:rFonts w:ascii="Verdana" w:hAnsi="Verdana"/>
          <w:sz w:val="20"/>
          <w:szCs w:val="20"/>
          <w:lang w:val="es-CR"/>
        </w:rPr>
      </w:pPr>
    </w:p>
    <w:p w14:paraId="56B98799" w14:textId="77777777" w:rsidR="009C5D55" w:rsidRPr="005D0F69"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sz w:val="20"/>
          <w:szCs w:val="20"/>
          <w:lang w:val="es-CR"/>
        </w:rPr>
      </w:pPr>
      <w:r w:rsidRPr="005D0F69">
        <w:rPr>
          <w:rFonts w:ascii="Verdana" w:hAnsi="Verdana"/>
          <w:sz w:val="20"/>
          <w:szCs w:val="20"/>
          <w:lang w:val="es-CR"/>
        </w:rPr>
        <w:t xml:space="preserve">El Estado debe cumplir sus obligaciones monetarias mediante el pago en dólares de los Estados Unidos de América o su equivalente en moneda peruana, utilizando para el cálculo respectivo el tipo de cambio que se encuentre vigente en la bolsa de Nueva York, Estados Unidos de América, el día anterior al pago. </w:t>
      </w:r>
    </w:p>
    <w:p w14:paraId="2693D81E" w14:textId="77777777" w:rsidR="009C5D55" w:rsidRPr="009C5D55" w:rsidRDefault="009C5D55" w:rsidP="009C5D55">
      <w:pPr>
        <w:contextualSpacing/>
        <w:rPr>
          <w:rFonts w:ascii="Verdana" w:hAnsi="Verdana"/>
          <w:sz w:val="20"/>
          <w:szCs w:val="20"/>
          <w:lang w:val="es-CR"/>
        </w:rPr>
      </w:pPr>
    </w:p>
    <w:p w14:paraId="10D6C115" w14:textId="77777777" w:rsidR="009C5D55" w:rsidRPr="009C5D55"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 xml:space="preserve">Si por causas atribuibles al beneficiario de las indemnizaciones o a sus derechohabientes no fuese posible el pago de las cantidades determinadas dentro del plazo indicado, </w:t>
      </w:r>
      <w:r w:rsidRPr="008A1C18">
        <w:rPr>
          <w:rFonts w:ascii="Verdana" w:hAnsi="Verdana"/>
          <w:sz w:val="20"/>
          <w:szCs w:val="20"/>
          <w:lang w:val="es-CR"/>
        </w:rPr>
        <w:t>el Estado consignará dichos montos a su favor en una cuenta o certificado de depósito en una institución financiera peruana solvente, en dólares de los Estados Unidos de América, y en las condiciones financieras más favorables que permitan la legislación y la práctica bancaria del Estado. Si no se reclama la indemnización correspondiente una vez transcurridos diez años, las cantidades</w:t>
      </w:r>
      <w:r w:rsidRPr="009C5D55">
        <w:rPr>
          <w:rFonts w:ascii="Verdana" w:hAnsi="Verdana"/>
          <w:sz w:val="20"/>
          <w:szCs w:val="20"/>
          <w:lang w:val="es-CR"/>
        </w:rPr>
        <w:t xml:space="preserve"> serán devueltas al Estado con los intereses devengados. </w:t>
      </w:r>
    </w:p>
    <w:p w14:paraId="19B9EF5D" w14:textId="77777777" w:rsidR="009C5D55" w:rsidRPr="009C5D55" w:rsidRDefault="009C5D55" w:rsidP="009C5D55">
      <w:pPr>
        <w:contextualSpacing/>
        <w:rPr>
          <w:rFonts w:ascii="Verdana" w:hAnsi="Verdana"/>
          <w:sz w:val="20"/>
          <w:szCs w:val="20"/>
          <w:lang w:val="es-CR"/>
        </w:rPr>
      </w:pPr>
    </w:p>
    <w:p w14:paraId="0D208720" w14:textId="77777777" w:rsidR="009C5D55" w:rsidRPr="009C5D55" w:rsidRDefault="009C5D55" w:rsidP="00E66DD7">
      <w:pPr>
        <w:widowControl w:val="0"/>
        <w:numPr>
          <w:ilvl w:val="0"/>
          <w:numId w:val="1"/>
        </w:numPr>
        <w:tabs>
          <w:tab w:val="center" w:pos="567"/>
        </w:tabs>
        <w:autoSpaceDE w:val="0"/>
        <w:autoSpaceDN w:val="0"/>
        <w:adjustRightInd w:val="0"/>
        <w:ind w:left="0" w:firstLine="0"/>
        <w:contextualSpacing/>
        <w:jc w:val="both"/>
        <w:rPr>
          <w:rFonts w:ascii="Verdana" w:hAnsi="Verdana"/>
          <w:sz w:val="20"/>
          <w:szCs w:val="20"/>
          <w:lang w:val="es-CR"/>
        </w:rPr>
      </w:pPr>
      <w:r w:rsidRPr="009C5D55">
        <w:rPr>
          <w:rFonts w:ascii="Verdana" w:hAnsi="Verdana"/>
          <w:sz w:val="20"/>
          <w:szCs w:val="20"/>
          <w:lang w:val="es-CR"/>
        </w:rPr>
        <w:t xml:space="preserve">Las cantidades asignadas en la presente Sentencia como indemnización por daño inmaterial, y como reintegro de costas y gastos deberán ser entregadas a las personas indicadas en forma íntegra, conforme a lo establecido en este Fallo, sin reducciones derivadas de eventuales cargas fiscales. </w:t>
      </w:r>
    </w:p>
    <w:p w14:paraId="33EC7CEA" w14:textId="77777777" w:rsidR="009C5D55" w:rsidRPr="009C5D55" w:rsidRDefault="009C5D55" w:rsidP="009C5D55">
      <w:pPr>
        <w:widowControl w:val="0"/>
        <w:tabs>
          <w:tab w:val="center" w:pos="567"/>
        </w:tabs>
        <w:autoSpaceDE w:val="0"/>
        <w:autoSpaceDN w:val="0"/>
        <w:adjustRightInd w:val="0"/>
        <w:contextualSpacing/>
        <w:jc w:val="both"/>
        <w:rPr>
          <w:rFonts w:ascii="Verdana" w:hAnsi="Verdana"/>
          <w:sz w:val="20"/>
          <w:szCs w:val="20"/>
          <w:lang w:val="es-CR"/>
        </w:rPr>
      </w:pPr>
    </w:p>
    <w:p w14:paraId="1280EFE2" w14:textId="77777777" w:rsidR="009C5D55" w:rsidRPr="009C5D55" w:rsidRDefault="009C5D55" w:rsidP="00E66DD7">
      <w:pPr>
        <w:widowControl w:val="0"/>
        <w:numPr>
          <w:ilvl w:val="0"/>
          <w:numId w:val="1"/>
        </w:numPr>
        <w:tabs>
          <w:tab w:val="center" w:pos="567"/>
        </w:tabs>
        <w:autoSpaceDE w:val="0"/>
        <w:autoSpaceDN w:val="0"/>
        <w:adjustRightInd w:val="0"/>
        <w:ind w:left="0" w:firstLine="0"/>
        <w:contextualSpacing/>
        <w:jc w:val="both"/>
        <w:rPr>
          <w:lang w:val="es-ES"/>
        </w:rPr>
      </w:pPr>
      <w:r w:rsidRPr="009C5D55">
        <w:rPr>
          <w:rFonts w:ascii="Verdana" w:hAnsi="Verdana"/>
          <w:spacing w:val="-2"/>
          <w:sz w:val="20"/>
          <w:szCs w:val="20"/>
        </w:rPr>
        <w:t>En caso de que el Estado incurriera en mora</w:t>
      </w:r>
      <w:r w:rsidRPr="009C5D55">
        <w:rPr>
          <w:rFonts w:ascii="Verdana" w:hAnsi="Verdana" w:cs="Verdana"/>
          <w:spacing w:val="-2"/>
          <w:sz w:val="20"/>
          <w:szCs w:val="20"/>
        </w:rPr>
        <w:t>, incluyendo en el reintegro de los gastos al Fondo de Asistencia Legal de Víctimas</w:t>
      </w:r>
      <w:r w:rsidRPr="009C5D55">
        <w:rPr>
          <w:rFonts w:ascii="Verdana" w:hAnsi="Verdana"/>
          <w:spacing w:val="-2"/>
          <w:sz w:val="20"/>
          <w:szCs w:val="20"/>
        </w:rPr>
        <w:t>, deberá pagar un interés sobre la cantidad adeudada, correspondiente al interés bancario moratorio en la República del Perú.</w:t>
      </w:r>
    </w:p>
    <w:p w14:paraId="2248DCE9" w14:textId="77777777" w:rsidR="006A2D03" w:rsidRDefault="006A2D03">
      <w:pPr>
        <w:spacing w:after="200" w:line="276" w:lineRule="auto"/>
        <w:rPr>
          <w:rFonts w:ascii="Verdana" w:eastAsia="Times New Roman" w:hAnsi="Verdana" w:cs="Verdana"/>
          <w:b/>
          <w:bCs/>
          <w:caps/>
          <w:snapToGrid w:val="0"/>
          <w:sz w:val="20"/>
          <w:szCs w:val="20"/>
        </w:rPr>
      </w:pPr>
    </w:p>
    <w:p w14:paraId="70FC005A" w14:textId="5B279290" w:rsidR="00324758" w:rsidRPr="00324758" w:rsidRDefault="00374FC9" w:rsidP="00324758">
      <w:pPr>
        <w:pStyle w:val="Heading1"/>
        <w:tabs>
          <w:tab w:val="left" w:pos="851"/>
        </w:tabs>
        <w:spacing w:before="0"/>
        <w:jc w:val="center"/>
        <w:rPr>
          <w:rFonts w:cs="Verdana"/>
          <w:caps/>
          <w:snapToGrid w:val="0"/>
          <w:szCs w:val="20"/>
        </w:rPr>
      </w:pPr>
      <w:bookmarkStart w:id="77" w:name="_Toc498333532"/>
      <w:r>
        <w:rPr>
          <w:rFonts w:cs="Verdana"/>
          <w:caps/>
          <w:snapToGrid w:val="0"/>
          <w:szCs w:val="20"/>
        </w:rPr>
        <w:t>I</w:t>
      </w:r>
      <w:r w:rsidR="00324758" w:rsidRPr="00324758">
        <w:rPr>
          <w:rFonts w:cs="Verdana"/>
          <w:caps/>
          <w:snapToGrid w:val="0"/>
          <w:szCs w:val="20"/>
        </w:rPr>
        <w:t>X</w:t>
      </w:r>
      <w:r w:rsidR="00324758" w:rsidRPr="00324758">
        <w:rPr>
          <w:rFonts w:cs="Verdana"/>
          <w:caps/>
          <w:snapToGrid w:val="0"/>
          <w:szCs w:val="20"/>
        </w:rPr>
        <w:br/>
        <w:t>PUNTOS RESOLUTIVOS</w:t>
      </w:r>
      <w:bookmarkEnd w:id="77"/>
    </w:p>
    <w:p w14:paraId="0EA67230" w14:textId="77777777" w:rsidR="00324758" w:rsidRPr="00AD2165" w:rsidRDefault="00324758" w:rsidP="00324758">
      <w:pPr>
        <w:pStyle w:val="Prrafodelista2"/>
        <w:tabs>
          <w:tab w:val="left" w:pos="0"/>
          <w:tab w:val="num" w:pos="12305"/>
        </w:tabs>
        <w:ind w:left="0" w:right="-90"/>
        <w:jc w:val="both"/>
      </w:pPr>
      <w:r w:rsidRPr="00AD2165">
        <w:t xml:space="preserve">Por tanto, </w:t>
      </w:r>
    </w:p>
    <w:p w14:paraId="227747B9" w14:textId="77777777" w:rsidR="00324758" w:rsidRPr="00AD2165" w:rsidRDefault="00324758" w:rsidP="00324758">
      <w:pPr>
        <w:pStyle w:val="Prrafodelista2"/>
        <w:tabs>
          <w:tab w:val="left" w:pos="720"/>
        </w:tabs>
        <w:ind w:right="-90"/>
        <w:contextualSpacing/>
      </w:pPr>
    </w:p>
    <w:p w14:paraId="55074518" w14:textId="77777777" w:rsidR="00324758" w:rsidRPr="00AD2165" w:rsidRDefault="00324758" w:rsidP="00324758">
      <w:pPr>
        <w:pStyle w:val="Prrafodelista2"/>
        <w:tabs>
          <w:tab w:val="left" w:pos="720"/>
        </w:tabs>
        <w:ind w:left="0" w:right="-90"/>
        <w:contextualSpacing/>
      </w:pPr>
      <w:r w:rsidRPr="00AD2165">
        <w:rPr>
          <w:b/>
          <w:bCs/>
        </w:rPr>
        <w:t xml:space="preserve">LA CORTE </w:t>
      </w:r>
    </w:p>
    <w:p w14:paraId="12F28F1A" w14:textId="77777777" w:rsidR="00324758" w:rsidRPr="00AD2165" w:rsidRDefault="00324758" w:rsidP="00324758">
      <w:pPr>
        <w:pStyle w:val="Prrafodelista2"/>
        <w:tabs>
          <w:tab w:val="left" w:pos="720"/>
        </w:tabs>
        <w:ind w:left="0" w:right="-90"/>
        <w:contextualSpacing/>
      </w:pPr>
    </w:p>
    <w:p w14:paraId="7E6882B4" w14:textId="77777777" w:rsidR="00324758" w:rsidRPr="00AD2165" w:rsidRDefault="00324758" w:rsidP="00324758">
      <w:pPr>
        <w:pStyle w:val="Prrafodelista2"/>
        <w:tabs>
          <w:tab w:val="left" w:pos="720"/>
        </w:tabs>
        <w:ind w:left="0" w:right="-90"/>
        <w:contextualSpacing/>
        <w:rPr>
          <w:b/>
        </w:rPr>
      </w:pPr>
      <w:r w:rsidRPr="00AD2165">
        <w:rPr>
          <w:b/>
        </w:rPr>
        <w:t xml:space="preserve">DECIDE, </w:t>
      </w:r>
    </w:p>
    <w:p w14:paraId="0A6B1E51" w14:textId="77777777" w:rsidR="00324758" w:rsidRPr="00AD2165" w:rsidRDefault="00324758" w:rsidP="00324758">
      <w:pPr>
        <w:pStyle w:val="Prrafodelista2"/>
        <w:tabs>
          <w:tab w:val="left" w:pos="720"/>
        </w:tabs>
        <w:ind w:left="0" w:right="-90"/>
        <w:contextualSpacing/>
      </w:pPr>
      <w:r w:rsidRPr="00AD2165">
        <w:t xml:space="preserve"> </w:t>
      </w:r>
    </w:p>
    <w:p w14:paraId="4A76C4B2" w14:textId="5082841E" w:rsidR="00324758" w:rsidRPr="00A8512D" w:rsidRDefault="00324758" w:rsidP="00324758">
      <w:pPr>
        <w:pStyle w:val="Prrafodelista2"/>
        <w:tabs>
          <w:tab w:val="left" w:pos="720"/>
        </w:tabs>
        <w:ind w:left="0" w:right="-90"/>
        <w:contextualSpacing/>
      </w:pPr>
      <w:r w:rsidRPr="00AD2165">
        <w:t xml:space="preserve">Por </w:t>
      </w:r>
      <w:r w:rsidR="002E2250">
        <w:t>unanimidad</w:t>
      </w:r>
      <w:r w:rsidRPr="00A8512D">
        <w:t>,</w:t>
      </w:r>
      <w:r w:rsidR="002E2250">
        <w:t xml:space="preserve"> que:</w:t>
      </w:r>
      <w:r w:rsidRPr="00A8512D">
        <w:t xml:space="preserve"> </w:t>
      </w:r>
    </w:p>
    <w:p w14:paraId="4964AE24" w14:textId="77777777" w:rsidR="00324758" w:rsidRPr="00AD2165" w:rsidRDefault="00324758" w:rsidP="00B0111A">
      <w:pPr>
        <w:pStyle w:val="Prrafodelista2"/>
        <w:tabs>
          <w:tab w:val="left" w:pos="720"/>
        </w:tabs>
        <w:ind w:left="0" w:right="-90"/>
        <w:contextualSpacing/>
      </w:pPr>
    </w:p>
    <w:p w14:paraId="2FC04342" w14:textId="03D40959" w:rsidR="00B0111A" w:rsidRPr="007005FF" w:rsidRDefault="00B0111A"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CR"/>
        </w:rPr>
      </w:pPr>
      <w:r>
        <w:rPr>
          <w:rFonts w:ascii="Verdana" w:hAnsi="Verdana"/>
          <w:sz w:val="20"/>
          <w:szCs w:val="20"/>
          <w:lang w:val="es-MX"/>
        </w:rPr>
        <w:t xml:space="preserve">Desestimar </w:t>
      </w:r>
      <w:r w:rsidRPr="007005FF">
        <w:rPr>
          <w:rFonts w:ascii="Verdana" w:hAnsi="Verdana"/>
          <w:sz w:val="20"/>
          <w:szCs w:val="20"/>
          <w:lang w:val="es-ES"/>
        </w:rPr>
        <w:t xml:space="preserve">las </w:t>
      </w:r>
      <w:r w:rsidR="00D214EC" w:rsidRPr="001D51F0">
        <w:rPr>
          <w:rFonts w:ascii="Verdana" w:hAnsi="Verdana"/>
          <w:sz w:val="20"/>
          <w:szCs w:val="20"/>
          <w:lang w:val="es-ES"/>
        </w:rPr>
        <w:t>objeciones</w:t>
      </w:r>
      <w:r w:rsidRPr="007005FF">
        <w:rPr>
          <w:rFonts w:ascii="Verdana" w:hAnsi="Verdana"/>
          <w:sz w:val="20"/>
          <w:szCs w:val="20"/>
          <w:lang w:val="es-ES"/>
        </w:rPr>
        <w:t xml:space="preserve"> planteadas por el Estado </w:t>
      </w:r>
      <w:r>
        <w:rPr>
          <w:rFonts w:ascii="Verdana" w:hAnsi="Verdana"/>
          <w:sz w:val="20"/>
          <w:szCs w:val="20"/>
          <w:lang w:val="es-ES"/>
        </w:rPr>
        <w:t xml:space="preserve">relativas </w:t>
      </w:r>
      <w:r w:rsidRPr="00175E75">
        <w:rPr>
          <w:rFonts w:ascii="Verdana" w:hAnsi="Verdana"/>
          <w:sz w:val="20"/>
          <w:szCs w:val="20"/>
          <w:lang w:val="es-ES"/>
        </w:rPr>
        <w:t>a</w:t>
      </w:r>
      <w:r w:rsidR="00175E75" w:rsidRPr="00175E75">
        <w:rPr>
          <w:rFonts w:ascii="Verdana" w:hAnsi="Verdana"/>
          <w:sz w:val="20"/>
          <w:szCs w:val="20"/>
          <w:lang w:val="es-ES"/>
        </w:rPr>
        <w:t>l</w:t>
      </w:r>
      <w:r w:rsidR="00175E75" w:rsidRPr="005D0F69">
        <w:rPr>
          <w:rFonts w:ascii="Verdana" w:hAnsi="Verdana"/>
          <w:sz w:val="20"/>
          <w:szCs w:val="20"/>
          <w:lang w:val="es-MX"/>
        </w:rPr>
        <w:t xml:space="preserve"> </w:t>
      </w:r>
      <w:r w:rsidR="00343744" w:rsidRPr="00333304">
        <w:rPr>
          <w:rFonts w:ascii="Verdana" w:hAnsi="Verdana"/>
          <w:sz w:val="20"/>
          <w:szCs w:val="20"/>
          <w:lang w:val="es-MX"/>
        </w:rPr>
        <w:t>c</w:t>
      </w:r>
      <w:r w:rsidR="00175E75" w:rsidRPr="005D0F69">
        <w:rPr>
          <w:rFonts w:ascii="Verdana" w:hAnsi="Verdana"/>
          <w:sz w:val="20"/>
          <w:szCs w:val="20"/>
          <w:lang w:val="es-MX"/>
        </w:rPr>
        <w:t xml:space="preserve">ontrol de legalidad sobre el </w:t>
      </w:r>
      <w:r w:rsidR="000828BB">
        <w:rPr>
          <w:rFonts w:ascii="Verdana" w:hAnsi="Verdana"/>
          <w:sz w:val="20"/>
          <w:szCs w:val="20"/>
          <w:lang w:val="es-MX"/>
        </w:rPr>
        <w:t>I</w:t>
      </w:r>
      <w:r w:rsidR="00175E75" w:rsidRPr="005D0F69">
        <w:rPr>
          <w:rFonts w:ascii="Verdana" w:hAnsi="Verdana"/>
          <w:sz w:val="20"/>
          <w:szCs w:val="20"/>
          <w:lang w:val="es-MX"/>
        </w:rPr>
        <w:t xml:space="preserve">nforme de </w:t>
      </w:r>
      <w:r w:rsidR="000828BB">
        <w:rPr>
          <w:rFonts w:ascii="Verdana" w:hAnsi="Verdana"/>
          <w:sz w:val="20"/>
          <w:szCs w:val="20"/>
          <w:lang w:val="es-MX"/>
        </w:rPr>
        <w:t>A</w:t>
      </w:r>
      <w:r w:rsidR="00175E75" w:rsidRPr="005D0F69">
        <w:rPr>
          <w:rFonts w:ascii="Verdana" w:hAnsi="Verdana"/>
          <w:sz w:val="20"/>
          <w:szCs w:val="20"/>
          <w:lang w:val="es-MX"/>
        </w:rPr>
        <w:t xml:space="preserve">dmisibilidad </w:t>
      </w:r>
      <w:r w:rsidR="009A3098">
        <w:rPr>
          <w:rFonts w:ascii="Verdana" w:hAnsi="Verdana"/>
          <w:sz w:val="20"/>
          <w:szCs w:val="20"/>
          <w:lang w:val="es-MX"/>
        </w:rPr>
        <w:t>por</w:t>
      </w:r>
      <w:r w:rsidR="00175E75" w:rsidRPr="005D0F69">
        <w:rPr>
          <w:rFonts w:ascii="Verdana" w:hAnsi="Verdana"/>
          <w:sz w:val="20"/>
          <w:szCs w:val="20"/>
          <w:lang w:val="es-MX"/>
        </w:rPr>
        <w:t xml:space="preserve"> la C</w:t>
      </w:r>
      <w:r w:rsidR="00175E75">
        <w:rPr>
          <w:rFonts w:ascii="Verdana" w:hAnsi="Verdana"/>
          <w:sz w:val="20"/>
          <w:szCs w:val="20"/>
          <w:lang w:val="es-MX"/>
        </w:rPr>
        <w:t>omisión</w:t>
      </w:r>
      <w:r w:rsidR="00D214EC">
        <w:rPr>
          <w:rFonts w:ascii="Verdana" w:hAnsi="Verdana"/>
          <w:sz w:val="20"/>
          <w:szCs w:val="20"/>
          <w:lang w:val="es-MX"/>
        </w:rPr>
        <w:t>,</w:t>
      </w:r>
      <w:r w:rsidR="00175E75" w:rsidRPr="00175E75">
        <w:rPr>
          <w:rFonts w:ascii="Verdana" w:hAnsi="Verdana"/>
          <w:sz w:val="20"/>
          <w:szCs w:val="20"/>
          <w:lang w:val="es-ES"/>
        </w:rPr>
        <w:t xml:space="preserve"> </w:t>
      </w:r>
      <w:r w:rsidR="00D214EC">
        <w:rPr>
          <w:rFonts w:ascii="Verdana" w:hAnsi="Verdana"/>
          <w:sz w:val="20"/>
          <w:szCs w:val="20"/>
          <w:lang w:val="es-ES"/>
        </w:rPr>
        <w:t>a</w:t>
      </w:r>
      <w:r w:rsidR="00175E75" w:rsidRPr="00175E75">
        <w:rPr>
          <w:rFonts w:ascii="Verdana" w:hAnsi="Verdana"/>
          <w:sz w:val="20"/>
          <w:szCs w:val="20"/>
          <w:lang w:val="es-ES"/>
        </w:rPr>
        <w:t xml:space="preserve"> </w:t>
      </w:r>
      <w:r w:rsidRPr="007005FF">
        <w:rPr>
          <w:rFonts w:ascii="Verdana" w:hAnsi="Verdana"/>
          <w:sz w:val="20"/>
          <w:szCs w:val="20"/>
          <w:lang w:val="es-ES"/>
        </w:rPr>
        <w:t>la</w:t>
      </w:r>
      <w:r w:rsidR="00C96AF0">
        <w:rPr>
          <w:rFonts w:ascii="Verdana" w:hAnsi="Verdana"/>
          <w:sz w:val="20"/>
          <w:szCs w:val="20"/>
          <w:lang w:val="es-ES"/>
        </w:rPr>
        <w:t xml:space="preserve"> alegada</w:t>
      </w:r>
      <w:r w:rsidRPr="007005FF">
        <w:rPr>
          <w:rFonts w:ascii="Verdana" w:hAnsi="Verdana"/>
          <w:sz w:val="20"/>
          <w:szCs w:val="20"/>
          <w:lang w:val="es-ES"/>
        </w:rPr>
        <w:t xml:space="preserve"> </w:t>
      </w:r>
      <w:r w:rsidR="00D214EC">
        <w:rPr>
          <w:rFonts w:ascii="Verdana" w:hAnsi="Verdana"/>
          <w:sz w:val="20"/>
          <w:szCs w:val="20"/>
          <w:lang w:val="es-ES"/>
        </w:rPr>
        <w:t>ausencia del agotamiento de los recursos internos,</w:t>
      </w:r>
      <w:r w:rsidR="002A08A9">
        <w:rPr>
          <w:rFonts w:ascii="Verdana" w:hAnsi="Verdana"/>
          <w:sz w:val="20"/>
          <w:szCs w:val="20"/>
          <w:lang w:val="es-ES"/>
        </w:rPr>
        <w:t xml:space="preserve"> y</w:t>
      </w:r>
      <w:r w:rsidR="00730CA2">
        <w:rPr>
          <w:rFonts w:ascii="Verdana" w:hAnsi="Verdana"/>
          <w:sz w:val="20"/>
          <w:szCs w:val="20"/>
          <w:lang w:val="es-ES"/>
        </w:rPr>
        <w:t xml:space="preserve"> a la falta de competencia </w:t>
      </w:r>
      <w:r w:rsidR="002A08A9">
        <w:rPr>
          <w:rFonts w:ascii="Verdana" w:hAnsi="Verdana"/>
          <w:sz w:val="20"/>
          <w:szCs w:val="20"/>
          <w:lang w:val="es-ES"/>
        </w:rPr>
        <w:t>de la Comisión,</w:t>
      </w:r>
      <w:r w:rsidRPr="007005FF">
        <w:rPr>
          <w:rFonts w:ascii="Verdana" w:hAnsi="Verdana"/>
          <w:sz w:val="20"/>
          <w:szCs w:val="20"/>
          <w:lang w:val="es-ES"/>
        </w:rPr>
        <w:t xml:space="preserve"> </w:t>
      </w:r>
      <w:r w:rsidRPr="00B0111A">
        <w:rPr>
          <w:rFonts w:ascii="Verdana" w:hAnsi="Verdana"/>
          <w:sz w:val="20"/>
          <w:szCs w:val="20"/>
          <w:lang w:val="es-MX"/>
        </w:rPr>
        <w:t xml:space="preserve">en los términos </w:t>
      </w:r>
      <w:r w:rsidR="00882FB7">
        <w:rPr>
          <w:rFonts w:ascii="Verdana" w:hAnsi="Verdana"/>
          <w:sz w:val="20"/>
          <w:szCs w:val="20"/>
          <w:lang w:val="es-MX"/>
        </w:rPr>
        <w:t>de los</w:t>
      </w:r>
      <w:r w:rsidR="00604459">
        <w:rPr>
          <w:rFonts w:ascii="Verdana" w:hAnsi="Verdana"/>
          <w:sz w:val="20"/>
          <w:szCs w:val="20"/>
          <w:lang w:val="es-MX"/>
        </w:rPr>
        <w:t xml:space="preserve"> párrafo</w:t>
      </w:r>
      <w:r w:rsidR="00882FB7">
        <w:rPr>
          <w:rFonts w:ascii="Verdana" w:hAnsi="Verdana"/>
          <w:sz w:val="20"/>
          <w:szCs w:val="20"/>
          <w:lang w:val="es-MX"/>
        </w:rPr>
        <w:t>s 17 y 18</w:t>
      </w:r>
      <w:r w:rsidRPr="00B0111A">
        <w:rPr>
          <w:rFonts w:ascii="Verdana" w:hAnsi="Verdana"/>
          <w:sz w:val="20"/>
          <w:szCs w:val="20"/>
          <w:lang w:val="es-MX"/>
        </w:rPr>
        <w:t xml:space="preserve"> de la presente Sentencia</w:t>
      </w:r>
      <w:r>
        <w:rPr>
          <w:rFonts w:ascii="Verdana" w:hAnsi="Verdana"/>
          <w:sz w:val="20"/>
          <w:szCs w:val="20"/>
          <w:lang w:val="es-MX"/>
        </w:rPr>
        <w:t>.</w:t>
      </w:r>
    </w:p>
    <w:p w14:paraId="791D9F3F" w14:textId="77777777" w:rsidR="00324758" w:rsidRPr="00324758" w:rsidRDefault="00324758" w:rsidP="005B3D37">
      <w:pPr>
        <w:pStyle w:val="NormalNumbered"/>
        <w:numPr>
          <w:ilvl w:val="0"/>
          <w:numId w:val="0"/>
        </w:numPr>
      </w:pPr>
    </w:p>
    <w:p w14:paraId="0177D8E8" w14:textId="0E0F929E" w:rsidR="00CB46A0" w:rsidRDefault="00CB46A0"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MX"/>
        </w:rPr>
      </w:pPr>
      <w:r>
        <w:rPr>
          <w:rFonts w:ascii="Verdana" w:hAnsi="Verdana"/>
          <w:sz w:val="20"/>
          <w:szCs w:val="20"/>
          <w:lang w:val="es-MX"/>
        </w:rPr>
        <w:t xml:space="preserve">Desestimar la objeción del Estado sobre la inclusión del artículo 16 de la Convención en el Informe de fondo, </w:t>
      </w:r>
      <w:r w:rsidRPr="00CB46A0">
        <w:rPr>
          <w:rFonts w:ascii="Verdana" w:hAnsi="Verdana"/>
          <w:sz w:val="20"/>
          <w:szCs w:val="20"/>
          <w:lang w:val="es-MX"/>
        </w:rPr>
        <w:t xml:space="preserve">en los términos de los párrafos </w:t>
      </w:r>
      <w:r w:rsidR="00882FB7">
        <w:rPr>
          <w:rFonts w:ascii="Verdana" w:hAnsi="Verdana"/>
          <w:sz w:val="20"/>
          <w:szCs w:val="20"/>
          <w:lang w:val="es-MX"/>
        </w:rPr>
        <w:t>20 a 23</w:t>
      </w:r>
      <w:r w:rsidRPr="00CB46A0">
        <w:rPr>
          <w:rFonts w:ascii="Verdana" w:hAnsi="Verdana"/>
          <w:sz w:val="20"/>
          <w:szCs w:val="20"/>
          <w:lang w:val="es-MX"/>
        </w:rPr>
        <w:t xml:space="preserve"> de la presente Sentencia. </w:t>
      </w:r>
    </w:p>
    <w:p w14:paraId="72C0D6D9" w14:textId="77777777" w:rsidR="00CB46A0" w:rsidRDefault="00CB46A0" w:rsidP="00CB46A0">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4A28213D" w14:textId="05F299CA" w:rsidR="00CB46A0" w:rsidRDefault="00CB46A0"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MX"/>
        </w:rPr>
      </w:pPr>
      <w:r w:rsidRPr="00CB46A0">
        <w:rPr>
          <w:rFonts w:ascii="Verdana" w:hAnsi="Verdana"/>
          <w:sz w:val="20"/>
          <w:szCs w:val="20"/>
          <w:lang w:val="es-MX"/>
        </w:rPr>
        <w:t>Desestimar la objeción planteada por el Estado relativa a</w:t>
      </w:r>
      <w:r>
        <w:rPr>
          <w:rFonts w:ascii="Verdana" w:hAnsi="Verdana"/>
          <w:sz w:val="20"/>
          <w:szCs w:val="20"/>
          <w:lang w:val="es-MX"/>
        </w:rPr>
        <w:t xml:space="preserve"> la delimitación temporal del </w:t>
      </w:r>
      <w:r>
        <w:rPr>
          <w:rFonts w:ascii="Verdana" w:hAnsi="Verdana"/>
          <w:sz w:val="20"/>
          <w:szCs w:val="20"/>
          <w:lang w:val="es-MX"/>
        </w:rPr>
        <w:lastRenderedPageBreak/>
        <w:t xml:space="preserve">análisis de acciones judiciales y el marco fáctico e inclusión de afectaciones no contenidas en el Informe de Fondo, </w:t>
      </w:r>
      <w:r w:rsidRPr="00CB46A0">
        <w:rPr>
          <w:rFonts w:ascii="Verdana" w:hAnsi="Verdana"/>
          <w:sz w:val="20"/>
          <w:szCs w:val="20"/>
          <w:lang w:val="es-MX"/>
        </w:rPr>
        <w:t xml:space="preserve">en los términos de los párrafos </w:t>
      </w:r>
      <w:r w:rsidR="00882FB7">
        <w:rPr>
          <w:rFonts w:ascii="Verdana" w:hAnsi="Verdana"/>
          <w:sz w:val="20"/>
          <w:szCs w:val="20"/>
          <w:lang w:val="es-MX"/>
        </w:rPr>
        <w:t>24 y 25</w:t>
      </w:r>
      <w:r w:rsidRPr="00CB46A0">
        <w:rPr>
          <w:rFonts w:ascii="Verdana" w:hAnsi="Verdana"/>
          <w:sz w:val="20"/>
          <w:szCs w:val="20"/>
          <w:lang w:val="es-MX"/>
        </w:rPr>
        <w:t xml:space="preserve"> de la presente Sentencia.</w:t>
      </w:r>
    </w:p>
    <w:p w14:paraId="5C5AA247" w14:textId="77777777" w:rsidR="00324758" w:rsidRPr="00464C90" w:rsidRDefault="00324758" w:rsidP="00324758">
      <w:pPr>
        <w:pStyle w:val="Prrafodelista2"/>
        <w:tabs>
          <w:tab w:val="left" w:pos="720"/>
        </w:tabs>
        <w:ind w:left="0" w:right="-90"/>
        <w:contextualSpacing/>
        <w:rPr>
          <w:b/>
          <w:bCs/>
        </w:rPr>
      </w:pPr>
    </w:p>
    <w:p w14:paraId="1C107622" w14:textId="77777777" w:rsidR="00324758" w:rsidRPr="00FB6A50" w:rsidRDefault="00324758" w:rsidP="00324758">
      <w:pPr>
        <w:pStyle w:val="Prrafodelista2"/>
        <w:tabs>
          <w:tab w:val="left" w:pos="720"/>
        </w:tabs>
        <w:ind w:left="0" w:right="-90"/>
        <w:contextualSpacing/>
      </w:pPr>
      <w:r w:rsidRPr="00464C90">
        <w:rPr>
          <w:b/>
          <w:bCs/>
        </w:rPr>
        <w:t xml:space="preserve">DECLARA: </w:t>
      </w:r>
    </w:p>
    <w:p w14:paraId="3E90AA5A" w14:textId="77777777" w:rsidR="00324758" w:rsidRPr="008059FF" w:rsidRDefault="00324758" w:rsidP="00324758">
      <w:pPr>
        <w:pStyle w:val="Prrafodelista2"/>
        <w:tabs>
          <w:tab w:val="left" w:pos="720"/>
        </w:tabs>
        <w:ind w:left="0" w:right="-90"/>
        <w:contextualSpacing/>
      </w:pPr>
    </w:p>
    <w:p w14:paraId="4EE41AC8" w14:textId="7D716443" w:rsidR="00324758" w:rsidRPr="00A8512D" w:rsidRDefault="00324758" w:rsidP="00324758">
      <w:pPr>
        <w:pStyle w:val="Prrafodelista2"/>
        <w:ind w:left="0" w:right="-90"/>
        <w:contextualSpacing/>
      </w:pPr>
      <w:r w:rsidRPr="008059FF">
        <w:t xml:space="preserve">Por </w:t>
      </w:r>
      <w:r w:rsidR="000828BB">
        <w:t>unanimidad</w:t>
      </w:r>
      <w:r w:rsidRPr="00A8512D">
        <w:t>, que:</w:t>
      </w:r>
    </w:p>
    <w:p w14:paraId="1FE44D90" w14:textId="77777777" w:rsidR="00324758" w:rsidRPr="00AD2165" w:rsidRDefault="00324758" w:rsidP="00324758">
      <w:pPr>
        <w:pStyle w:val="Prrafodelista2"/>
        <w:ind w:left="0" w:right="-90"/>
        <w:contextualSpacing/>
      </w:pPr>
    </w:p>
    <w:p w14:paraId="5B278E9C" w14:textId="6F9A5CCD" w:rsidR="00401656" w:rsidRPr="00B06027" w:rsidRDefault="00BF0FD7" w:rsidP="00401656">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CR"/>
        </w:rPr>
      </w:pPr>
      <w:r>
        <w:rPr>
          <w:rFonts w:ascii="Verdana" w:hAnsi="Verdana"/>
          <w:sz w:val="20"/>
          <w:szCs w:val="20"/>
          <w:lang w:val="es-MX"/>
        </w:rPr>
        <w:t>E</w:t>
      </w:r>
      <w:r w:rsidRPr="00BF0FD7">
        <w:rPr>
          <w:rFonts w:ascii="Verdana" w:hAnsi="Verdana"/>
          <w:sz w:val="20"/>
          <w:szCs w:val="20"/>
        </w:rPr>
        <w:t>l E</w:t>
      </w:r>
      <w:r w:rsidRPr="006B755F">
        <w:rPr>
          <w:rFonts w:ascii="Verdana" w:hAnsi="Verdana"/>
          <w:sz w:val="20"/>
          <w:szCs w:val="20"/>
        </w:rPr>
        <w:t>stado es responsable por la violación a</w:t>
      </w:r>
      <w:r w:rsidR="00172797" w:rsidRPr="006B755F">
        <w:rPr>
          <w:rFonts w:ascii="Verdana" w:hAnsi="Verdana"/>
          <w:sz w:val="20"/>
          <w:szCs w:val="20"/>
        </w:rPr>
        <w:t xml:space="preserve"> los</w:t>
      </w:r>
      <w:r w:rsidRPr="006B755F">
        <w:rPr>
          <w:rFonts w:ascii="Verdana" w:hAnsi="Verdana"/>
          <w:sz w:val="20"/>
          <w:szCs w:val="20"/>
        </w:rPr>
        <w:t xml:space="preserve"> derecho</w:t>
      </w:r>
      <w:r w:rsidR="00172797" w:rsidRPr="006B755F">
        <w:rPr>
          <w:rFonts w:ascii="Verdana" w:hAnsi="Verdana"/>
          <w:sz w:val="20"/>
          <w:szCs w:val="20"/>
        </w:rPr>
        <w:t>s</w:t>
      </w:r>
      <w:r w:rsidRPr="006B755F">
        <w:rPr>
          <w:rFonts w:ascii="Verdana" w:hAnsi="Verdana"/>
          <w:sz w:val="20"/>
          <w:szCs w:val="20"/>
        </w:rPr>
        <w:t xml:space="preserve"> a la libertad de pensamiento </w:t>
      </w:r>
      <w:r w:rsidR="00172797" w:rsidRPr="006B755F">
        <w:rPr>
          <w:rFonts w:ascii="Verdana" w:hAnsi="Verdana"/>
          <w:sz w:val="20"/>
          <w:szCs w:val="20"/>
        </w:rPr>
        <w:t xml:space="preserve">y </w:t>
      </w:r>
      <w:r w:rsidRPr="006B755F">
        <w:rPr>
          <w:rFonts w:ascii="Verdana" w:hAnsi="Verdana"/>
          <w:sz w:val="20"/>
          <w:szCs w:val="20"/>
        </w:rPr>
        <w:t>expresión</w:t>
      </w:r>
      <w:r w:rsidR="006B755F">
        <w:rPr>
          <w:rFonts w:ascii="Verdana" w:hAnsi="Verdana"/>
          <w:sz w:val="20"/>
          <w:szCs w:val="20"/>
        </w:rPr>
        <w:t xml:space="preserve"> y</w:t>
      </w:r>
      <w:r w:rsidR="00172797" w:rsidRPr="006B755F">
        <w:rPr>
          <w:rFonts w:ascii="Verdana" w:hAnsi="Verdana"/>
          <w:sz w:val="20"/>
          <w:szCs w:val="20"/>
        </w:rPr>
        <w:t xml:space="preserve"> garantías judiciales</w:t>
      </w:r>
      <w:r w:rsidR="0088700B" w:rsidRPr="006B755F">
        <w:rPr>
          <w:rFonts w:ascii="Verdana" w:hAnsi="Verdana"/>
          <w:sz w:val="20"/>
          <w:szCs w:val="20"/>
        </w:rPr>
        <w:t>,</w:t>
      </w:r>
      <w:r w:rsidR="00401656" w:rsidRPr="006B755F">
        <w:rPr>
          <w:rFonts w:ascii="Verdana" w:hAnsi="Verdana"/>
          <w:sz w:val="20"/>
          <w:szCs w:val="20"/>
        </w:rPr>
        <w:t xml:space="preserve"> reconocidos en los artículos 13.2 y 8.2 de la Convención Americana, </w:t>
      </w:r>
      <w:r w:rsidR="00401656" w:rsidRPr="006B755F">
        <w:rPr>
          <w:rFonts w:ascii="Verdana" w:hAnsi="Verdana"/>
          <w:sz w:val="20"/>
        </w:rPr>
        <w:t xml:space="preserve">en relación con el artículo 1.1 de la misma, en perjuicio del señor Lagos del Campo, </w:t>
      </w:r>
      <w:r w:rsidR="00401656" w:rsidRPr="006B755F">
        <w:rPr>
          <w:rFonts w:ascii="Verdana" w:hAnsi="Verdana"/>
          <w:sz w:val="20"/>
          <w:szCs w:val="20"/>
          <w:lang w:val="es-MX"/>
        </w:rPr>
        <w:t xml:space="preserve">en los </w:t>
      </w:r>
      <w:r w:rsidR="00882FB7">
        <w:rPr>
          <w:rFonts w:ascii="Verdana" w:hAnsi="Verdana"/>
          <w:sz w:val="20"/>
          <w:szCs w:val="20"/>
          <w:lang w:val="es-MX"/>
        </w:rPr>
        <w:t>términos de los párrafos 88 a 132</w:t>
      </w:r>
      <w:r w:rsidR="00401656" w:rsidRPr="006B755F">
        <w:rPr>
          <w:rFonts w:ascii="Verdana" w:hAnsi="Verdana"/>
          <w:sz w:val="20"/>
          <w:szCs w:val="20"/>
          <w:lang w:val="es-MX"/>
        </w:rPr>
        <w:t xml:space="preserve"> de la presente Sentencia.</w:t>
      </w:r>
    </w:p>
    <w:p w14:paraId="32E196EB" w14:textId="77777777" w:rsidR="00401656" w:rsidRDefault="00401656" w:rsidP="00B06027">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183C3021" w14:textId="2454EB90" w:rsidR="000828BB" w:rsidRPr="00A8512D" w:rsidRDefault="000828BB" w:rsidP="000828BB">
      <w:pPr>
        <w:pStyle w:val="Prrafodelista2"/>
        <w:ind w:left="0" w:right="-90"/>
        <w:contextualSpacing/>
      </w:pPr>
      <w:r w:rsidRPr="008059FF">
        <w:t xml:space="preserve">Por </w:t>
      </w:r>
      <w:r>
        <w:t xml:space="preserve">cinco votos </w:t>
      </w:r>
      <w:r w:rsidR="002E2250">
        <w:t xml:space="preserve">a favor y dos en </w:t>
      </w:r>
      <w:r>
        <w:t>contra</w:t>
      </w:r>
      <w:r w:rsidRPr="00A8512D">
        <w:t>, que:</w:t>
      </w:r>
    </w:p>
    <w:p w14:paraId="0EBB81A4" w14:textId="77777777" w:rsidR="000828BB" w:rsidRPr="006B755F" w:rsidRDefault="000828BB" w:rsidP="00B06027">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1BA9245D" w14:textId="1A7703EF" w:rsidR="00324758" w:rsidRPr="00B06027" w:rsidRDefault="00401656" w:rsidP="00401656">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CR"/>
        </w:rPr>
      </w:pPr>
      <w:r w:rsidRPr="006B755F">
        <w:rPr>
          <w:rFonts w:ascii="Verdana" w:hAnsi="Verdana"/>
          <w:sz w:val="20"/>
          <w:szCs w:val="20"/>
          <w:lang w:val="es-MX"/>
        </w:rPr>
        <w:t>E</w:t>
      </w:r>
      <w:r w:rsidRPr="006B755F">
        <w:rPr>
          <w:rFonts w:ascii="Verdana" w:hAnsi="Verdana"/>
          <w:sz w:val="20"/>
          <w:szCs w:val="20"/>
        </w:rPr>
        <w:t xml:space="preserve">l Estado es responsable por la violación al derecho a la </w:t>
      </w:r>
      <w:r w:rsidR="007C10CE" w:rsidRPr="00B06027">
        <w:rPr>
          <w:rFonts w:ascii="Verdana" w:hAnsi="Verdana"/>
          <w:sz w:val="20"/>
          <w:szCs w:val="20"/>
        </w:rPr>
        <w:t xml:space="preserve">estabilidad </w:t>
      </w:r>
      <w:r w:rsidRPr="00B06027">
        <w:rPr>
          <w:rFonts w:ascii="Verdana" w:hAnsi="Verdana"/>
          <w:sz w:val="20"/>
          <w:szCs w:val="20"/>
        </w:rPr>
        <w:t xml:space="preserve">laboral, </w:t>
      </w:r>
      <w:r w:rsidR="00487AE7" w:rsidRPr="006B755F">
        <w:rPr>
          <w:rFonts w:ascii="Verdana" w:hAnsi="Verdana"/>
          <w:sz w:val="20"/>
          <w:szCs w:val="20"/>
        </w:rPr>
        <w:t>reconocido</w:t>
      </w:r>
      <w:r w:rsidR="00BF0FD7" w:rsidRPr="006B755F">
        <w:rPr>
          <w:rFonts w:ascii="Verdana" w:hAnsi="Verdana"/>
          <w:sz w:val="20"/>
          <w:szCs w:val="20"/>
        </w:rPr>
        <w:t xml:space="preserve"> en </w:t>
      </w:r>
      <w:r w:rsidRPr="006B755F">
        <w:rPr>
          <w:rFonts w:ascii="Verdana" w:hAnsi="Verdana"/>
          <w:sz w:val="20"/>
          <w:szCs w:val="20"/>
        </w:rPr>
        <w:t>el</w:t>
      </w:r>
      <w:r w:rsidR="00BF0FD7" w:rsidRPr="006B755F">
        <w:rPr>
          <w:rFonts w:ascii="Verdana" w:hAnsi="Verdana"/>
          <w:sz w:val="20"/>
          <w:szCs w:val="20"/>
        </w:rPr>
        <w:t xml:space="preserve"> artículo</w:t>
      </w:r>
      <w:r w:rsidRPr="006B755F">
        <w:rPr>
          <w:rFonts w:ascii="Verdana" w:hAnsi="Verdana"/>
          <w:sz w:val="20"/>
          <w:szCs w:val="20"/>
        </w:rPr>
        <w:t xml:space="preserve"> </w:t>
      </w:r>
      <w:r w:rsidR="007C10CE" w:rsidRPr="00B06027">
        <w:rPr>
          <w:rFonts w:ascii="Verdana" w:hAnsi="Verdana"/>
          <w:sz w:val="20"/>
          <w:szCs w:val="20"/>
        </w:rPr>
        <w:t>26</w:t>
      </w:r>
      <w:r w:rsidR="00F830E9" w:rsidRPr="00B06027">
        <w:rPr>
          <w:rFonts w:ascii="Verdana" w:hAnsi="Verdana"/>
          <w:sz w:val="20"/>
          <w:szCs w:val="20"/>
        </w:rPr>
        <w:t xml:space="preserve"> </w:t>
      </w:r>
      <w:r w:rsidR="00BF0FD7" w:rsidRPr="006B755F">
        <w:rPr>
          <w:rFonts w:ascii="Verdana" w:hAnsi="Verdana"/>
          <w:sz w:val="20"/>
          <w:szCs w:val="20"/>
        </w:rPr>
        <w:t xml:space="preserve">de la Convención Americana, </w:t>
      </w:r>
      <w:r w:rsidR="00BF0FD7" w:rsidRPr="006B755F">
        <w:rPr>
          <w:rFonts w:ascii="Verdana" w:hAnsi="Verdana"/>
          <w:sz w:val="20"/>
        </w:rPr>
        <w:t>en relación con</w:t>
      </w:r>
      <w:r w:rsidR="00BE5724" w:rsidRPr="006B755F">
        <w:rPr>
          <w:rFonts w:ascii="Verdana" w:hAnsi="Verdana"/>
          <w:sz w:val="20"/>
        </w:rPr>
        <w:t xml:space="preserve"> </w:t>
      </w:r>
      <w:r w:rsidRPr="006B755F">
        <w:rPr>
          <w:rFonts w:ascii="Verdana" w:hAnsi="Verdana"/>
          <w:sz w:val="20"/>
        </w:rPr>
        <w:t>los</w:t>
      </w:r>
      <w:r w:rsidR="00BF0FD7" w:rsidRPr="006B755F">
        <w:rPr>
          <w:rFonts w:ascii="Verdana" w:hAnsi="Verdana"/>
          <w:sz w:val="20"/>
        </w:rPr>
        <w:t xml:space="preserve"> artículo</w:t>
      </w:r>
      <w:r w:rsidRPr="006B755F">
        <w:rPr>
          <w:rFonts w:ascii="Verdana" w:hAnsi="Verdana"/>
          <w:sz w:val="20"/>
        </w:rPr>
        <w:t>s</w:t>
      </w:r>
      <w:r w:rsidR="00BF0FD7" w:rsidRPr="006B755F">
        <w:rPr>
          <w:rFonts w:ascii="Verdana" w:hAnsi="Verdana"/>
          <w:sz w:val="20"/>
        </w:rPr>
        <w:t xml:space="preserve"> 1.1</w:t>
      </w:r>
      <w:r w:rsidRPr="006B755F">
        <w:rPr>
          <w:rFonts w:ascii="Verdana" w:hAnsi="Verdana"/>
          <w:sz w:val="20"/>
        </w:rPr>
        <w:t>, 13, 8 y 16</w:t>
      </w:r>
      <w:r w:rsidR="00BF0FD7" w:rsidRPr="006B755F">
        <w:rPr>
          <w:rFonts w:ascii="Verdana" w:hAnsi="Verdana"/>
          <w:sz w:val="20"/>
        </w:rPr>
        <w:t xml:space="preserve"> de la misma, en perj</w:t>
      </w:r>
      <w:r w:rsidR="00604459" w:rsidRPr="006B755F">
        <w:rPr>
          <w:rFonts w:ascii="Verdana" w:hAnsi="Verdana"/>
          <w:sz w:val="20"/>
        </w:rPr>
        <w:t xml:space="preserve">uicio del señor Lagos del Campo, </w:t>
      </w:r>
      <w:r w:rsidR="00604459" w:rsidRPr="006B755F">
        <w:rPr>
          <w:rFonts w:ascii="Verdana" w:hAnsi="Verdana"/>
          <w:sz w:val="20"/>
          <w:szCs w:val="20"/>
          <w:lang w:val="es-MX"/>
        </w:rPr>
        <w:t>en</w:t>
      </w:r>
      <w:r w:rsidR="00882FB7">
        <w:rPr>
          <w:rFonts w:ascii="Verdana" w:hAnsi="Verdana"/>
          <w:sz w:val="20"/>
          <w:szCs w:val="20"/>
          <w:lang w:val="es-MX"/>
        </w:rPr>
        <w:t xml:space="preserve"> los términos de los párrafos 133</w:t>
      </w:r>
      <w:r w:rsidR="00604459" w:rsidRPr="006B755F">
        <w:rPr>
          <w:rFonts w:ascii="Verdana" w:hAnsi="Verdana"/>
          <w:sz w:val="20"/>
          <w:szCs w:val="20"/>
          <w:lang w:val="es-MX"/>
        </w:rPr>
        <w:t xml:space="preserve"> a </w:t>
      </w:r>
      <w:r w:rsidR="00882FB7">
        <w:rPr>
          <w:rFonts w:ascii="Verdana" w:hAnsi="Verdana"/>
          <w:sz w:val="20"/>
          <w:szCs w:val="20"/>
          <w:lang w:val="es-MX"/>
        </w:rPr>
        <w:t>154 y 166</w:t>
      </w:r>
      <w:r w:rsidR="00604459" w:rsidRPr="006B755F">
        <w:rPr>
          <w:rFonts w:ascii="Verdana" w:hAnsi="Verdana"/>
          <w:sz w:val="20"/>
          <w:szCs w:val="20"/>
          <w:lang w:val="es-MX"/>
        </w:rPr>
        <w:t xml:space="preserve"> de la presente Sentencia.</w:t>
      </w:r>
    </w:p>
    <w:p w14:paraId="62D91D9B" w14:textId="77777777" w:rsidR="00401656" w:rsidRPr="00B06027" w:rsidRDefault="00401656" w:rsidP="00B06027">
      <w:pPr>
        <w:pStyle w:val="ListParagraph"/>
        <w:rPr>
          <w:rFonts w:ascii="Verdana" w:hAnsi="Verdana"/>
          <w:sz w:val="20"/>
          <w:szCs w:val="20"/>
          <w:lang w:val="es-CR"/>
        </w:rPr>
      </w:pPr>
    </w:p>
    <w:p w14:paraId="293D0243" w14:textId="7B84132C" w:rsidR="00401656" w:rsidRPr="006B755F" w:rsidRDefault="00401656" w:rsidP="00B0602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CR"/>
        </w:rPr>
      </w:pPr>
      <w:r w:rsidRPr="006B755F">
        <w:rPr>
          <w:rFonts w:ascii="Verdana" w:hAnsi="Verdana"/>
          <w:sz w:val="20"/>
          <w:szCs w:val="20"/>
          <w:lang w:val="es-MX"/>
        </w:rPr>
        <w:t>E</w:t>
      </w:r>
      <w:r w:rsidRPr="006B755F">
        <w:rPr>
          <w:rFonts w:ascii="Verdana" w:hAnsi="Verdana"/>
          <w:sz w:val="20"/>
          <w:szCs w:val="20"/>
        </w:rPr>
        <w:t>l Estado es responsable por la violación al derecho a la</w:t>
      </w:r>
      <w:r w:rsidR="007F5D36" w:rsidRPr="00B06027">
        <w:rPr>
          <w:rFonts w:ascii="Verdana" w:hAnsi="Verdana"/>
          <w:sz w:val="20"/>
          <w:szCs w:val="20"/>
        </w:rPr>
        <w:t xml:space="preserve"> </w:t>
      </w:r>
      <w:r w:rsidR="006B755F" w:rsidRPr="00B06027">
        <w:rPr>
          <w:rFonts w:ascii="Verdana" w:hAnsi="Verdana"/>
          <w:sz w:val="20"/>
          <w:szCs w:val="20"/>
        </w:rPr>
        <w:t>libertad de asociación</w:t>
      </w:r>
      <w:r w:rsidRPr="00B06027">
        <w:rPr>
          <w:rFonts w:ascii="Verdana" w:hAnsi="Verdana"/>
          <w:sz w:val="20"/>
          <w:szCs w:val="20"/>
        </w:rPr>
        <w:t xml:space="preserve">, </w:t>
      </w:r>
      <w:r w:rsidR="006B755F">
        <w:rPr>
          <w:rFonts w:ascii="Verdana" w:hAnsi="Verdana"/>
          <w:sz w:val="20"/>
          <w:szCs w:val="20"/>
        </w:rPr>
        <w:t>reconocido</w:t>
      </w:r>
      <w:r w:rsidRPr="006B755F">
        <w:rPr>
          <w:rFonts w:ascii="Verdana" w:hAnsi="Verdana"/>
          <w:sz w:val="20"/>
          <w:szCs w:val="20"/>
        </w:rPr>
        <w:t xml:space="preserve"> en </w:t>
      </w:r>
      <w:r w:rsidR="006B755F" w:rsidRPr="006B755F">
        <w:rPr>
          <w:rFonts w:ascii="Verdana" w:hAnsi="Verdana"/>
          <w:sz w:val="20"/>
          <w:szCs w:val="20"/>
        </w:rPr>
        <w:t>los</w:t>
      </w:r>
      <w:r w:rsidRPr="006B755F">
        <w:rPr>
          <w:rFonts w:ascii="Verdana" w:hAnsi="Verdana"/>
          <w:sz w:val="20"/>
          <w:szCs w:val="20"/>
        </w:rPr>
        <w:t xml:space="preserve"> artículo</w:t>
      </w:r>
      <w:r w:rsidR="006B755F" w:rsidRPr="006B755F">
        <w:rPr>
          <w:rFonts w:ascii="Verdana" w:hAnsi="Verdana"/>
          <w:sz w:val="20"/>
          <w:szCs w:val="20"/>
        </w:rPr>
        <w:t>s</w:t>
      </w:r>
      <w:r w:rsidRPr="006B755F">
        <w:rPr>
          <w:rFonts w:ascii="Verdana" w:hAnsi="Verdana"/>
          <w:sz w:val="20"/>
          <w:szCs w:val="20"/>
        </w:rPr>
        <w:t xml:space="preserve"> </w:t>
      </w:r>
      <w:r w:rsidR="006B755F" w:rsidRPr="00B06027">
        <w:rPr>
          <w:rFonts w:ascii="Verdana" w:hAnsi="Verdana"/>
          <w:sz w:val="20"/>
          <w:szCs w:val="20"/>
        </w:rPr>
        <w:t>1</w:t>
      </w:r>
      <w:r w:rsidRPr="00B06027">
        <w:rPr>
          <w:rFonts w:ascii="Verdana" w:hAnsi="Verdana"/>
          <w:sz w:val="20"/>
          <w:szCs w:val="20"/>
        </w:rPr>
        <w:t xml:space="preserve">6 </w:t>
      </w:r>
      <w:r w:rsidR="006B755F" w:rsidRPr="00B06027">
        <w:rPr>
          <w:rFonts w:ascii="Verdana" w:hAnsi="Verdana"/>
          <w:sz w:val="20"/>
          <w:szCs w:val="20"/>
        </w:rPr>
        <w:t xml:space="preserve">y 26 </w:t>
      </w:r>
      <w:r w:rsidRPr="006B755F">
        <w:rPr>
          <w:rFonts w:ascii="Verdana" w:hAnsi="Verdana"/>
          <w:sz w:val="20"/>
          <w:szCs w:val="20"/>
        </w:rPr>
        <w:t xml:space="preserve">de la Convención Americana, </w:t>
      </w:r>
      <w:r w:rsidRPr="006B755F">
        <w:rPr>
          <w:rFonts w:ascii="Verdana" w:hAnsi="Verdana"/>
          <w:sz w:val="20"/>
        </w:rPr>
        <w:t>en relación con los artículos 1.1</w:t>
      </w:r>
      <w:r w:rsidR="006B755F" w:rsidRPr="006B755F">
        <w:rPr>
          <w:rFonts w:ascii="Verdana" w:hAnsi="Verdana"/>
          <w:sz w:val="20"/>
        </w:rPr>
        <w:t>, 13 y 8</w:t>
      </w:r>
      <w:r w:rsidRPr="006B755F">
        <w:rPr>
          <w:rFonts w:ascii="Verdana" w:hAnsi="Verdana"/>
          <w:sz w:val="20"/>
        </w:rPr>
        <w:t xml:space="preserve"> de la misma, en perjuicio del señor Lagos del Campo, </w:t>
      </w:r>
      <w:r w:rsidRPr="006B755F">
        <w:rPr>
          <w:rFonts w:ascii="Verdana" w:hAnsi="Verdana"/>
          <w:sz w:val="20"/>
          <w:szCs w:val="20"/>
          <w:lang w:val="es-MX"/>
        </w:rPr>
        <w:t>en</w:t>
      </w:r>
      <w:r w:rsidR="00882FB7">
        <w:rPr>
          <w:rFonts w:ascii="Verdana" w:hAnsi="Verdana"/>
          <w:sz w:val="20"/>
          <w:szCs w:val="20"/>
          <w:lang w:val="es-MX"/>
        </w:rPr>
        <w:t xml:space="preserve"> los términos de los párrafos 155 a 163</w:t>
      </w:r>
      <w:r w:rsidRPr="006B755F">
        <w:rPr>
          <w:rFonts w:ascii="Verdana" w:hAnsi="Verdana"/>
          <w:sz w:val="20"/>
          <w:szCs w:val="20"/>
          <w:lang w:val="es-MX"/>
        </w:rPr>
        <w:t xml:space="preserve"> de la presente Sentencia.</w:t>
      </w:r>
    </w:p>
    <w:p w14:paraId="508B3B6B" w14:textId="77777777" w:rsidR="00F830E9" w:rsidRDefault="00F830E9" w:rsidP="00801513">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12D783D3" w14:textId="24494F86" w:rsidR="002E2250" w:rsidRDefault="0044649E" w:rsidP="00801513">
      <w:pPr>
        <w:pStyle w:val="ListParagraph"/>
        <w:widowControl w:val="0"/>
        <w:tabs>
          <w:tab w:val="center" w:pos="567"/>
        </w:tabs>
        <w:autoSpaceDE w:val="0"/>
        <w:autoSpaceDN w:val="0"/>
        <w:adjustRightInd w:val="0"/>
        <w:ind w:left="0" w:right="-90"/>
        <w:jc w:val="both"/>
        <w:rPr>
          <w:rFonts w:ascii="Verdana" w:hAnsi="Verdana"/>
          <w:sz w:val="20"/>
          <w:szCs w:val="20"/>
          <w:lang w:val="es-CR"/>
        </w:rPr>
      </w:pPr>
      <w:r>
        <w:rPr>
          <w:rFonts w:ascii="Verdana" w:hAnsi="Verdana"/>
          <w:sz w:val="20"/>
          <w:szCs w:val="20"/>
          <w:lang w:val="es-CR"/>
        </w:rPr>
        <w:t xml:space="preserve">Disienten los </w:t>
      </w:r>
      <w:r w:rsidR="00341FCF">
        <w:rPr>
          <w:rFonts w:ascii="Verdana" w:hAnsi="Verdana"/>
          <w:sz w:val="20"/>
          <w:szCs w:val="20"/>
          <w:lang w:val="es-CR"/>
        </w:rPr>
        <w:t>j</w:t>
      </w:r>
      <w:r w:rsidR="002E2250">
        <w:rPr>
          <w:rFonts w:ascii="Verdana" w:hAnsi="Verdana"/>
          <w:sz w:val="20"/>
          <w:szCs w:val="20"/>
          <w:lang w:val="es-CR"/>
        </w:rPr>
        <w:t>ueces Eduardo Vio Grossi y Humberto Antonio Sierra Porto</w:t>
      </w:r>
      <w:r w:rsidR="002F31BD">
        <w:rPr>
          <w:rFonts w:ascii="Verdana" w:hAnsi="Verdana"/>
          <w:sz w:val="20"/>
          <w:szCs w:val="20"/>
          <w:lang w:val="es-CR"/>
        </w:rPr>
        <w:t>.</w:t>
      </w:r>
    </w:p>
    <w:p w14:paraId="4DFA470A" w14:textId="77777777" w:rsidR="00B74567" w:rsidRDefault="00B74567" w:rsidP="000828BB">
      <w:pPr>
        <w:pStyle w:val="Prrafodelista2"/>
        <w:ind w:left="0" w:right="-90"/>
        <w:contextualSpacing/>
      </w:pPr>
    </w:p>
    <w:p w14:paraId="218F1C80" w14:textId="77777777" w:rsidR="000828BB" w:rsidRPr="00A8512D" w:rsidRDefault="000828BB" w:rsidP="000828BB">
      <w:pPr>
        <w:pStyle w:val="Prrafodelista2"/>
        <w:ind w:left="0" w:right="-90"/>
        <w:contextualSpacing/>
      </w:pPr>
      <w:r w:rsidRPr="008059FF">
        <w:t xml:space="preserve">Por </w:t>
      </w:r>
      <w:r>
        <w:t>unanimidad</w:t>
      </w:r>
      <w:r w:rsidRPr="00A8512D">
        <w:t>, que:</w:t>
      </w:r>
    </w:p>
    <w:p w14:paraId="040D59EF" w14:textId="77777777" w:rsidR="000828BB" w:rsidRPr="006B755F" w:rsidRDefault="000828BB" w:rsidP="00801513">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02DB419B" w14:textId="4121ECA5" w:rsidR="00F830E9" w:rsidRPr="00B06027" w:rsidRDefault="00F830E9"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CR"/>
        </w:rPr>
      </w:pPr>
      <w:r w:rsidRPr="00B06027">
        <w:rPr>
          <w:rFonts w:ascii="Verdana" w:hAnsi="Verdana"/>
          <w:sz w:val="20"/>
          <w:szCs w:val="20"/>
          <w:lang w:val="es-CR"/>
        </w:rPr>
        <w:t>El Estado es responsable por la violación de</w:t>
      </w:r>
      <w:r w:rsidR="002F6EA6">
        <w:rPr>
          <w:rFonts w:ascii="Verdana" w:hAnsi="Verdana"/>
          <w:sz w:val="20"/>
          <w:szCs w:val="20"/>
          <w:lang w:val="es-CR"/>
        </w:rPr>
        <w:t xml:space="preserve"> </w:t>
      </w:r>
      <w:r w:rsidRPr="00B06027">
        <w:rPr>
          <w:rFonts w:ascii="Verdana" w:hAnsi="Verdana"/>
          <w:sz w:val="20"/>
          <w:szCs w:val="20"/>
          <w:lang w:val="es-CR"/>
        </w:rPr>
        <w:t>l</w:t>
      </w:r>
      <w:r w:rsidR="002F6EA6">
        <w:rPr>
          <w:rFonts w:ascii="Verdana" w:hAnsi="Verdana"/>
          <w:sz w:val="20"/>
          <w:szCs w:val="20"/>
          <w:lang w:val="es-CR"/>
        </w:rPr>
        <w:t>os</w:t>
      </w:r>
      <w:r w:rsidRPr="00B06027">
        <w:rPr>
          <w:rFonts w:ascii="Verdana" w:hAnsi="Verdana"/>
          <w:sz w:val="20"/>
          <w:szCs w:val="20"/>
          <w:lang w:val="es-CR"/>
        </w:rPr>
        <w:t xml:space="preserve"> derecho</w:t>
      </w:r>
      <w:r w:rsidR="002F6EA6">
        <w:rPr>
          <w:rFonts w:ascii="Verdana" w:hAnsi="Verdana"/>
          <w:sz w:val="20"/>
          <w:szCs w:val="20"/>
          <w:lang w:val="es-CR"/>
        </w:rPr>
        <w:t>s</w:t>
      </w:r>
      <w:r w:rsidRPr="00B06027">
        <w:rPr>
          <w:rFonts w:ascii="Verdana" w:hAnsi="Verdana"/>
          <w:sz w:val="20"/>
          <w:szCs w:val="20"/>
          <w:lang w:val="es-CR"/>
        </w:rPr>
        <w:t xml:space="preserve"> a</w:t>
      </w:r>
      <w:r w:rsidR="002F6EA6">
        <w:rPr>
          <w:rFonts w:ascii="Verdana" w:hAnsi="Verdana"/>
          <w:sz w:val="20"/>
          <w:szCs w:val="20"/>
          <w:lang w:val="es-CR"/>
        </w:rPr>
        <w:t xml:space="preserve"> la protección judicial y las garantías judiciales,</w:t>
      </w:r>
      <w:r w:rsidR="00D9601C" w:rsidRPr="00B06027">
        <w:rPr>
          <w:rFonts w:ascii="Verdana" w:hAnsi="Verdana"/>
          <w:sz w:val="20"/>
          <w:szCs w:val="20"/>
          <w:lang w:val="es-CR"/>
        </w:rPr>
        <w:t xml:space="preserve"> de conformidad con los artículos 8 y 25 </w:t>
      </w:r>
      <w:r w:rsidR="00D9601C" w:rsidRPr="00B06027">
        <w:rPr>
          <w:rFonts w:ascii="Verdana" w:hAnsi="Verdana"/>
          <w:sz w:val="20"/>
          <w:szCs w:val="20"/>
        </w:rPr>
        <w:t xml:space="preserve">de la Convención Americana, </w:t>
      </w:r>
      <w:r w:rsidR="00D9601C" w:rsidRPr="00B06027">
        <w:rPr>
          <w:rFonts w:ascii="Verdana" w:hAnsi="Verdana"/>
          <w:sz w:val="20"/>
        </w:rPr>
        <w:t xml:space="preserve">en relación con el artículo 1.1 de la misma, en perjuicio del señor Lagos del Campo, </w:t>
      </w:r>
      <w:r w:rsidR="00D9601C" w:rsidRPr="00B06027">
        <w:rPr>
          <w:rFonts w:ascii="Verdana" w:hAnsi="Verdana"/>
          <w:sz w:val="20"/>
          <w:szCs w:val="20"/>
          <w:lang w:val="es-MX"/>
        </w:rPr>
        <w:t>en</w:t>
      </w:r>
      <w:r w:rsidR="00882FB7">
        <w:rPr>
          <w:rFonts w:ascii="Verdana" w:hAnsi="Verdana"/>
          <w:sz w:val="20"/>
          <w:szCs w:val="20"/>
          <w:lang w:val="es-MX"/>
        </w:rPr>
        <w:t xml:space="preserve"> los términos de los párrafos 170 a 191</w:t>
      </w:r>
      <w:r w:rsidR="00D9601C" w:rsidRPr="00B06027">
        <w:rPr>
          <w:rFonts w:ascii="Verdana" w:hAnsi="Verdana"/>
          <w:sz w:val="20"/>
          <w:szCs w:val="20"/>
          <w:lang w:val="es-MX"/>
        </w:rPr>
        <w:t xml:space="preserve"> de la presente Sentencia.</w:t>
      </w:r>
    </w:p>
    <w:p w14:paraId="378EBB57" w14:textId="77777777" w:rsidR="00324758" w:rsidRPr="00604459" w:rsidRDefault="00324758" w:rsidP="00324758">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1E46EF5A" w14:textId="7DB04D40" w:rsidR="00172797" w:rsidRPr="00487AE7" w:rsidRDefault="00487AE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CR"/>
        </w:rPr>
      </w:pPr>
      <w:r w:rsidRPr="00487AE7">
        <w:rPr>
          <w:rFonts w:ascii="Verdana" w:hAnsi="Verdana"/>
          <w:sz w:val="20"/>
          <w:szCs w:val="20"/>
        </w:rPr>
        <w:t>El Estado no es responsable por la violación al artículo 2 de la Convención, respecto del inciso h) del artículo 5 de la Ley 24514 y el artículo 25 del Decreto Legislativo No. 728</w:t>
      </w:r>
      <w:r>
        <w:rPr>
          <w:rFonts w:ascii="Verdana" w:hAnsi="Verdana"/>
          <w:sz w:val="20"/>
          <w:szCs w:val="20"/>
        </w:rPr>
        <w:t>,</w:t>
      </w:r>
      <w:r w:rsidRPr="00487AE7">
        <w:rPr>
          <w:rFonts w:ascii="Verdana" w:hAnsi="Verdana"/>
          <w:sz w:val="20"/>
          <w:szCs w:val="20"/>
          <w:lang w:val="es-MX"/>
        </w:rPr>
        <w:t xml:space="preserve"> en</w:t>
      </w:r>
      <w:r w:rsidR="00882FB7">
        <w:rPr>
          <w:rFonts w:ascii="Verdana" w:hAnsi="Verdana"/>
          <w:sz w:val="20"/>
          <w:szCs w:val="20"/>
          <w:lang w:val="es-MX"/>
        </w:rPr>
        <w:t xml:space="preserve"> los términos de los párrafos 164 a 165</w:t>
      </w:r>
      <w:r w:rsidRPr="00487AE7">
        <w:rPr>
          <w:rFonts w:ascii="Verdana" w:hAnsi="Verdana"/>
          <w:sz w:val="20"/>
          <w:szCs w:val="20"/>
          <w:lang w:val="es-MX"/>
        </w:rPr>
        <w:t xml:space="preserve"> de la presente Sentencia.</w:t>
      </w:r>
      <w:r w:rsidR="0015750D">
        <w:rPr>
          <w:rFonts w:ascii="Verdana" w:hAnsi="Verdana"/>
          <w:sz w:val="20"/>
          <w:szCs w:val="20"/>
          <w:lang w:val="es-MX"/>
        </w:rPr>
        <w:t xml:space="preserve"> </w:t>
      </w:r>
    </w:p>
    <w:p w14:paraId="164820F7" w14:textId="77777777" w:rsidR="00172797" w:rsidRPr="005D0F69" w:rsidRDefault="00172797" w:rsidP="00324758">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53D7D436" w14:textId="77777777" w:rsidR="00324758" w:rsidRPr="006A44AD" w:rsidRDefault="00324758" w:rsidP="00324758">
      <w:pPr>
        <w:pStyle w:val="Prrafodelista2"/>
        <w:tabs>
          <w:tab w:val="left" w:pos="720"/>
        </w:tabs>
        <w:ind w:left="0" w:right="-90"/>
        <w:contextualSpacing/>
        <w:jc w:val="both"/>
        <w:rPr>
          <w:b/>
          <w:bCs/>
        </w:rPr>
      </w:pPr>
      <w:r w:rsidRPr="006A44AD">
        <w:rPr>
          <w:b/>
          <w:bCs/>
        </w:rPr>
        <w:t>Y DISPONE:</w:t>
      </w:r>
    </w:p>
    <w:p w14:paraId="19F501AC" w14:textId="77777777" w:rsidR="00324758" w:rsidRPr="006A44AD" w:rsidRDefault="00324758" w:rsidP="00324758">
      <w:pPr>
        <w:pStyle w:val="Prrafodelista2"/>
        <w:tabs>
          <w:tab w:val="left" w:pos="720"/>
        </w:tabs>
        <w:ind w:left="0" w:right="-90"/>
        <w:contextualSpacing/>
        <w:jc w:val="both"/>
        <w:rPr>
          <w:b/>
          <w:bCs/>
        </w:rPr>
      </w:pPr>
    </w:p>
    <w:p w14:paraId="1B7C0778" w14:textId="77777777" w:rsidR="000828BB" w:rsidRPr="00A8512D" w:rsidRDefault="000828BB" w:rsidP="000828BB">
      <w:pPr>
        <w:pStyle w:val="Prrafodelista2"/>
        <w:ind w:left="0" w:right="-90"/>
        <w:contextualSpacing/>
      </w:pPr>
      <w:r w:rsidRPr="008059FF">
        <w:t xml:space="preserve">Por </w:t>
      </w:r>
      <w:r>
        <w:t>unanimidad</w:t>
      </w:r>
      <w:r w:rsidRPr="00A8512D">
        <w:t>, que:</w:t>
      </w:r>
    </w:p>
    <w:p w14:paraId="24A509FA" w14:textId="77777777" w:rsidR="00324758" w:rsidRPr="00324758" w:rsidRDefault="00324758"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6D07B812" w14:textId="2BAA50C5" w:rsidR="00324758" w:rsidRPr="00BF5E6E" w:rsidRDefault="00324758"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MX"/>
        </w:rPr>
      </w:pPr>
      <w:r w:rsidRPr="00324758">
        <w:rPr>
          <w:rFonts w:ascii="Verdana" w:hAnsi="Verdana"/>
          <w:sz w:val="20"/>
          <w:szCs w:val="20"/>
          <w:lang w:val="es-MX"/>
        </w:rPr>
        <w:t xml:space="preserve">Esta Sentencia constituye, </w:t>
      </w:r>
      <w:r w:rsidR="000828BB">
        <w:rPr>
          <w:rFonts w:ascii="Verdana" w:hAnsi="Verdana"/>
          <w:sz w:val="20"/>
          <w:szCs w:val="20"/>
          <w:lang w:val="es-MX"/>
        </w:rPr>
        <w:t>por sí misma</w:t>
      </w:r>
      <w:r w:rsidRPr="00324758">
        <w:rPr>
          <w:rFonts w:ascii="Verdana" w:hAnsi="Verdana"/>
          <w:sz w:val="20"/>
          <w:szCs w:val="20"/>
          <w:lang w:val="es-MX"/>
        </w:rPr>
        <w:t>, una forma de reparación.</w:t>
      </w:r>
    </w:p>
    <w:p w14:paraId="5C2D69EC" w14:textId="77777777" w:rsidR="00324758" w:rsidRPr="00324758" w:rsidRDefault="00324758"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5545656A" w14:textId="2A1EBAE8" w:rsidR="00324758" w:rsidRDefault="00324758"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MX"/>
        </w:rPr>
      </w:pPr>
      <w:r w:rsidRPr="00324758">
        <w:rPr>
          <w:rFonts w:ascii="Verdana" w:hAnsi="Verdana"/>
          <w:sz w:val="20"/>
          <w:szCs w:val="20"/>
          <w:lang w:val="es-MX"/>
        </w:rPr>
        <w:t>El Estado debe realizar las publica</w:t>
      </w:r>
      <w:r w:rsidR="00882FB7">
        <w:rPr>
          <w:rFonts w:ascii="Verdana" w:hAnsi="Verdana"/>
          <w:sz w:val="20"/>
          <w:szCs w:val="20"/>
          <w:lang w:val="es-MX"/>
        </w:rPr>
        <w:t>ciones indicadas en el párrafo 200</w:t>
      </w:r>
      <w:r w:rsidRPr="00324758">
        <w:rPr>
          <w:rFonts w:ascii="Verdana" w:hAnsi="Verdana"/>
          <w:sz w:val="20"/>
          <w:szCs w:val="20"/>
          <w:lang w:val="es-MX"/>
        </w:rPr>
        <w:t xml:space="preserve"> e informar a esta Corte de </w:t>
      </w:r>
      <w:r w:rsidR="00431AE6">
        <w:rPr>
          <w:rFonts w:ascii="Verdana" w:hAnsi="Verdana"/>
          <w:sz w:val="20"/>
          <w:szCs w:val="20"/>
          <w:lang w:val="es-MX"/>
        </w:rPr>
        <w:t>las mismas</w:t>
      </w:r>
      <w:r w:rsidRPr="00324758">
        <w:rPr>
          <w:rFonts w:ascii="Verdana" w:hAnsi="Verdana"/>
          <w:sz w:val="20"/>
          <w:szCs w:val="20"/>
          <w:lang w:val="es-MX"/>
        </w:rPr>
        <w:t>, conf</w:t>
      </w:r>
      <w:r w:rsidR="00604459">
        <w:rPr>
          <w:rFonts w:ascii="Verdana" w:hAnsi="Verdana"/>
          <w:sz w:val="20"/>
          <w:szCs w:val="20"/>
          <w:lang w:val="es-MX"/>
        </w:rPr>
        <w:t>o</w:t>
      </w:r>
      <w:r w:rsidR="00882FB7">
        <w:rPr>
          <w:rFonts w:ascii="Verdana" w:hAnsi="Verdana"/>
          <w:sz w:val="20"/>
          <w:szCs w:val="20"/>
          <w:lang w:val="es-MX"/>
        </w:rPr>
        <w:t>rme lo indicado en el párrafo 201</w:t>
      </w:r>
      <w:r w:rsidRPr="00324758">
        <w:rPr>
          <w:rFonts w:ascii="Verdana" w:hAnsi="Verdana"/>
          <w:sz w:val="20"/>
          <w:szCs w:val="20"/>
          <w:lang w:val="es-MX"/>
        </w:rPr>
        <w:t xml:space="preserve"> de esta Sentencia.</w:t>
      </w:r>
    </w:p>
    <w:p w14:paraId="625075D0" w14:textId="77777777" w:rsidR="00324758" w:rsidRPr="00324758" w:rsidRDefault="00324758"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43C49264" w14:textId="1EAC9173" w:rsidR="00324758" w:rsidRPr="00324758" w:rsidRDefault="00324758"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MX"/>
        </w:rPr>
      </w:pPr>
      <w:r w:rsidRPr="00324758">
        <w:rPr>
          <w:rFonts w:ascii="Verdana" w:hAnsi="Verdana"/>
          <w:sz w:val="20"/>
          <w:szCs w:val="20"/>
          <w:lang w:val="es-MX"/>
        </w:rPr>
        <w:t xml:space="preserve">El Estado debe pagar las cantidades fijadas en los párrafos </w:t>
      </w:r>
      <w:r w:rsidR="00882FB7">
        <w:rPr>
          <w:rFonts w:ascii="Verdana" w:hAnsi="Verdana"/>
          <w:sz w:val="20"/>
          <w:szCs w:val="20"/>
          <w:lang w:val="es-MX"/>
        </w:rPr>
        <w:t>215, 216, 222 y 227</w:t>
      </w:r>
      <w:r w:rsidRPr="00324758">
        <w:rPr>
          <w:rFonts w:ascii="Verdana" w:hAnsi="Verdana"/>
          <w:sz w:val="20"/>
          <w:szCs w:val="20"/>
          <w:lang w:val="es-MX"/>
        </w:rPr>
        <w:t xml:space="preserve"> de la presente Sentencia, por concepto de compensación por daño </w:t>
      </w:r>
      <w:r w:rsidR="00FF2083">
        <w:rPr>
          <w:rFonts w:ascii="Verdana" w:hAnsi="Verdana"/>
          <w:sz w:val="20"/>
          <w:szCs w:val="20"/>
          <w:lang w:val="es-MX"/>
        </w:rPr>
        <w:t xml:space="preserve">material e </w:t>
      </w:r>
      <w:r w:rsidRPr="00324758">
        <w:rPr>
          <w:rFonts w:ascii="Verdana" w:hAnsi="Verdana"/>
          <w:sz w:val="20"/>
          <w:szCs w:val="20"/>
          <w:lang w:val="es-MX"/>
        </w:rPr>
        <w:t>inmaterial y por e</w:t>
      </w:r>
      <w:r w:rsidR="00B34FD4">
        <w:rPr>
          <w:rFonts w:ascii="Verdana" w:hAnsi="Verdana"/>
          <w:sz w:val="20"/>
          <w:szCs w:val="20"/>
          <w:lang w:val="es-MX"/>
        </w:rPr>
        <w:t xml:space="preserve">l reintegro de </w:t>
      </w:r>
      <w:r w:rsidRPr="00324758">
        <w:rPr>
          <w:rFonts w:ascii="Verdana" w:hAnsi="Verdana"/>
          <w:sz w:val="20"/>
          <w:szCs w:val="20"/>
          <w:lang w:val="es-MX"/>
        </w:rPr>
        <w:t xml:space="preserve">costas y gastos, en los términos de los referidos párrafos y de lo previsto en </w:t>
      </w:r>
      <w:r w:rsidR="00882FB7">
        <w:rPr>
          <w:rFonts w:ascii="Verdana" w:hAnsi="Verdana"/>
          <w:sz w:val="20"/>
          <w:szCs w:val="20"/>
          <w:lang w:val="es-MX"/>
        </w:rPr>
        <w:t xml:space="preserve">los </w:t>
      </w:r>
      <w:r w:rsidR="00FF2083">
        <w:rPr>
          <w:rFonts w:ascii="Verdana" w:hAnsi="Verdana"/>
          <w:sz w:val="20"/>
          <w:szCs w:val="20"/>
          <w:lang w:val="es-MX"/>
        </w:rPr>
        <w:t>párrafo</w:t>
      </w:r>
      <w:r w:rsidR="00882FB7">
        <w:rPr>
          <w:rFonts w:ascii="Verdana" w:hAnsi="Verdana"/>
          <w:sz w:val="20"/>
          <w:szCs w:val="20"/>
          <w:lang w:val="es-MX"/>
        </w:rPr>
        <w:t>s</w:t>
      </w:r>
      <w:r w:rsidR="00604459">
        <w:rPr>
          <w:rFonts w:ascii="Verdana" w:hAnsi="Verdana"/>
          <w:sz w:val="20"/>
          <w:szCs w:val="20"/>
          <w:lang w:val="es-MX"/>
        </w:rPr>
        <w:t xml:space="preserve"> </w:t>
      </w:r>
      <w:r w:rsidR="00882FB7">
        <w:rPr>
          <w:rFonts w:ascii="Verdana" w:hAnsi="Verdana"/>
          <w:sz w:val="20"/>
          <w:szCs w:val="20"/>
          <w:lang w:val="es-MX"/>
        </w:rPr>
        <w:t xml:space="preserve">230 a 235 </w:t>
      </w:r>
      <w:r w:rsidRPr="00324758">
        <w:rPr>
          <w:rFonts w:ascii="Verdana" w:hAnsi="Verdana"/>
          <w:sz w:val="20"/>
          <w:szCs w:val="20"/>
          <w:lang w:val="es-MX"/>
        </w:rPr>
        <w:t>de esta Sentencia.</w:t>
      </w:r>
    </w:p>
    <w:p w14:paraId="6730DA65" w14:textId="77777777" w:rsidR="00324758" w:rsidRPr="00324758" w:rsidRDefault="00324758"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58374D40" w14:textId="0D84575E" w:rsidR="00324758" w:rsidRPr="00324758" w:rsidRDefault="00324758"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MX"/>
        </w:rPr>
      </w:pPr>
      <w:r w:rsidRPr="00324758">
        <w:rPr>
          <w:rFonts w:ascii="Verdana" w:hAnsi="Verdana"/>
          <w:sz w:val="20"/>
          <w:szCs w:val="20"/>
          <w:lang w:val="es-MX"/>
        </w:rPr>
        <w:t>El Estado debe reintegrar al Fondo de Asistencia Legal de Víctimas de la Corte Interamericana de Derechos Humanos la cantidad erogada durante la tramitación del presente cas</w:t>
      </w:r>
      <w:r w:rsidR="00604459">
        <w:rPr>
          <w:rFonts w:ascii="Verdana" w:hAnsi="Verdana"/>
          <w:sz w:val="20"/>
          <w:szCs w:val="20"/>
          <w:lang w:val="es-MX"/>
        </w:rPr>
        <w:t>o</w:t>
      </w:r>
      <w:r w:rsidR="00882FB7">
        <w:rPr>
          <w:rFonts w:ascii="Verdana" w:hAnsi="Verdana"/>
          <w:sz w:val="20"/>
          <w:szCs w:val="20"/>
          <w:lang w:val="es-MX"/>
        </w:rPr>
        <w:t>, en los términos del párrafo 229</w:t>
      </w:r>
      <w:r w:rsidRPr="00324758">
        <w:rPr>
          <w:rFonts w:ascii="Verdana" w:hAnsi="Verdana"/>
          <w:sz w:val="20"/>
          <w:szCs w:val="20"/>
          <w:lang w:val="es-MX"/>
        </w:rPr>
        <w:t xml:space="preserve"> de esta Sentencia.</w:t>
      </w:r>
    </w:p>
    <w:p w14:paraId="5C9B740E" w14:textId="77777777" w:rsidR="00324758" w:rsidRPr="00324758" w:rsidRDefault="00324758"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52C014D3" w14:textId="0302FF31" w:rsidR="00324758" w:rsidRPr="00324758" w:rsidRDefault="00324758"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MX"/>
        </w:rPr>
      </w:pPr>
      <w:r w:rsidRPr="00324758">
        <w:rPr>
          <w:rFonts w:ascii="Verdana" w:hAnsi="Verdana"/>
          <w:sz w:val="20"/>
          <w:szCs w:val="20"/>
          <w:lang w:val="es-MX"/>
        </w:rPr>
        <w:t xml:space="preserve">El Estado debe, dentro del plazo de un año contado a partir de la notificación de esta Sentencia, rendir al Tribunal un informe sobre las medidas adoptadas para cumplir con la misma, sin perjuicio de </w:t>
      </w:r>
      <w:r w:rsidR="00882FB7">
        <w:rPr>
          <w:rFonts w:ascii="Verdana" w:hAnsi="Verdana"/>
          <w:sz w:val="20"/>
          <w:szCs w:val="20"/>
          <w:lang w:val="es-MX"/>
        </w:rPr>
        <w:t>lo establecido en el párrafo 201</w:t>
      </w:r>
      <w:r w:rsidRPr="00324758">
        <w:rPr>
          <w:rFonts w:ascii="Verdana" w:hAnsi="Verdana"/>
          <w:sz w:val="20"/>
          <w:szCs w:val="20"/>
          <w:lang w:val="es-MX"/>
        </w:rPr>
        <w:t xml:space="preserve"> de la presente Sentencia.</w:t>
      </w:r>
    </w:p>
    <w:p w14:paraId="2DEBD764" w14:textId="77777777" w:rsidR="00324758" w:rsidRPr="00324758" w:rsidRDefault="00324758"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4BB2F104" w14:textId="77777777" w:rsidR="00324758" w:rsidRPr="00324758" w:rsidRDefault="00324758" w:rsidP="00E66DD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lang w:val="es-MX"/>
        </w:rPr>
      </w:pPr>
      <w:r w:rsidRPr="00324758">
        <w:rPr>
          <w:rFonts w:ascii="Verdana" w:hAnsi="Verdana"/>
          <w:sz w:val="20"/>
          <w:szCs w:val="20"/>
          <w:lang w:val="es-MX"/>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05A85B24" w14:textId="77777777" w:rsidR="006A2D03" w:rsidRDefault="006A2D03"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268D88C3" w14:textId="78775BFE" w:rsidR="003F1454" w:rsidRDefault="0044649E"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r>
        <w:rPr>
          <w:rFonts w:ascii="Verdana" w:hAnsi="Verdana"/>
          <w:sz w:val="20"/>
          <w:szCs w:val="20"/>
          <w:lang w:val="es-MX"/>
        </w:rPr>
        <w:t>Los j</w:t>
      </w:r>
      <w:r w:rsidR="003F1454" w:rsidRPr="003F1454">
        <w:rPr>
          <w:rFonts w:ascii="Verdana" w:hAnsi="Verdana"/>
          <w:sz w:val="20"/>
          <w:szCs w:val="20"/>
          <w:lang w:val="es-MX"/>
        </w:rPr>
        <w:t xml:space="preserve">ueces </w:t>
      </w:r>
      <w:r w:rsidR="003F1454">
        <w:rPr>
          <w:rFonts w:ascii="Verdana" w:hAnsi="Verdana"/>
          <w:sz w:val="20"/>
          <w:szCs w:val="20"/>
          <w:lang w:val="es-MX"/>
        </w:rPr>
        <w:t>Roberto F. Caldas</w:t>
      </w:r>
      <w:r w:rsidR="009A3098">
        <w:rPr>
          <w:rFonts w:ascii="Verdana" w:hAnsi="Verdana"/>
          <w:sz w:val="20"/>
          <w:szCs w:val="20"/>
          <w:lang w:val="es-MX"/>
        </w:rPr>
        <w:t xml:space="preserve"> y</w:t>
      </w:r>
      <w:r w:rsidR="003F1454">
        <w:rPr>
          <w:rFonts w:ascii="Verdana" w:hAnsi="Verdana"/>
          <w:sz w:val="20"/>
          <w:szCs w:val="20"/>
          <w:lang w:val="es-MX"/>
        </w:rPr>
        <w:t xml:space="preserve"> </w:t>
      </w:r>
      <w:r w:rsidR="003F1454" w:rsidRPr="003F1454">
        <w:rPr>
          <w:rFonts w:ascii="Verdana" w:hAnsi="Verdana"/>
          <w:sz w:val="20"/>
          <w:szCs w:val="20"/>
          <w:lang w:val="es-MX"/>
        </w:rPr>
        <w:t>Ed</w:t>
      </w:r>
      <w:r w:rsidR="003F1454">
        <w:rPr>
          <w:rFonts w:ascii="Verdana" w:hAnsi="Verdana"/>
          <w:sz w:val="20"/>
          <w:szCs w:val="20"/>
          <w:lang w:val="es-MX"/>
        </w:rPr>
        <w:t>uardo Ferrer Mac-Gregor Poisot</w:t>
      </w:r>
      <w:r w:rsidR="00730D77">
        <w:rPr>
          <w:rFonts w:ascii="Verdana" w:hAnsi="Verdana"/>
          <w:sz w:val="20"/>
          <w:szCs w:val="20"/>
          <w:lang w:val="es-MX"/>
        </w:rPr>
        <w:t>, hicieron conocer a la C</w:t>
      </w:r>
      <w:r>
        <w:rPr>
          <w:rFonts w:ascii="Verdana" w:hAnsi="Verdana"/>
          <w:sz w:val="20"/>
          <w:szCs w:val="20"/>
          <w:lang w:val="es-MX"/>
        </w:rPr>
        <w:t>orte sus votos individuales</w:t>
      </w:r>
      <w:r w:rsidRPr="0044649E">
        <w:rPr>
          <w:rFonts w:ascii="Verdana" w:hAnsi="Verdana"/>
          <w:sz w:val="20"/>
          <w:szCs w:val="20"/>
          <w:lang w:val="es-MX"/>
        </w:rPr>
        <w:t xml:space="preserve"> </w:t>
      </w:r>
      <w:r>
        <w:rPr>
          <w:rFonts w:ascii="Verdana" w:hAnsi="Verdana"/>
          <w:sz w:val="20"/>
          <w:szCs w:val="20"/>
          <w:lang w:val="es-MX"/>
        </w:rPr>
        <w:t xml:space="preserve">concurrentes, y los jueces </w:t>
      </w:r>
      <w:r w:rsidR="003F1454" w:rsidRPr="003F1454">
        <w:rPr>
          <w:rFonts w:ascii="Verdana" w:hAnsi="Verdana"/>
          <w:sz w:val="20"/>
          <w:szCs w:val="20"/>
          <w:lang w:val="es-MX"/>
        </w:rPr>
        <w:t>Eduardo Vio Grossi</w:t>
      </w:r>
      <w:r w:rsidR="003F1454">
        <w:rPr>
          <w:rFonts w:ascii="Verdana" w:hAnsi="Verdana"/>
          <w:sz w:val="20"/>
          <w:szCs w:val="20"/>
          <w:lang w:val="es-MX"/>
        </w:rPr>
        <w:t xml:space="preserve"> y Humberto A</w:t>
      </w:r>
      <w:r>
        <w:rPr>
          <w:rFonts w:ascii="Verdana" w:hAnsi="Verdana"/>
          <w:sz w:val="20"/>
          <w:szCs w:val="20"/>
          <w:lang w:val="es-MX"/>
        </w:rPr>
        <w:t>ntonio</w:t>
      </w:r>
      <w:r w:rsidR="003F1454">
        <w:rPr>
          <w:rFonts w:ascii="Verdana" w:hAnsi="Verdana"/>
          <w:sz w:val="20"/>
          <w:szCs w:val="20"/>
          <w:lang w:val="es-MX"/>
        </w:rPr>
        <w:t xml:space="preserve"> Sierra Porto,</w:t>
      </w:r>
      <w:r w:rsidR="003F1454" w:rsidRPr="003F1454">
        <w:rPr>
          <w:rFonts w:ascii="Verdana" w:hAnsi="Verdana"/>
          <w:sz w:val="20"/>
          <w:szCs w:val="20"/>
          <w:lang w:val="es-MX"/>
        </w:rPr>
        <w:t xml:space="preserve"> sus votos individuales</w:t>
      </w:r>
      <w:r>
        <w:rPr>
          <w:rFonts w:ascii="Verdana" w:hAnsi="Verdana"/>
          <w:sz w:val="20"/>
          <w:szCs w:val="20"/>
          <w:lang w:val="es-MX"/>
        </w:rPr>
        <w:t xml:space="preserve"> parcialmente disidentes, los cuales acompañan esta Sentencia</w:t>
      </w:r>
      <w:r w:rsidR="003F1454" w:rsidRPr="003F1454">
        <w:rPr>
          <w:rFonts w:ascii="Verdana" w:hAnsi="Verdana"/>
          <w:sz w:val="20"/>
          <w:szCs w:val="20"/>
          <w:lang w:val="es-MX"/>
        </w:rPr>
        <w:t>.</w:t>
      </w:r>
    </w:p>
    <w:p w14:paraId="5DFC262F" w14:textId="77777777" w:rsidR="009A3098" w:rsidRDefault="009A3098"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2211D111" w14:textId="563202EB" w:rsidR="00324758" w:rsidRPr="00324758" w:rsidRDefault="00326D8F"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r>
        <w:rPr>
          <w:rFonts w:ascii="Verdana" w:hAnsi="Verdana"/>
          <w:sz w:val="20"/>
          <w:szCs w:val="20"/>
          <w:lang w:val="es-MX"/>
        </w:rPr>
        <w:t>Emitida</w:t>
      </w:r>
      <w:r w:rsidR="00324758" w:rsidRPr="00324758">
        <w:rPr>
          <w:rFonts w:ascii="Verdana" w:hAnsi="Verdana"/>
          <w:sz w:val="20"/>
          <w:szCs w:val="20"/>
          <w:lang w:val="es-MX"/>
        </w:rPr>
        <w:t xml:space="preserve"> en español en San José, Costa Ri</w:t>
      </w:r>
      <w:r>
        <w:rPr>
          <w:rFonts w:ascii="Verdana" w:hAnsi="Verdana"/>
          <w:sz w:val="20"/>
          <w:szCs w:val="20"/>
          <w:lang w:val="es-MX"/>
        </w:rPr>
        <w:t>ca, el</w:t>
      </w:r>
      <w:r w:rsidR="00431AE6">
        <w:rPr>
          <w:rFonts w:ascii="Verdana" w:hAnsi="Verdana"/>
          <w:sz w:val="20"/>
          <w:szCs w:val="20"/>
          <w:lang w:val="es-MX"/>
        </w:rPr>
        <w:t xml:space="preserve"> 31</w:t>
      </w:r>
      <w:r>
        <w:rPr>
          <w:rFonts w:ascii="Verdana" w:hAnsi="Verdana"/>
          <w:sz w:val="20"/>
          <w:szCs w:val="20"/>
          <w:lang w:val="es-MX"/>
        </w:rPr>
        <w:t xml:space="preserve"> de </w:t>
      </w:r>
      <w:r w:rsidR="009409BF">
        <w:rPr>
          <w:rFonts w:ascii="Verdana" w:hAnsi="Verdana"/>
          <w:sz w:val="20"/>
          <w:szCs w:val="20"/>
          <w:lang w:val="es-MX"/>
        </w:rPr>
        <w:t xml:space="preserve">agosto </w:t>
      </w:r>
      <w:r>
        <w:rPr>
          <w:rFonts w:ascii="Verdana" w:hAnsi="Verdana"/>
          <w:sz w:val="20"/>
          <w:szCs w:val="20"/>
          <w:lang w:val="es-MX"/>
        </w:rPr>
        <w:t>de 2017</w:t>
      </w:r>
    </w:p>
    <w:p w14:paraId="208E4801" w14:textId="77777777" w:rsidR="00324758" w:rsidRPr="00324758" w:rsidRDefault="00324758" w:rsidP="00324758">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1036AD72" w14:textId="6ED06507" w:rsidR="0060277E" w:rsidRDefault="0060277E">
      <w:pPr>
        <w:spacing w:after="200" w:line="276" w:lineRule="auto"/>
        <w:rPr>
          <w:rFonts w:ascii="Verdana" w:hAnsi="Verdana"/>
          <w:sz w:val="20"/>
          <w:szCs w:val="20"/>
          <w:lang w:val="es-MX"/>
        </w:rPr>
      </w:pPr>
      <w:r>
        <w:rPr>
          <w:rFonts w:ascii="Verdana" w:hAnsi="Verdana"/>
          <w:sz w:val="20"/>
          <w:szCs w:val="20"/>
          <w:lang w:val="es-MX"/>
        </w:rPr>
        <w:br w:type="page"/>
      </w:r>
    </w:p>
    <w:p w14:paraId="3B814277" w14:textId="77777777" w:rsidR="0060277E" w:rsidRDefault="0060277E" w:rsidP="0060277E">
      <w:pPr>
        <w:jc w:val="both"/>
        <w:rPr>
          <w:rFonts w:ascii="Verdana" w:hAnsi="Verdana"/>
          <w:sz w:val="20"/>
        </w:rPr>
      </w:pPr>
      <w:r>
        <w:rPr>
          <w:rFonts w:ascii="Verdana" w:hAnsi="Verdana"/>
          <w:sz w:val="20"/>
          <w:lang w:val="es-CR"/>
        </w:rPr>
        <w:lastRenderedPageBreak/>
        <w:t xml:space="preserve">Corte IDH. Caso </w:t>
      </w:r>
      <w:r w:rsidRPr="00BF49D8">
        <w:rPr>
          <w:rFonts w:ascii="Verdana" w:hAnsi="Verdana"/>
          <w:i/>
          <w:sz w:val="20"/>
          <w:lang w:val="es-CR"/>
        </w:rPr>
        <w:t>Lagos del Campo Vs. Perú</w:t>
      </w:r>
      <w:r>
        <w:rPr>
          <w:rFonts w:ascii="Verdana" w:hAnsi="Verdana"/>
          <w:sz w:val="20"/>
          <w:lang w:val="es-CR"/>
        </w:rPr>
        <w:t>. Excepciones Preliminares, Fondo, Reparaciones y Costas. Sentencia de 31 de agosto de 2017.</w:t>
      </w:r>
    </w:p>
    <w:p w14:paraId="68DFA7F2" w14:textId="77777777" w:rsidR="0060277E" w:rsidRDefault="0060277E" w:rsidP="0060277E">
      <w:pPr>
        <w:rPr>
          <w:rFonts w:ascii="Verdana" w:hAnsi="Verdana"/>
          <w:sz w:val="20"/>
        </w:rPr>
      </w:pPr>
    </w:p>
    <w:p w14:paraId="673ACB26" w14:textId="77777777" w:rsidR="0060277E" w:rsidRDefault="0060277E" w:rsidP="0060277E">
      <w:pPr>
        <w:rPr>
          <w:rFonts w:ascii="Verdana" w:hAnsi="Verdana"/>
          <w:sz w:val="20"/>
        </w:rPr>
      </w:pPr>
    </w:p>
    <w:p w14:paraId="559061A5" w14:textId="77777777" w:rsidR="0060277E" w:rsidRDefault="0060277E" w:rsidP="0060277E">
      <w:pPr>
        <w:rPr>
          <w:rFonts w:ascii="Verdana" w:hAnsi="Verdana"/>
          <w:sz w:val="20"/>
        </w:rPr>
      </w:pPr>
    </w:p>
    <w:p w14:paraId="1EFEE5EA" w14:textId="77777777" w:rsidR="0060277E" w:rsidRDefault="0060277E" w:rsidP="0060277E">
      <w:pPr>
        <w:rPr>
          <w:rFonts w:ascii="Verdana" w:hAnsi="Verdana"/>
          <w:sz w:val="20"/>
        </w:rPr>
      </w:pPr>
    </w:p>
    <w:p w14:paraId="33C6F5DC" w14:textId="77777777" w:rsidR="0060277E" w:rsidRDefault="0060277E" w:rsidP="0060277E">
      <w:pPr>
        <w:rPr>
          <w:rFonts w:ascii="Verdana" w:hAnsi="Verdana"/>
          <w:sz w:val="20"/>
        </w:rPr>
      </w:pPr>
    </w:p>
    <w:p w14:paraId="72D2C712" w14:textId="77777777" w:rsidR="0060277E" w:rsidRDefault="0060277E" w:rsidP="0060277E">
      <w:pPr>
        <w:jc w:val="center"/>
        <w:rPr>
          <w:rFonts w:ascii="Verdana" w:hAnsi="Verdana"/>
          <w:sz w:val="20"/>
        </w:rPr>
      </w:pPr>
      <w:r>
        <w:rPr>
          <w:rFonts w:ascii="Verdana" w:hAnsi="Verdana"/>
          <w:sz w:val="20"/>
          <w:lang w:val="es-CR"/>
        </w:rPr>
        <w:t>Roberto F. Caldas</w:t>
      </w:r>
    </w:p>
    <w:p w14:paraId="1B2BE8B0" w14:textId="77777777" w:rsidR="0060277E" w:rsidRDefault="0060277E" w:rsidP="0060277E">
      <w:pPr>
        <w:jc w:val="center"/>
        <w:rPr>
          <w:rFonts w:ascii="Verdana" w:hAnsi="Verdana"/>
          <w:sz w:val="20"/>
        </w:rPr>
      </w:pPr>
      <w:r>
        <w:rPr>
          <w:rFonts w:ascii="Verdana" w:hAnsi="Verdana"/>
          <w:sz w:val="20"/>
        </w:rPr>
        <w:t xml:space="preserve">Presidente </w:t>
      </w:r>
    </w:p>
    <w:p w14:paraId="7E8A7808" w14:textId="77777777" w:rsidR="0060277E" w:rsidRDefault="0060277E" w:rsidP="0060277E">
      <w:pPr>
        <w:jc w:val="both"/>
        <w:rPr>
          <w:rFonts w:ascii="Verdana" w:hAnsi="Verdana"/>
          <w:sz w:val="20"/>
        </w:rPr>
      </w:pPr>
    </w:p>
    <w:p w14:paraId="212BD1C8" w14:textId="77777777" w:rsidR="0060277E" w:rsidRDefault="0060277E" w:rsidP="0060277E">
      <w:pPr>
        <w:jc w:val="both"/>
        <w:rPr>
          <w:rFonts w:ascii="Verdana" w:hAnsi="Verdana"/>
          <w:sz w:val="20"/>
        </w:rPr>
      </w:pPr>
    </w:p>
    <w:p w14:paraId="291B9756" w14:textId="77777777" w:rsidR="0060277E" w:rsidRDefault="0060277E" w:rsidP="0060277E">
      <w:pPr>
        <w:jc w:val="both"/>
        <w:rPr>
          <w:rFonts w:ascii="Verdana" w:hAnsi="Verdana"/>
          <w:sz w:val="20"/>
        </w:rPr>
      </w:pPr>
    </w:p>
    <w:p w14:paraId="22898221" w14:textId="77777777" w:rsidR="0060277E" w:rsidRDefault="0060277E" w:rsidP="0060277E">
      <w:pPr>
        <w:jc w:val="both"/>
        <w:rPr>
          <w:rFonts w:ascii="Verdana" w:hAnsi="Verdana"/>
          <w:sz w:val="20"/>
        </w:rPr>
      </w:pPr>
    </w:p>
    <w:p w14:paraId="1051F532" w14:textId="77777777" w:rsidR="0060277E" w:rsidRDefault="0060277E" w:rsidP="0060277E">
      <w:pPr>
        <w:jc w:val="both"/>
        <w:rPr>
          <w:rFonts w:ascii="Verdana" w:hAnsi="Verdana"/>
          <w:sz w:val="20"/>
        </w:rPr>
      </w:pPr>
    </w:p>
    <w:p w14:paraId="33384466" w14:textId="77777777" w:rsidR="0060277E" w:rsidRDefault="0060277E" w:rsidP="0060277E">
      <w:pPr>
        <w:jc w:val="both"/>
        <w:rPr>
          <w:rFonts w:ascii="Verdana" w:hAnsi="Verdana"/>
          <w:sz w:val="20"/>
          <w:lang w:val="es-CR"/>
        </w:rPr>
      </w:pPr>
      <w:r>
        <w:rPr>
          <w:rFonts w:ascii="Verdana" w:hAnsi="Verdana"/>
          <w:sz w:val="20"/>
          <w:lang w:val="es-CR"/>
        </w:rPr>
        <w:t>Eduardo Ferrer Mac-Gregor Poisot</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Eduardo Vio Grossi</w:t>
      </w:r>
    </w:p>
    <w:p w14:paraId="10A4D09A" w14:textId="77777777" w:rsidR="0060277E" w:rsidRDefault="0060277E" w:rsidP="0060277E">
      <w:pPr>
        <w:jc w:val="both"/>
        <w:rPr>
          <w:rFonts w:ascii="Verdana" w:hAnsi="Verdana"/>
          <w:sz w:val="20"/>
          <w:lang w:val="es-CR"/>
        </w:rPr>
      </w:pPr>
    </w:p>
    <w:p w14:paraId="1DE36BBB" w14:textId="77777777" w:rsidR="0060277E" w:rsidRDefault="0060277E" w:rsidP="0060277E">
      <w:pPr>
        <w:jc w:val="both"/>
        <w:rPr>
          <w:rFonts w:ascii="Verdana" w:hAnsi="Verdana"/>
          <w:sz w:val="20"/>
          <w:lang w:val="es-CR"/>
        </w:rPr>
      </w:pPr>
    </w:p>
    <w:p w14:paraId="38A898DC" w14:textId="77777777" w:rsidR="0060277E" w:rsidRDefault="0060277E" w:rsidP="0060277E">
      <w:pPr>
        <w:jc w:val="both"/>
        <w:rPr>
          <w:rFonts w:ascii="Verdana" w:hAnsi="Verdana"/>
          <w:sz w:val="20"/>
          <w:lang w:val="es-CR"/>
        </w:rPr>
      </w:pPr>
    </w:p>
    <w:p w14:paraId="36FD050B" w14:textId="77777777" w:rsidR="0060277E" w:rsidRDefault="0060277E" w:rsidP="0060277E">
      <w:pPr>
        <w:jc w:val="both"/>
        <w:rPr>
          <w:rFonts w:ascii="Verdana" w:hAnsi="Verdana"/>
          <w:sz w:val="20"/>
          <w:lang w:val="es-CR"/>
        </w:rPr>
      </w:pPr>
    </w:p>
    <w:p w14:paraId="23B737A9" w14:textId="77777777" w:rsidR="0060277E" w:rsidRDefault="0060277E" w:rsidP="0060277E">
      <w:pPr>
        <w:jc w:val="both"/>
        <w:rPr>
          <w:rFonts w:ascii="Verdana" w:hAnsi="Verdana"/>
          <w:sz w:val="20"/>
          <w:lang w:val="es-CR"/>
        </w:rPr>
      </w:pPr>
    </w:p>
    <w:p w14:paraId="46DF1EDE" w14:textId="77777777" w:rsidR="0060277E" w:rsidRPr="003D7CEE" w:rsidRDefault="0060277E" w:rsidP="0060277E">
      <w:pPr>
        <w:jc w:val="both"/>
        <w:rPr>
          <w:rFonts w:ascii="Verdana" w:hAnsi="Verdana"/>
          <w:sz w:val="20"/>
          <w:lang w:val="es-CR"/>
        </w:rPr>
      </w:pPr>
      <w:r>
        <w:rPr>
          <w:rFonts w:ascii="Verdana" w:hAnsi="Verdana"/>
          <w:sz w:val="20"/>
          <w:lang w:val="es-CR"/>
        </w:rPr>
        <w:t>Humberto A. Sierra Porto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Elizabeth Odio Benito</w:t>
      </w:r>
    </w:p>
    <w:p w14:paraId="78B007A2" w14:textId="77777777" w:rsidR="0060277E" w:rsidRDefault="0060277E" w:rsidP="0060277E">
      <w:pPr>
        <w:jc w:val="center"/>
        <w:rPr>
          <w:rFonts w:ascii="Verdana" w:hAnsi="Verdana"/>
          <w:sz w:val="20"/>
        </w:rPr>
      </w:pPr>
    </w:p>
    <w:p w14:paraId="1421BBA7" w14:textId="77777777" w:rsidR="0060277E" w:rsidRDefault="0060277E" w:rsidP="0060277E">
      <w:pPr>
        <w:jc w:val="center"/>
        <w:rPr>
          <w:rFonts w:ascii="Verdana" w:hAnsi="Verdana"/>
          <w:sz w:val="20"/>
        </w:rPr>
      </w:pPr>
    </w:p>
    <w:p w14:paraId="6D28BB6C" w14:textId="77777777" w:rsidR="0060277E" w:rsidRDefault="0060277E" w:rsidP="0060277E">
      <w:pPr>
        <w:jc w:val="center"/>
        <w:rPr>
          <w:rFonts w:ascii="Verdana" w:hAnsi="Verdana"/>
          <w:sz w:val="20"/>
        </w:rPr>
      </w:pPr>
    </w:p>
    <w:p w14:paraId="4EAB228F" w14:textId="77777777" w:rsidR="0060277E" w:rsidRDefault="0060277E" w:rsidP="0060277E">
      <w:pPr>
        <w:jc w:val="center"/>
        <w:rPr>
          <w:rFonts w:ascii="Verdana" w:hAnsi="Verdana"/>
          <w:sz w:val="20"/>
        </w:rPr>
      </w:pPr>
    </w:p>
    <w:p w14:paraId="16599940" w14:textId="77777777" w:rsidR="0060277E" w:rsidRDefault="0060277E" w:rsidP="0060277E">
      <w:pPr>
        <w:rPr>
          <w:rFonts w:ascii="Verdana" w:hAnsi="Verdana"/>
          <w:sz w:val="20"/>
          <w:lang w:val="es-CR"/>
        </w:rPr>
      </w:pPr>
      <w:r>
        <w:rPr>
          <w:rFonts w:ascii="Verdana" w:hAnsi="Verdana"/>
          <w:sz w:val="20"/>
          <w:lang w:val="es-CR"/>
        </w:rPr>
        <w:tab/>
      </w:r>
      <w:r>
        <w:rPr>
          <w:rFonts w:ascii="Verdana" w:hAnsi="Verdana"/>
          <w:sz w:val="20"/>
          <w:lang w:val="es-CR"/>
        </w:rPr>
        <w:tab/>
      </w:r>
    </w:p>
    <w:p w14:paraId="0658E2CD" w14:textId="77777777" w:rsidR="0060277E" w:rsidRDefault="0060277E" w:rsidP="0060277E">
      <w:pPr>
        <w:rPr>
          <w:rFonts w:ascii="Verdana" w:hAnsi="Verdana"/>
          <w:sz w:val="20"/>
          <w:lang w:val="es-CR"/>
        </w:rPr>
      </w:pPr>
      <w:r>
        <w:rPr>
          <w:rFonts w:ascii="Verdana" w:hAnsi="Verdana"/>
          <w:sz w:val="20"/>
          <w:lang w:val="es-CR"/>
        </w:rPr>
        <w:t xml:space="preserve">Eugenio Raúl </w:t>
      </w:r>
      <w:proofErr w:type="spellStart"/>
      <w:r>
        <w:rPr>
          <w:rFonts w:ascii="Verdana" w:hAnsi="Verdana"/>
          <w:sz w:val="20"/>
          <w:lang w:val="es-CR"/>
        </w:rPr>
        <w:t>Zaffaroni</w:t>
      </w:r>
      <w:proofErr w:type="spellEnd"/>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L. Patricio Pazmiño Freire</w:t>
      </w:r>
    </w:p>
    <w:p w14:paraId="1B018EF1" w14:textId="77777777" w:rsidR="0060277E" w:rsidRDefault="0060277E" w:rsidP="0060277E">
      <w:pPr>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25D57D6F" w14:textId="77777777" w:rsidR="0060277E" w:rsidRDefault="0060277E" w:rsidP="0060277E">
      <w:pPr>
        <w:rPr>
          <w:rFonts w:ascii="Verdana" w:hAnsi="Verdana"/>
          <w:sz w:val="20"/>
          <w:lang w:val="es-CR"/>
        </w:rPr>
      </w:pPr>
    </w:p>
    <w:p w14:paraId="0A39C28D" w14:textId="77777777" w:rsidR="0060277E" w:rsidRDefault="0060277E" w:rsidP="0060277E">
      <w:pPr>
        <w:rPr>
          <w:rFonts w:ascii="Verdana" w:hAnsi="Verdana"/>
          <w:sz w:val="20"/>
          <w:lang w:val="es-CR"/>
        </w:rPr>
      </w:pPr>
    </w:p>
    <w:p w14:paraId="64E949AD" w14:textId="77777777" w:rsidR="0060277E" w:rsidRDefault="0060277E" w:rsidP="0060277E">
      <w:pPr>
        <w:tabs>
          <w:tab w:val="left" w:pos="8460"/>
          <w:tab w:val="left" w:pos="8640"/>
        </w:tabs>
        <w:jc w:val="both"/>
        <w:rPr>
          <w:rFonts w:ascii="Verdana" w:hAnsi="Verdana"/>
          <w:sz w:val="20"/>
          <w:lang w:val="es-CR"/>
        </w:rPr>
      </w:pPr>
    </w:p>
    <w:p w14:paraId="64BC635D" w14:textId="77777777" w:rsidR="0060277E" w:rsidRPr="00274D2F" w:rsidRDefault="0060277E" w:rsidP="0060277E">
      <w:pPr>
        <w:tabs>
          <w:tab w:val="left" w:pos="8460"/>
          <w:tab w:val="left" w:pos="8640"/>
        </w:tabs>
        <w:jc w:val="both"/>
        <w:rPr>
          <w:rFonts w:ascii="Verdana" w:hAnsi="Verdana"/>
          <w:sz w:val="20"/>
          <w:lang w:val="es-CR"/>
        </w:rPr>
      </w:pPr>
    </w:p>
    <w:p w14:paraId="2A3CC7BE" w14:textId="77777777" w:rsidR="0060277E" w:rsidRDefault="0060277E" w:rsidP="0060277E">
      <w:pPr>
        <w:tabs>
          <w:tab w:val="left" w:pos="8460"/>
          <w:tab w:val="left" w:pos="8640"/>
        </w:tabs>
        <w:jc w:val="center"/>
        <w:rPr>
          <w:rFonts w:ascii="Verdana" w:hAnsi="Verdana"/>
          <w:sz w:val="20"/>
        </w:rPr>
      </w:pPr>
      <w:r>
        <w:rPr>
          <w:rFonts w:ascii="Verdana" w:hAnsi="Verdana"/>
          <w:sz w:val="20"/>
        </w:rPr>
        <w:t>Pablo Saavedra Alessandri</w:t>
      </w:r>
    </w:p>
    <w:p w14:paraId="78C79F82" w14:textId="77777777" w:rsidR="0060277E" w:rsidRDefault="0060277E" w:rsidP="0060277E">
      <w:pPr>
        <w:tabs>
          <w:tab w:val="left" w:pos="8460"/>
          <w:tab w:val="left" w:pos="8640"/>
        </w:tabs>
        <w:jc w:val="center"/>
        <w:rPr>
          <w:rFonts w:ascii="Verdana" w:hAnsi="Verdana"/>
          <w:sz w:val="20"/>
        </w:rPr>
      </w:pPr>
      <w:r>
        <w:rPr>
          <w:rFonts w:ascii="Verdana" w:hAnsi="Verdana"/>
          <w:sz w:val="20"/>
        </w:rPr>
        <w:t>Secretario</w:t>
      </w:r>
    </w:p>
    <w:p w14:paraId="1D3F361D" w14:textId="77777777" w:rsidR="0060277E" w:rsidRDefault="0060277E" w:rsidP="0060277E">
      <w:pPr>
        <w:tabs>
          <w:tab w:val="left" w:pos="8460"/>
          <w:tab w:val="left" w:pos="8640"/>
        </w:tabs>
        <w:jc w:val="both"/>
        <w:rPr>
          <w:rFonts w:ascii="Verdana" w:hAnsi="Verdana"/>
          <w:sz w:val="20"/>
        </w:rPr>
      </w:pPr>
    </w:p>
    <w:p w14:paraId="1D0BC1FE" w14:textId="77777777" w:rsidR="0060277E" w:rsidRDefault="0060277E" w:rsidP="0060277E">
      <w:pPr>
        <w:jc w:val="both"/>
        <w:rPr>
          <w:rFonts w:ascii="Verdana" w:hAnsi="Verdana"/>
          <w:sz w:val="20"/>
        </w:rPr>
      </w:pPr>
    </w:p>
    <w:p w14:paraId="671DDD60" w14:textId="77777777" w:rsidR="0060277E" w:rsidRDefault="0060277E" w:rsidP="0060277E">
      <w:pPr>
        <w:tabs>
          <w:tab w:val="left" w:pos="8460"/>
          <w:tab w:val="left" w:pos="8640"/>
        </w:tabs>
        <w:jc w:val="both"/>
        <w:rPr>
          <w:rFonts w:ascii="Verdana" w:hAnsi="Verdana"/>
          <w:sz w:val="20"/>
        </w:rPr>
      </w:pPr>
      <w:r>
        <w:rPr>
          <w:rFonts w:ascii="Verdana" w:hAnsi="Verdana"/>
          <w:sz w:val="20"/>
        </w:rPr>
        <w:t>Comuníquese y ejecútese,</w:t>
      </w:r>
    </w:p>
    <w:p w14:paraId="7FC29D3D" w14:textId="77777777" w:rsidR="0060277E" w:rsidRDefault="0060277E" w:rsidP="0060277E">
      <w:pPr>
        <w:tabs>
          <w:tab w:val="left" w:pos="8460"/>
          <w:tab w:val="left" w:pos="8640"/>
        </w:tabs>
        <w:jc w:val="both"/>
        <w:rPr>
          <w:rFonts w:ascii="Verdana" w:hAnsi="Verdana"/>
          <w:sz w:val="20"/>
        </w:rPr>
      </w:pPr>
    </w:p>
    <w:p w14:paraId="6817268B" w14:textId="77777777" w:rsidR="0060277E" w:rsidRDefault="0060277E" w:rsidP="0060277E">
      <w:pPr>
        <w:tabs>
          <w:tab w:val="left" w:pos="8460"/>
          <w:tab w:val="left" w:pos="8640"/>
        </w:tabs>
        <w:jc w:val="both"/>
        <w:rPr>
          <w:rFonts w:ascii="Verdana" w:hAnsi="Verdana"/>
          <w:sz w:val="20"/>
        </w:rPr>
      </w:pPr>
    </w:p>
    <w:p w14:paraId="5B2E8639" w14:textId="77777777" w:rsidR="0060277E" w:rsidRDefault="0060277E" w:rsidP="0060277E">
      <w:pPr>
        <w:tabs>
          <w:tab w:val="left" w:pos="8460"/>
          <w:tab w:val="left" w:pos="8640"/>
        </w:tabs>
        <w:jc w:val="both"/>
        <w:rPr>
          <w:rFonts w:ascii="Verdana" w:hAnsi="Verdana"/>
          <w:sz w:val="20"/>
        </w:rPr>
      </w:pPr>
    </w:p>
    <w:p w14:paraId="22E02FD8" w14:textId="77777777" w:rsidR="0060277E" w:rsidRDefault="0060277E" w:rsidP="0060277E">
      <w:pPr>
        <w:tabs>
          <w:tab w:val="left" w:pos="8460"/>
          <w:tab w:val="left" w:pos="8640"/>
        </w:tabs>
        <w:jc w:val="both"/>
        <w:rPr>
          <w:rFonts w:ascii="Verdana" w:hAnsi="Verdana"/>
          <w:sz w:val="20"/>
        </w:rPr>
      </w:pPr>
    </w:p>
    <w:p w14:paraId="0D9843F8" w14:textId="77777777" w:rsidR="0060277E" w:rsidRDefault="0060277E" w:rsidP="0060277E">
      <w:pPr>
        <w:ind w:firstLine="720"/>
        <w:jc w:val="right"/>
        <w:rPr>
          <w:rFonts w:ascii="Verdana" w:hAnsi="Verdana"/>
          <w:sz w:val="20"/>
        </w:rPr>
      </w:pPr>
      <w:r>
        <w:rPr>
          <w:rFonts w:ascii="Verdana" w:hAnsi="Verdana"/>
          <w:sz w:val="20"/>
          <w:lang w:val="es-CR"/>
        </w:rPr>
        <w:t xml:space="preserve">                  Roberto F. Caldas</w:t>
      </w:r>
    </w:p>
    <w:p w14:paraId="2574340C" w14:textId="77777777" w:rsidR="0060277E" w:rsidRDefault="0060277E" w:rsidP="0060277E">
      <w:pPr>
        <w:ind w:right="360"/>
        <w:jc w:val="right"/>
        <w:rPr>
          <w:rFonts w:ascii="Verdana" w:hAnsi="Verdana"/>
          <w:sz w:val="20"/>
        </w:rPr>
      </w:pPr>
      <w:r>
        <w:rPr>
          <w:rFonts w:ascii="Verdana" w:hAnsi="Verdana"/>
          <w:sz w:val="20"/>
        </w:rPr>
        <w:t xml:space="preserve">Presidente </w:t>
      </w:r>
    </w:p>
    <w:p w14:paraId="75FD779D" w14:textId="77777777" w:rsidR="0060277E" w:rsidRDefault="0060277E" w:rsidP="0060277E">
      <w:pPr>
        <w:tabs>
          <w:tab w:val="left" w:pos="8460"/>
          <w:tab w:val="left" w:pos="8640"/>
        </w:tabs>
        <w:jc w:val="both"/>
        <w:rPr>
          <w:rFonts w:ascii="Verdana" w:hAnsi="Verdana"/>
          <w:sz w:val="20"/>
        </w:rPr>
      </w:pPr>
    </w:p>
    <w:p w14:paraId="17E2B846" w14:textId="77777777" w:rsidR="0060277E" w:rsidRDefault="0060277E" w:rsidP="0060277E">
      <w:pPr>
        <w:tabs>
          <w:tab w:val="left" w:pos="8460"/>
          <w:tab w:val="left" w:pos="8640"/>
        </w:tabs>
        <w:jc w:val="both"/>
        <w:rPr>
          <w:rFonts w:ascii="Verdana" w:hAnsi="Verdana"/>
          <w:sz w:val="20"/>
        </w:rPr>
      </w:pPr>
    </w:p>
    <w:p w14:paraId="6FC42108" w14:textId="77777777" w:rsidR="0060277E" w:rsidRDefault="0060277E" w:rsidP="0060277E">
      <w:pPr>
        <w:tabs>
          <w:tab w:val="left" w:pos="8460"/>
          <w:tab w:val="left" w:pos="8640"/>
        </w:tabs>
        <w:jc w:val="both"/>
        <w:rPr>
          <w:rFonts w:ascii="Verdana" w:hAnsi="Verdana"/>
          <w:sz w:val="20"/>
        </w:rPr>
      </w:pPr>
    </w:p>
    <w:p w14:paraId="5234144F" w14:textId="77777777" w:rsidR="0060277E" w:rsidRDefault="0060277E" w:rsidP="0060277E">
      <w:pPr>
        <w:tabs>
          <w:tab w:val="left" w:pos="8460"/>
          <w:tab w:val="left" w:pos="8640"/>
        </w:tabs>
        <w:jc w:val="both"/>
        <w:rPr>
          <w:rFonts w:ascii="Verdana" w:hAnsi="Verdana"/>
          <w:sz w:val="20"/>
        </w:rPr>
      </w:pPr>
    </w:p>
    <w:p w14:paraId="32FC03D3" w14:textId="77777777" w:rsidR="0060277E" w:rsidRDefault="0060277E" w:rsidP="0060277E">
      <w:pPr>
        <w:tabs>
          <w:tab w:val="left" w:pos="8460"/>
          <w:tab w:val="left" w:pos="8640"/>
        </w:tabs>
        <w:jc w:val="both"/>
        <w:rPr>
          <w:rFonts w:ascii="Verdana" w:hAnsi="Verdana"/>
          <w:sz w:val="20"/>
        </w:rPr>
      </w:pPr>
      <w:r>
        <w:rPr>
          <w:rFonts w:ascii="Verdana" w:hAnsi="Verdana"/>
          <w:sz w:val="20"/>
        </w:rPr>
        <w:t>Pablo Saavedra Alessandri</w:t>
      </w:r>
    </w:p>
    <w:p w14:paraId="092B896D" w14:textId="77777777" w:rsidR="0060277E" w:rsidRDefault="0060277E" w:rsidP="0060277E">
      <w:pPr>
        <w:tabs>
          <w:tab w:val="left" w:pos="8640"/>
        </w:tabs>
        <w:ind w:left="720"/>
        <w:rPr>
          <w:rFonts w:ascii="Verdana" w:hAnsi="Verdana"/>
          <w:sz w:val="20"/>
        </w:rPr>
      </w:pPr>
      <w:r>
        <w:rPr>
          <w:rFonts w:ascii="Verdana" w:hAnsi="Verdana"/>
          <w:sz w:val="20"/>
        </w:rPr>
        <w:t xml:space="preserve">  Secretario</w:t>
      </w:r>
    </w:p>
    <w:p w14:paraId="6643D0EB" w14:textId="77777777" w:rsidR="0060277E" w:rsidRDefault="0060277E" w:rsidP="0060277E">
      <w:pPr>
        <w:tabs>
          <w:tab w:val="left" w:pos="8640"/>
        </w:tabs>
        <w:ind w:left="720"/>
        <w:rPr>
          <w:rFonts w:ascii="Verdana" w:hAnsi="Verdana"/>
          <w:sz w:val="20"/>
        </w:rPr>
      </w:pPr>
    </w:p>
    <w:p w14:paraId="352D4674" w14:textId="77777777" w:rsidR="00F83E8F" w:rsidRDefault="00F83E8F" w:rsidP="0060277E">
      <w:pPr>
        <w:tabs>
          <w:tab w:val="left" w:pos="8640"/>
        </w:tabs>
        <w:ind w:left="720"/>
        <w:rPr>
          <w:rFonts w:ascii="Verdana" w:hAnsi="Verdana"/>
          <w:sz w:val="20"/>
        </w:rPr>
        <w:sectPr w:rsidR="00F83E8F" w:rsidSect="00957B44">
          <w:headerReference w:type="default" r:id="rId12"/>
          <w:pgSz w:w="12240" w:h="15840" w:code="1"/>
          <w:pgMar w:top="1247" w:right="1247" w:bottom="1247" w:left="1247" w:header="709" w:footer="709" w:gutter="0"/>
          <w:cols w:space="708"/>
          <w:titlePg/>
          <w:docGrid w:linePitch="360"/>
        </w:sectPr>
      </w:pPr>
    </w:p>
    <w:p w14:paraId="54BDDBA4" w14:textId="77777777" w:rsidR="00F83E8F" w:rsidRDefault="00F83E8F" w:rsidP="00F83E8F">
      <w:pPr>
        <w:jc w:val="both"/>
        <w:outlineLvl w:val="0"/>
        <w:rPr>
          <w:rFonts w:eastAsia="Verdana" w:cs="Verdana"/>
          <w:b/>
          <w:bCs/>
          <w:szCs w:val="20"/>
          <w:lang w:val="es-CR"/>
        </w:rPr>
      </w:pPr>
    </w:p>
    <w:p w14:paraId="12A00975" w14:textId="77777777" w:rsidR="00F83E8F" w:rsidRDefault="00F83E8F" w:rsidP="00F83E8F">
      <w:pPr>
        <w:outlineLvl w:val="0"/>
        <w:rPr>
          <w:rFonts w:eastAsia="Verdana" w:cs="Verdana"/>
          <w:b/>
          <w:bCs/>
          <w:szCs w:val="20"/>
          <w:lang w:val="es-CR"/>
        </w:rPr>
      </w:pPr>
    </w:p>
    <w:p w14:paraId="2097900B" w14:textId="77777777" w:rsidR="00F83E8F" w:rsidRPr="00444309" w:rsidRDefault="00F83E8F" w:rsidP="00F83E8F">
      <w:pPr>
        <w:jc w:val="center"/>
        <w:outlineLvl w:val="0"/>
        <w:rPr>
          <w:rFonts w:ascii="Verdana" w:eastAsia="Verdana" w:hAnsi="Verdana" w:cs="Verdana"/>
          <w:b/>
          <w:bCs/>
          <w:lang w:val="es-CR"/>
        </w:rPr>
      </w:pPr>
      <w:r w:rsidRPr="00444309">
        <w:rPr>
          <w:rFonts w:ascii="Verdana" w:eastAsia="Verdana" w:hAnsi="Verdana" w:cs="Verdana"/>
          <w:b/>
          <w:bCs/>
          <w:lang w:val="es-CR"/>
        </w:rPr>
        <w:t>VOTO RAZONADO DEL JUEZ ROBERTO F. CALDAS</w:t>
      </w:r>
    </w:p>
    <w:p w14:paraId="717DB4DC" w14:textId="77777777" w:rsidR="00F83E8F" w:rsidRPr="00444309" w:rsidRDefault="00F83E8F" w:rsidP="00F83E8F">
      <w:pPr>
        <w:jc w:val="center"/>
        <w:outlineLvl w:val="0"/>
        <w:rPr>
          <w:rFonts w:ascii="Verdana" w:hAnsi="Verdana"/>
          <w:lang w:val="es-CR"/>
        </w:rPr>
      </w:pPr>
    </w:p>
    <w:p w14:paraId="7E9044F8" w14:textId="77777777" w:rsidR="00F83E8F" w:rsidRPr="00444309" w:rsidRDefault="00F83E8F" w:rsidP="00F83E8F">
      <w:pPr>
        <w:jc w:val="center"/>
        <w:outlineLvl w:val="0"/>
        <w:rPr>
          <w:rFonts w:ascii="Verdana" w:eastAsia="Verdana" w:hAnsi="Verdana" w:cs="Verdana"/>
          <w:b/>
          <w:bCs/>
          <w:lang w:val="es-CR"/>
        </w:rPr>
      </w:pPr>
      <w:r w:rsidRPr="00444309">
        <w:rPr>
          <w:rFonts w:ascii="Verdana" w:eastAsia="Verdana" w:hAnsi="Verdana" w:cs="Verdana"/>
          <w:b/>
          <w:bCs/>
          <w:lang w:val="es-CR"/>
        </w:rPr>
        <w:t>CORTE INTERAMERICANA DE DERECHOS HUMANOS</w:t>
      </w:r>
    </w:p>
    <w:p w14:paraId="7FB2D141" w14:textId="77777777" w:rsidR="00F83E8F" w:rsidRPr="00444309" w:rsidRDefault="00F83E8F" w:rsidP="00F83E8F">
      <w:pPr>
        <w:jc w:val="center"/>
        <w:outlineLvl w:val="0"/>
        <w:rPr>
          <w:rFonts w:ascii="Verdana" w:hAnsi="Verdana"/>
          <w:lang w:val="es-CR"/>
        </w:rPr>
      </w:pPr>
    </w:p>
    <w:p w14:paraId="0A12B1DD" w14:textId="77777777" w:rsidR="00F83E8F" w:rsidRPr="00444309" w:rsidRDefault="00F83E8F" w:rsidP="00F83E8F">
      <w:pPr>
        <w:ind w:hanging="1418"/>
        <w:jc w:val="center"/>
        <w:outlineLvl w:val="0"/>
        <w:rPr>
          <w:rFonts w:ascii="Verdana" w:hAnsi="Verdana"/>
          <w:lang w:val="es-CR"/>
        </w:rPr>
      </w:pPr>
      <w:r w:rsidRPr="00444309">
        <w:rPr>
          <w:rFonts w:ascii="Verdana" w:hAnsi="Verdana"/>
          <w:b/>
          <w:bCs/>
          <w:lang w:val="es-CR"/>
        </w:rPr>
        <w:t>CASO LAGOS DEL CAMPO VS. PERU</w:t>
      </w:r>
    </w:p>
    <w:p w14:paraId="0A3E1985" w14:textId="77777777" w:rsidR="00F83E8F" w:rsidRPr="00444309" w:rsidRDefault="00F83E8F" w:rsidP="00F83E8F">
      <w:pPr>
        <w:tabs>
          <w:tab w:val="left" w:pos="5580"/>
          <w:tab w:val="left" w:pos="6750"/>
        </w:tabs>
        <w:jc w:val="center"/>
        <w:rPr>
          <w:rFonts w:ascii="Verdana" w:hAnsi="Verdana"/>
          <w:b/>
          <w:lang w:val="es-MX"/>
        </w:rPr>
      </w:pPr>
    </w:p>
    <w:p w14:paraId="0B65B991" w14:textId="77777777" w:rsidR="00F83E8F" w:rsidRPr="00444309" w:rsidRDefault="00F83E8F" w:rsidP="00F83E8F">
      <w:pPr>
        <w:jc w:val="center"/>
        <w:outlineLvl w:val="0"/>
        <w:rPr>
          <w:rFonts w:ascii="Verdana" w:hAnsi="Verdana"/>
          <w:b/>
          <w:lang w:val="es-MX"/>
        </w:rPr>
      </w:pPr>
      <w:r w:rsidRPr="00444309">
        <w:rPr>
          <w:rFonts w:ascii="Verdana" w:hAnsi="Verdana"/>
          <w:b/>
          <w:lang w:val="es-MX"/>
        </w:rPr>
        <w:t>SENTENCIA DE 31 DE AGOSTO DE 2017</w:t>
      </w:r>
    </w:p>
    <w:p w14:paraId="588CB6A2" w14:textId="77777777" w:rsidR="00F83E8F" w:rsidRPr="00444309" w:rsidRDefault="00F83E8F" w:rsidP="00F83E8F">
      <w:pPr>
        <w:jc w:val="center"/>
        <w:rPr>
          <w:rFonts w:ascii="Verdana" w:hAnsi="Verdana"/>
          <w:b/>
          <w:i/>
          <w:lang w:val="es-MX"/>
        </w:rPr>
      </w:pPr>
      <w:r w:rsidRPr="00444309">
        <w:rPr>
          <w:rFonts w:ascii="Verdana" w:hAnsi="Verdana"/>
          <w:b/>
          <w:i/>
          <w:lang w:val="es-MX"/>
        </w:rPr>
        <w:t>(Excepciones Preliminares, Fondo, Reparaciones y Costas)</w:t>
      </w:r>
    </w:p>
    <w:p w14:paraId="29473F37" w14:textId="77777777" w:rsidR="00F83E8F" w:rsidRPr="001932BE" w:rsidRDefault="00F83E8F" w:rsidP="00F83E8F">
      <w:pPr>
        <w:jc w:val="center"/>
        <w:rPr>
          <w:b/>
          <w:i/>
          <w:szCs w:val="20"/>
          <w:lang w:val="es-MX"/>
        </w:rPr>
      </w:pPr>
    </w:p>
    <w:p w14:paraId="2D50FD12" w14:textId="77777777" w:rsidR="00F83E8F" w:rsidRPr="001932BE" w:rsidRDefault="00F83E8F" w:rsidP="00F83E8F">
      <w:pPr>
        <w:rPr>
          <w:vanish/>
          <w:szCs w:val="20"/>
          <w:lang w:val="es-CR"/>
        </w:rPr>
      </w:pPr>
    </w:p>
    <w:p w14:paraId="17095815" w14:textId="77777777" w:rsidR="00F83E8F" w:rsidRPr="001932BE" w:rsidRDefault="00F83E8F" w:rsidP="00F83E8F">
      <w:pPr>
        <w:pStyle w:val="ListParagraph"/>
        <w:numPr>
          <w:ilvl w:val="0"/>
          <w:numId w:val="25"/>
        </w:numPr>
        <w:ind w:left="0"/>
        <w:jc w:val="center"/>
        <w:rPr>
          <w:rFonts w:ascii="Verdana" w:hAnsi="Verdana"/>
          <w:b/>
          <w:sz w:val="20"/>
          <w:szCs w:val="20"/>
          <w:u w:val="single"/>
          <w:lang w:val="es-CR"/>
        </w:rPr>
      </w:pPr>
      <w:r w:rsidRPr="001932BE">
        <w:rPr>
          <w:rFonts w:ascii="Verdana" w:hAnsi="Verdana"/>
          <w:b/>
          <w:sz w:val="20"/>
          <w:szCs w:val="20"/>
          <w:u w:val="single"/>
          <w:lang w:val="es-CR"/>
        </w:rPr>
        <w:t>Introducción y relevancia de la Sentencia</w:t>
      </w:r>
    </w:p>
    <w:p w14:paraId="5C84EE7A" w14:textId="77777777" w:rsidR="00F83E8F" w:rsidRPr="001932BE" w:rsidRDefault="00F83E8F" w:rsidP="00F83E8F">
      <w:pPr>
        <w:pStyle w:val="ListParagraph"/>
        <w:ind w:left="0"/>
        <w:rPr>
          <w:rFonts w:ascii="Verdana" w:hAnsi="Verdana"/>
          <w:b/>
          <w:sz w:val="20"/>
          <w:szCs w:val="20"/>
          <w:u w:val="single"/>
          <w:lang w:val="es-CR"/>
        </w:rPr>
      </w:pPr>
    </w:p>
    <w:p w14:paraId="72BD97C8" w14:textId="77777777" w:rsidR="00F83E8F" w:rsidRPr="001932BE" w:rsidRDefault="00F83E8F" w:rsidP="00F83E8F">
      <w:pPr>
        <w:pStyle w:val="ListParagraph"/>
        <w:numPr>
          <w:ilvl w:val="0"/>
          <w:numId w:val="26"/>
        </w:numPr>
        <w:ind w:left="0" w:firstLine="0"/>
        <w:jc w:val="both"/>
        <w:rPr>
          <w:rFonts w:ascii="Verdana" w:hAnsi="Verdana"/>
          <w:sz w:val="20"/>
          <w:szCs w:val="20"/>
          <w:lang w:val="es-MX"/>
        </w:rPr>
      </w:pPr>
      <w:r w:rsidRPr="001932BE">
        <w:rPr>
          <w:rFonts w:ascii="Verdana" w:hAnsi="Verdana"/>
          <w:sz w:val="20"/>
          <w:szCs w:val="20"/>
          <w:lang w:val="es-CR"/>
        </w:rPr>
        <w:t xml:space="preserve">Esta es una decisión histórica, que representa un gran paso jurisprudencial. Si bien, un demorado trayecto pero debidamente estudiado, reflexionado, ponderado y trabajado a lo largo de muchos años sobre la </w:t>
      </w:r>
      <w:proofErr w:type="spellStart"/>
      <w:r w:rsidRPr="001932BE">
        <w:rPr>
          <w:rFonts w:ascii="Verdana" w:hAnsi="Verdana"/>
          <w:sz w:val="20"/>
          <w:szCs w:val="20"/>
          <w:lang w:val="es-CR"/>
        </w:rPr>
        <w:t>justiciabilidad</w:t>
      </w:r>
      <w:proofErr w:type="spellEnd"/>
      <w:r w:rsidRPr="001932BE">
        <w:rPr>
          <w:rFonts w:ascii="Verdana" w:hAnsi="Verdana"/>
          <w:sz w:val="20"/>
          <w:szCs w:val="20"/>
          <w:lang w:val="es-CR"/>
        </w:rPr>
        <w:t xml:space="preserve"> de los </w:t>
      </w:r>
      <w:r w:rsidRPr="001932BE">
        <w:rPr>
          <w:rFonts w:ascii="Verdana" w:hAnsi="Verdana"/>
          <w:sz w:val="20"/>
          <w:szCs w:val="20"/>
          <w:lang w:val="es-MX"/>
        </w:rPr>
        <w:t>Derechos Económicos, Sociales, Culturales y Ambientales (en adelante “DESCA”)</w:t>
      </w:r>
      <w:r w:rsidRPr="001932BE">
        <w:rPr>
          <w:rStyle w:val="FootnoteReference"/>
          <w:lang w:val="es-MX"/>
        </w:rPr>
        <w:footnoteReference w:id="280"/>
      </w:r>
      <w:r w:rsidRPr="001932BE">
        <w:rPr>
          <w:rFonts w:ascii="Verdana" w:hAnsi="Verdana"/>
          <w:sz w:val="20"/>
          <w:szCs w:val="20"/>
          <w:lang w:val="es-MX"/>
        </w:rPr>
        <w:t xml:space="preserve"> por diversas composiciones judiciales de este Tribunal de San José, y con ello la decisión de declarar violado por primera vez, en su historia jurisprudencial, el artículo 26 de la </w:t>
      </w:r>
      <w:r w:rsidRPr="001932BE">
        <w:rPr>
          <w:rFonts w:ascii="Verdana" w:hAnsi="Verdana" w:cs="System Font Regular"/>
          <w:sz w:val="20"/>
          <w:szCs w:val="20"/>
          <w:lang w:val="es-MX"/>
        </w:rPr>
        <w:t xml:space="preserve">Convención Americana sobre Derechos Humanos </w:t>
      </w:r>
      <w:r w:rsidRPr="001932BE">
        <w:rPr>
          <w:rFonts w:ascii="Verdana" w:hAnsi="Verdana"/>
          <w:sz w:val="20"/>
          <w:szCs w:val="20"/>
          <w:lang w:val="es-MX"/>
        </w:rPr>
        <w:t>(en adelante “la Convención” o “CADH”). Esta decisión se adoptó de manera tan consciente y madura que me parece importante reflejar la fuerza conjunta de todas las composiciones que en ese momento llegasen a la misma conclusión. Aunque ampliamente mayoritaria la votación (cinco votos contra dos), creemos que la siempre deseable unanimidad llevará algún tiempo alcanzar debido a las distintas formaciones o experiencias nacionales.</w:t>
      </w:r>
    </w:p>
    <w:p w14:paraId="6E74CF36" w14:textId="77777777" w:rsidR="00F83E8F" w:rsidRPr="001932BE" w:rsidRDefault="00F83E8F" w:rsidP="00F83E8F">
      <w:pPr>
        <w:pStyle w:val="ListParagraph"/>
        <w:ind w:left="0"/>
        <w:jc w:val="both"/>
        <w:rPr>
          <w:rFonts w:ascii="Verdana" w:hAnsi="Verdana"/>
          <w:sz w:val="20"/>
          <w:szCs w:val="20"/>
          <w:lang w:val="es-MX"/>
        </w:rPr>
      </w:pPr>
    </w:p>
    <w:p w14:paraId="123E38B1" w14:textId="77777777" w:rsidR="00F83E8F" w:rsidRPr="001932BE" w:rsidRDefault="00F83E8F" w:rsidP="00F83E8F">
      <w:pPr>
        <w:pStyle w:val="ListParagraph"/>
        <w:numPr>
          <w:ilvl w:val="0"/>
          <w:numId w:val="26"/>
        </w:numPr>
        <w:ind w:left="0" w:firstLine="0"/>
        <w:jc w:val="both"/>
        <w:rPr>
          <w:rFonts w:ascii="Verdana" w:hAnsi="Verdana"/>
          <w:sz w:val="20"/>
          <w:szCs w:val="20"/>
          <w:lang w:val="es-CR"/>
        </w:rPr>
      </w:pPr>
      <w:r w:rsidRPr="001932BE">
        <w:rPr>
          <w:rFonts w:ascii="Verdana" w:hAnsi="Verdana"/>
          <w:sz w:val="20"/>
          <w:szCs w:val="20"/>
          <w:lang w:val="es-MX"/>
        </w:rPr>
        <w:t xml:space="preserve">Que quede claro que la Corte Interamericana hace mucho tiempo protege también los DESCA. El Tribunal lo venía haciendo como derecho secundario o indirecto de un derecho civil o político, cuando en muchos casos, en verdad, era el principal derecho reivindicado. Por ello hasta el día de hoy muchos consideran, incluso juristas, que no cabía encausar una petición directa sobre DESCA en el Sistema Interamericano. </w:t>
      </w:r>
    </w:p>
    <w:p w14:paraId="78118B54" w14:textId="77777777" w:rsidR="00F83E8F" w:rsidRPr="001932BE" w:rsidRDefault="00F83E8F" w:rsidP="00F83E8F">
      <w:pPr>
        <w:pStyle w:val="ListParagraph"/>
        <w:ind w:left="0"/>
        <w:jc w:val="both"/>
        <w:rPr>
          <w:rFonts w:ascii="Verdana" w:hAnsi="Verdana"/>
          <w:sz w:val="20"/>
          <w:szCs w:val="20"/>
          <w:lang w:val="es-CR"/>
        </w:rPr>
      </w:pPr>
    </w:p>
    <w:p w14:paraId="541B1C16" w14:textId="77777777" w:rsidR="00F83E8F" w:rsidRPr="001932BE" w:rsidRDefault="00F83E8F" w:rsidP="00F83E8F">
      <w:pPr>
        <w:pStyle w:val="ListParagraph"/>
        <w:numPr>
          <w:ilvl w:val="0"/>
          <w:numId w:val="26"/>
        </w:numPr>
        <w:ind w:left="0" w:firstLine="0"/>
        <w:jc w:val="both"/>
        <w:rPr>
          <w:rFonts w:ascii="Verdana" w:hAnsi="Verdana"/>
          <w:sz w:val="20"/>
          <w:szCs w:val="20"/>
          <w:lang w:val="es-CR"/>
        </w:rPr>
      </w:pPr>
      <w:r w:rsidRPr="001932BE">
        <w:rPr>
          <w:rFonts w:ascii="Verdana" w:hAnsi="Verdana"/>
          <w:sz w:val="20"/>
          <w:szCs w:val="20"/>
          <w:lang w:val="es-CR"/>
        </w:rPr>
        <w:t xml:space="preserve">Por medio de este voto razonado, de lo cual comparto plenamente las conclusiones a las que llegó esta Corte </w:t>
      </w:r>
      <w:r w:rsidRPr="001932BE">
        <w:rPr>
          <w:rFonts w:ascii="Verdana" w:hAnsi="Verdana"/>
          <w:sz w:val="20"/>
          <w:szCs w:val="20"/>
          <w:lang w:val="es-MX"/>
        </w:rPr>
        <w:t xml:space="preserve">Interamericana de Derechos Humanos (en adelante “Corte” o “Tribunal”) </w:t>
      </w:r>
      <w:r w:rsidRPr="001932BE">
        <w:rPr>
          <w:rFonts w:ascii="Verdana" w:hAnsi="Verdana"/>
          <w:sz w:val="20"/>
          <w:szCs w:val="20"/>
          <w:lang w:val="es-CR"/>
        </w:rPr>
        <w:t xml:space="preserve">y a las reparaciones de ellas resultantes, expreso mi adhesión a la presente Sentencia, solamente discrepando en la amplitud de una sencilla –pero todavía importante– cuestión procesal sobre la aplicación del principio </w:t>
      </w:r>
      <w:proofErr w:type="spellStart"/>
      <w:r w:rsidRPr="001932BE">
        <w:rPr>
          <w:rFonts w:ascii="Verdana" w:hAnsi="Verdana"/>
          <w:i/>
          <w:sz w:val="20"/>
          <w:szCs w:val="20"/>
          <w:lang w:val="es-CR"/>
        </w:rPr>
        <w:t>iura</w:t>
      </w:r>
      <w:proofErr w:type="spellEnd"/>
      <w:r w:rsidRPr="001932BE">
        <w:rPr>
          <w:rFonts w:ascii="Verdana" w:hAnsi="Verdana"/>
          <w:i/>
          <w:sz w:val="20"/>
          <w:szCs w:val="20"/>
          <w:lang w:val="es-CR"/>
        </w:rPr>
        <w:t xml:space="preserve"> </w:t>
      </w:r>
      <w:proofErr w:type="spellStart"/>
      <w:r w:rsidRPr="001932BE">
        <w:rPr>
          <w:rFonts w:ascii="Verdana" w:hAnsi="Verdana"/>
          <w:i/>
          <w:sz w:val="20"/>
          <w:szCs w:val="20"/>
          <w:lang w:val="es-CR"/>
        </w:rPr>
        <w:t>novit</w:t>
      </w:r>
      <w:proofErr w:type="spellEnd"/>
      <w:r w:rsidRPr="001932BE">
        <w:rPr>
          <w:rFonts w:ascii="Verdana" w:hAnsi="Verdana"/>
          <w:i/>
          <w:sz w:val="20"/>
          <w:szCs w:val="20"/>
          <w:lang w:val="es-CR"/>
        </w:rPr>
        <w:t xml:space="preserve"> curi</w:t>
      </w:r>
      <w:r w:rsidRPr="001932BE">
        <w:rPr>
          <w:rFonts w:ascii="Verdana" w:hAnsi="Verdana"/>
          <w:sz w:val="20"/>
          <w:szCs w:val="20"/>
          <w:lang w:val="es-CR"/>
        </w:rPr>
        <w:t xml:space="preserve">a. </w:t>
      </w:r>
    </w:p>
    <w:p w14:paraId="2F115A86" w14:textId="77777777" w:rsidR="00F83E8F" w:rsidRPr="001932BE" w:rsidRDefault="00F83E8F" w:rsidP="00F83E8F">
      <w:pPr>
        <w:pStyle w:val="ListParagraph"/>
        <w:ind w:left="0"/>
        <w:jc w:val="both"/>
        <w:rPr>
          <w:rFonts w:ascii="Verdana" w:hAnsi="Verdana"/>
          <w:sz w:val="20"/>
          <w:szCs w:val="20"/>
          <w:lang w:val="es-CR"/>
        </w:rPr>
      </w:pPr>
    </w:p>
    <w:p w14:paraId="47CA9B0C" w14:textId="77777777" w:rsidR="00F83E8F" w:rsidRDefault="00F83E8F" w:rsidP="00F83E8F">
      <w:pPr>
        <w:pStyle w:val="ListParagraph"/>
        <w:numPr>
          <w:ilvl w:val="0"/>
          <w:numId w:val="26"/>
        </w:numPr>
        <w:ind w:left="0" w:firstLine="0"/>
        <w:jc w:val="both"/>
        <w:rPr>
          <w:rFonts w:ascii="Verdana" w:hAnsi="Verdana"/>
          <w:sz w:val="20"/>
          <w:szCs w:val="20"/>
          <w:lang w:val="es-MX"/>
        </w:rPr>
      </w:pPr>
      <w:r w:rsidRPr="001932BE">
        <w:rPr>
          <w:rFonts w:ascii="Verdana" w:hAnsi="Verdana"/>
          <w:sz w:val="20"/>
          <w:szCs w:val="20"/>
          <w:lang w:val="es-CR"/>
        </w:rPr>
        <w:t xml:space="preserve">Sin perjuicio de otros avances a seguir descritos, resalto que con esta Sentencia hito se reconoce como autónomo, el Derecho del Trabajo y particularmente la estabilidad laboral, siendo entonces </w:t>
      </w:r>
      <w:r w:rsidRPr="001932BE">
        <w:rPr>
          <w:rFonts w:ascii="Verdana" w:hAnsi="Verdana"/>
          <w:sz w:val="20"/>
          <w:szCs w:val="20"/>
          <w:lang w:val="es-MX"/>
        </w:rPr>
        <w:t xml:space="preserve">la primera ocasión en que la Corte IDH declara que el artículo 26 de la </w:t>
      </w:r>
      <w:r w:rsidRPr="001932BE">
        <w:rPr>
          <w:rFonts w:ascii="Verdana" w:hAnsi="Verdana" w:cs="System Font Regular"/>
          <w:sz w:val="20"/>
          <w:szCs w:val="20"/>
          <w:lang w:val="es-MX"/>
        </w:rPr>
        <w:t xml:space="preserve">Convención Americana </w:t>
      </w:r>
      <w:r w:rsidRPr="001932BE">
        <w:rPr>
          <w:rFonts w:ascii="Verdana" w:hAnsi="Verdana"/>
          <w:sz w:val="20"/>
          <w:szCs w:val="20"/>
          <w:lang w:val="es-MX"/>
        </w:rPr>
        <w:t>y los derechos derivados del mismo son justiciables.</w:t>
      </w:r>
    </w:p>
    <w:p w14:paraId="42AB096E" w14:textId="77777777" w:rsidR="00F83E8F" w:rsidRPr="00913000" w:rsidRDefault="00F83E8F" w:rsidP="00F83E8F">
      <w:pPr>
        <w:pStyle w:val="ListParagraph"/>
        <w:rPr>
          <w:rFonts w:ascii="Verdana" w:hAnsi="Verdana"/>
          <w:sz w:val="20"/>
          <w:szCs w:val="20"/>
          <w:lang w:val="es-MX"/>
        </w:rPr>
      </w:pPr>
    </w:p>
    <w:p w14:paraId="36959448" w14:textId="77777777" w:rsidR="00F83E8F" w:rsidRPr="001932BE" w:rsidRDefault="00F83E8F" w:rsidP="00F83E8F">
      <w:pPr>
        <w:pStyle w:val="ListParagraph"/>
        <w:ind w:left="0"/>
        <w:jc w:val="both"/>
        <w:rPr>
          <w:rFonts w:ascii="Verdana" w:hAnsi="Verdana"/>
          <w:sz w:val="20"/>
          <w:szCs w:val="20"/>
          <w:lang w:val="es-MX"/>
        </w:rPr>
      </w:pPr>
    </w:p>
    <w:p w14:paraId="23666766" w14:textId="77777777" w:rsidR="00F83E8F" w:rsidRPr="001932BE" w:rsidRDefault="00F83E8F" w:rsidP="00F83E8F">
      <w:pPr>
        <w:pStyle w:val="ListParagraph"/>
        <w:numPr>
          <w:ilvl w:val="0"/>
          <w:numId w:val="26"/>
        </w:numPr>
        <w:ind w:left="0" w:firstLine="0"/>
        <w:jc w:val="both"/>
        <w:rPr>
          <w:rFonts w:ascii="Verdana" w:hAnsi="Verdana"/>
          <w:sz w:val="20"/>
          <w:szCs w:val="20"/>
          <w:lang w:val="es-MX"/>
        </w:rPr>
      </w:pPr>
      <w:r w:rsidRPr="001932BE">
        <w:rPr>
          <w:rFonts w:ascii="Verdana" w:hAnsi="Verdana"/>
          <w:sz w:val="20"/>
          <w:szCs w:val="20"/>
          <w:lang w:val="es-CR"/>
        </w:rPr>
        <w:lastRenderedPageBreak/>
        <w:t>Asimismo, destaco el tratamiento novedoso que esta Sentencia ha dado a las diferentes temáticas abordadas, tales como las libertades de expresión y asociación, así como el acceso a la justicia a fin de garantizar los derechos de las personas trabajadoras; particularmente en un caso que se originó entre particulares, y así la protección judicial efectiva de tales derechos, lo cual vulnera a su vez los deberes de garantía de los derechos sustantivos abordados en la Sentencia.</w:t>
      </w:r>
    </w:p>
    <w:p w14:paraId="2A997458" w14:textId="77777777" w:rsidR="00F83E8F" w:rsidRPr="001932BE" w:rsidRDefault="00F83E8F" w:rsidP="00F83E8F">
      <w:pPr>
        <w:pStyle w:val="ListParagraph"/>
        <w:ind w:left="0"/>
        <w:jc w:val="both"/>
        <w:rPr>
          <w:rFonts w:ascii="Verdana" w:hAnsi="Verdana"/>
          <w:sz w:val="20"/>
          <w:szCs w:val="20"/>
          <w:lang w:val="es-MX"/>
        </w:rPr>
      </w:pPr>
    </w:p>
    <w:p w14:paraId="5C1127F6" w14:textId="77777777" w:rsidR="00F83E8F" w:rsidRPr="001932BE" w:rsidRDefault="00F83E8F" w:rsidP="00F83E8F">
      <w:pPr>
        <w:pStyle w:val="ListParagraph"/>
        <w:numPr>
          <w:ilvl w:val="0"/>
          <w:numId w:val="26"/>
        </w:numPr>
        <w:ind w:left="0" w:firstLine="0"/>
        <w:jc w:val="both"/>
        <w:rPr>
          <w:rFonts w:ascii="Verdana" w:hAnsi="Verdana"/>
          <w:sz w:val="20"/>
          <w:szCs w:val="20"/>
          <w:lang w:val="es-MX"/>
        </w:rPr>
      </w:pPr>
      <w:r w:rsidRPr="001932BE">
        <w:rPr>
          <w:rFonts w:ascii="Verdana" w:hAnsi="Verdana"/>
          <w:sz w:val="20"/>
          <w:szCs w:val="20"/>
          <w:lang w:val="es-MX"/>
        </w:rPr>
        <w:t xml:space="preserve">Pero sobretodo, estimo que resulta de gran relevancia hacer hincapié en la decisión histórica tomada por la Corte, al declarar la </w:t>
      </w:r>
      <w:proofErr w:type="spellStart"/>
      <w:r w:rsidRPr="001932BE">
        <w:rPr>
          <w:rFonts w:ascii="Verdana" w:hAnsi="Verdana"/>
          <w:sz w:val="20"/>
          <w:szCs w:val="20"/>
          <w:lang w:val="es-MX"/>
        </w:rPr>
        <w:t>justiciabilidad</w:t>
      </w:r>
      <w:proofErr w:type="spellEnd"/>
      <w:r w:rsidRPr="001932BE">
        <w:rPr>
          <w:rFonts w:ascii="Verdana" w:hAnsi="Verdana"/>
          <w:sz w:val="20"/>
          <w:szCs w:val="20"/>
          <w:lang w:val="es-MX"/>
        </w:rPr>
        <w:t xml:space="preserve"> de los DESCA de conformidad con el artículo 26 en relación con las obligaciones contenidas en los artículos 1.1 y 2 de la Convención Americana. Cómo bien fue mencionado en el párrafo 154 de la Sentencia, con este precedente se concreta y desarrolla el primer precedente en la materia y con ellos se abre la puerta a la interpretación de otros derechos derivados del artículo 26 de la Convención. Si bien la Convención Americana que nos compete interpretar es de 1969, la posibilidad que esbozó en su texto para ser interpretada de manera evolutiva respecto de las normas económicas, sociales y sobre educación, ciencia, cultura y medio ambiente, contenidas en la Carta de la OEA a la luz del artículo 29 convencional, fue de gran relevancia para que hoy en día podamos estar dando finalmente un paso más en la consolidación de la interdependencia e integralidad de los derechos humanos. </w:t>
      </w:r>
    </w:p>
    <w:p w14:paraId="1936F9F6" w14:textId="77777777" w:rsidR="00F83E8F" w:rsidRPr="001932BE" w:rsidRDefault="00F83E8F" w:rsidP="00F83E8F">
      <w:pPr>
        <w:pStyle w:val="ListParagraph"/>
        <w:ind w:left="0"/>
        <w:jc w:val="both"/>
        <w:rPr>
          <w:rFonts w:ascii="Verdana" w:hAnsi="Verdana"/>
          <w:sz w:val="20"/>
          <w:szCs w:val="20"/>
          <w:lang w:val="es-MX"/>
        </w:rPr>
      </w:pPr>
    </w:p>
    <w:p w14:paraId="6D2013ED" w14:textId="77777777" w:rsidR="00F83E8F" w:rsidRPr="001932BE" w:rsidRDefault="00F83E8F" w:rsidP="00F83E8F">
      <w:pPr>
        <w:pStyle w:val="ListParagraph"/>
        <w:numPr>
          <w:ilvl w:val="0"/>
          <w:numId w:val="26"/>
        </w:numPr>
        <w:ind w:left="0" w:firstLine="0"/>
        <w:jc w:val="both"/>
        <w:rPr>
          <w:rFonts w:ascii="Verdana" w:hAnsi="Verdana"/>
          <w:sz w:val="20"/>
          <w:szCs w:val="20"/>
          <w:lang w:val="es-MX"/>
        </w:rPr>
      </w:pPr>
      <w:r w:rsidRPr="001932BE">
        <w:rPr>
          <w:rFonts w:ascii="Verdana" w:hAnsi="Verdana"/>
          <w:sz w:val="20"/>
          <w:szCs w:val="20"/>
          <w:lang w:val="es-MX"/>
        </w:rPr>
        <w:t xml:space="preserve">Es fundamental resaltar la importancia de este precedente ya que se extiende más allá del Sistema Interamericano; es un excelente ejemplo de diálogo judicial donde se suman decisiones judiciales de nivel interno que han reconocido ya la </w:t>
      </w:r>
      <w:proofErr w:type="spellStart"/>
      <w:r w:rsidRPr="001932BE">
        <w:rPr>
          <w:rFonts w:ascii="Verdana" w:hAnsi="Verdana"/>
          <w:sz w:val="20"/>
          <w:szCs w:val="20"/>
          <w:lang w:val="es-MX"/>
        </w:rPr>
        <w:t>justiciabilidad</w:t>
      </w:r>
      <w:proofErr w:type="spellEnd"/>
      <w:r w:rsidRPr="001932BE">
        <w:rPr>
          <w:rFonts w:ascii="Verdana" w:hAnsi="Verdana"/>
          <w:sz w:val="20"/>
          <w:szCs w:val="20"/>
          <w:lang w:val="es-MX"/>
        </w:rPr>
        <w:t xml:space="preserve"> de los DESCA</w:t>
      </w:r>
      <w:r w:rsidRPr="001932BE">
        <w:rPr>
          <w:rStyle w:val="FootnoteReference"/>
          <w:lang w:val="es-MX"/>
        </w:rPr>
        <w:footnoteReference w:id="281"/>
      </w:r>
      <w:r w:rsidRPr="001932BE">
        <w:rPr>
          <w:rFonts w:ascii="Verdana" w:hAnsi="Verdana"/>
          <w:sz w:val="20"/>
          <w:szCs w:val="20"/>
          <w:lang w:val="es-MX"/>
        </w:rPr>
        <w:t xml:space="preserve"> con aquellas realizadas en el ámbito internacional. Al hacerlo, la Corte Interamericana demuestra observar las jurisdicciones constitucionales y nacionales y eleva ese necesario reconocimiento al ámbito del Derecho Internacional de los Derechos Humanos.</w:t>
      </w:r>
    </w:p>
    <w:p w14:paraId="02A968D5" w14:textId="77777777" w:rsidR="00F83E8F" w:rsidRPr="001932BE" w:rsidRDefault="00F83E8F" w:rsidP="00F83E8F">
      <w:pPr>
        <w:pStyle w:val="ListParagraph"/>
        <w:ind w:left="0"/>
        <w:jc w:val="both"/>
        <w:rPr>
          <w:rFonts w:ascii="Verdana" w:hAnsi="Verdana"/>
          <w:sz w:val="20"/>
          <w:szCs w:val="20"/>
          <w:lang w:val="es-MX"/>
        </w:rPr>
      </w:pPr>
    </w:p>
    <w:p w14:paraId="38275EEA" w14:textId="77777777" w:rsidR="00F83E8F" w:rsidRPr="001932BE" w:rsidRDefault="00F83E8F" w:rsidP="00F83E8F">
      <w:pPr>
        <w:pStyle w:val="ListParagraph"/>
        <w:numPr>
          <w:ilvl w:val="0"/>
          <w:numId w:val="26"/>
        </w:numPr>
        <w:ind w:left="0" w:firstLine="0"/>
        <w:jc w:val="both"/>
        <w:rPr>
          <w:rFonts w:ascii="Verdana" w:hAnsi="Verdana"/>
          <w:sz w:val="20"/>
          <w:szCs w:val="20"/>
          <w:lang w:val="es-MX"/>
        </w:rPr>
      </w:pPr>
      <w:r w:rsidRPr="001932BE">
        <w:rPr>
          <w:rFonts w:ascii="Verdana" w:hAnsi="Verdana"/>
          <w:sz w:val="20"/>
          <w:szCs w:val="20"/>
          <w:lang w:val="es-MX"/>
        </w:rPr>
        <w:t xml:space="preserve">Desarrollaré a continuación los siguientes puntos adicionales a considerar: </w:t>
      </w:r>
      <w:proofErr w:type="spellStart"/>
      <w:r w:rsidRPr="001932BE">
        <w:rPr>
          <w:rFonts w:ascii="Verdana" w:hAnsi="Verdana"/>
          <w:i/>
          <w:sz w:val="20"/>
          <w:szCs w:val="20"/>
          <w:lang w:val="es-MX"/>
        </w:rPr>
        <w:t>Iura</w:t>
      </w:r>
      <w:proofErr w:type="spellEnd"/>
      <w:r w:rsidRPr="001932BE">
        <w:rPr>
          <w:rFonts w:ascii="Verdana" w:hAnsi="Verdana"/>
          <w:i/>
          <w:sz w:val="20"/>
          <w:szCs w:val="20"/>
          <w:lang w:val="es-MX"/>
        </w:rPr>
        <w:t xml:space="preserve"> </w:t>
      </w:r>
      <w:proofErr w:type="spellStart"/>
      <w:r w:rsidRPr="001932BE">
        <w:rPr>
          <w:rFonts w:ascii="Verdana" w:hAnsi="Verdana"/>
          <w:i/>
          <w:sz w:val="20"/>
          <w:szCs w:val="20"/>
          <w:lang w:val="es-MX"/>
        </w:rPr>
        <w:t>novit</w:t>
      </w:r>
      <w:proofErr w:type="spellEnd"/>
      <w:r w:rsidRPr="001932BE">
        <w:rPr>
          <w:rFonts w:ascii="Verdana" w:hAnsi="Verdana"/>
          <w:i/>
          <w:sz w:val="20"/>
          <w:szCs w:val="20"/>
          <w:lang w:val="es-MX"/>
        </w:rPr>
        <w:t xml:space="preserve"> curia</w:t>
      </w:r>
      <w:r w:rsidRPr="001932BE">
        <w:rPr>
          <w:rFonts w:ascii="Verdana" w:hAnsi="Verdana"/>
          <w:sz w:val="20"/>
          <w:szCs w:val="20"/>
          <w:lang w:val="es-MX"/>
        </w:rPr>
        <w:t xml:space="preserve"> y El derecho al trabajo protegido por los artículos 26 y 25 de la Convención. </w:t>
      </w:r>
    </w:p>
    <w:p w14:paraId="5970FEF1" w14:textId="77777777" w:rsidR="00F83E8F" w:rsidRPr="001932BE" w:rsidRDefault="00F83E8F" w:rsidP="00F83E8F">
      <w:pPr>
        <w:pStyle w:val="ListParagraph"/>
        <w:ind w:left="0"/>
        <w:jc w:val="both"/>
        <w:rPr>
          <w:rFonts w:ascii="Verdana" w:hAnsi="Verdana"/>
          <w:sz w:val="20"/>
          <w:szCs w:val="20"/>
          <w:lang w:val="es-MX"/>
        </w:rPr>
      </w:pPr>
    </w:p>
    <w:p w14:paraId="5EF13C6A" w14:textId="77777777" w:rsidR="00F83E8F" w:rsidRPr="001932BE" w:rsidRDefault="00F83E8F" w:rsidP="00F83E8F">
      <w:pPr>
        <w:pStyle w:val="Style1"/>
        <w:spacing w:after="0" w:line="240" w:lineRule="auto"/>
        <w:ind w:left="0"/>
        <w:rPr>
          <w:i/>
          <w:lang w:val="es-CR"/>
        </w:rPr>
      </w:pPr>
      <w:proofErr w:type="spellStart"/>
      <w:r w:rsidRPr="001932BE">
        <w:rPr>
          <w:i/>
        </w:rPr>
        <w:t>Iura</w:t>
      </w:r>
      <w:proofErr w:type="spellEnd"/>
      <w:r w:rsidRPr="001932BE">
        <w:rPr>
          <w:i/>
        </w:rPr>
        <w:t xml:space="preserve"> </w:t>
      </w:r>
      <w:proofErr w:type="spellStart"/>
      <w:r w:rsidRPr="001932BE">
        <w:rPr>
          <w:i/>
        </w:rPr>
        <w:t>novit</w:t>
      </w:r>
      <w:proofErr w:type="spellEnd"/>
      <w:r w:rsidRPr="001932BE">
        <w:rPr>
          <w:i/>
        </w:rPr>
        <w:t xml:space="preserve"> curia</w:t>
      </w:r>
    </w:p>
    <w:p w14:paraId="67A798AE" w14:textId="77777777" w:rsidR="00F83E8F" w:rsidRPr="001932BE" w:rsidRDefault="00F83E8F" w:rsidP="00F83E8F">
      <w:pPr>
        <w:pStyle w:val="Style1"/>
        <w:numPr>
          <w:ilvl w:val="0"/>
          <w:numId w:val="0"/>
        </w:numPr>
        <w:spacing w:after="0" w:line="240" w:lineRule="auto"/>
        <w:jc w:val="both"/>
        <w:rPr>
          <w:i/>
          <w:lang w:val="es-CR"/>
        </w:rPr>
      </w:pPr>
    </w:p>
    <w:p w14:paraId="239933D0" w14:textId="77777777" w:rsidR="00F83E8F" w:rsidRPr="001932BE" w:rsidRDefault="00F83E8F" w:rsidP="00F83E8F">
      <w:pPr>
        <w:pStyle w:val="Style1"/>
        <w:numPr>
          <w:ilvl w:val="0"/>
          <w:numId w:val="26"/>
        </w:numPr>
        <w:spacing w:after="0" w:line="240" w:lineRule="auto"/>
        <w:ind w:left="0" w:firstLine="0"/>
        <w:jc w:val="both"/>
      </w:pPr>
      <w:r w:rsidRPr="001932BE">
        <w:rPr>
          <w:b w:val="0"/>
          <w:u w:val="none"/>
        </w:rPr>
        <w:t xml:space="preserve">Deseo hacer notar un punto que, en mi parecer, resulta medular, en cuanto a la aplicación del principio </w:t>
      </w:r>
      <w:proofErr w:type="spellStart"/>
      <w:r w:rsidRPr="001932BE">
        <w:rPr>
          <w:b w:val="0"/>
          <w:i/>
          <w:u w:val="none"/>
        </w:rPr>
        <w:t>iuria</w:t>
      </w:r>
      <w:proofErr w:type="spellEnd"/>
      <w:r w:rsidRPr="001932BE">
        <w:rPr>
          <w:b w:val="0"/>
          <w:i/>
          <w:u w:val="none"/>
        </w:rPr>
        <w:t xml:space="preserve"> </w:t>
      </w:r>
      <w:proofErr w:type="spellStart"/>
      <w:r w:rsidRPr="001932BE">
        <w:rPr>
          <w:b w:val="0"/>
          <w:i/>
          <w:u w:val="none"/>
        </w:rPr>
        <w:t>novit</w:t>
      </w:r>
      <w:proofErr w:type="spellEnd"/>
      <w:r w:rsidRPr="001932BE">
        <w:rPr>
          <w:b w:val="0"/>
          <w:i/>
          <w:u w:val="none"/>
        </w:rPr>
        <w:t xml:space="preserve"> curia</w:t>
      </w:r>
      <w:r w:rsidRPr="001932BE">
        <w:rPr>
          <w:b w:val="0"/>
          <w:u w:val="none"/>
        </w:rPr>
        <w:t xml:space="preserve"> en el caso concreto, respecto del cual difiero su necesidad en el presente caso. Me he sumado a la mayoría formada por mis colegas que decidieron hacer uso del principio </w:t>
      </w:r>
      <w:proofErr w:type="spellStart"/>
      <w:r w:rsidRPr="001932BE">
        <w:rPr>
          <w:b w:val="0"/>
          <w:i/>
          <w:u w:val="none"/>
          <w:lang w:val="es-UY"/>
        </w:rPr>
        <w:t>iura</w:t>
      </w:r>
      <w:proofErr w:type="spellEnd"/>
      <w:r w:rsidRPr="001932BE">
        <w:rPr>
          <w:b w:val="0"/>
          <w:i/>
          <w:u w:val="none"/>
          <w:lang w:val="es-UY"/>
        </w:rPr>
        <w:t xml:space="preserve"> </w:t>
      </w:r>
      <w:proofErr w:type="spellStart"/>
      <w:r w:rsidRPr="001932BE">
        <w:rPr>
          <w:b w:val="0"/>
          <w:i/>
          <w:u w:val="none"/>
          <w:lang w:val="es-UY"/>
        </w:rPr>
        <w:t>novi</w:t>
      </w:r>
      <w:proofErr w:type="spellEnd"/>
      <w:r w:rsidRPr="001932BE">
        <w:rPr>
          <w:b w:val="0"/>
          <w:i/>
          <w:u w:val="none"/>
        </w:rPr>
        <w:t>t</w:t>
      </w:r>
      <w:r w:rsidRPr="001932BE">
        <w:rPr>
          <w:b w:val="0"/>
          <w:i/>
          <w:u w:val="none"/>
          <w:lang w:val="es-UY"/>
        </w:rPr>
        <w:t xml:space="preserve"> curia</w:t>
      </w:r>
      <w:r w:rsidRPr="001932BE">
        <w:rPr>
          <w:b w:val="0"/>
          <w:u w:val="none"/>
        </w:rPr>
        <w:t xml:space="preserve"> para conocer de la cuestión. Resolví acompañarlos en la votación porque de cualquier manera yo reconocía el alegato y consideraba la violación al derecho laboral, incluso porque entiendo que ni siquiera sería necesario aplicar dicho principio. En el presente caso no era necesario aplicar el principio para conocer y declarar violado el derecho al trabajo, pues la victima ya había alegado violación al derecho del trabajo y estabilidad laboral sin haber indicado el dispositivo específico violado de la Convención Americana.</w:t>
      </w:r>
    </w:p>
    <w:p w14:paraId="47657BEB" w14:textId="77777777" w:rsidR="00F83E8F" w:rsidRPr="001932BE" w:rsidRDefault="00F83E8F" w:rsidP="00F83E8F">
      <w:pPr>
        <w:rPr>
          <w:szCs w:val="20"/>
          <w:lang w:val="es-MX"/>
        </w:rPr>
      </w:pPr>
    </w:p>
    <w:p w14:paraId="1B4FB98B" w14:textId="77777777" w:rsidR="00F83E8F" w:rsidRPr="001932BE" w:rsidRDefault="00F83E8F" w:rsidP="00F83E8F">
      <w:pPr>
        <w:pStyle w:val="Style1"/>
        <w:numPr>
          <w:ilvl w:val="0"/>
          <w:numId w:val="26"/>
        </w:numPr>
        <w:spacing w:after="0" w:line="240" w:lineRule="auto"/>
        <w:ind w:left="0" w:firstLine="0"/>
        <w:jc w:val="both"/>
        <w:rPr>
          <w:u w:val="none"/>
        </w:rPr>
      </w:pPr>
      <w:r w:rsidRPr="001932BE">
        <w:rPr>
          <w:b w:val="0"/>
          <w:i/>
          <w:u w:val="none"/>
        </w:rPr>
        <w:t>“</w:t>
      </w:r>
      <w:proofErr w:type="spellStart"/>
      <w:r w:rsidRPr="001932BE">
        <w:rPr>
          <w:b w:val="0"/>
          <w:i/>
          <w:u w:val="none"/>
          <w:lang w:val="es-UY"/>
        </w:rPr>
        <w:t>Iura</w:t>
      </w:r>
      <w:proofErr w:type="spellEnd"/>
      <w:r w:rsidRPr="001932BE">
        <w:rPr>
          <w:b w:val="0"/>
          <w:i/>
          <w:u w:val="none"/>
          <w:lang w:val="es-UY"/>
        </w:rPr>
        <w:t xml:space="preserve"> </w:t>
      </w:r>
      <w:proofErr w:type="spellStart"/>
      <w:r w:rsidRPr="001932BE">
        <w:rPr>
          <w:b w:val="0"/>
          <w:i/>
          <w:u w:val="none"/>
          <w:lang w:val="es-UY"/>
        </w:rPr>
        <w:t>novit</w:t>
      </w:r>
      <w:proofErr w:type="spellEnd"/>
      <w:r w:rsidRPr="001932BE">
        <w:rPr>
          <w:b w:val="0"/>
          <w:i/>
          <w:u w:val="none"/>
          <w:lang w:val="es-UY"/>
        </w:rPr>
        <w:t xml:space="preserve"> curia</w:t>
      </w:r>
      <w:r w:rsidRPr="001932BE">
        <w:rPr>
          <w:b w:val="0"/>
          <w:i/>
          <w:u w:val="none"/>
        </w:rPr>
        <w:t>”</w:t>
      </w:r>
      <w:r w:rsidRPr="001932BE">
        <w:rPr>
          <w:b w:val="0"/>
          <w:u w:val="none"/>
        </w:rPr>
        <w:t xml:space="preserve"> proviene del latín y significa “el tribunal conoce el derecho”. Es decir, la parte que venga a juicio a pedir algo y traiga los hechos, sencillamente los hechos, tiene la legitima expectativa de que el juez o tribunal conozca la cuestión y le aplique el derecho. Es la </w:t>
      </w:r>
      <w:r w:rsidRPr="001932BE">
        <w:rPr>
          <w:b w:val="0"/>
          <w:u w:val="none"/>
        </w:rPr>
        <w:lastRenderedPageBreak/>
        <w:t>misma lógica jurídica de otro principio similar “</w:t>
      </w:r>
      <w:r w:rsidRPr="001932BE">
        <w:rPr>
          <w:b w:val="0"/>
          <w:i/>
          <w:u w:val="none"/>
          <w:lang w:val="es-UY"/>
        </w:rPr>
        <w:t xml:space="preserve">da </w:t>
      </w:r>
      <w:proofErr w:type="spellStart"/>
      <w:r w:rsidRPr="001932BE">
        <w:rPr>
          <w:b w:val="0"/>
          <w:i/>
          <w:u w:val="none"/>
          <w:lang w:val="es-UY"/>
        </w:rPr>
        <w:t>mihi</w:t>
      </w:r>
      <w:proofErr w:type="spellEnd"/>
      <w:r w:rsidRPr="001932BE">
        <w:rPr>
          <w:b w:val="0"/>
          <w:i/>
          <w:u w:val="none"/>
          <w:lang w:val="es-UY"/>
        </w:rPr>
        <w:t xml:space="preserve"> </w:t>
      </w:r>
      <w:proofErr w:type="spellStart"/>
      <w:r w:rsidRPr="001932BE">
        <w:rPr>
          <w:b w:val="0"/>
          <w:i/>
          <w:u w:val="none"/>
          <w:lang w:val="es-UY"/>
        </w:rPr>
        <w:t>factum</w:t>
      </w:r>
      <w:proofErr w:type="spellEnd"/>
      <w:r w:rsidRPr="001932BE">
        <w:rPr>
          <w:b w:val="0"/>
          <w:i/>
          <w:u w:val="none"/>
          <w:lang w:val="es-UY"/>
        </w:rPr>
        <w:t xml:space="preserve">, </w:t>
      </w:r>
      <w:proofErr w:type="spellStart"/>
      <w:r w:rsidRPr="001932BE">
        <w:rPr>
          <w:b w:val="0"/>
          <w:i/>
          <w:u w:val="none"/>
          <w:lang w:val="es-UY"/>
        </w:rPr>
        <w:t>dabo</w:t>
      </w:r>
      <w:proofErr w:type="spellEnd"/>
      <w:r w:rsidRPr="001932BE">
        <w:rPr>
          <w:b w:val="0"/>
          <w:i/>
          <w:u w:val="none"/>
          <w:lang w:val="es-UY"/>
        </w:rPr>
        <w:t xml:space="preserve"> tibi </w:t>
      </w:r>
      <w:proofErr w:type="spellStart"/>
      <w:r w:rsidRPr="001932BE">
        <w:rPr>
          <w:b w:val="0"/>
          <w:i/>
          <w:u w:val="none"/>
          <w:lang w:val="es-UY"/>
        </w:rPr>
        <w:t>ius</w:t>
      </w:r>
      <w:proofErr w:type="spellEnd"/>
      <w:r w:rsidRPr="001932BE">
        <w:rPr>
          <w:b w:val="0"/>
          <w:u w:val="none"/>
        </w:rPr>
        <w:t>” (dame el hecho y te daré el derecho). Son principios coherentes con la amplia tutela judicial, especialmente valida y aplicable en un Tribunal de derechos humanos.</w:t>
      </w:r>
    </w:p>
    <w:p w14:paraId="5C8DD4CC" w14:textId="77777777" w:rsidR="00F83E8F" w:rsidRPr="001932BE" w:rsidRDefault="00F83E8F" w:rsidP="00F83E8F">
      <w:pPr>
        <w:rPr>
          <w:szCs w:val="20"/>
          <w:lang w:val="es-MX"/>
        </w:rPr>
      </w:pPr>
    </w:p>
    <w:p w14:paraId="48298501" w14:textId="77777777" w:rsidR="00F83E8F" w:rsidRPr="001932BE" w:rsidRDefault="00F83E8F" w:rsidP="00F83E8F">
      <w:pPr>
        <w:pStyle w:val="Style1"/>
        <w:numPr>
          <w:ilvl w:val="0"/>
          <w:numId w:val="0"/>
        </w:numPr>
        <w:spacing w:after="0" w:line="240" w:lineRule="auto"/>
        <w:jc w:val="both"/>
        <w:rPr>
          <w:u w:val="none"/>
        </w:rPr>
      </w:pPr>
      <w:r w:rsidRPr="001932BE">
        <w:rPr>
          <w:b w:val="0"/>
          <w:u w:val="none"/>
        </w:rPr>
        <w:t>11.</w:t>
      </w:r>
      <w:r w:rsidRPr="001932BE">
        <w:rPr>
          <w:b w:val="0"/>
          <w:u w:val="none"/>
        </w:rPr>
        <w:tab/>
        <w:t xml:space="preserve">En otras palabras, en ciertas circunstancias el Tribunal debe aceptar los hechos como suficientes para basar el pedido sin que la parte interesada haya expresamente alegado la violación a determinado artículo de la ley o la norma. Más aún cuando la contraparte (en este caso el Estado) haya tenido la oportunidad de responder o controvertir el alegato, respetando así el principio del contradictorio. </w:t>
      </w:r>
    </w:p>
    <w:p w14:paraId="7BE04A9B" w14:textId="77777777" w:rsidR="00F83E8F" w:rsidRPr="001932BE" w:rsidRDefault="00F83E8F" w:rsidP="00F83E8F">
      <w:pPr>
        <w:pStyle w:val="Style1"/>
        <w:numPr>
          <w:ilvl w:val="0"/>
          <w:numId w:val="0"/>
        </w:numPr>
        <w:spacing w:after="0" w:line="240" w:lineRule="auto"/>
        <w:jc w:val="both"/>
        <w:rPr>
          <w:lang w:val="es-CR"/>
        </w:rPr>
      </w:pPr>
    </w:p>
    <w:p w14:paraId="669B14F1" w14:textId="77777777" w:rsidR="00F83E8F" w:rsidRPr="001932BE" w:rsidRDefault="00F83E8F" w:rsidP="00F83E8F">
      <w:pPr>
        <w:pStyle w:val="Style1"/>
        <w:numPr>
          <w:ilvl w:val="0"/>
          <w:numId w:val="27"/>
        </w:numPr>
        <w:spacing w:after="0" w:line="240" w:lineRule="auto"/>
        <w:ind w:left="0" w:firstLine="0"/>
        <w:jc w:val="both"/>
      </w:pPr>
      <w:r w:rsidRPr="001932BE">
        <w:rPr>
          <w:b w:val="0"/>
          <w:u w:val="none"/>
          <w:lang w:val="es-CR"/>
        </w:rPr>
        <w:t>Como se menciona en el párrafo 133 de la Sentencia, la Corte señaló</w:t>
      </w:r>
      <w:r w:rsidRPr="001932BE">
        <w:rPr>
          <w:b w:val="0"/>
          <w:u w:val="none"/>
        </w:rPr>
        <w:t xml:space="preserve"> que en este caso ninguna de las partes hizo alusión expresa a la violación al derecho laboral en relación con los artículos de la Convención. No obstante, se resaltó que la víctima alegó reiteradamente en las instancias internas y ante la Comisión Interamericana de Derechos Humanos (en adelante “Comisión” o “CIDH”) la violación a sus derechos laborales, particularmente a la estabilidad laboral, así como las consecuencias derivadas del despido.</w:t>
      </w:r>
    </w:p>
    <w:p w14:paraId="667F4C52" w14:textId="77777777" w:rsidR="00F83E8F" w:rsidRPr="001932BE" w:rsidRDefault="00F83E8F" w:rsidP="00F83E8F">
      <w:pPr>
        <w:rPr>
          <w:szCs w:val="20"/>
          <w:lang w:val="es-MX"/>
        </w:rPr>
      </w:pPr>
    </w:p>
    <w:p w14:paraId="3C9FDFC6" w14:textId="77777777" w:rsidR="00F83E8F" w:rsidRPr="001932BE" w:rsidRDefault="00F83E8F" w:rsidP="00F83E8F">
      <w:pPr>
        <w:pStyle w:val="Style1"/>
        <w:numPr>
          <w:ilvl w:val="0"/>
          <w:numId w:val="27"/>
        </w:numPr>
        <w:spacing w:after="0" w:line="240" w:lineRule="auto"/>
        <w:ind w:left="0" w:firstLine="0"/>
        <w:jc w:val="both"/>
      </w:pPr>
      <w:r w:rsidRPr="001932BE">
        <w:rPr>
          <w:b w:val="0"/>
          <w:u w:val="none"/>
        </w:rPr>
        <w:t>Al respecto, la víctima mencionó en al menos siete diferentes escritos en el fuero interno la violación a su derecho al trabajo y a la estabilidad laboral. En cuanto a los escritos presentados ante la Comisión, se mencionó en nueve diferentes ocasiones la violación a sus derechos como trabajador (párrafos 133 a 135 de la Sentencia). Por ende, la Corte consideró que los hechos correspondientes al despido fueron expuestos en todo momento ante los tribunales de Perú y ante la CIDH (párr. 137 de la Sentencia).</w:t>
      </w:r>
    </w:p>
    <w:p w14:paraId="5C587DAE" w14:textId="77777777" w:rsidR="00F83E8F" w:rsidRPr="001932BE" w:rsidRDefault="00F83E8F" w:rsidP="00F83E8F">
      <w:pPr>
        <w:rPr>
          <w:szCs w:val="20"/>
          <w:lang w:val="es-MX"/>
        </w:rPr>
      </w:pPr>
    </w:p>
    <w:p w14:paraId="49DA5261" w14:textId="77777777" w:rsidR="00F83E8F" w:rsidRPr="001932BE" w:rsidRDefault="00F83E8F" w:rsidP="00F83E8F">
      <w:pPr>
        <w:pStyle w:val="Style1"/>
        <w:numPr>
          <w:ilvl w:val="0"/>
          <w:numId w:val="27"/>
        </w:numPr>
        <w:spacing w:after="0" w:line="240" w:lineRule="auto"/>
        <w:ind w:left="0" w:firstLine="0"/>
        <w:jc w:val="both"/>
        <w:rPr>
          <w:b w:val="0"/>
          <w:u w:val="none"/>
        </w:rPr>
      </w:pPr>
      <w:r w:rsidRPr="001932BE">
        <w:rPr>
          <w:b w:val="0"/>
          <w:u w:val="none"/>
        </w:rPr>
        <w:t xml:space="preserve">El Tribunal decidió que debía invocar el principio </w:t>
      </w:r>
      <w:proofErr w:type="spellStart"/>
      <w:r w:rsidRPr="001932BE">
        <w:rPr>
          <w:b w:val="0"/>
          <w:u w:val="none"/>
        </w:rPr>
        <w:t>iura</w:t>
      </w:r>
      <w:proofErr w:type="spellEnd"/>
      <w:r w:rsidRPr="001932BE">
        <w:rPr>
          <w:b w:val="0"/>
          <w:u w:val="none"/>
        </w:rPr>
        <w:t xml:space="preserve"> </w:t>
      </w:r>
      <w:proofErr w:type="spellStart"/>
      <w:r w:rsidRPr="001932BE">
        <w:rPr>
          <w:b w:val="0"/>
          <w:u w:val="none"/>
        </w:rPr>
        <w:t>novit</w:t>
      </w:r>
      <w:proofErr w:type="spellEnd"/>
      <w:r w:rsidRPr="001932BE">
        <w:rPr>
          <w:b w:val="0"/>
          <w:u w:val="none"/>
        </w:rPr>
        <w:t xml:space="preserve"> curia, a fin de pronunciarse conforme a la violación del derecho al trabajo y a la estabilidad laboral con base en el artículo 26 de la Convención. Sin embargo, difiero de este pronunciamiento, por considerarlo innecesario, ya que el principio </w:t>
      </w:r>
      <w:proofErr w:type="spellStart"/>
      <w:r w:rsidRPr="001932BE">
        <w:rPr>
          <w:b w:val="0"/>
          <w:u w:val="none"/>
        </w:rPr>
        <w:t>iura</w:t>
      </w:r>
      <w:proofErr w:type="spellEnd"/>
      <w:r w:rsidRPr="001932BE">
        <w:rPr>
          <w:b w:val="0"/>
          <w:u w:val="none"/>
        </w:rPr>
        <w:t xml:space="preserve"> </w:t>
      </w:r>
      <w:proofErr w:type="spellStart"/>
      <w:r w:rsidRPr="001932BE">
        <w:rPr>
          <w:b w:val="0"/>
          <w:u w:val="none"/>
        </w:rPr>
        <w:t>novit</w:t>
      </w:r>
      <w:proofErr w:type="spellEnd"/>
      <w:r w:rsidRPr="001932BE">
        <w:rPr>
          <w:b w:val="0"/>
          <w:u w:val="none"/>
        </w:rPr>
        <w:t xml:space="preserve"> curia se aplica solamente cuando se alega el hecho y no se alega el derecho, pero en el presente caso se alegó el derecho, razón por la cual resulta absolutamente regular el pedimento y su forma.</w:t>
      </w:r>
    </w:p>
    <w:p w14:paraId="579728BB" w14:textId="77777777" w:rsidR="00F83E8F" w:rsidRPr="001932BE" w:rsidRDefault="00F83E8F" w:rsidP="00F83E8F">
      <w:pPr>
        <w:rPr>
          <w:szCs w:val="20"/>
          <w:highlight w:val="cyan"/>
          <w:lang w:val="es-MX"/>
        </w:rPr>
      </w:pPr>
    </w:p>
    <w:p w14:paraId="5D027170" w14:textId="77777777" w:rsidR="00F83E8F" w:rsidRPr="001932BE" w:rsidRDefault="00F83E8F" w:rsidP="00F83E8F">
      <w:pPr>
        <w:pStyle w:val="Style1"/>
        <w:numPr>
          <w:ilvl w:val="0"/>
          <w:numId w:val="27"/>
        </w:numPr>
        <w:spacing w:after="0" w:line="240" w:lineRule="auto"/>
        <w:ind w:left="0" w:firstLine="0"/>
        <w:jc w:val="both"/>
      </w:pPr>
      <w:r w:rsidRPr="001932BE">
        <w:rPr>
          <w:b w:val="0"/>
          <w:u w:val="none"/>
        </w:rPr>
        <w:t>Resulta irrazonable exigir que las partes deban alegar ante un órgano no judicial o cuasi judicial como la Comisión Interamericana de manera concurrente los hechos, los derechos y así como también el artículo especifico de la ley o norma internacional, lo cual podría derivar en afectar el derecho a un recurso sencillo y rápido consagrado en el artículo 25 de la Convención.</w:t>
      </w:r>
    </w:p>
    <w:p w14:paraId="41C6B7EB" w14:textId="77777777" w:rsidR="00F83E8F" w:rsidRPr="001932BE" w:rsidRDefault="00F83E8F" w:rsidP="00F83E8F">
      <w:pPr>
        <w:rPr>
          <w:szCs w:val="20"/>
          <w:lang w:val="es-MX"/>
        </w:rPr>
      </w:pPr>
    </w:p>
    <w:p w14:paraId="7F8A913A" w14:textId="77777777" w:rsidR="00F83E8F" w:rsidRPr="001932BE" w:rsidRDefault="00F83E8F" w:rsidP="00F83E8F">
      <w:pPr>
        <w:pStyle w:val="Style1"/>
        <w:numPr>
          <w:ilvl w:val="0"/>
          <w:numId w:val="27"/>
        </w:numPr>
        <w:spacing w:after="0" w:line="240" w:lineRule="auto"/>
        <w:ind w:left="0" w:firstLine="0"/>
        <w:jc w:val="both"/>
      </w:pPr>
      <w:r w:rsidRPr="001932BE">
        <w:rPr>
          <w:b w:val="0"/>
          <w:u w:val="none"/>
        </w:rPr>
        <w:t>En el caso particular fue la propia víctima quien en reiteradas oportunidades invocó estos derechos (y no solamente hechos), los cuales fueron ignorados por la Comisión</w:t>
      </w:r>
      <w:r w:rsidRPr="001932BE">
        <w:rPr>
          <w:rStyle w:val="FootnoteReference"/>
          <w:rFonts w:eastAsiaTheme="majorEastAsia"/>
          <w:u w:val="none"/>
        </w:rPr>
        <w:footnoteReference w:id="282"/>
      </w:r>
      <w:r w:rsidRPr="001932BE">
        <w:rPr>
          <w:b w:val="0"/>
          <w:u w:val="none"/>
        </w:rPr>
        <w:t>. Resulta entonces que de acuerdo con una interpretación sistemática y de efecto útil del tratado y sus órganos de aplicación, la Corte tiene la facultad de valorar y dar sentido a la petición inicial que contiene la demanda de justicia de la víctima que acude al Sistema Interamericano.</w:t>
      </w:r>
    </w:p>
    <w:p w14:paraId="01F25CA1" w14:textId="77777777" w:rsidR="00F83E8F" w:rsidRPr="001932BE" w:rsidRDefault="00F83E8F" w:rsidP="00F83E8F">
      <w:pPr>
        <w:rPr>
          <w:szCs w:val="20"/>
          <w:lang w:val="es-MX"/>
        </w:rPr>
      </w:pPr>
    </w:p>
    <w:p w14:paraId="49D83805" w14:textId="77777777" w:rsidR="00F83E8F" w:rsidRPr="001932BE" w:rsidRDefault="00F83E8F" w:rsidP="00F83E8F">
      <w:pPr>
        <w:pStyle w:val="Style1"/>
        <w:numPr>
          <w:ilvl w:val="0"/>
          <w:numId w:val="27"/>
        </w:numPr>
        <w:spacing w:after="0" w:line="240" w:lineRule="auto"/>
        <w:ind w:left="0" w:firstLine="0"/>
        <w:jc w:val="both"/>
      </w:pPr>
      <w:r w:rsidRPr="001932BE">
        <w:rPr>
          <w:b w:val="0"/>
          <w:u w:val="none"/>
        </w:rPr>
        <w:t>Los derechos alegados por la victima deben ser entonces, valorados también por la Corte, sin que eso signifique romper los límites procesales. Lo anterior, siendo que la petición inicial es la representación más inmediata de la voz del peticionario.</w:t>
      </w:r>
    </w:p>
    <w:p w14:paraId="06EA061E" w14:textId="77777777" w:rsidR="00F83E8F" w:rsidRPr="001932BE" w:rsidRDefault="00F83E8F" w:rsidP="00F83E8F">
      <w:pPr>
        <w:rPr>
          <w:szCs w:val="20"/>
          <w:lang w:val="es-MX"/>
        </w:rPr>
      </w:pPr>
    </w:p>
    <w:p w14:paraId="5AF95F66" w14:textId="77777777" w:rsidR="00F83E8F" w:rsidRPr="001932BE" w:rsidRDefault="00F83E8F" w:rsidP="00F83E8F">
      <w:pPr>
        <w:pStyle w:val="Style1"/>
        <w:numPr>
          <w:ilvl w:val="0"/>
          <w:numId w:val="27"/>
        </w:numPr>
        <w:spacing w:after="0" w:line="240" w:lineRule="auto"/>
        <w:ind w:left="0" w:firstLine="0"/>
        <w:jc w:val="both"/>
        <w:rPr>
          <w:lang w:val="es-CR"/>
        </w:rPr>
      </w:pPr>
      <w:r w:rsidRPr="001932BE">
        <w:rPr>
          <w:b w:val="0"/>
          <w:u w:val="none"/>
        </w:rPr>
        <w:t xml:space="preserve">En este sentido, otros órganos internacionales han atendido el alegato esencial de las víctimas a través de una calificación expresamente dada por el órgano o Tribunal, sin que </w:t>
      </w:r>
      <w:r w:rsidRPr="001932BE">
        <w:rPr>
          <w:b w:val="0"/>
          <w:u w:val="none"/>
        </w:rPr>
        <w:lastRenderedPageBreak/>
        <w:t xml:space="preserve">necesariamente se haya invocado el derecho específico, y sin hacer alusión expresa al principio </w:t>
      </w:r>
      <w:proofErr w:type="spellStart"/>
      <w:r w:rsidRPr="001932BE">
        <w:rPr>
          <w:b w:val="0"/>
          <w:i/>
          <w:u w:val="none"/>
        </w:rPr>
        <w:t>iura</w:t>
      </w:r>
      <w:proofErr w:type="spellEnd"/>
      <w:r w:rsidRPr="001932BE">
        <w:rPr>
          <w:b w:val="0"/>
          <w:i/>
          <w:u w:val="none"/>
        </w:rPr>
        <w:t xml:space="preserve"> </w:t>
      </w:r>
      <w:proofErr w:type="spellStart"/>
      <w:r w:rsidRPr="001932BE">
        <w:rPr>
          <w:b w:val="0"/>
          <w:i/>
          <w:u w:val="none"/>
        </w:rPr>
        <w:t>novit</w:t>
      </w:r>
      <w:proofErr w:type="spellEnd"/>
      <w:r w:rsidRPr="001932BE">
        <w:rPr>
          <w:b w:val="0"/>
          <w:i/>
          <w:u w:val="none"/>
        </w:rPr>
        <w:t xml:space="preserve"> curia</w:t>
      </w:r>
      <w:r w:rsidRPr="001932BE">
        <w:rPr>
          <w:rStyle w:val="FootnoteReference"/>
          <w:rFonts w:eastAsiaTheme="majorEastAsia"/>
          <w:i/>
          <w:u w:val="none"/>
        </w:rPr>
        <w:footnoteReference w:id="283"/>
      </w:r>
      <w:r w:rsidRPr="001932BE">
        <w:rPr>
          <w:b w:val="0"/>
          <w:i/>
          <w:u w:val="none"/>
        </w:rPr>
        <w:t>.</w:t>
      </w:r>
      <w:r w:rsidRPr="001932BE">
        <w:rPr>
          <w:b w:val="0"/>
          <w:u w:val="none"/>
        </w:rPr>
        <w:t xml:space="preserve"> </w:t>
      </w:r>
    </w:p>
    <w:p w14:paraId="2BCDB63B" w14:textId="77777777" w:rsidR="00F83E8F" w:rsidRPr="001932BE" w:rsidRDefault="00F83E8F" w:rsidP="00F83E8F">
      <w:pPr>
        <w:pStyle w:val="Style1"/>
        <w:numPr>
          <w:ilvl w:val="0"/>
          <w:numId w:val="0"/>
        </w:numPr>
        <w:spacing w:after="0" w:line="240" w:lineRule="auto"/>
        <w:jc w:val="both"/>
        <w:rPr>
          <w:lang w:val="es-CR"/>
        </w:rPr>
      </w:pPr>
    </w:p>
    <w:p w14:paraId="0DD4B7AC" w14:textId="77777777" w:rsidR="00F83E8F" w:rsidRPr="001932BE" w:rsidRDefault="00F83E8F" w:rsidP="00F83E8F">
      <w:pPr>
        <w:pStyle w:val="Style1"/>
        <w:numPr>
          <w:ilvl w:val="0"/>
          <w:numId w:val="27"/>
        </w:numPr>
        <w:spacing w:after="0" w:line="240" w:lineRule="auto"/>
        <w:ind w:left="0" w:firstLine="0"/>
        <w:jc w:val="both"/>
      </w:pPr>
      <w:r w:rsidRPr="001932BE">
        <w:rPr>
          <w:b w:val="0"/>
          <w:u w:val="none"/>
        </w:rPr>
        <w:t xml:space="preserve">De esta manera, quedó evidenciado que a todas luces el objetivo principal del peticionario Lagos del Campo fue siempre la tutela de sus derechos laborales, con la consecuencia de ser resarcido en estos derechos. </w:t>
      </w:r>
    </w:p>
    <w:p w14:paraId="34970AD7" w14:textId="77777777" w:rsidR="00F83E8F" w:rsidRPr="001932BE" w:rsidRDefault="00F83E8F" w:rsidP="00F83E8F">
      <w:pPr>
        <w:rPr>
          <w:szCs w:val="20"/>
          <w:highlight w:val="yellow"/>
          <w:lang w:val="es-MX"/>
        </w:rPr>
      </w:pPr>
    </w:p>
    <w:p w14:paraId="2187AD47" w14:textId="77777777" w:rsidR="00F83E8F" w:rsidRPr="001932BE" w:rsidRDefault="00F83E8F" w:rsidP="00F83E8F">
      <w:pPr>
        <w:pStyle w:val="Style1"/>
        <w:spacing w:after="0" w:line="240" w:lineRule="auto"/>
        <w:ind w:left="0" w:firstLine="0"/>
      </w:pPr>
      <w:r w:rsidRPr="001932BE">
        <w:t>El derecho al trabajo protegido por los artículos 26 y 25 de la Convención</w:t>
      </w:r>
    </w:p>
    <w:p w14:paraId="6D0F4818" w14:textId="77777777" w:rsidR="00F83E8F" w:rsidRPr="001932BE" w:rsidRDefault="00F83E8F" w:rsidP="00F83E8F">
      <w:pPr>
        <w:pStyle w:val="Style1"/>
        <w:numPr>
          <w:ilvl w:val="0"/>
          <w:numId w:val="0"/>
        </w:numPr>
        <w:spacing w:after="0" w:line="240" w:lineRule="auto"/>
        <w:ind w:hanging="720"/>
        <w:jc w:val="both"/>
      </w:pPr>
    </w:p>
    <w:p w14:paraId="7E4DAF9C" w14:textId="77777777" w:rsidR="00F83E8F" w:rsidRPr="001932BE" w:rsidRDefault="00F83E8F" w:rsidP="00F83E8F">
      <w:pPr>
        <w:pStyle w:val="ListParagraph"/>
        <w:numPr>
          <w:ilvl w:val="0"/>
          <w:numId w:val="27"/>
        </w:numPr>
        <w:ind w:left="0" w:firstLine="0"/>
        <w:jc w:val="both"/>
        <w:rPr>
          <w:rFonts w:ascii="Verdana" w:hAnsi="Verdana"/>
          <w:sz w:val="20"/>
          <w:szCs w:val="20"/>
          <w:lang w:val="es-CR"/>
        </w:rPr>
      </w:pPr>
      <w:r w:rsidRPr="001932BE">
        <w:rPr>
          <w:rFonts w:ascii="Verdana" w:hAnsi="Verdana"/>
          <w:sz w:val="20"/>
          <w:szCs w:val="20"/>
          <w:lang w:val="es-MX"/>
        </w:rPr>
        <w:t xml:space="preserve">Hago notar que en los </w:t>
      </w:r>
      <w:r w:rsidRPr="001932BE">
        <w:rPr>
          <w:rFonts w:ascii="Verdana" w:hAnsi="Verdana"/>
          <w:i/>
          <w:sz w:val="20"/>
          <w:szCs w:val="20"/>
          <w:lang w:val="es-MX"/>
        </w:rPr>
        <w:t>Casos Canales Huapaya y otros Vs. Perú y Chinchilla Sandoval y otros Vs. Guatemala,</w:t>
      </w:r>
      <w:r w:rsidRPr="001932BE">
        <w:rPr>
          <w:rFonts w:ascii="Verdana" w:hAnsi="Verdana"/>
          <w:sz w:val="20"/>
          <w:szCs w:val="20"/>
          <w:lang w:val="es-MX"/>
        </w:rPr>
        <w:t xml:space="preserve"> manifesté mi opinión sobre la </w:t>
      </w:r>
      <w:proofErr w:type="spellStart"/>
      <w:r w:rsidRPr="001932BE">
        <w:rPr>
          <w:rFonts w:ascii="Verdana" w:hAnsi="Verdana"/>
          <w:sz w:val="20"/>
          <w:szCs w:val="20"/>
          <w:lang w:val="es-MX"/>
        </w:rPr>
        <w:t>justiciabilidad</w:t>
      </w:r>
      <w:proofErr w:type="spellEnd"/>
      <w:r w:rsidRPr="001932BE">
        <w:rPr>
          <w:rFonts w:ascii="Verdana" w:hAnsi="Verdana"/>
          <w:sz w:val="20"/>
          <w:szCs w:val="20"/>
          <w:lang w:val="es-MX"/>
        </w:rPr>
        <w:t xml:space="preserve"> de los derechos que se derivan del artículo 26 de la Convención. En particular, en el voto disidente que realicé junto con el Juez Ferrer Mac-Gregor Poisot en el </w:t>
      </w:r>
      <w:r w:rsidRPr="001932BE">
        <w:rPr>
          <w:rFonts w:ascii="Verdana" w:hAnsi="Verdana"/>
          <w:i/>
          <w:sz w:val="20"/>
          <w:szCs w:val="20"/>
          <w:lang w:val="es-MX"/>
        </w:rPr>
        <w:t>Caso Canales Huapaya y Otros Vs. Perú</w:t>
      </w:r>
      <w:r w:rsidRPr="001932BE">
        <w:rPr>
          <w:rFonts w:ascii="Verdana" w:hAnsi="Verdana"/>
          <w:sz w:val="20"/>
          <w:szCs w:val="20"/>
          <w:lang w:val="es-MX"/>
        </w:rPr>
        <w:t xml:space="preserve"> resaltamos la necesidad de efectuar una interpretación evolutiva respecto al alcance de los derechos consagrados en el artículo 26 de la CADH, y la diligencia de profundizar en la </w:t>
      </w:r>
      <w:proofErr w:type="spellStart"/>
      <w:r w:rsidRPr="001932BE">
        <w:rPr>
          <w:rFonts w:ascii="Verdana" w:hAnsi="Verdana"/>
          <w:sz w:val="20"/>
          <w:szCs w:val="20"/>
          <w:lang w:val="es-MX"/>
        </w:rPr>
        <w:t>justiciabilidad</w:t>
      </w:r>
      <w:proofErr w:type="spellEnd"/>
      <w:r w:rsidRPr="001932BE">
        <w:rPr>
          <w:rFonts w:ascii="Verdana" w:hAnsi="Verdana"/>
          <w:sz w:val="20"/>
          <w:szCs w:val="20"/>
          <w:lang w:val="es-MX"/>
        </w:rPr>
        <w:t xml:space="preserve"> del derecho al trabajo. Asimismo, se hizo notar que el derecho al trabajo está regulado en la mayoría de las Constituciones de los países miembros de la Organización de los Estados Americanos. Además, se resaltó que el derecho al trabajo no implica un derecho absoluto, por ende puede llegar a tener límites. </w:t>
      </w:r>
      <w:r w:rsidRPr="001932BE">
        <w:rPr>
          <w:rFonts w:ascii="Verdana" w:hAnsi="Verdana"/>
          <w:sz w:val="20"/>
          <w:szCs w:val="20"/>
          <w:lang w:val="es-CR"/>
        </w:rPr>
        <w:t>Desde dicho voto estimamos que Perú había violado el derecho al trabajo de las víctimas y nos pronunciamos sobre el derecho al trabajo como derecho autónomo en el derecho comparado.</w:t>
      </w:r>
    </w:p>
    <w:p w14:paraId="0556ED49" w14:textId="77777777" w:rsidR="00F83E8F" w:rsidRPr="001932BE" w:rsidRDefault="00F83E8F" w:rsidP="00F83E8F">
      <w:pPr>
        <w:rPr>
          <w:szCs w:val="20"/>
          <w:lang w:val="es-MX"/>
        </w:rPr>
      </w:pPr>
    </w:p>
    <w:p w14:paraId="72D9B580" w14:textId="77777777" w:rsidR="00F83E8F" w:rsidRPr="001932BE" w:rsidRDefault="00F83E8F" w:rsidP="00F83E8F">
      <w:pPr>
        <w:pStyle w:val="ListParagraph"/>
        <w:numPr>
          <w:ilvl w:val="0"/>
          <w:numId w:val="27"/>
        </w:numPr>
        <w:ind w:left="0" w:firstLine="0"/>
        <w:jc w:val="both"/>
        <w:rPr>
          <w:rFonts w:ascii="Verdana" w:hAnsi="Verdana"/>
          <w:sz w:val="20"/>
          <w:szCs w:val="20"/>
          <w:lang w:val="es-CR"/>
        </w:rPr>
      </w:pPr>
      <w:r w:rsidRPr="001932BE">
        <w:rPr>
          <w:rFonts w:ascii="Verdana" w:hAnsi="Verdana"/>
          <w:sz w:val="20"/>
          <w:szCs w:val="20"/>
        </w:rPr>
        <w:t xml:space="preserve">Por su parte, en el voto </w:t>
      </w:r>
      <w:r w:rsidRPr="001932BE">
        <w:rPr>
          <w:rFonts w:ascii="Verdana" w:hAnsi="Verdana"/>
          <w:sz w:val="20"/>
          <w:szCs w:val="20"/>
          <w:lang w:val="es-MX"/>
        </w:rPr>
        <w:t xml:space="preserve">razonado del caso </w:t>
      </w:r>
      <w:r w:rsidRPr="001932BE">
        <w:rPr>
          <w:rFonts w:ascii="Verdana" w:hAnsi="Verdana"/>
          <w:i/>
          <w:sz w:val="20"/>
          <w:szCs w:val="20"/>
          <w:lang w:val="es-MX"/>
        </w:rPr>
        <w:t>Chinchilla Sandoval y otros Vs. Guatemala</w:t>
      </w:r>
      <w:r w:rsidRPr="001932BE">
        <w:rPr>
          <w:rFonts w:ascii="Verdana" w:hAnsi="Verdana"/>
          <w:sz w:val="20"/>
          <w:szCs w:val="20"/>
          <w:lang w:val="es-MX"/>
        </w:rPr>
        <w:t xml:space="preserve">, manifesté que la tutela jurisdiccional al derecho a la salud debe ser más explícita y directa, más </w:t>
      </w:r>
      <w:r w:rsidRPr="001932BE">
        <w:rPr>
          <w:rFonts w:ascii="Verdana" w:hAnsi="Verdana"/>
          <w:sz w:val="20"/>
          <w:szCs w:val="20"/>
          <w:lang w:val="es-MX"/>
        </w:rPr>
        <w:lastRenderedPageBreak/>
        <w:t xml:space="preserve">que solamente reiterar su protección en relación con los derechos a la vida e integridad personal. Además, mencioné que la Corte y el Continente Americano estaban preparados para dar el paso de </w:t>
      </w:r>
      <w:proofErr w:type="spellStart"/>
      <w:r w:rsidRPr="001932BE">
        <w:rPr>
          <w:rFonts w:ascii="Verdana" w:hAnsi="Verdana"/>
          <w:sz w:val="20"/>
          <w:szCs w:val="20"/>
          <w:lang w:val="es-MX"/>
        </w:rPr>
        <w:t>justiciabilizar</w:t>
      </w:r>
      <w:proofErr w:type="spellEnd"/>
      <w:r w:rsidRPr="001932BE">
        <w:rPr>
          <w:rFonts w:ascii="Verdana" w:hAnsi="Verdana"/>
          <w:sz w:val="20"/>
          <w:szCs w:val="20"/>
          <w:lang w:val="es-MX"/>
        </w:rPr>
        <w:t xml:space="preserve"> los DESCA y así </w:t>
      </w:r>
      <w:r w:rsidRPr="001932BE">
        <w:rPr>
          <w:rFonts w:ascii="Verdana" w:hAnsi="Verdana"/>
          <w:sz w:val="20"/>
          <w:szCs w:val="20"/>
          <w:lang w:val="es-CR"/>
        </w:rPr>
        <w:t>las posibles víctimas pudieran comprender que el Sistema Interamericano es una vía abierta para las personas que necesitan hacer efectivos</w:t>
      </w:r>
      <w:r w:rsidRPr="001932BE" w:rsidDel="00353DD4">
        <w:rPr>
          <w:rFonts w:ascii="Verdana" w:hAnsi="Verdana"/>
          <w:sz w:val="20"/>
          <w:szCs w:val="20"/>
          <w:lang w:val="es-CR"/>
        </w:rPr>
        <w:t xml:space="preserve"> </w:t>
      </w:r>
      <w:r w:rsidRPr="001932BE">
        <w:rPr>
          <w:rFonts w:ascii="Verdana" w:hAnsi="Verdana"/>
          <w:sz w:val="20"/>
          <w:szCs w:val="20"/>
          <w:lang w:val="es-CR"/>
        </w:rPr>
        <w:t>esos derechos.</w:t>
      </w:r>
    </w:p>
    <w:p w14:paraId="2514E13E" w14:textId="77777777" w:rsidR="00F83E8F" w:rsidRPr="001932BE" w:rsidRDefault="00F83E8F" w:rsidP="00F83E8F">
      <w:pPr>
        <w:rPr>
          <w:szCs w:val="20"/>
          <w:lang w:val="es-MX"/>
        </w:rPr>
      </w:pPr>
    </w:p>
    <w:p w14:paraId="2D11D706" w14:textId="77777777" w:rsidR="00F83E8F" w:rsidRPr="001932BE" w:rsidRDefault="00F83E8F" w:rsidP="00F83E8F">
      <w:pPr>
        <w:pStyle w:val="ListParagraph"/>
        <w:numPr>
          <w:ilvl w:val="0"/>
          <w:numId w:val="27"/>
        </w:numPr>
        <w:ind w:left="0" w:firstLine="0"/>
        <w:jc w:val="both"/>
        <w:rPr>
          <w:rFonts w:ascii="Verdana" w:hAnsi="Verdana"/>
          <w:sz w:val="20"/>
          <w:szCs w:val="20"/>
          <w:lang w:val="es-MX"/>
        </w:rPr>
      </w:pPr>
      <w:r w:rsidRPr="001932BE">
        <w:rPr>
          <w:rFonts w:ascii="Verdana" w:hAnsi="Verdana"/>
          <w:sz w:val="20"/>
          <w:szCs w:val="20"/>
          <w:lang w:val="es-MX"/>
        </w:rPr>
        <w:t xml:space="preserve">Así, resulta de mayor relevancia reiterar que el derecho al trabajo es un derecho que está regulado por la mayoría de las constituciones de los países miembros de la Organización de los Estados Americanos ya sea de manera explícita, implícita con otros preceptos o a través de la incorporación de tratados internacionales. En el caso de Perú el derecho a la estabilidad laboral estaba regulado en su Constitución al momento de los hechos y en la actualidad (párr. 138 de la Sentencia). </w:t>
      </w:r>
    </w:p>
    <w:p w14:paraId="2072D04E" w14:textId="77777777" w:rsidR="00F83E8F" w:rsidRPr="001932BE" w:rsidRDefault="00F83E8F" w:rsidP="00F83E8F">
      <w:pPr>
        <w:rPr>
          <w:szCs w:val="20"/>
          <w:lang w:val="es-MX"/>
        </w:rPr>
      </w:pPr>
    </w:p>
    <w:p w14:paraId="6FAE12FB" w14:textId="77777777" w:rsidR="00F83E8F" w:rsidRPr="001932BE" w:rsidRDefault="00F83E8F" w:rsidP="00F83E8F">
      <w:pPr>
        <w:pStyle w:val="ListParagraph"/>
        <w:numPr>
          <w:ilvl w:val="0"/>
          <w:numId w:val="27"/>
        </w:numPr>
        <w:ind w:left="0" w:firstLine="0"/>
        <w:jc w:val="both"/>
        <w:rPr>
          <w:rFonts w:ascii="Verdana" w:hAnsi="Verdana"/>
          <w:sz w:val="20"/>
          <w:szCs w:val="20"/>
          <w:lang w:val="es-MX"/>
        </w:rPr>
      </w:pPr>
      <w:r w:rsidRPr="001932BE">
        <w:rPr>
          <w:rFonts w:ascii="Verdana" w:hAnsi="Verdana"/>
          <w:sz w:val="20"/>
          <w:szCs w:val="20"/>
          <w:lang w:val="es-MX"/>
        </w:rPr>
        <w:t>Tomando en cuenta lo anterior, es pertinente mencionar que el derecho al trabajo no resulta un derecho nuevo o emergente, por el contrario, consiste en un derecho sólidamente consolidado y reconocido desde hace mucho tiempo en los países de la región, como bien fue establecido en el párrafo 145 de la Sentencia. En igual sentido, los diversos Estados americanos han establecido tribunales de fuero interno especializados en la materia para proteger los derechos de los trabajadores, lo cual puede derivar en un cause procesal, en muchos casos, inclusive hasta las más altas instancias judiciales del país. Por consecuencia, el reconocimiento de la autonomía del derecho al trabajo como derecho humano autónomo bajo la protección de la Convención Americana no debe repercutir en mayor medida en la esfera interna de los países que desde hace décadas han dado protección interna a este derecho, sino más bien contribuye a fortalecer las vías para garantizar su efectividad. Lo anterior, resulta evidente además de la necesidad de garantizar una protección judicial (acceso a la justicia) a los derechos reconocidos en la legislación interna, según lo establecen los artículos 25 y 29 de la propia Convención Americana (</w:t>
      </w:r>
      <w:proofErr w:type="spellStart"/>
      <w:r w:rsidRPr="001932BE">
        <w:rPr>
          <w:rFonts w:ascii="Verdana" w:hAnsi="Verdana"/>
          <w:sz w:val="20"/>
          <w:szCs w:val="20"/>
          <w:lang w:val="es-MX"/>
        </w:rPr>
        <w:t>párrs</w:t>
      </w:r>
      <w:proofErr w:type="spellEnd"/>
      <w:r w:rsidRPr="001932BE">
        <w:rPr>
          <w:rFonts w:ascii="Verdana" w:hAnsi="Verdana"/>
          <w:sz w:val="20"/>
          <w:szCs w:val="20"/>
          <w:lang w:val="es-MX"/>
        </w:rPr>
        <w:t>. 173 a 176 de la Sentencia).</w:t>
      </w:r>
    </w:p>
    <w:p w14:paraId="041B0E70" w14:textId="77777777" w:rsidR="00F83E8F" w:rsidRPr="001932BE" w:rsidRDefault="00F83E8F" w:rsidP="00F83E8F">
      <w:pPr>
        <w:pStyle w:val="ListParagraph"/>
        <w:ind w:left="0"/>
        <w:jc w:val="both"/>
        <w:rPr>
          <w:rFonts w:ascii="Verdana" w:hAnsi="Verdana"/>
          <w:sz w:val="20"/>
          <w:szCs w:val="20"/>
          <w:lang w:val="es-MX"/>
        </w:rPr>
      </w:pPr>
    </w:p>
    <w:p w14:paraId="1D059DB4" w14:textId="77777777" w:rsidR="00F83E8F" w:rsidRPr="001932BE" w:rsidRDefault="00F83E8F" w:rsidP="00F83E8F">
      <w:pPr>
        <w:pStyle w:val="ListParagraph"/>
        <w:numPr>
          <w:ilvl w:val="0"/>
          <w:numId w:val="27"/>
        </w:numPr>
        <w:ind w:left="0" w:firstLine="0"/>
        <w:jc w:val="both"/>
        <w:rPr>
          <w:rFonts w:ascii="Verdana" w:hAnsi="Verdana"/>
          <w:sz w:val="20"/>
          <w:szCs w:val="20"/>
          <w:lang w:val="es-MX"/>
        </w:rPr>
      </w:pPr>
      <w:r w:rsidRPr="001932BE">
        <w:rPr>
          <w:rFonts w:ascii="Verdana" w:hAnsi="Verdana"/>
          <w:sz w:val="20"/>
          <w:szCs w:val="20"/>
          <w:lang w:val="es-MX"/>
        </w:rPr>
        <w:t xml:space="preserve">En este sentido el Preámbulo de la Convención Americana (de 1969) es claro en establecer el espíritu integrador y de vigencia de los DESCA: </w:t>
      </w:r>
    </w:p>
    <w:p w14:paraId="7B7FD303" w14:textId="77777777" w:rsidR="00F83E8F" w:rsidRPr="001932BE" w:rsidRDefault="00F83E8F" w:rsidP="00F83E8F">
      <w:pPr>
        <w:pStyle w:val="ListParagraph"/>
        <w:ind w:left="0"/>
        <w:rPr>
          <w:rFonts w:ascii="Verdana" w:hAnsi="Verdana"/>
          <w:sz w:val="20"/>
          <w:szCs w:val="20"/>
          <w:lang w:val="es-MX"/>
        </w:rPr>
      </w:pPr>
    </w:p>
    <w:p w14:paraId="71CF0503" w14:textId="77777777" w:rsidR="00F83E8F" w:rsidRPr="00267C93" w:rsidRDefault="00F83E8F" w:rsidP="00F83E8F">
      <w:pPr>
        <w:pStyle w:val="ListParagraph"/>
        <w:ind w:right="720"/>
        <w:jc w:val="both"/>
        <w:rPr>
          <w:rFonts w:ascii="Verdana" w:hAnsi="Verdana"/>
          <w:sz w:val="16"/>
          <w:szCs w:val="16"/>
          <w:lang w:val="es-MX"/>
        </w:rPr>
      </w:pPr>
      <w:r w:rsidRPr="00267C93">
        <w:rPr>
          <w:rFonts w:ascii="Verdana" w:hAnsi="Verdana"/>
          <w:sz w:val="16"/>
          <w:szCs w:val="16"/>
          <w:lang w:val="es-MX"/>
        </w:rPr>
        <w:t xml:space="preserve">“[…] </w:t>
      </w:r>
      <w:r w:rsidRPr="00267C93">
        <w:rPr>
          <w:rFonts w:ascii="Verdana" w:hAnsi="Verdana"/>
          <w:sz w:val="16"/>
          <w:szCs w:val="16"/>
          <w:lang w:val="es-CR"/>
        </w:rPr>
        <w:t xml:space="preserve">Reiterando que, con arreglo a la Declaración Universal de los Derechos Humanos, sólo puede realizarse el ideal del ser humano libre, exento del temor y de la miseria, si se crean condiciones que permitan a cada persona </w:t>
      </w:r>
      <w:r w:rsidRPr="00267C93">
        <w:rPr>
          <w:rFonts w:ascii="Verdana" w:hAnsi="Verdana"/>
          <w:b/>
          <w:i/>
          <w:sz w:val="16"/>
          <w:szCs w:val="16"/>
          <w:lang w:val="es-CR"/>
        </w:rPr>
        <w:t>gozar de sus derechos económicos, sociales y culturales, tanto como de sus derechos civiles y políticos</w:t>
      </w:r>
      <w:r w:rsidRPr="00267C93">
        <w:rPr>
          <w:rFonts w:ascii="Verdana" w:hAnsi="Verdana"/>
          <w:sz w:val="16"/>
          <w:szCs w:val="16"/>
          <w:lang w:val="es-CR"/>
        </w:rPr>
        <w:t xml:space="preserve">, y </w:t>
      </w:r>
    </w:p>
    <w:p w14:paraId="2E0025B9" w14:textId="77777777" w:rsidR="00F83E8F" w:rsidRPr="00267C93" w:rsidRDefault="00F83E8F" w:rsidP="00F83E8F">
      <w:pPr>
        <w:pStyle w:val="ListParagraph"/>
        <w:ind w:right="720"/>
        <w:jc w:val="both"/>
        <w:rPr>
          <w:rFonts w:ascii="Verdana" w:hAnsi="Verdana"/>
          <w:sz w:val="16"/>
          <w:szCs w:val="16"/>
          <w:lang w:val="es-CR"/>
        </w:rPr>
      </w:pPr>
    </w:p>
    <w:p w14:paraId="56B3F7C2" w14:textId="77777777" w:rsidR="00F83E8F" w:rsidRPr="00267C93" w:rsidRDefault="00F83E8F" w:rsidP="00F83E8F">
      <w:pPr>
        <w:pStyle w:val="ListParagraph"/>
        <w:ind w:right="720"/>
        <w:jc w:val="both"/>
        <w:rPr>
          <w:rFonts w:ascii="Verdana" w:hAnsi="Verdana"/>
          <w:sz w:val="16"/>
          <w:szCs w:val="16"/>
          <w:lang w:val="es-CR"/>
        </w:rPr>
      </w:pPr>
      <w:r w:rsidRPr="00267C93">
        <w:rPr>
          <w:rFonts w:ascii="Verdana" w:hAnsi="Verdana"/>
          <w:sz w:val="16"/>
          <w:szCs w:val="16"/>
          <w:lang w:val="es-CR"/>
        </w:rPr>
        <w:t xml:space="preserve">Considerando que la Tercera Conferencia Interamericana Extraordinaria (Buenos Aires, 1967) aprobó la incorporación a la propia Carta de la Organización </w:t>
      </w:r>
      <w:r w:rsidRPr="00267C93">
        <w:rPr>
          <w:rFonts w:ascii="Verdana" w:hAnsi="Verdana"/>
          <w:b/>
          <w:i/>
          <w:sz w:val="16"/>
          <w:szCs w:val="16"/>
          <w:lang w:val="es-CR"/>
        </w:rPr>
        <w:t>de normas más amplias sobre derechos económicos, sociales y educacionales</w:t>
      </w:r>
      <w:r w:rsidRPr="00267C93">
        <w:rPr>
          <w:rFonts w:ascii="Verdana" w:hAnsi="Verdana"/>
          <w:sz w:val="16"/>
          <w:szCs w:val="16"/>
          <w:lang w:val="es-CR"/>
        </w:rPr>
        <w:t xml:space="preserve"> y resolvió que una convención interamericana sobre derechos humanos determinara la estructura, competencia y procedimiento de los órganos encargados de esa materia […]”</w:t>
      </w:r>
      <w:r w:rsidRPr="00267C93">
        <w:rPr>
          <w:rStyle w:val="FootnoteReference"/>
          <w:sz w:val="16"/>
          <w:szCs w:val="16"/>
          <w:lang w:val="es-CR"/>
        </w:rPr>
        <w:footnoteReference w:id="284"/>
      </w:r>
      <w:r w:rsidRPr="00267C93">
        <w:rPr>
          <w:rFonts w:ascii="Verdana" w:hAnsi="Verdana"/>
          <w:sz w:val="16"/>
          <w:szCs w:val="16"/>
          <w:lang w:val="es-CR"/>
        </w:rPr>
        <w:t>.</w:t>
      </w:r>
    </w:p>
    <w:p w14:paraId="5134A73D" w14:textId="77777777" w:rsidR="00F83E8F" w:rsidRPr="001932BE" w:rsidRDefault="00F83E8F" w:rsidP="00F83E8F">
      <w:pPr>
        <w:pStyle w:val="ListParagraph"/>
        <w:ind w:left="0"/>
        <w:jc w:val="both"/>
        <w:rPr>
          <w:rFonts w:ascii="Verdana" w:hAnsi="Verdana"/>
          <w:sz w:val="20"/>
          <w:szCs w:val="20"/>
          <w:lang w:val="es-MX"/>
        </w:rPr>
      </w:pPr>
    </w:p>
    <w:p w14:paraId="6C00C039" w14:textId="77777777" w:rsidR="00F83E8F" w:rsidRPr="001932BE" w:rsidRDefault="00F83E8F" w:rsidP="00F83E8F">
      <w:pPr>
        <w:pStyle w:val="ListParagraph"/>
        <w:numPr>
          <w:ilvl w:val="0"/>
          <w:numId w:val="27"/>
        </w:numPr>
        <w:ind w:left="0" w:firstLine="0"/>
        <w:jc w:val="both"/>
        <w:rPr>
          <w:rFonts w:ascii="Verdana" w:hAnsi="Verdana"/>
          <w:sz w:val="20"/>
          <w:szCs w:val="20"/>
          <w:lang w:val="es-MX"/>
        </w:rPr>
      </w:pPr>
      <w:r w:rsidRPr="001932BE">
        <w:rPr>
          <w:rFonts w:ascii="Verdana" w:hAnsi="Verdana"/>
          <w:sz w:val="20"/>
          <w:szCs w:val="20"/>
          <w:lang w:val="es-MX"/>
        </w:rPr>
        <w:t>Adicionalmente a lo establecido en la propia Convención Americana, y reafirmando este objetivo, en el año 2012 los Estados americanos aprobaron, sin votos en contrario, la Carta Social de las Américas con claro objetivo establecido en su preámbulo:</w:t>
      </w:r>
    </w:p>
    <w:p w14:paraId="73DB4E94" w14:textId="77777777" w:rsidR="00F83E8F" w:rsidRPr="001932BE" w:rsidRDefault="00F83E8F" w:rsidP="00F83E8F">
      <w:pPr>
        <w:pStyle w:val="ListParagraph"/>
        <w:ind w:left="0"/>
        <w:jc w:val="both"/>
        <w:rPr>
          <w:rFonts w:ascii="Verdana" w:hAnsi="Verdana"/>
          <w:sz w:val="20"/>
          <w:szCs w:val="20"/>
          <w:lang w:val="es-MX"/>
        </w:rPr>
      </w:pPr>
    </w:p>
    <w:p w14:paraId="3F6277FB" w14:textId="77777777" w:rsidR="00F83E8F" w:rsidRPr="00267C93" w:rsidRDefault="00F83E8F" w:rsidP="00F83E8F">
      <w:pPr>
        <w:pStyle w:val="Quote"/>
        <w:spacing w:before="0" w:after="0"/>
        <w:ind w:left="720" w:right="720"/>
        <w:jc w:val="both"/>
        <w:rPr>
          <w:sz w:val="16"/>
          <w:szCs w:val="16"/>
          <w:lang w:val="es-CR"/>
        </w:rPr>
      </w:pPr>
      <w:r w:rsidRPr="00267C93">
        <w:rPr>
          <w:b/>
          <w:sz w:val="16"/>
          <w:szCs w:val="16"/>
          <w:lang w:val="es-ES_tradnl"/>
        </w:rPr>
        <w:t>“fortalecer el sistema interamericano con un instrumento que oriente la acción y la cooperación solidaria hacia la promoción del desarrollo integral y la observancia de los derechos económicos, sociales y culturales, así como la eliminación de la pobreza y la inequidad”.</w:t>
      </w:r>
    </w:p>
    <w:p w14:paraId="3FA1A788" w14:textId="77777777" w:rsidR="00F83E8F" w:rsidRPr="001932BE" w:rsidRDefault="00F83E8F" w:rsidP="00F83E8F">
      <w:pPr>
        <w:rPr>
          <w:szCs w:val="20"/>
          <w:lang w:val="es-MX"/>
        </w:rPr>
      </w:pPr>
    </w:p>
    <w:p w14:paraId="37A4F3F5" w14:textId="77777777" w:rsidR="00F83E8F" w:rsidRPr="001932BE" w:rsidRDefault="00F83E8F" w:rsidP="00F83E8F">
      <w:pPr>
        <w:pStyle w:val="ListParagraph"/>
        <w:numPr>
          <w:ilvl w:val="0"/>
          <w:numId w:val="27"/>
        </w:numPr>
        <w:ind w:left="0" w:firstLine="0"/>
        <w:jc w:val="both"/>
        <w:rPr>
          <w:rFonts w:ascii="Verdana" w:hAnsi="Verdana"/>
          <w:sz w:val="20"/>
          <w:szCs w:val="20"/>
          <w:lang w:val="es-MX"/>
        </w:rPr>
      </w:pPr>
      <w:r w:rsidRPr="001932BE">
        <w:rPr>
          <w:rFonts w:ascii="Verdana" w:hAnsi="Verdana"/>
          <w:sz w:val="20"/>
          <w:szCs w:val="20"/>
          <w:lang w:val="es-MX"/>
        </w:rPr>
        <w:lastRenderedPageBreak/>
        <w:t xml:space="preserve">Por lo tanto, no serían razonables tantos esfuerzos sociales y estatales en la dirección de fortalecer la vigencia de los DESCA y mantener a la Corte Interamericana conociendo esos derechos solamente de una forma indirecta, aun y cuando sea la temática principal de la petición de la víctima y de todo el proceso, como resulta en el presente caso. </w:t>
      </w:r>
    </w:p>
    <w:p w14:paraId="4E2FD8E4" w14:textId="77777777" w:rsidR="00F83E8F" w:rsidRPr="001932BE" w:rsidRDefault="00F83E8F" w:rsidP="00F83E8F">
      <w:pPr>
        <w:rPr>
          <w:szCs w:val="20"/>
          <w:lang w:val="es-MX"/>
        </w:rPr>
      </w:pPr>
    </w:p>
    <w:p w14:paraId="1CA08955" w14:textId="77777777" w:rsidR="00F83E8F" w:rsidRPr="001932BE" w:rsidRDefault="00F83E8F" w:rsidP="00F83E8F">
      <w:pPr>
        <w:pStyle w:val="ListParagraph"/>
        <w:numPr>
          <w:ilvl w:val="0"/>
          <w:numId w:val="27"/>
        </w:numPr>
        <w:ind w:left="0" w:firstLine="0"/>
        <w:jc w:val="both"/>
        <w:rPr>
          <w:rFonts w:ascii="Verdana" w:hAnsi="Verdana"/>
          <w:sz w:val="20"/>
          <w:szCs w:val="20"/>
        </w:rPr>
      </w:pPr>
      <w:r w:rsidRPr="001932BE">
        <w:rPr>
          <w:rFonts w:ascii="Verdana" w:hAnsi="Verdana"/>
          <w:sz w:val="20"/>
          <w:szCs w:val="20"/>
          <w:lang w:val="es-MX"/>
        </w:rPr>
        <w:t xml:space="preserve">En efecto, el </w:t>
      </w:r>
      <w:r w:rsidRPr="001932BE">
        <w:rPr>
          <w:rFonts w:ascii="Verdana" w:hAnsi="Verdana"/>
          <w:sz w:val="20"/>
          <w:szCs w:val="20"/>
          <w:lang w:val="es-UY"/>
        </w:rPr>
        <w:t xml:space="preserve">derecho al trabajo ha sido reconocido, en los diversos instrumentos internacionales y en los textos constitucionales </w:t>
      </w:r>
      <w:r w:rsidRPr="001932BE">
        <w:rPr>
          <w:rFonts w:ascii="Verdana" w:hAnsi="Verdana"/>
          <w:sz w:val="20"/>
          <w:szCs w:val="20"/>
          <w:lang w:val="es-MX"/>
        </w:rPr>
        <w:t>contemporáneos</w:t>
      </w:r>
      <w:r w:rsidRPr="001932BE">
        <w:rPr>
          <w:rFonts w:ascii="Verdana" w:hAnsi="Verdana"/>
          <w:sz w:val="20"/>
          <w:szCs w:val="20"/>
          <w:lang w:val="es-UY"/>
        </w:rPr>
        <w:t xml:space="preserve">, como uno de los </w:t>
      </w:r>
      <w:r w:rsidRPr="001932BE">
        <w:rPr>
          <w:rFonts w:ascii="Verdana" w:hAnsi="Verdana"/>
          <w:sz w:val="20"/>
          <w:szCs w:val="20"/>
          <w:lang w:val="es-MX"/>
        </w:rPr>
        <w:t>elementos</w:t>
      </w:r>
      <w:r w:rsidRPr="001932BE">
        <w:rPr>
          <w:rFonts w:ascii="Verdana" w:hAnsi="Verdana"/>
          <w:sz w:val="20"/>
          <w:szCs w:val="20"/>
          <w:lang w:val="es-UY"/>
        </w:rPr>
        <w:t xml:space="preserve"> fundamentales para la plena </w:t>
      </w:r>
      <w:r w:rsidRPr="001932BE">
        <w:rPr>
          <w:rFonts w:ascii="Verdana" w:hAnsi="Verdana"/>
          <w:sz w:val="20"/>
          <w:szCs w:val="20"/>
          <w:lang w:val="es-MX"/>
        </w:rPr>
        <w:t>vigencia</w:t>
      </w:r>
      <w:r w:rsidRPr="001932BE">
        <w:rPr>
          <w:rFonts w:ascii="Verdana" w:hAnsi="Verdana"/>
          <w:sz w:val="20"/>
          <w:szCs w:val="20"/>
          <w:lang w:val="es-UY"/>
        </w:rPr>
        <w:t xml:space="preserve"> de los derechos humanos, en sus dos dimensiones: aquella de los llamados derechos c</w:t>
      </w:r>
      <w:proofErr w:type="spellStart"/>
      <w:r w:rsidRPr="001932BE">
        <w:rPr>
          <w:rFonts w:ascii="Verdana" w:hAnsi="Verdana"/>
          <w:sz w:val="20"/>
          <w:szCs w:val="20"/>
          <w:lang w:val="es-MX"/>
        </w:rPr>
        <w:t>iviles</w:t>
      </w:r>
      <w:proofErr w:type="spellEnd"/>
      <w:r w:rsidRPr="001932BE">
        <w:rPr>
          <w:rFonts w:ascii="Verdana" w:hAnsi="Verdana"/>
          <w:sz w:val="20"/>
          <w:szCs w:val="20"/>
          <w:lang w:val="es-MX"/>
        </w:rPr>
        <w:t xml:space="preserve"> y políticos, y aquella de los derechos sociales, económicos, culturales y ambientales. </w:t>
      </w:r>
      <w:r w:rsidRPr="001932BE">
        <w:rPr>
          <w:rFonts w:ascii="Verdana" w:hAnsi="Verdana"/>
          <w:sz w:val="20"/>
          <w:szCs w:val="20"/>
        </w:rPr>
        <w:t xml:space="preserve">Como elemento indispensable de integración social y presupuesto material para la existencia de esos derechos, el trabajo debe ser, por sí mismo, definitivamente incorporado en la lógica normativa de los derechos humanos. </w:t>
      </w:r>
    </w:p>
    <w:p w14:paraId="55C147F0" w14:textId="77777777" w:rsidR="00F83E8F" w:rsidRPr="001932BE" w:rsidRDefault="00F83E8F" w:rsidP="00F83E8F">
      <w:pPr>
        <w:rPr>
          <w:szCs w:val="20"/>
          <w:lang w:val="es-ES"/>
        </w:rPr>
      </w:pPr>
    </w:p>
    <w:p w14:paraId="72F195A8" w14:textId="77777777" w:rsidR="00F83E8F" w:rsidRPr="001932BE" w:rsidRDefault="00F83E8F" w:rsidP="00F83E8F">
      <w:pPr>
        <w:pStyle w:val="ListParagraph"/>
        <w:numPr>
          <w:ilvl w:val="0"/>
          <w:numId w:val="27"/>
        </w:numPr>
        <w:ind w:left="0" w:firstLine="0"/>
        <w:jc w:val="both"/>
        <w:rPr>
          <w:rFonts w:ascii="Verdana" w:hAnsi="Verdana"/>
          <w:sz w:val="20"/>
          <w:szCs w:val="20"/>
        </w:rPr>
      </w:pPr>
      <w:r w:rsidRPr="001932BE">
        <w:rPr>
          <w:rFonts w:ascii="Verdana" w:hAnsi="Verdana"/>
          <w:sz w:val="20"/>
          <w:szCs w:val="20"/>
        </w:rPr>
        <w:t>Sin perjuicio de lo anterior</w:t>
      </w:r>
      <w:r w:rsidRPr="001932BE">
        <w:rPr>
          <w:rFonts w:ascii="Verdana" w:hAnsi="Verdana"/>
          <w:sz w:val="20"/>
          <w:szCs w:val="20"/>
          <w:lang w:val="es-MX"/>
        </w:rPr>
        <w:t xml:space="preserve">, es conveniente recordar lo mencionado en nuestro voto del </w:t>
      </w:r>
      <w:r w:rsidRPr="001932BE">
        <w:rPr>
          <w:rFonts w:ascii="Verdana" w:hAnsi="Verdana"/>
          <w:i/>
          <w:sz w:val="20"/>
          <w:szCs w:val="20"/>
          <w:lang w:val="es-MX"/>
        </w:rPr>
        <w:t xml:space="preserve">Caso Canales Huapaya y Otros Vs. Perú </w:t>
      </w:r>
      <w:r w:rsidRPr="001932BE">
        <w:rPr>
          <w:rFonts w:ascii="Verdana" w:hAnsi="Verdana"/>
          <w:sz w:val="20"/>
          <w:szCs w:val="20"/>
          <w:lang w:val="es-MX"/>
        </w:rPr>
        <w:t>sobre el alcance del derecho al trabajo a la luz de la Convención, respecto de que “</w:t>
      </w:r>
      <w:r w:rsidRPr="001932BE">
        <w:rPr>
          <w:rFonts w:ascii="Verdana" w:hAnsi="Verdana"/>
          <w:sz w:val="20"/>
          <w:szCs w:val="20"/>
        </w:rPr>
        <w:t xml:space="preserve">este entendimiento del derecho al trabajo como directamente fundamental en los Estados nacionales, o de la </w:t>
      </w:r>
      <w:proofErr w:type="spellStart"/>
      <w:r w:rsidRPr="001932BE">
        <w:rPr>
          <w:rFonts w:ascii="Verdana" w:hAnsi="Verdana"/>
          <w:sz w:val="20"/>
          <w:szCs w:val="20"/>
        </w:rPr>
        <w:t>justiciabilidad</w:t>
      </w:r>
      <w:proofErr w:type="spellEnd"/>
      <w:r w:rsidRPr="001932BE">
        <w:rPr>
          <w:rFonts w:ascii="Verdana" w:hAnsi="Verdana"/>
          <w:sz w:val="20"/>
          <w:szCs w:val="20"/>
        </w:rPr>
        <w:t xml:space="preserve"> directa del derecho al trabajo en el marco de la Convención Americana, no implica un entendimiento del derecho al trabajo como un derecho absoluto, como un derecho que no tiene límites o que se debe proteger en toda ocasión que se invoque”. Además, cada vez que un derecho sea alegado como violado, la Corte realizará un análisis de las obligaciones que tienen los Estados de garantía y respeto en cada caso en específico.</w:t>
      </w:r>
    </w:p>
    <w:p w14:paraId="39073535" w14:textId="77777777" w:rsidR="00F83E8F" w:rsidRPr="001932BE" w:rsidRDefault="00F83E8F" w:rsidP="00F83E8F">
      <w:pPr>
        <w:pStyle w:val="ListParagraph"/>
        <w:ind w:left="0"/>
        <w:jc w:val="both"/>
        <w:rPr>
          <w:rFonts w:ascii="Verdana" w:hAnsi="Verdana"/>
          <w:sz w:val="20"/>
          <w:szCs w:val="20"/>
        </w:rPr>
      </w:pPr>
    </w:p>
    <w:p w14:paraId="649110BD" w14:textId="77777777" w:rsidR="00F83E8F" w:rsidRPr="001932BE" w:rsidRDefault="00F83E8F" w:rsidP="00F83E8F">
      <w:pPr>
        <w:pStyle w:val="Style1"/>
        <w:spacing w:after="0" w:line="240" w:lineRule="auto"/>
        <w:ind w:left="0"/>
      </w:pPr>
      <w:r w:rsidRPr="001932BE">
        <w:t>Consideraciones finales</w:t>
      </w:r>
    </w:p>
    <w:p w14:paraId="2C3BFE60" w14:textId="77777777" w:rsidR="00F83E8F" w:rsidRPr="001932BE" w:rsidRDefault="00F83E8F" w:rsidP="00F83E8F">
      <w:pPr>
        <w:pStyle w:val="Style1"/>
        <w:numPr>
          <w:ilvl w:val="0"/>
          <w:numId w:val="0"/>
        </w:numPr>
        <w:spacing w:after="0" w:line="240" w:lineRule="auto"/>
        <w:jc w:val="both"/>
      </w:pPr>
    </w:p>
    <w:p w14:paraId="149A68F1" w14:textId="6C2BD4C1" w:rsidR="00F83E8F" w:rsidRPr="001932BE" w:rsidRDefault="00F83E8F" w:rsidP="00F83E8F">
      <w:pPr>
        <w:pStyle w:val="ListParagraph"/>
        <w:numPr>
          <w:ilvl w:val="0"/>
          <w:numId w:val="27"/>
        </w:numPr>
        <w:ind w:left="0" w:firstLine="0"/>
        <w:jc w:val="both"/>
        <w:rPr>
          <w:rFonts w:ascii="Verdana" w:hAnsi="Verdana"/>
          <w:sz w:val="20"/>
          <w:szCs w:val="20"/>
          <w:lang w:val="es-MX"/>
        </w:rPr>
      </w:pPr>
      <w:r w:rsidRPr="001932BE">
        <w:rPr>
          <w:rFonts w:ascii="Verdana" w:hAnsi="Verdana"/>
          <w:sz w:val="20"/>
          <w:szCs w:val="20"/>
          <w:lang w:val="es-MX"/>
        </w:rPr>
        <w:t xml:space="preserve">Por todo lo anterior, reafirmo mi adhesión a esta importante Sentencia, con la sencilla excepción procesal que, a mi criterio, en el presente caso no resulta necesaria la aplicación del principio de </w:t>
      </w:r>
      <w:proofErr w:type="spellStart"/>
      <w:r w:rsidRPr="001932BE">
        <w:rPr>
          <w:rFonts w:ascii="Verdana" w:hAnsi="Verdana"/>
          <w:i/>
          <w:sz w:val="20"/>
          <w:szCs w:val="20"/>
          <w:lang w:val="es-MX"/>
        </w:rPr>
        <w:t>iura</w:t>
      </w:r>
      <w:proofErr w:type="spellEnd"/>
      <w:r w:rsidRPr="001932BE">
        <w:rPr>
          <w:rFonts w:ascii="Verdana" w:hAnsi="Verdana"/>
          <w:i/>
          <w:sz w:val="20"/>
          <w:szCs w:val="20"/>
          <w:lang w:val="es-MX"/>
        </w:rPr>
        <w:t xml:space="preserve"> </w:t>
      </w:r>
      <w:proofErr w:type="spellStart"/>
      <w:r w:rsidRPr="001932BE">
        <w:rPr>
          <w:rFonts w:ascii="Verdana" w:hAnsi="Verdana"/>
          <w:i/>
          <w:sz w:val="20"/>
          <w:szCs w:val="20"/>
          <w:lang w:val="es-MX"/>
        </w:rPr>
        <w:t>novit</w:t>
      </w:r>
      <w:proofErr w:type="spellEnd"/>
      <w:r w:rsidRPr="001932BE">
        <w:rPr>
          <w:rFonts w:ascii="Verdana" w:hAnsi="Verdana"/>
          <w:i/>
          <w:sz w:val="20"/>
          <w:szCs w:val="20"/>
          <w:lang w:val="es-MX"/>
        </w:rPr>
        <w:t xml:space="preserve"> curia </w:t>
      </w:r>
      <w:r w:rsidRPr="001932BE">
        <w:rPr>
          <w:rFonts w:ascii="Verdana" w:hAnsi="Verdana"/>
          <w:sz w:val="20"/>
          <w:szCs w:val="20"/>
          <w:lang w:val="es-MX"/>
        </w:rPr>
        <w:t>para poder declarar la violación del artículo 26 convencional. El resultado no cambia con este detalle</w:t>
      </w:r>
      <w:r w:rsidRPr="001932BE">
        <w:rPr>
          <w:rFonts w:ascii="Verdana" w:hAnsi="Verdana"/>
          <w:i/>
          <w:sz w:val="20"/>
          <w:szCs w:val="20"/>
          <w:lang w:val="es-MX"/>
        </w:rPr>
        <w:t xml:space="preserve">. </w:t>
      </w:r>
      <w:r w:rsidRPr="001932BE">
        <w:rPr>
          <w:rFonts w:ascii="Verdana" w:hAnsi="Verdana"/>
          <w:sz w:val="20"/>
          <w:szCs w:val="20"/>
          <w:lang w:val="es-MX"/>
        </w:rPr>
        <w:t xml:space="preserve">Reitero el gran paso histórico que ha tomado este Tribunal de declarar la </w:t>
      </w:r>
      <w:proofErr w:type="spellStart"/>
      <w:r w:rsidRPr="001932BE">
        <w:rPr>
          <w:rFonts w:ascii="Verdana" w:hAnsi="Verdana"/>
          <w:sz w:val="20"/>
          <w:szCs w:val="20"/>
          <w:lang w:val="es-MX"/>
        </w:rPr>
        <w:t>justiciabilidad</w:t>
      </w:r>
      <w:proofErr w:type="spellEnd"/>
      <w:r w:rsidRPr="001932BE">
        <w:rPr>
          <w:rFonts w:ascii="Verdana" w:hAnsi="Verdana"/>
          <w:sz w:val="20"/>
          <w:szCs w:val="20"/>
          <w:lang w:val="es-MX"/>
        </w:rPr>
        <w:t xml:space="preserve"> del derecho del trabajo y de la estabilidad laboral, y con ello una nueva época para la protección </w:t>
      </w:r>
      <w:r w:rsidRPr="001932BE">
        <w:rPr>
          <w:rFonts w:ascii="Verdana" w:hAnsi="Verdana"/>
          <w:sz w:val="20"/>
          <w:szCs w:val="20"/>
          <w:lang w:val="es-CR"/>
        </w:rPr>
        <w:t>de todos</w:t>
      </w:r>
      <w:r w:rsidRPr="001932BE">
        <w:rPr>
          <w:rFonts w:ascii="Verdana" w:hAnsi="Verdana"/>
          <w:sz w:val="20"/>
          <w:szCs w:val="20"/>
          <w:lang w:val="es-MX"/>
        </w:rPr>
        <w:t xml:space="preserve"> los derechos humanos, </w:t>
      </w:r>
      <w:r w:rsidRPr="001932BE">
        <w:rPr>
          <w:rFonts w:ascii="Verdana" w:hAnsi="Verdana"/>
          <w:sz w:val="20"/>
          <w:szCs w:val="20"/>
          <w:lang w:val="es-CR"/>
        </w:rPr>
        <w:t>interdependientes e indivisibles,</w:t>
      </w:r>
      <w:r w:rsidRPr="001932BE">
        <w:rPr>
          <w:rFonts w:ascii="Verdana" w:hAnsi="Verdana"/>
          <w:sz w:val="20"/>
          <w:szCs w:val="20"/>
          <w:lang w:val="es-MX"/>
        </w:rPr>
        <w:t xml:space="preserve"> y de manera aún más integral.</w:t>
      </w:r>
    </w:p>
    <w:p w14:paraId="02B8A4A5" w14:textId="77777777" w:rsidR="00F83E8F" w:rsidRPr="001932BE" w:rsidRDefault="00F83E8F" w:rsidP="00F83E8F">
      <w:pPr>
        <w:rPr>
          <w:szCs w:val="20"/>
          <w:lang w:val="es-MX"/>
        </w:rPr>
      </w:pPr>
    </w:p>
    <w:p w14:paraId="0090FF2C" w14:textId="77777777" w:rsidR="00F83E8F" w:rsidRPr="001932BE" w:rsidRDefault="00F83E8F" w:rsidP="00F83E8F">
      <w:pPr>
        <w:rPr>
          <w:szCs w:val="20"/>
          <w:lang w:val="es-MX"/>
        </w:rPr>
      </w:pPr>
    </w:p>
    <w:p w14:paraId="5599FB6D" w14:textId="77777777" w:rsidR="00F83E8F" w:rsidRPr="001932BE" w:rsidRDefault="00F83E8F" w:rsidP="00F83E8F">
      <w:pPr>
        <w:rPr>
          <w:szCs w:val="20"/>
          <w:lang w:val="es-MX"/>
        </w:rPr>
      </w:pPr>
    </w:p>
    <w:p w14:paraId="0F4F572B" w14:textId="017E7A70" w:rsidR="00F83E8F" w:rsidRPr="001932BE" w:rsidRDefault="00F83E8F" w:rsidP="00F83E8F">
      <w:pPr>
        <w:rPr>
          <w:szCs w:val="20"/>
          <w:lang w:val="es-MX"/>
        </w:rPr>
      </w:pPr>
    </w:p>
    <w:p w14:paraId="71CFB36E" w14:textId="77777777" w:rsidR="00F83E8F" w:rsidRPr="001932BE" w:rsidRDefault="00F83E8F" w:rsidP="00F83E8F">
      <w:pPr>
        <w:pStyle w:val="NormalWeb"/>
        <w:spacing w:before="0" w:beforeAutospacing="0" w:after="0" w:afterAutospacing="0"/>
        <w:ind w:right="720"/>
        <w:jc w:val="right"/>
        <w:rPr>
          <w:rFonts w:ascii="Verdana" w:eastAsia="Calibri" w:hAnsi="Verdana"/>
          <w:sz w:val="20"/>
          <w:szCs w:val="20"/>
          <w:lang w:val="pt-BR" w:eastAsia="en-US"/>
        </w:rPr>
      </w:pPr>
      <w:r w:rsidRPr="001932BE">
        <w:rPr>
          <w:rFonts w:ascii="Verdana" w:eastAsia="Calibri" w:hAnsi="Verdana"/>
          <w:sz w:val="20"/>
          <w:szCs w:val="20"/>
          <w:lang w:val="pt-BR" w:eastAsia="en-US"/>
        </w:rPr>
        <w:t>Roberto F. Caldas</w:t>
      </w:r>
    </w:p>
    <w:p w14:paraId="4823869C" w14:textId="77777777" w:rsidR="00F83E8F" w:rsidRPr="001932BE" w:rsidRDefault="00F83E8F" w:rsidP="00F83E8F">
      <w:pPr>
        <w:pStyle w:val="NormalWeb"/>
        <w:spacing w:before="0" w:beforeAutospacing="0" w:after="0" w:afterAutospacing="0"/>
        <w:ind w:right="990"/>
        <w:jc w:val="right"/>
        <w:rPr>
          <w:rFonts w:ascii="Verdana" w:eastAsia="Calibri" w:hAnsi="Verdana"/>
          <w:sz w:val="20"/>
          <w:szCs w:val="20"/>
          <w:lang w:val="pt-BR" w:eastAsia="en-US"/>
        </w:rPr>
      </w:pPr>
      <w:r w:rsidRPr="001932BE">
        <w:rPr>
          <w:rFonts w:ascii="Verdana" w:eastAsia="Calibri" w:hAnsi="Verdana"/>
          <w:sz w:val="20"/>
          <w:szCs w:val="20"/>
          <w:lang w:val="pt-BR" w:eastAsia="en-US"/>
        </w:rPr>
        <w:t>Presidente</w:t>
      </w:r>
    </w:p>
    <w:p w14:paraId="15EFEE0F" w14:textId="77777777" w:rsidR="00F83E8F" w:rsidRPr="001932BE" w:rsidRDefault="00F83E8F" w:rsidP="00F83E8F">
      <w:pPr>
        <w:rPr>
          <w:szCs w:val="20"/>
          <w:lang w:val="pt-BR"/>
        </w:rPr>
      </w:pPr>
    </w:p>
    <w:p w14:paraId="308C71B1" w14:textId="77777777" w:rsidR="00F83E8F" w:rsidRPr="001932BE" w:rsidRDefault="00F83E8F" w:rsidP="00F83E8F">
      <w:pPr>
        <w:rPr>
          <w:szCs w:val="20"/>
          <w:lang w:val="pt-BR"/>
        </w:rPr>
      </w:pPr>
    </w:p>
    <w:p w14:paraId="16F26EA4" w14:textId="77777777" w:rsidR="00F83E8F" w:rsidRPr="001932BE" w:rsidRDefault="00F83E8F" w:rsidP="00F83E8F">
      <w:pPr>
        <w:rPr>
          <w:szCs w:val="20"/>
          <w:lang w:val="pt-BR"/>
        </w:rPr>
      </w:pPr>
    </w:p>
    <w:p w14:paraId="6D8B4D29" w14:textId="77777777" w:rsidR="00F83E8F" w:rsidRPr="001932BE" w:rsidRDefault="00F83E8F" w:rsidP="00F83E8F">
      <w:pPr>
        <w:rPr>
          <w:szCs w:val="20"/>
          <w:lang w:val="pt-BR"/>
        </w:rPr>
      </w:pPr>
    </w:p>
    <w:p w14:paraId="141C17F5" w14:textId="77777777" w:rsidR="00F83E8F" w:rsidRPr="001932BE" w:rsidRDefault="00F83E8F" w:rsidP="00F83E8F">
      <w:pPr>
        <w:rPr>
          <w:szCs w:val="20"/>
          <w:lang w:val="pt-BR"/>
        </w:rPr>
      </w:pPr>
      <w:r w:rsidRPr="001932BE">
        <w:rPr>
          <w:szCs w:val="20"/>
          <w:lang w:val="pt-BR"/>
        </w:rPr>
        <w:t>Pablo Saavedra Alessandri</w:t>
      </w:r>
    </w:p>
    <w:p w14:paraId="14CFC170" w14:textId="77777777" w:rsidR="00F83E8F" w:rsidRPr="001932BE" w:rsidRDefault="00F83E8F" w:rsidP="00F83E8F">
      <w:pPr>
        <w:ind w:firstLine="720"/>
        <w:rPr>
          <w:szCs w:val="20"/>
          <w:lang w:val="es-CR"/>
        </w:rPr>
      </w:pPr>
      <w:r w:rsidRPr="001932BE">
        <w:rPr>
          <w:szCs w:val="20"/>
          <w:lang w:val="es-CR"/>
        </w:rPr>
        <w:t xml:space="preserve">  Secretario</w:t>
      </w:r>
    </w:p>
    <w:p w14:paraId="013C9858" w14:textId="77777777" w:rsidR="00F83E8F" w:rsidRPr="001932BE" w:rsidRDefault="00F83E8F" w:rsidP="00F83E8F">
      <w:pPr>
        <w:ind w:firstLine="720"/>
        <w:rPr>
          <w:szCs w:val="20"/>
          <w:lang w:val="es-CR"/>
        </w:rPr>
      </w:pPr>
    </w:p>
    <w:p w14:paraId="0CAD135B" w14:textId="77777777" w:rsidR="00F83E8F" w:rsidRPr="001932BE" w:rsidRDefault="00F83E8F" w:rsidP="00F83E8F">
      <w:pPr>
        <w:ind w:firstLine="720"/>
        <w:rPr>
          <w:szCs w:val="20"/>
          <w:lang w:val="es-CR"/>
        </w:rPr>
      </w:pPr>
    </w:p>
    <w:p w14:paraId="66CC440D" w14:textId="77777777" w:rsidR="00F83E8F" w:rsidRPr="001932BE" w:rsidRDefault="00F83E8F" w:rsidP="00F83E8F">
      <w:pPr>
        <w:ind w:firstLine="720"/>
        <w:rPr>
          <w:rFonts w:cs="Arial"/>
          <w:szCs w:val="20"/>
        </w:rPr>
      </w:pPr>
    </w:p>
    <w:p w14:paraId="26F8DFC5" w14:textId="77777777" w:rsidR="00F83E8F" w:rsidRDefault="00F83E8F" w:rsidP="00C16A26">
      <w:pPr>
        <w:rPr>
          <w:rFonts w:cs="Arial"/>
          <w:szCs w:val="20"/>
        </w:rPr>
        <w:sectPr w:rsidR="00F83E8F" w:rsidSect="00F83E8F">
          <w:footnotePr>
            <w:numRestart w:val="eachSect"/>
          </w:footnotePr>
          <w:pgSz w:w="12240" w:h="15840" w:code="1"/>
          <w:pgMar w:top="1247" w:right="1247" w:bottom="1247" w:left="1247" w:header="709" w:footer="709" w:gutter="0"/>
          <w:pgNumType w:start="1"/>
          <w:cols w:space="708"/>
          <w:titlePg/>
          <w:docGrid w:linePitch="360"/>
        </w:sectPr>
      </w:pPr>
    </w:p>
    <w:p w14:paraId="5BAD733F" w14:textId="77777777" w:rsidR="00F83E8F" w:rsidRDefault="00F83E8F" w:rsidP="00C16A26">
      <w:pPr>
        <w:rPr>
          <w:rFonts w:ascii="Verdana" w:hAnsi="Verdana"/>
          <w:b/>
          <w:caps/>
          <w:sz w:val="20"/>
          <w:szCs w:val="20"/>
        </w:rPr>
      </w:pPr>
    </w:p>
    <w:p w14:paraId="3C5AC88B" w14:textId="77777777" w:rsidR="00C16A26" w:rsidRDefault="00C16A26" w:rsidP="00C16A26">
      <w:pPr>
        <w:rPr>
          <w:rFonts w:ascii="Verdana" w:hAnsi="Verdana"/>
          <w:b/>
          <w:caps/>
          <w:sz w:val="20"/>
          <w:szCs w:val="20"/>
        </w:rPr>
      </w:pPr>
    </w:p>
    <w:p w14:paraId="01CC4B06" w14:textId="77777777" w:rsidR="00C16A26" w:rsidRDefault="00C16A26" w:rsidP="00C16A26">
      <w:pPr>
        <w:rPr>
          <w:rFonts w:ascii="Verdana" w:hAnsi="Verdana"/>
          <w:b/>
          <w:caps/>
          <w:sz w:val="20"/>
          <w:szCs w:val="20"/>
        </w:rPr>
      </w:pPr>
    </w:p>
    <w:p w14:paraId="6F36D47C" w14:textId="77777777" w:rsidR="00C16A26" w:rsidRDefault="00C16A26" w:rsidP="00C16A26">
      <w:pPr>
        <w:rPr>
          <w:rFonts w:ascii="Verdana" w:hAnsi="Verdana"/>
          <w:b/>
          <w:caps/>
          <w:sz w:val="20"/>
          <w:szCs w:val="20"/>
        </w:rPr>
      </w:pPr>
    </w:p>
    <w:p w14:paraId="1566E672" w14:textId="77777777" w:rsidR="00C16A26" w:rsidRDefault="00C16A26" w:rsidP="00C16A26">
      <w:pPr>
        <w:rPr>
          <w:rFonts w:ascii="Verdana" w:hAnsi="Verdana"/>
          <w:b/>
          <w:caps/>
          <w:sz w:val="20"/>
          <w:szCs w:val="20"/>
        </w:rPr>
      </w:pPr>
    </w:p>
    <w:p w14:paraId="27A35EE9" w14:textId="77777777" w:rsidR="00C16A26" w:rsidRDefault="00C16A26" w:rsidP="00C16A26">
      <w:pPr>
        <w:rPr>
          <w:rFonts w:ascii="Verdana" w:hAnsi="Verdana"/>
          <w:b/>
          <w:caps/>
          <w:sz w:val="20"/>
          <w:szCs w:val="20"/>
        </w:rPr>
      </w:pPr>
    </w:p>
    <w:p w14:paraId="417CE3AA" w14:textId="77777777" w:rsidR="00C16A26" w:rsidRDefault="00C16A26" w:rsidP="00C16A26">
      <w:pPr>
        <w:rPr>
          <w:rFonts w:ascii="Verdana" w:hAnsi="Verdana"/>
          <w:b/>
          <w:caps/>
          <w:sz w:val="20"/>
          <w:szCs w:val="20"/>
        </w:rPr>
      </w:pPr>
    </w:p>
    <w:p w14:paraId="282B2881" w14:textId="77777777" w:rsidR="00F83E8F" w:rsidRPr="000D35BC" w:rsidRDefault="00F83E8F" w:rsidP="00F83E8F">
      <w:pPr>
        <w:rPr>
          <w:rFonts w:ascii="Verdana" w:hAnsi="Verdana"/>
          <w:b/>
          <w:caps/>
          <w:sz w:val="20"/>
          <w:szCs w:val="20"/>
          <w:lang w:val="es-CR"/>
        </w:rPr>
      </w:pPr>
    </w:p>
    <w:p w14:paraId="1ABDB6EE" w14:textId="77777777" w:rsidR="00F83E8F" w:rsidRPr="003D4E91" w:rsidRDefault="00F83E8F" w:rsidP="00F83E8F">
      <w:pPr>
        <w:jc w:val="center"/>
        <w:rPr>
          <w:rFonts w:ascii="Verdana" w:hAnsi="Verdana"/>
          <w:b/>
          <w:caps/>
          <w:sz w:val="20"/>
          <w:szCs w:val="20"/>
        </w:rPr>
      </w:pPr>
      <w:r w:rsidRPr="003D4E91">
        <w:rPr>
          <w:rFonts w:ascii="Verdana" w:hAnsi="Verdana"/>
          <w:b/>
          <w:caps/>
          <w:sz w:val="20"/>
          <w:szCs w:val="20"/>
        </w:rPr>
        <w:t>VOTO CONCURRENTE DEL</w:t>
      </w:r>
    </w:p>
    <w:p w14:paraId="7B1F88AC" w14:textId="77777777" w:rsidR="00F83E8F" w:rsidRPr="003D4E91" w:rsidRDefault="00F83E8F" w:rsidP="00F83E8F">
      <w:pPr>
        <w:jc w:val="center"/>
        <w:rPr>
          <w:rFonts w:ascii="Verdana" w:hAnsi="Verdana"/>
          <w:b/>
          <w:caps/>
          <w:sz w:val="20"/>
          <w:szCs w:val="20"/>
        </w:rPr>
      </w:pPr>
      <w:r w:rsidRPr="003D4E91">
        <w:rPr>
          <w:rFonts w:ascii="Verdana" w:hAnsi="Verdana"/>
          <w:b/>
          <w:caps/>
          <w:sz w:val="20"/>
          <w:szCs w:val="20"/>
        </w:rPr>
        <w:t>JUEZ EDUARDO FERRER MAC-GREGOR POISOT</w:t>
      </w:r>
    </w:p>
    <w:p w14:paraId="03CB21E1" w14:textId="77777777" w:rsidR="00F83E8F" w:rsidRPr="00DC6005" w:rsidRDefault="00F83E8F" w:rsidP="00F83E8F">
      <w:pPr>
        <w:jc w:val="center"/>
        <w:rPr>
          <w:rFonts w:ascii="Verdana" w:hAnsi="Verdana"/>
          <w:caps/>
          <w:sz w:val="20"/>
          <w:szCs w:val="20"/>
        </w:rPr>
      </w:pPr>
    </w:p>
    <w:p w14:paraId="22DF5DBA" w14:textId="77777777" w:rsidR="00F83E8F" w:rsidRPr="003D4E91" w:rsidRDefault="00F83E8F" w:rsidP="00F83E8F">
      <w:pPr>
        <w:jc w:val="center"/>
        <w:rPr>
          <w:rFonts w:ascii="Verdana" w:hAnsi="Verdana"/>
          <w:b/>
          <w:i/>
          <w:caps/>
          <w:sz w:val="20"/>
          <w:szCs w:val="20"/>
          <w:u w:val="single"/>
        </w:rPr>
      </w:pPr>
      <w:r w:rsidRPr="003D4E91">
        <w:rPr>
          <w:rFonts w:ascii="Verdana" w:hAnsi="Verdana"/>
          <w:b/>
          <w:i/>
          <w:caps/>
          <w:sz w:val="20"/>
          <w:szCs w:val="20"/>
          <w:u w:val="single"/>
        </w:rPr>
        <w:t xml:space="preserve">caso lagos del cAmpo vs. perú </w:t>
      </w:r>
    </w:p>
    <w:p w14:paraId="6E1B69C1" w14:textId="77777777" w:rsidR="00F83E8F" w:rsidRPr="003D4E91" w:rsidRDefault="00F83E8F" w:rsidP="00F83E8F">
      <w:pPr>
        <w:jc w:val="center"/>
        <w:rPr>
          <w:rFonts w:ascii="Verdana" w:hAnsi="Verdana"/>
          <w:b/>
          <w:caps/>
          <w:sz w:val="20"/>
          <w:szCs w:val="20"/>
        </w:rPr>
      </w:pPr>
    </w:p>
    <w:p w14:paraId="2CB5125E" w14:textId="77777777" w:rsidR="00F83E8F" w:rsidRPr="003D4E91" w:rsidRDefault="00F83E8F" w:rsidP="00F83E8F">
      <w:pPr>
        <w:jc w:val="center"/>
        <w:rPr>
          <w:rFonts w:ascii="Verdana" w:hAnsi="Verdana"/>
          <w:b/>
          <w:caps/>
          <w:sz w:val="18"/>
          <w:szCs w:val="18"/>
        </w:rPr>
      </w:pPr>
      <w:r w:rsidRPr="003D4E91">
        <w:rPr>
          <w:rFonts w:ascii="Verdana" w:hAnsi="Verdana"/>
          <w:b/>
          <w:caps/>
          <w:sz w:val="18"/>
          <w:szCs w:val="18"/>
        </w:rPr>
        <w:t>Sentencia de 31 de agosto de 2017</w:t>
      </w:r>
    </w:p>
    <w:p w14:paraId="398E605D" w14:textId="77777777" w:rsidR="00F83E8F" w:rsidRPr="003D4E91" w:rsidRDefault="00F83E8F" w:rsidP="00F83E8F">
      <w:pPr>
        <w:widowControl w:val="0"/>
        <w:autoSpaceDE w:val="0"/>
        <w:autoSpaceDN w:val="0"/>
        <w:adjustRightInd w:val="0"/>
        <w:jc w:val="center"/>
        <w:rPr>
          <w:rFonts w:ascii="Verdana" w:hAnsi="Verdana"/>
          <w:b/>
          <w:i/>
          <w:caps/>
          <w:sz w:val="18"/>
          <w:szCs w:val="18"/>
        </w:rPr>
      </w:pPr>
      <w:r w:rsidRPr="003D4E91">
        <w:rPr>
          <w:rFonts w:ascii="Verdana" w:hAnsi="Verdana"/>
          <w:b/>
          <w:i/>
          <w:caps/>
          <w:sz w:val="18"/>
          <w:szCs w:val="18"/>
        </w:rPr>
        <w:t>(Excepciones preliminares, fondo, reparaciones y costas)</w:t>
      </w:r>
    </w:p>
    <w:p w14:paraId="26139CD0" w14:textId="77777777" w:rsidR="00F83E8F" w:rsidRDefault="00F83E8F" w:rsidP="00F83E8F">
      <w:pPr>
        <w:widowControl w:val="0"/>
        <w:autoSpaceDE w:val="0"/>
        <w:autoSpaceDN w:val="0"/>
        <w:adjustRightInd w:val="0"/>
        <w:rPr>
          <w:rFonts w:ascii="Verdana" w:hAnsi="Verdana"/>
          <w:i/>
          <w:sz w:val="20"/>
          <w:szCs w:val="20"/>
        </w:rPr>
      </w:pPr>
    </w:p>
    <w:p w14:paraId="5973A6E9" w14:textId="77777777" w:rsidR="00F83E8F" w:rsidRPr="00DC6005" w:rsidRDefault="00F83E8F" w:rsidP="00F83E8F">
      <w:pPr>
        <w:widowControl w:val="0"/>
        <w:autoSpaceDE w:val="0"/>
        <w:autoSpaceDN w:val="0"/>
        <w:adjustRightInd w:val="0"/>
        <w:jc w:val="center"/>
        <w:rPr>
          <w:rFonts w:ascii="Verdana" w:hAnsi="Verdana"/>
          <w:i/>
          <w:sz w:val="20"/>
          <w:szCs w:val="20"/>
        </w:rPr>
      </w:pPr>
      <w:r w:rsidRPr="00DC6005">
        <w:rPr>
          <w:rFonts w:ascii="Verdana" w:hAnsi="Verdana"/>
          <w:i/>
          <w:sz w:val="20"/>
          <w:szCs w:val="20"/>
        </w:rPr>
        <w:t xml:space="preserve">LA JUSTICIABILIDAD DIRECTA DE LOS </w:t>
      </w:r>
    </w:p>
    <w:p w14:paraId="44D72032" w14:textId="77777777" w:rsidR="00F83E8F" w:rsidRPr="00DC6005" w:rsidRDefault="00F83E8F" w:rsidP="00F83E8F">
      <w:pPr>
        <w:widowControl w:val="0"/>
        <w:autoSpaceDE w:val="0"/>
        <w:autoSpaceDN w:val="0"/>
        <w:adjustRightInd w:val="0"/>
        <w:jc w:val="center"/>
        <w:rPr>
          <w:rFonts w:ascii="Verdana" w:hAnsi="Verdana"/>
          <w:i/>
          <w:sz w:val="20"/>
          <w:szCs w:val="20"/>
        </w:rPr>
      </w:pPr>
      <w:r w:rsidRPr="00DC6005">
        <w:rPr>
          <w:rFonts w:ascii="Verdana" w:hAnsi="Verdana"/>
          <w:i/>
          <w:sz w:val="20"/>
          <w:szCs w:val="20"/>
        </w:rPr>
        <w:t xml:space="preserve">DERECHOS ECONÓMICOS, SOCIALES, CULTURALES Y AMBIENTALES: </w:t>
      </w:r>
    </w:p>
    <w:p w14:paraId="0BFAF90E" w14:textId="77777777" w:rsidR="00F83E8F" w:rsidRPr="00DC6005" w:rsidRDefault="00F83E8F" w:rsidP="00F83E8F">
      <w:pPr>
        <w:widowControl w:val="0"/>
        <w:autoSpaceDE w:val="0"/>
        <w:autoSpaceDN w:val="0"/>
        <w:adjustRightInd w:val="0"/>
        <w:jc w:val="center"/>
        <w:rPr>
          <w:rFonts w:ascii="Verdana" w:hAnsi="Verdana"/>
          <w:i/>
          <w:sz w:val="20"/>
          <w:szCs w:val="20"/>
        </w:rPr>
      </w:pPr>
      <w:r w:rsidRPr="00DC6005">
        <w:rPr>
          <w:rFonts w:ascii="Verdana" w:hAnsi="Verdana"/>
          <w:i/>
          <w:sz w:val="20"/>
          <w:szCs w:val="20"/>
        </w:rPr>
        <w:t>UNA NUEVA ETAPA EN LA JURISPRUDENCIA INTERAMERICANA</w:t>
      </w:r>
    </w:p>
    <w:p w14:paraId="36314E3A" w14:textId="77777777" w:rsidR="00F83E8F" w:rsidRDefault="00F83E8F" w:rsidP="00F83E8F">
      <w:pPr>
        <w:widowControl w:val="0"/>
        <w:autoSpaceDE w:val="0"/>
        <w:autoSpaceDN w:val="0"/>
        <w:adjustRightInd w:val="0"/>
        <w:jc w:val="center"/>
        <w:rPr>
          <w:rFonts w:ascii="Verdana" w:hAnsi="Verdana"/>
          <w:b/>
          <w:sz w:val="20"/>
          <w:szCs w:val="20"/>
        </w:rPr>
      </w:pPr>
    </w:p>
    <w:p w14:paraId="1C92CD21" w14:textId="77777777" w:rsidR="00F83E8F" w:rsidRDefault="00F83E8F" w:rsidP="00E70701">
      <w:pPr>
        <w:pStyle w:val="ListParagraph"/>
        <w:widowControl w:val="0"/>
        <w:numPr>
          <w:ilvl w:val="0"/>
          <w:numId w:val="28"/>
        </w:numPr>
        <w:autoSpaceDE w:val="0"/>
        <w:autoSpaceDN w:val="0"/>
        <w:adjustRightInd w:val="0"/>
        <w:ind w:left="0" w:firstLine="0"/>
        <w:jc w:val="both"/>
        <w:rPr>
          <w:rFonts w:ascii="Verdana" w:hAnsi="Verdana"/>
          <w:sz w:val="20"/>
          <w:szCs w:val="20"/>
        </w:rPr>
      </w:pPr>
      <w:r w:rsidRPr="000A31C6">
        <w:rPr>
          <w:rFonts w:ascii="Verdana" w:hAnsi="Verdana"/>
          <w:sz w:val="20"/>
          <w:szCs w:val="20"/>
        </w:rPr>
        <w:t xml:space="preserve">El caso </w:t>
      </w:r>
      <w:r w:rsidRPr="000A31C6">
        <w:rPr>
          <w:rFonts w:ascii="Verdana" w:hAnsi="Verdana"/>
          <w:i/>
          <w:sz w:val="20"/>
          <w:szCs w:val="20"/>
        </w:rPr>
        <w:t xml:space="preserve">Lagos del Campos Vs. Perú </w:t>
      </w:r>
      <w:r w:rsidRPr="000A31C6">
        <w:rPr>
          <w:rFonts w:ascii="Verdana" w:hAnsi="Verdana"/>
          <w:sz w:val="20"/>
          <w:szCs w:val="20"/>
        </w:rPr>
        <w:t>abre un nuevo</w:t>
      </w:r>
      <w:r>
        <w:rPr>
          <w:rFonts w:ascii="Verdana" w:hAnsi="Verdana"/>
          <w:sz w:val="20"/>
          <w:szCs w:val="20"/>
        </w:rPr>
        <w:t xml:space="preserve"> y rico</w:t>
      </w:r>
      <w:r w:rsidRPr="000A31C6">
        <w:rPr>
          <w:rFonts w:ascii="Verdana" w:hAnsi="Verdana"/>
          <w:sz w:val="20"/>
          <w:szCs w:val="20"/>
        </w:rPr>
        <w:t xml:space="preserve"> horizonte en el Sistema Interamericano de Derechos Humanos</w:t>
      </w:r>
      <w:r>
        <w:rPr>
          <w:rFonts w:ascii="Verdana" w:hAnsi="Verdana"/>
          <w:sz w:val="20"/>
          <w:szCs w:val="20"/>
        </w:rPr>
        <w:t>. Lo anterior debido a la interpretación evolutiva</w:t>
      </w:r>
      <w:r>
        <w:rPr>
          <w:rStyle w:val="FootnoteReference"/>
          <w:szCs w:val="20"/>
        </w:rPr>
        <w:footnoteReference w:id="285"/>
      </w:r>
      <w:r>
        <w:rPr>
          <w:rFonts w:ascii="Verdana" w:hAnsi="Verdana"/>
          <w:sz w:val="20"/>
          <w:szCs w:val="20"/>
        </w:rPr>
        <w:t xml:space="preserve"> que la Corte Interamericana de Derechos Humanos (en adelante “la Corte IDH” o “el Tribunal Interamericano”) realiza del artículo 26 de la Convención Americana sobre Derechos Humanos (en adelante “Convención Americana” o “Pacto de San José”).  Particularmente, por el paso que se da hacia la </w:t>
      </w:r>
      <w:proofErr w:type="spellStart"/>
      <w:r>
        <w:rPr>
          <w:rFonts w:ascii="Verdana" w:hAnsi="Verdana"/>
          <w:sz w:val="20"/>
          <w:szCs w:val="20"/>
        </w:rPr>
        <w:t>justiciabilidad</w:t>
      </w:r>
      <w:proofErr w:type="spellEnd"/>
      <w:r>
        <w:rPr>
          <w:rFonts w:ascii="Verdana" w:hAnsi="Verdana"/>
          <w:sz w:val="20"/>
          <w:szCs w:val="20"/>
        </w:rPr>
        <w:t xml:space="preserve"> plena y directa de los derechos económicos, sociales, culturales y ambientales (en adelante “los DESCA” o “los derechos sociales”). </w:t>
      </w:r>
    </w:p>
    <w:p w14:paraId="46D43E75" w14:textId="77777777" w:rsidR="00F83E8F" w:rsidRDefault="00F83E8F" w:rsidP="00F83E8F">
      <w:pPr>
        <w:pStyle w:val="ListParagraph"/>
        <w:widowControl w:val="0"/>
        <w:autoSpaceDE w:val="0"/>
        <w:autoSpaceDN w:val="0"/>
        <w:adjustRightInd w:val="0"/>
        <w:ind w:left="0"/>
        <w:jc w:val="both"/>
        <w:rPr>
          <w:rFonts w:ascii="Verdana" w:hAnsi="Verdana"/>
          <w:sz w:val="20"/>
          <w:szCs w:val="20"/>
        </w:rPr>
      </w:pPr>
    </w:p>
    <w:p w14:paraId="0A19F2A0" w14:textId="15193E92" w:rsidR="00F83E8F" w:rsidRPr="007A2B35" w:rsidRDefault="00F83E8F" w:rsidP="00F83E8F">
      <w:pPr>
        <w:pStyle w:val="ListParagraph"/>
        <w:widowControl w:val="0"/>
        <w:numPr>
          <w:ilvl w:val="0"/>
          <w:numId w:val="28"/>
        </w:numPr>
        <w:autoSpaceDE w:val="0"/>
        <w:autoSpaceDN w:val="0"/>
        <w:adjustRightInd w:val="0"/>
        <w:ind w:left="0" w:firstLine="0"/>
        <w:jc w:val="both"/>
        <w:rPr>
          <w:rFonts w:ascii="Verdana" w:hAnsi="Verdana"/>
          <w:sz w:val="20"/>
          <w:szCs w:val="20"/>
        </w:rPr>
      </w:pPr>
      <w:r w:rsidRPr="00EE74D4">
        <w:rPr>
          <w:rFonts w:ascii="Verdana" w:hAnsi="Verdana"/>
          <w:sz w:val="20"/>
          <w:szCs w:val="20"/>
          <w:u w:val="single"/>
        </w:rPr>
        <w:t>En primer lugar</w:t>
      </w:r>
      <w:r w:rsidRPr="000A31C6">
        <w:rPr>
          <w:rFonts w:ascii="Verdana" w:hAnsi="Verdana"/>
          <w:sz w:val="20"/>
          <w:szCs w:val="20"/>
        </w:rPr>
        <w:t xml:space="preserve">, </w:t>
      </w:r>
      <w:r>
        <w:rPr>
          <w:rFonts w:ascii="Verdana" w:hAnsi="Verdana"/>
          <w:sz w:val="20"/>
          <w:szCs w:val="20"/>
        </w:rPr>
        <w:t xml:space="preserve">en la Sentencia se </w:t>
      </w:r>
      <w:r w:rsidRPr="000A31C6">
        <w:rPr>
          <w:rFonts w:ascii="Verdana" w:hAnsi="Verdana"/>
          <w:sz w:val="20"/>
          <w:szCs w:val="20"/>
        </w:rPr>
        <w:t>aborda la violación del derecho a la libertad de expresión desde el ámbito de las relaciones entre particulares en contextos laborales —trabajador/empresa—</w:t>
      </w:r>
      <w:r>
        <w:rPr>
          <w:rFonts w:ascii="Verdana" w:hAnsi="Verdana"/>
          <w:sz w:val="20"/>
          <w:szCs w:val="20"/>
        </w:rPr>
        <w:t xml:space="preserve">. En el fallo se comprueba </w:t>
      </w:r>
      <w:r w:rsidRPr="00295CC3">
        <w:rPr>
          <w:rFonts w:ascii="Verdana" w:hAnsi="Verdana"/>
          <w:sz w:val="20"/>
        </w:rPr>
        <w:t>que</w:t>
      </w:r>
      <w:r w:rsidRPr="00295CC3">
        <w:rPr>
          <w:rFonts w:ascii="Verdana" w:hAnsi="Verdana"/>
          <w:sz w:val="20"/>
          <w:szCs w:val="20"/>
          <w:lang w:val="es-CR"/>
        </w:rPr>
        <w:t xml:space="preserve"> “</w:t>
      </w:r>
      <w:r w:rsidRPr="00295CC3">
        <w:rPr>
          <w:rFonts w:ascii="Verdana" w:hAnsi="Verdana"/>
          <w:sz w:val="20"/>
        </w:rPr>
        <w:t>no existió una necesidad imperante que justificara el despido del señor Lagos del Campo”</w:t>
      </w:r>
      <w:r>
        <w:rPr>
          <w:rFonts w:ascii="Verdana" w:hAnsi="Verdana"/>
          <w:sz w:val="20"/>
        </w:rPr>
        <w:t>, el cual se produjo debido a sus declaraciones públicas como dirigente laboral. Por ello, se restringió</w:t>
      </w:r>
      <w:r w:rsidRPr="00295CC3">
        <w:rPr>
          <w:rFonts w:ascii="Verdana" w:hAnsi="Verdana"/>
          <w:sz w:val="20"/>
        </w:rPr>
        <w:t xml:space="preserve"> su libertad de expresión sin</w:t>
      </w:r>
      <w:r>
        <w:rPr>
          <w:rFonts w:ascii="Verdana" w:hAnsi="Verdana"/>
          <w:sz w:val="20"/>
        </w:rPr>
        <w:t xml:space="preserve"> tener en consideración que dichas </w:t>
      </w:r>
      <w:r w:rsidRPr="00295CC3">
        <w:rPr>
          <w:rFonts w:ascii="Verdana" w:hAnsi="Verdana"/>
          <w:sz w:val="20"/>
        </w:rPr>
        <w:t xml:space="preserve">declaraciones se referían </w:t>
      </w:r>
      <w:r>
        <w:rPr>
          <w:rFonts w:ascii="Verdana" w:hAnsi="Verdana"/>
          <w:sz w:val="20"/>
        </w:rPr>
        <w:t xml:space="preserve">esencialmente </w:t>
      </w:r>
      <w:r w:rsidRPr="00295CC3">
        <w:rPr>
          <w:rFonts w:ascii="Verdana" w:hAnsi="Verdana"/>
          <w:sz w:val="20"/>
        </w:rPr>
        <w:t xml:space="preserve">a cuestiones de interés público, las cuales </w:t>
      </w:r>
      <w:r>
        <w:rPr>
          <w:rFonts w:ascii="Verdana" w:hAnsi="Verdana"/>
          <w:sz w:val="20"/>
        </w:rPr>
        <w:t>le correspondían dar al señor Lagos del Campo en su</w:t>
      </w:r>
      <w:r w:rsidRPr="00295CC3">
        <w:rPr>
          <w:rFonts w:ascii="Verdana" w:hAnsi="Verdana"/>
          <w:sz w:val="20"/>
        </w:rPr>
        <w:t xml:space="preserve"> calidad de representante de los trabajadores </w:t>
      </w:r>
      <w:r>
        <w:rPr>
          <w:rFonts w:ascii="Verdana" w:hAnsi="Verdana"/>
          <w:sz w:val="20"/>
        </w:rPr>
        <w:t xml:space="preserve">y </w:t>
      </w:r>
      <w:r w:rsidRPr="00295CC3">
        <w:rPr>
          <w:rFonts w:ascii="Verdana" w:hAnsi="Verdana"/>
          <w:sz w:val="20"/>
        </w:rPr>
        <w:t>como Presidente del Comité Electoral.</w:t>
      </w:r>
      <w:r>
        <w:rPr>
          <w:rFonts w:ascii="Verdana" w:hAnsi="Verdana"/>
          <w:sz w:val="20"/>
        </w:rPr>
        <w:t xml:space="preserve"> En ese sentido, se consolida y amplía </w:t>
      </w:r>
      <w:r w:rsidRPr="00295CC3">
        <w:rPr>
          <w:rFonts w:ascii="Verdana" w:hAnsi="Verdana"/>
          <w:sz w:val="20"/>
          <w:szCs w:val="20"/>
        </w:rPr>
        <w:t>la extensa jurisprudencia interamericana sobre el derecho a la libertad de pensamiento y expresión consagrado en el artículo 13 del Pacto de San José</w:t>
      </w:r>
      <w:r w:rsidRPr="00295CC3">
        <w:rPr>
          <w:rStyle w:val="FootnoteReference"/>
          <w:rFonts w:cs="Arial"/>
          <w:iCs/>
          <w:szCs w:val="20"/>
          <w:lang w:val="es-ES"/>
        </w:rPr>
        <w:t xml:space="preserve"> </w:t>
      </w:r>
      <w:r w:rsidRPr="00E35C84">
        <w:rPr>
          <w:rStyle w:val="FootnoteReference"/>
          <w:rFonts w:cs="Arial"/>
          <w:iCs/>
          <w:szCs w:val="20"/>
          <w:lang w:val="es-ES"/>
        </w:rPr>
        <w:footnoteReference w:id="286"/>
      </w:r>
      <w:r w:rsidRPr="00295CC3">
        <w:rPr>
          <w:rFonts w:ascii="Verdana" w:hAnsi="Verdana" w:cs="Arial"/>
          <w:sz w:val="20"/>
          <w:szCs w:val="20"/>
          <w:lang w:val="es-ES"/>
        </w:rPr>
        <w:t>.</w:t>
      </w:r>
    </w:p>
    <w:p w14:paraId="207D9282" w14:textId="77777777" w:rsidR="00F83E8F" w:rsidRPr="00CB1BC9" w:rsidRDefault="00F83E8F" w:rsidP="00E70701">
      <w:pPr>
        <w:pStyle w:val="ListParagraph"/>
        <w:widowControl w:val="0"/>
        <w:numPr>
          <w:ilvl w:val="0"/>
          <w:numId w:val="28"/>
        </w:numPr>
        <w:autoSpaceDE w:val="0"/>
        <w:autoSpaceDN w:val="0"/>
        <w:adjustRightInd w:val="0"/>
        <w:ind w:left="0" w:firstLine="0"/>
        <w:jc w:val="both"/>
        <w:rPr>
          <w:rFonts w:ascii="Verdana" w:hAnsi="Verdana"/>
          <w:sz w:val="20"/>
          <w:szCs w:val="20"/>
        </w:rPr>
      </w:pPr>
      <w:r w:rsidRPr="00295CC3">
        <w:rPr>
          <w:rFonts w:ascii="Verdana" w:hAnsi="Verdana"/>
          <w:sz w:val="20"/>
          <w:szCs w:val="20"/>
          <w:u w:val="single"/>
        </w:rPr>
        <w:lastRenderedPageBreak/>
        <w:t>En segundo lugar</w:t>
      </w:r>
      <w:r>
        <w:rPr>
          <w:rFonts w:ascii="Verdana" w:hAnsi="Verdana"/>
          <w:sz w:val="20"/>
          <w:szCs w:val="20"/>
        </w:rPr>
        <w:t>, en esta histórica Sentencia se declara</w:t>
      </w:r>
      <w:r>
        <w:rPr>
          <w:rStyle w:val="FootnoteReference"/>
          <w:szCs w:val="20"/>
        </w:rPr>
        <w:footnoteReference w:id="287"/>
      </w:r>
      <w:r>
        <w:rPr>
          <w:rFonts w:ascii="Verdana" w:hAnsi="Verdana"/>
          <w:sz w:val="20"/>
          <w:szCs w:val="20"/>
        </w:rPr>
        <w:t xml:space="preserve">, por primera vez, </w:t>
      </w:r>
      <w:r w:rsidRPr="0077077F">
        <w:rPr>
          <w:rFonts w:ascii="Verdana" w:hAnsi="Verdana"/>
          <w:sz w:val="20"/>
          <w:szCs w:val="20"/>
        </w:rPr>
        <w:t>la violación del artículo 26 de la Convención Americana</w:t>
      </w:r>
      <w:r>
        <w:rPr>
          <w:rFonts w:ascii="Verdana" w:hAnsi="Verdana"/>
          <w:sz w:val="20"/>
          <w:szCs w:val="20"/>
        </w:rPr>
        <w:t xml:space="preserve"> en relación con el artículo 1.1</w:t>
      </w:r>
      <w:r w:rsidRPr="005B3CA3">
        <w:rPr>
          <w:rStyle w:val="FootnoteReference"/>
          <w:szCs w:val="20"/>
        </w:rPr>
        <w:footnoteReference w:id="288"/>
      </w:r>
      <w:r>
        <w:rPr>
          <w:rFonts w:ascii="Verdana" w:hAnsi="Verdana"/>
          <w:sz w:val="20"/>
          <w:szCs w:val="20"/>
        </w:rPr>
        <w:t>,</w:t>
      </w:r>
      <w:r w:rsidRPr="0077077F">
        <w:rPr>
          <w:rFonts w:ascii="Verdana" w:hAnsi="Verdana"/>
          <w:sz w:val="20"/>
          <w:szCs w:val="20"/>
        </w:rPr>
        <w:t xml:space="preserve"> por la vulneración de la estabilidad la</w:t>
      </w:r>
      <w:r>
        <w:rPr>
          <w:rFonts w:ascii="Verdana" w:hAnsi="Verdana"/>
          <w:sz w:val="20"/>
          <w:szCs w:val="20"/>
        </w:rPr>
        <w:t>boral del señor Lagos del Campo</w:t>
      </w:r>
      <w:r w:rsidRPr="005B3CA3">
        <w:rPr>
          <w:rStyle w:val="FootnoteReference"/>
          <w:szCs w:val="20"/>
        </w:rPr>
        <w:footnoteReference w:id="289"/>
      </w:r>
      <w:r w:rsidRPr="005B3CA3">
        <w:rPr>
          <w:rFonts w:ascii="Verdana" w:hAnsi="Verdana"/>
          <w:sz w:val="20"/>
          <w:szCs w:val="20"/>
        </w:rPr>
        <w:t>.</w:t>
      </w:r>
      <w:r>
        <w:rPr>
          <w:rFonts w:ascii="Verdana" w:hAnsi="Verdana"/>
          <w:sz w:val="20"/>
          <w:szCs w:val="20"/>
        </w:rPr>
        <w:t xml:space="preserve"> A través de una interpretación evolutiva y apartándose de su </w:t>
      </w:r>
      <w:r>
        <w:rPr>
          <w:rFonts w:ascii="Verdana" w:hAnsi="Verdana"/>
          <w:bCs/>
          <w:sz w:val="20"/>
          <w:szCs w:val="20"/>
        </w:rPr>
        <w:t>jurisprudencia tradicional,</w:t>
      </w:r>
      <w:r w:rsidRPr="0077077F">
        <w:rPr>
          <w:rFonts w:ascii="Verdana" w:hAnsi="Verdana"/>
          <w:bCs/>
          <w:sz w:val="20"/>
          <w:szCs w:val="20"/>
        </w:rPr>
        <w:t xml:space="preserve"> </w:t>
      </w:r>
      <w:r>
        <w:rPr>
          <w:rFonts w:ascii="Verdana" w:hAnsi="Verdana"/>
          <w:bCs/>
          <w:sz w:val="20"/>
          <w:szCs w:val="20"/>
        </w:rPr>
        <w:t>la Corte IDH le otorga un nuevo contenido normativo al</w:t>
      </w:r>
      <w:r w:rsidRPr="0077077F">
        <w:rPr>
          <w:rFonts w:ascii="Verdana" w:hAnsi="Verdana"/>
          <w:bCs/>
          <w:sz w:val="20"/>
          <w:szCs w:val="20"/>
        </w:rPr>
        <w:t xml:space="preserve"> ar</w:t>
      </w:r>
      <w:r>
        <w:rPr>
          <w:rFonts w:ascii="Verdana" w:hAnsi="Verdana"/>
          <w:bCs/>
          <w:sz w:val="20"/>
          <w:szCs w:val="20"/>
        </w:rPr>
        <w:t xml:space="preserve">tículo 26 del Pacto de San José, leído a la luz del artículo 29 del mismo instrumento. Así, dicho artículo </w:t>
      </w:r>
      <w:r w:rsidRPr="0077077F">
        <w:rPr>
          <w:rFonts w:ascii="Verdana" w:hAnsi="Verdana"/>
          <w:bCs/>
          <w:sz w:val="20"/>
          <w:szCs w:val="20"/>
        </w:rPr>
        <w:t xml:space="preserve">no es meramente una norma programática para los Estados Parte de la Convención Americana, sino que constituye una disposición que impone a este Tribunal </w:t>
      </w:r>
      <w:r>
        <w:rPr>
          <w:rFonts w:ascii="Verdana" w:hAnsi="Verdana"/>
          <w:bCs/>
          <w:sz w:val="20"/>
          <w:szCs w:val="20"/>
        </w:rPr>
        <w:t>Interamericano la obligación de remitirse a la Carta de la Organización de Estados Americanos (en adelante “la Carta de la OEA”) para lograr la plena efectividad de los derechos que se deriven</w:t>
      </w:r>
      <w:r w:rsidRPr="0077077F">
        <w:rPr>
          <w:rFonts w:ascii="Verdana" w:hAnsi="Verdana"/>
          <w:bCs/>
          <w:i/>
          <w:sz w:val="20"/>
          <w:szCs w:val="20"/>
        </w:rPr>
        <w:t xml:space="preserve"> </w:t>
      </w:r>
      <w:r w:rsidRPr="00222532">
        <w:rPr>
          <w:rFonts w:ascii="Verdana" w:hAnsi="Verdana"/>
          <w:bCs/>
          <w:sz w:val="20"/>
          <w:szCs w:val="20"/>
        </w:rPr>
        <w:t>de las normas económicas, sociales y sobre educac</w:t>
      </w:r>
      <w:r>
        <w:rPr>
          <w:rFonts w:ascii="Verdana" w:hAnsi="Verdana"/>
          <w:bCs/>
          <w:sz w:val="20"/>
          <w:szCs w:val="20"/>
        </w:rPr>
        <w:t>ión, ciencia y cultura contenida</w:t>
      </w:r>
      <w:r w:rsidRPr="00222532">
        <w:rPr>
          <w:rFonts w:ascii="Verdana" w:hAnsi="Verdana"/>
          <w:bCs/>
          <w:sz w:val="20"/>
          <w:szCs w:val="20"/>
        </w:rPr>
        <w:t>s en dicha Carta</w:t>
      </w:r>
      <w:r w:rsidRPr="00223E4E">
        <w:rPr>
          <w:rStyle w:val="FootnoteReference"/>
          <w:bCs/>
          <w:szCs w:val="20"/>
        </w:rPr>
        <w:footnoteReference w:id="290"/>
      </w:r>
      <w:r>
        <w:rPr>
          <w:rFonts w:ascii="Verdana" w:hAnsi="Verdana"/>
          <w:bCs/>
          <w:i/>
          <w:sz w:val="20"/>
          <w:szCs w:val="20"/>
        </w:rPr>
        <w:t xml:space="preserve">. </w:t>
      </w:r>
      <w:r>
        <w:rPr>
          <w:rFonts w:ascii="Verdana" w:hAnsi="Verdana"/>
          <w:bCs/>
          <w:sz w:val="20"/>
          <w:szCs w:val="20"/>
        </w:rPr>
        <w:t>La posibilidad para considerar justiciable los DESCA, vía artículo 26 de la Convención Americana, la expresé en el primer caso que conocí como juez titular de la Corte IDH en 2013</w:t>
      </w:r>
      <w:r w:rsidRPr="004E66B4">
        <w:rPr>
          <w:rStyle w:val="FootnoteReference"/>
          <w:szCs w:val="20"/>
        </w:rPr>
        <w:footnoteReference w:id="291"/>
      </w:r>
      <w:r>
        <w:rPr>
          <w:rFonts w:ascii="Verdana" w:hAnsi="Verdana"/>
          <w:bCs/>
          <w:sz w:val="20"/>
          <w:szCs w:val="20"/>
        </w:rPr>
        <w:t>. Asimismo, lo he reiterado en casos posteriores relacionados con el derecho a la salud (2015-2016)</w:t>
      </w:r>
      <w:r w:rsidRPr="00F74B60">
        <w:rPr>
          <w:rStyle w:val="FootnoteReference"/>
          <w:szCs w:val="20"/>
        </w:rPr>
        <w:footnoteReference w:id="292"/>
      </w:r>
      <w:r>
        <w:rPr>
          <w:rFonts w:ascii="Verdana" w:hAnsi="Verdana"/>
          <w:bCs/>
          <w:sz w:val="20"/>
          <w:szCs w:val="20"/>
        </w:rPr>
        <w:t>, el derecho al trabajo (2015)</w:t>
      </w:r>
      <w:r w:rsidRPr="00F74B60">
        <w:rPr>
          <w:rStyle w:val="FootnoteReference"/>
          <w:szCs w:val="20"/>
        </w:rPr>
        <w:footnoteReference w:id="293"/>
      </w:r>
      <w:r w:rsidRPr="00F74B60">
        <w:rPr>
          <w:rFonts w:ascii="Verdana" w:hAnsi="Verdana"/>
          <w:bCs/>
          <w:sz w:val="20"/>
          <w:szCs w:val="20"/>
        </w:rPr>
        <w:t xml:space="preserve"> </w:t>
      </w:r>
      <w:r>
        <w:rPr>
          <w:rFonts w:ascii="Verdana" w:hAnsi="Verdana"/>
          <w:bCs/>
          <w:sz w:val="20"/>
          <w:szCs w:val="20"/>
        </w:rPr>
        <w:t>y el derecho a la vivienda digna (2016)</w:t>
      </w:r>
      <w:r w:rsidRPr="00F74B60">
        <w:rPr>
          <w:rStyle w:val="FootnoteReference"/>
          <w:szCs w:val="20"/>
        </w:rPr>
        <w:footnoteReference w:id="294"/>
      </w:r>
      <w:r>
        <w:rPr>
          <w:rFonts w:ascii="Verdana" w:hAnsi="Verdana"/>
          <w:bCs/>
          <w:sz w:val="20"/>
          <w:szCs w:val="20"/>
        </w:rPr>
        <w:t xml:space="preserve">; materias sobre las que he tenido oportunidad de pronunciarme hasta el momento. </w:t>
      </w:r>
    </w:p>
    <w:p w14:paraId="0C6A496A" w14:textId="77777777" w:rsidR="00F83E8F" w:rsidRDefault="00F83E8F" w:rsidP="00F83E8F">
      <w:pPr>
        <w:pStyle w:val="ListParagraph"/>
        <w:widowControl w:val="0"/>
        <w:autoSpaceDE w:val="0"/>
        <w:autoSpaceDN w:val="0"/>
        <w:adjustRightInd w:val="0"/>
        <w:ind w:left="0"/>
        <w:jc w:val="both"/>
        <w:rPr>
          <w:rFonts w:ascii="Verdana" w:hAnsi="Verdana"/>
          <w:sz w:val="20"/>
          <w:szCs w:val="20"/>
        </w:rPr>
      </w:pPr>
    </w:p>
    <w:p w14:paraId="648F2639" w14:textId="77777777" w:rsidR="00F83E8F" w:rsidRPr="00CB1BC9" w:rsidRDefault="00F83E8F" w:rsidP="00E70701">
      <w:pPr>
        <w:pStyle w:val="ListParagraph"/>
        <w:widowControl w:val="0"/>
        <w:numPr>
          <w:ilvl w:val="0"/>
          <w:numId w:val="28"/>
        </w:numPr>
        <w:autoSpaceDE w:val="0"/>
        <w:autoSpaceDN w:val="0"/>
        <w:adjustRightInd w:val="0"/>
        <w:ind w:left="0" w:firstLine="0"/>
        <w:jc w:val="both"/>
        <w:rPr>
          <w:rFonts w:ascii="Verdana" w:hAnsi="Verdana"/>
          <w:sz w:val="20"/>
          <w:szCs w:val="20"/>
        </w:rPr>
      </w:pPr>
      <w:r w:rsidRPr="00CB1BC9">
        <w:rPr>
          <w:rFonts w:ascii="Verdana" w:hAnsi="Verdana"/>
          <w:sz w:val="20"/>
          <w:szCs w:val="20"/>
        </w:rPr>
        <w:lastRenderedPageBreak/>
        <w:t>De esta manera, el Tribunal Interamericano consideró el derecho a la estabilidad laboral como un derecho protegido por el artículo 26 de la Convención Americana</w:t>
      </w:r>
      <w:r>
        <w:rPr>
          <w:rFonts w:ascii="Verdana" w:hAnsi="Verdana"/>
          <w:sz w:val="20"/>
          <w:szCs w:val="20"/>
        </w:rPr>
        <w:t>;</w:t>
      </w:r>
      <w:r w:rsidRPr="00CB1BC9">
        <w:rPr>
          <w:rFonts w:ascii="Verdana" w:hAnsi="Verdana"/>
          <w:sz w:val="20"/>
          <w:szCs w:val="20"/>
        </w:rPr>
        <w:t xml:space="preserve"> y</w:t>
      </w:r>
      <w:r>
        <w:rPr>
          <w:rFonts w:ascii="Verdana" w:hAnsi="Verdana"/>
          <w:sz w:val="20"/>
          <w:szCs w:val="20"/>
        </w:rPr>
        <w:t xml:space="preserve"> por ende,</w:t>
      </w:r>
      <w:r w:rsidRPr="00CB1BC9">
        <w:rPr>
          <w:rFonts w:ascii="Verdana" w:hAnsi="Verdana"/>
          <w:sz w:val="20"/>
          <w:szCs w:val="20"/>
        </w:rPr>
        <w:t xml:space="preserve"> </w:t>
      </w:r>
      <w:r>
        <w:rPr>
          <w:rFonts w:ascii="Verdana" w:hAnsi="Verdana"/>
          <w:sz w:val="20"/>
          <w:szCs w:val="20"/>
        </w:rPr>
        <w:t xml:space="preserve">declara responsable internacionalmente al </w:t>
      </w:r>
      <w:r w:rsidRPr="00CB1BC9">
        <w:rPr>
          <w:rFonts w:ascii="Verdana" w:hAnsi="Verdana"/>
          <w:color w:val="000000"/>
          <w:sz w:val="20"/>
          <w:szCs w:val="20"/>
        </w:rPr>
        <w:t xml:space="preserve">Estado </w:t>
      </w:r>
      <w:r>
        <w:rPr>
          <w:rFonts w:ascii="Verdana" w:hAnsi="Verdana"/>
          <w:color w:val="000000"/>
          <w:sz w:val="20"/>
          <w:szCs w:val="20"/>
        </w:rPr>
        <w:t>peruano por no adoptar</w:t>
      </w:r>
      <w:r w:rsidRPr="00CB1BC9">
        <w:rPr>
          <w:rFonts w:ascii="Verdana" w:hAnsi="Verdana"/>
          <w:color w:val="000000"/>
          <w:sz w:val="20"/>
          <w:szCs w:val="20"/>
        </w:rPr>
        <w:t xml:space="preserve"> las medidas adecuadas para proteger la vulneración del derecho al trabajo imputable a terceros</w:t>
      </w:r>
      <w:r>
        <w:rPr>
          <w:rStyle w:val="FootnoteReference"/>
          <w:color w:val="000000"/>
          <w:szCs w:val="20"/>
        </w:rPr>
        <w:footnoteReference w:id="295"/>
      </w:r>
      <w:r w:rsidRPr="00CB1BC9">
        <w:rPr>
          <w:rFonts w:ascii="Verdana" w:hAnsi="Verdana"/>
          <w:color w:val="000000"/>
          <w:sz w:val="20"/>
          <w:szCs w:val="20"/>
        </w:rPr>
        <w:t xml:space="preserve">. </w:t>
      </w:r>
      <w:r>
        <w:rPr>
          <w:rFonts w:ascii="Verdana" w:hAnsi="Verdana"/>
          <w:color w:val="000000"/>
          <w:sz w:val="20"/>
          <w:szCs w:val="20"/>
        </w:rPr>
        <w:t xml:space="preserve">Ahora bien, </w:t>
      </w:r>
      <w:r>
        <w:rPr>
          <w:rFonts w:ascii="Verdana" w:hAnsi="Verdana"/>
          <w:sz w:val="20"/>
          <w:szCs w:val="20"/>
        </w:rPr>
        <w:t>p</w:t>
      </w:r>
      <w:r w:rsidRPr="00CB1BC9">
        <w:rPr>
          <w:rFonts w:ascii="Verdana" w:hAnsi="Verdana"/>
          <w:sz w:val="20"/>
          <w:szCs w:val="20"/>
        </w:rPr>
        <w:t>ara analizar el contenido y alcance de</w:t>
      </w:r>
      <w:r>
        <w:rPr>
          <w:rFonts w:ascii="Verdana" w:hAnsi="Verdana"/>
          <w:sz w:val="20"/>
          <w:szCs w:val="20"/>
        </w:rPr>
        <w:t>l artículo 26 del Pacto de San José</w:t>
      </w:r>
      <w:r w:rsidRPr="00CB1BC9">
        <w:rPr>
          <w:rFonts w:ascii="Verdana" w:hAnsi="Verdana"/>
          <w:sz w:val="20"/>
          <w:szCs w:val="20"/>
        </w:rPr>
        <w:t xml:space="preserve">, se tuvo en consideración las reglas generales de interpretación establecidas en el </w:t>
      </w:r>
      <w:r w:rsidRPr="00CB1BC9">
        <w:rPr>
          <w:rFonts w:ascii="Verdana" w:hAnsi="Verdana" w:cs="Verdana"/>
          <w:sz w:val="20"/>
          <w:szCs w:val="20"/>
        </w:rPr>
        <w:t xml:space="preserve">artículo 29, incisos b, c y d del mismo tratado; y en ese sentido se derivaron derechos laborales específicos contenidos en los </w:t>
      </w:r>
      <w:r w:rsidRPr="00CB1BC9">
        <w:rPr>
          <w:rFonts w:ascii="Verdana" w:hAnsi="Verdana"/>
          <w:color w:val="000000"/>
          <w:sz w:val="20"/>
          <w:szCs w:val="20"/>
        </w:rPr>
        <w:t xml:space="preserve">artículos </w:t>
      </w:r>
      <w:r>
        <w:rPr>
          <w:rFonts w:ascii="Verdana" w:hAnsi="Verdana"/>
          <w:color w:val="000000"/>
          <w:sz w:val="20"/>
          <w:szCs w:val="20"/>
        </w:rPr>
        <w:t xml:space="preserve">34 inciso g, </w:t>
      </w:r>
      <w:r w:rsidRPr="00CB1BC9">
        <w:rPr>
          <w:rFonts w:ascii="Verdana" w:hAnsi="Verdana"/>
          <w:color w:val="000000"/>
          <w:sz w:val="20"/>
          <w:szCs w:val="20"/>
        </w:rPr>
        <w:t>45</w:t>
      </w:r>
      <w:r>
        <w:rPr>
          <w:rFonts w:ascii="Verdana" w:hAnsi="Verdana"/>
          <w:color w:val="000000"/>
          <w:sz w:val="20"/>
          <w:szCs w:val="20"/>
        </w:rPr>
        <w:t>, incisos b y c, y</w:t>
      </w:r>
      <w:r w:rsidRPr="00CB1BC9">
        <w:rPr>
          <w:rFonts w:ascii="Verdana" w:hAnsi="Verdana"/>
          <w:color w:val="000000"/>
          <w:sz w:val="20"/>
          <w:szCs w:val="20"/>
        </w:rPr>
        <w:t xml:space="preserve"> 46 de la Carta de la OEA</w:t>
      </w:r>
      <w:r>
        <w:rPr>
          <w:rStyle w:val="FootnoteReference"/>
          <w:color w:val="000000"/>
          <w:szCs w:val="20"/>
        </w:rPr>
        <w:footnoteReference w:id="296"/>
      </w:r>
      <w:r>
        <w:rPr>
          <w:rFonts w:ascii="Verdana" w:hAnsi="Verdana"/>
          <w:color w:val="000000"/>
          <w:sz w:val="20"/>
          <w:szCs w:val="20"/>
        </w:rPr>
        <w:t>. Así también, se consideró</w:t>
      </w:r>
      <w:r w:rsidRPr="00CB1BC9">
        <w:rPr>
          <w:rFonts w:ascii="Verdana" w:hAnsi="Verdana"/>
          <w:color w:val="000000"/>
          <w:sz w:val="20"/>
          <w:szCs w:val="20"/>
        </w:rPr>
        <w:t xml:space="preserve"> la Declaración Americana de los Derechos y Deberes del Hombre</w:t>
      </w:r>
      <w:r>
        <w:rPr>
          <w:rStyle w:val="FootnoteReference"/>
          <w:color w:val="000000"/>
          <w:szCs w:val="20"/>
        </w:rPr>
        <w:footnoteReference w:id="297"/>
      </w:r>
      <w:r w:rsidRPr="00CB1BC9">
        <w:rPr>
          <w:rFonts w:ascii="Verdana" w:hAnsi="Verdana"/>
          <w:color w:val="000000"/>
          <w:sz w:val="20"/>
          <w:szCs w:val="20"/>
        </w:rPr>
        <w:t xml:space="preserve">, </w:t>
      </w:r>
      <w:r>
        <w:rPr>
          <w:rFonts w:ascii="Verdana" w:hAnsi="Verdana"/>
          <w:color w:val="000000"/>
          <w:sz w:val="20"/>
          <w:szCs w:val="20"/>
        </w:rPr>
        <w:t>el</w:t>
      </w:r>
      <w:r w:rsidRPr="00CB1BC9">
        <w:rPr>
          <w:rFonts w:ascii="Verdana" w:hAnsi="Verdana"/>
          <w:color w:val="000000"/>
          <w:sz w:val="20"/>
          <w:szCs w:val="20"/>
        </w:rPr>
        <w:t xml:space="preserve"> reconocimiento explícito </w:t>
      </w:r>
      <w:r>
        <w:rPr>
          <w:rFonts w:ascii="Verdana" w:hAnsi="Verdana"/>
          <w:color w:val="000000"/>
          <w:sz w:val="20"/>
          <w:szCs w:val="20"/>
        </w:rPr>
        <w:t>de los derechos controvertidos en la Constitución y leyes en el Perú (advirtiendo la tendencia regional),</w:t>
      </w:r>
      <w:r w:rsidRPr="00CB1BC9">
        <w:rPr>
          <w:rFonts w:ascii="Verdana" w:hAnsi="Verdana"/>
          <w:color w:val="000000"/>
          <w:sz w:val="20"/>
          <w:szCs w:val="20"/>
        </w:rPr>
        <w:t xml:space="preserve"> y</w:t>
      </w:r>
      <w:r>
        <w:rPr>
          <w:rFonts w:ascii="Verdana" w:hAnsi="Verdana"/>
          <w:color w:val="000000"/>
          <w:sz w:val="20"/>
          <w:szCs w:val="20"/>
        </w:rPr>
        <w:t xml:space="preserve"> </w:t>
      </w:r>
      <w:r w:rsidRPr="00CB1BC9">
        <w:rPr>
          <w:rFonts w:ascii="Verdana" w:hAnsi="Verdana"/>
          <w:color w:val="000000"/>
          <w:sz w:val="20"/>
          <w:szCs w:val="20"/>
        </w:rPr>
        <w:t xml:space="preserve">el vasto </w:t>
      </w:r>
      <w:r w:rsidRPr="009058DE">
        <w:rPr>
          <w:rFonts w:ascii="Verdana" w:hAnsi="Verdana"/>
          <w:i/>
          <w:color w:val="000000"/>
          <w:sz w:val="20"/>
          <w:szCs w:val="20"/>
        </w:rPr>
        <w:t>corpus iuris</w:t>
      </w:r>
      <w:r w:rsidRPr="00CB1BC9">
        <w:rPr>
          <w:rFonts w:ascii="Verdana" w:hAnsi="Verdana"/>
          <w:color w:val="000000"/>
          <w:sz w:val="20"/>
          <w:szCs w:val="20"/>
        </w:rPr>
        <w:t xml:space="preserve"> internacional sobre la materia</w:t>
      </w:r>
      <w:r>
        <w:rPr>
          <w:rFonts w:ascii="Verdana" w:hAnsi="Verdana"/>
          <w:color w:val="000000"/>
          <w:sz w:val="20"/>
          <w:szCs w:val="20"/>
        </w:rPr>
        <w:t xml:space="preserve">, </w:t>
      </w:r>
      <w:r w:rsidRPr="001A0F20">
        <w:rPr>
          <w:rFonts w:ascii="Verdana" w:hAnsi="Verdana"/>
          <w:color w:val="000000"/>
          <w:sz w:val="20"/>
          <w:szCs w:val="20"/>
        </w:rPr>
        <w:t>que se ha visto reflejado, por ejemplo, en los 17 Objetivos de Naciones Unidas para el año 2030</w:t>
      </w:r>
      <w:r w:rsidRPr="001A0F20">
        <w:rPr>
          <w:rStyle w:val="FootnoteReference"/>
          <w:color w:val="000000"/>
          <w:szCs w:val="20"/>
        </w:rPr>
        <w:footnoteReference w:id="298"/>
      </w:r>
      <w:r w:rsidRPr="001A0F20">
        <w:rPr>
          <w:rFonts w:ascii="Verdana" w:hAnsi="Verdana"/>
          <w:color w:val="000000"/>
          <w:sz w:val="20"/>
          <w:szCs w:val="20"/>
        </w:rPr>
        <w:t>.</w:t>
      </w:r>
    </w:p>
    <w:p w14:paraId="62BA33D1" w14:textId="77777777" w:rsidR="00F83E8F" w:rsidRPr="0077077F" w:rsidRDefault="00F83E8F" w:rsidP="00F83E8F">
      <w:pPr>
        <w:widowControl w:val="0"/>
        <w:autoSpaceDE w:val="0"/>
        <w:autoSpaceDN w:val="0"/>
        <w:adjustRightInd w:val="0"/>
        <w:jc w:val="both"/>
        <w:rPr>
          <w:rFonts w:ascii="Verdana" w:hAnsi="Verdana"/>
          <w:sz w:val="20"/>
          <w:szCs w:val="20"/>
        </w:rPr>
      </w:pPr>
    </w:p>
    <w:p w14:paraId="1C62D456" w14:textId="77777777" w:rsidR="00F83E8F" w:rsidRDefault="00F83E8F" w:rsidP="00E70701">
      <w:pPr>
        <w:pStyle w:val="ListParagraph"/>
        <w:widowControl w:val="0"/>
        <w:numPr>
          <w:ilvl w:val="0"/>
          <w:numId w:val="28"/>
        </w:numPr>
        <w:autoSpaceDE w:val="0"/>
        <w:autoSpaceDN w:val="0"/>
        <w:adjustRightInd w:val="0"/>
        <w:ind w:left="0" w:firstLine="0"/>
        <w:jc w:val="both"/>
        <w:rPr>
          <w:rFonts w:ascii="Verdana" w:hAnsi="Verdana"/>
          <w:sz w:val="20"/>
          <w:szCs w:val="20"/>
        </w:rPr>
      </w:pPr>
      <w:r w:rsidRPr="00A1496A">
        <w:rPr>
          <w:rFonts w:ascii="Verdana" w:hAnsi="Verdana"/>
          <w:sz w:val="20"/>
          <w:szCs w:val="20"/>
          <w:u w:val="single"/>
        </w:rPr>
        <w:t>En tercer lugar</w:t>
      </w:r>
      <w:r w:rsidRPr="002172FA">
        <w:rPr>
          <w:rFonts w:ascii="Verdana" w:hAnsi="Verdana"/>
          <w:sz w:val="20"/>
          <w:szCs w:val="20"/>
        </w:rPr>
        <w:t>, la Corte IDH aplica la protección de</w:t>
      </w:r>
      <w:r>
        <w:rPr>
          <w:rFonts w:ascii="Verdana" w:hAnsi="Verdana"/>
          <w:sz w:val="20"/>
          <w:szCs w:val="20"/>
        </w:rPr>
        <w:t>l artículo 16 en relación con el</w:t>
      </w:r>
      <w:r w:rsidRPr="002172FA">
        <w:rPr>
          <w:rFonts w:ascii="Verdana" w:hAnsi="Verdana"/>
          <w:sz w:val="20"/>
          <w:szCs w:val="20"/>
        </w:rPr>
        <w:t xml:space="preserve"> artículo 26 </w:t>
      </w:r>
      <w:r>
        <w:rPr>
          <w:rFonts w:ascii="Verdana" w:hAnsi="Verdana"/>
          <w:sz w:val="20"/>
          <w:szCs w:val="20"/>
        </w:rPr>
        <w:t xml:space="preserve">del Pacto de San José, </w:t>
      </w:r>
      <w:r w:rsidRPr="002172FA">
        <w:rPr>
          <w:rFonts w:ascii="Verdana" w:hAnsi="Verdana"/>
          <w:sz w:val="20"/>
          <w:szCs w:val="20"/>
        </w:rPr>
        <w:t xml:space="preserve">por la vulneración del </w:t>
      </w:r>
      <w:r w:rsidRPr="00A635E6">
        <w:rPr>
          <w:rFonts w:ascii="Verdana" w:hAnsi="Verdana"/>
          <w:i/>
          <w:sz w:val="20"/>
          <w:szCs w:val="20"/>
        </w:rPr>
        <w:t>derecho de asociación en contextos laborales.</w:t>
      </w:r>
      <w:r w:rsidRPr="002172FA">
        <w:rPr>
          <w:rFonts w:ascii="Verdana" w:hAnsi="Verdana"/>
          <w:sz w:val="20"/>
          <w:szCs w:val="20"/>
        </w:rPr>
        <w:t xml:space="preserve"> </w:t>
      </w:r>
      <w:r>
        <w:rPr>
          <w:rFonts w:ascii="Verdana" w:hAnsi="Verdana"/>
          <w:sz w:val="20"/>
          <w:szCs w:val="20"/>
        </w:rPr>
        <w:t>Lo anterior es de vital importancia, teniendo en consideración que también constituye la primera ocasión en que el Tribunal Interamericano aborda la protección de la libertad de asociación en materia estrictamente laboral; y no, como en casos anteriores, solo “sindical”. Precisamente, esta nueva vertiente en la jurisprudencia interamericana es la que estimo pertinente desarrollar en el presente voto.</w:t>
      </w:r>
    </w:p>
    <w:p w14:paraId="1678A0F1" w14:textId="77777777" w:rsidR="00F83E8F" w:rsidRPr="00A75D43" w:rsidRDefault="00F83E8F" w:rsidP="00F83E8F">
      <w:pPr>
        <w:widowControl w:val="0"/>
        <w:autoSpaceDE w:val="0"/>
        <w:autoSpaceDN w:val="0"/>
        <w:adjustRightInd w:val="0"/>
        <w:jc w:val="both"/>
        <w:rPr>
          <w:rFonts w:ascii="Verdana" w:hAnsi="Verdana"/>
          <w:sz w:val="20"/>
          <w:szCs w:val="20"/>
        </w:rPr>
      </w:pPr>
    </w:p>
    <w:p w14:paraId="2CC2EBC8" w14:textId="77777777" w:rsidR="00F83E8F" w:rsidRPr="0047021F" w:rsidRDefault="00F83E8F" w:rsidP="00E70701">
      <w:pPr>
        <w:pStyle w:val="ListParagraph"/>
        <w:widowControl w:val="0"/>
        <w:numPr>
          <w:ilvl w:val="0"/>
          <w:numId w:val="28"/>
        </w:numPr>
        <w:autoSpaceDE w:val="0"/>
        <w:autoSpaceDN w:val="0"/>
        <w:adjustRightInd w:val="0"/>
        <w:ind w:left="0" w:firstLine="0"/>
        <w:jc w:val="both"/>
        <w:rPr>
          <w:rFonts w:ascii="Verdana" w:hAnsi="Verdana"/>
          <w:sz w:val="20"/>
          <w:szCs w:val="20"/>
        </w:rPr>
      </w:pPr>
      <w:r w:rsidRPr="00A75D43">
        <w:rPr>
          <w:rFonts w:ascii="Verdana" w:hAnsi="Verdana"/>
          <w:sz w:val="20"/>
          <w:szCs w:val="20"/>
        </w:rPr>
        <w:t xml:space="preserve">En </w:t>
      </w:r>
      <w:r>
        <w:rPr>
          <w:rFonts w:ascii="Verdana" w:hAnsi="Verdana"/>
          <w:sz w:val="20"/>
          <w:szCs w:val="20"/>
        </w:rPr>
        <w:t xml:space="preserve">el presente caso, la Corte IDH aborda los derechos violados integralmente y de forma conglobada, declarando la violación directa del artículo 26 de la Convención Americana. Ello, en contraste con la jurisprudencia histórica que lo hacía mediante la conexidad con los derechos civiles y políticos. Por tal razón, </w:t>
      </w:r>
      <w:r w:rsidRPr="00A75D43">
        <w:rPr>
          <w:rFonts w:ascii="Verdana" w:hAnsi="Verdana"/>
          <w:sz w:val="20"/>
          <w:szCs w:val="20"/>
        </w:rPr>
        <w:t xml:space="preserve">concurro esencialmente con todas las violaciones declaradas en </w:t>
      </w:r>
      <w:r>
        <w:rPr>
          <w:rFonts w:ascii="Verdana" w:hAnsi="Verdana"/>
          <w:sz w:val="20"/>
          <w:szCs w:val="20"/>
        </w:rPr>
        <w:t xml:space="preserve">la Sentencia. Sin embargo, debido a la importancia de la decisión en materia de </w:t>
      </w:r>
      <w:proofErr w:type="spellStart"/>
      <w:r>
        <w:rPr>
          <w:rFonts w:ascii="Verdana" w:hAnsi="Verdana"/>
          <w:sz w:val="20"/>
          <w:szCs w:val="20"/>
        </w:rPr>
        <w:t>justiciabilidad</w:t>
      </w:r>
      <w:proofErr w:type="spellEnd"/>
      <w:r>
        <w:rPr>
          <w:rFonts w:ascii="Verdana" w:hAnsi="Verdana"/>
          <w:sz w:val="20"/>
          <w:szCs w:val="20"/>
        </w:rPr>
        <w:t xml:space="preserve"> plena de los DESCA, considero oportuno </w:t>
      </w:r>
      <w:r w:rsidRPr="0047021F">
        <w:rPr>
          <w:rFonts w:ascii="Verdana" w:hAnsi="Verdana"/>
          <w:sz w:val="20"/>
          <w:szCs w:val="20"/>
        </w:rPr>
        <w:t xml:space="preserve">establecer algunos alcances </w:t>
      </w:r>
      <w:r w:rsidRPr="00C761FB">
        <w:rPr>
          <w:rFonts w:ascii="Verdana" w:hAnsi="Verdana"/>
          <w:sz w:val="20"/>
          <w:szCs w:val="20"/>
        </w:rPr>
        <w:t>en relación con el</w:t>
      </w:r>
      <w:r w:rsidRPr="0047021F">
        <w:rPr>
          <w:rFonts w:ascii="Verdana" w:hAnsi="Verdana"/>
          <w:i/>
          <w:sz w:val="20"/>
          <w:szCs w:val="20"/>
        </w:rPr>
        <w:t xml:space="preserve"> derecho de asociación en materia laboral para la defensa y promoción de los intereses de los trabajadores </w:t>
      </w:r>
      <w:r w:rsidRPr="0047021F">
        <w:rPr>
          <w:rFonts w:ascii="Verdana" w:hAnsi="Verdana"/>
          <w:sz w:val="20"/>
          <w:szCs w:val="20"/>
        </w:rPr>
        <w:t>mediante los artículos 26 y 16 de la Convención Americ</w:t>
      </w:r>
      <w:r>
        <w:rPr>
          <w:rFonts w:ascii="Verdana" w:hAnsi="Verdana"/>
          <w:sz w:val="20"/>
          <w:szCs w:val="20"/>
        </w:rPr>
        <w:t>ana. L</w:t>
      </w:r>
      <w:r w:rsidRPr="0047021F">
        <w:rPr>
          <w:rFonts w:ascii="Verdana" w:hAnsi="Verdana"/>
          <w:sz w:val="20"/>
          <w:szCs w:val="20"/>
        </w:rPr>
        <w:t xml:space="preserve">o anterior, con la finalidad de destacar cómo diversos instrumentos internacionales pueden actuar de manera sinérgica para delimitar los alcances de la protección de derechos sociales </w:t>
      </w:r>
      <w:r>
        <w:rPr>
          <w:rFonts w:ascii="Verdana" w:hAnsi="Verdana"/>
          <w:sz w:val="20"/>
          <w:szCs w:val="20"/>
        </w:rPr>
        <w:t xml:space="preserve">interamericanos </w:t>
      </w:r>
      <w:r w:rsidRPr="0047021F">
        <w:rPr>
          <w:rFonts w:ascii="Verdana" w:hAnsi="Verdana"/>
          <w:sz w:val="20"/>
          <w:szCs w:val="20"/>
        </w:rPr>
        <w:t xml:space="preserve">mediante el Pacto de San José. </w:t>
      </w:r>
    </w:p>
    <w:p w14:paraId="4CDC3444" w14:textId="77777777" w:rsidR="00F83E8F" w:rsidRPr="00B46BC3" w:rsidRDefault="00F83E8F" w:rsidP="00F83E8F">
      <w:pPr>
        <w:widowControl w:val="0"/>
        <w:autoSpaceDE w:val="0"/>
        <w:autoSpaceDN w:val="0"/>
        <w:adjustRightInd w:val="0"/>
        <w:jc w:val="both"/>
        <w:rPr>
          <w:rFonts w:ascii="Verdana" w:hAnsi="Verdana"/>
          <w:sz w:val="20"/>
          <w:szCs w:val="20"/>
          <w:highlight w:val="yellow"/>
        </w:rPr>
      </w:pPr>
    </w:p>
    <w:p w14:paraId="36CE0206" w14:textId="77777777" w:rsidR="00F83E8F" w:rsidRPr="003D4E91" w:rsidRDefault="00F83E8F" w:rsidP="00E70701">
      <w:pPr>
        <w:pStyle w:val="ListParagraph"/>
        <w:widowControl w:val="0"/>
        <w:numPr>
          <w:ilvl w:val="0"/>
          <w:numId w:val="28"/>
        </w:numPr>
        <w:autoSpaceDE w:val="0"/>
        <w:autoSpaceDN w:val="0"/>
        <w:adjustRightInd w:val="0"/>
        <w:ind w:left="0" w:firstLine="0"/>
        <w:jc w:val="both"/>
        <w:rPr>
          <w:rFonts w:ascii="Verdana" w:hAnsi="Verdana"/>
          <w:b/>
          <w:sz w:val="20"/>
          <w:szCs w:val="20"/>
        </w:rPr>
      </w:pPr>
      <w:r>
        <w:rPr>
          <w:rFonts w:ascii="Verdana" w:hAnsi="Verdana"/>
          <w:sz w:val="20"/>
          <w:szCs w:val="20"/>
        </w:rPr>
        <w:t>Teniendo en cuenta lo anterior,</w:t>
      </w:r>
      <w:r w:rsidRPr="0055116B">
        <w:rPr>
          <w:rFonts w:ascii="Verdana" w:hAnsi="Verdana"/>
          <w:sz w:val="20"/>
          <w:szCs w:val="20"/>
        </w:rPr>
        <w:t xml:space="preserve"> a continuación desarrollaré</w:t>
      </w:r>
      <w:r w:rsidRPr="00B5676E">
        <w:rPr>
          <w:rFonts w:ascii="Verdana" w:hAnsi="Verdana"/>
          <w:sz w:val="20"/>
          <w:szCs w:val="20"/>
        </w:rPr>
        <w:t xml:space="preserve">: </w:t>
      </w:r>
      <w:r>
        <w:rPr>
          <w:rFonts w:ascii="Verdana" w:hAnsi="Verdana"/>
          <w:b/>
          <w:bCs/>
          <w:iCs/>
          <w:sz w:val="20"/>
          <w:szCs w:val="20"/>
        </w:rPr>
        <w:t>I</w:t>
      </w:r>
      <w:r w:rsidRPr="001C21C2">
        <w:rPr>
          <w:rFonts w:ascii="Verdana" w:hAnsi="Verdana"/>
          <w:bCs/>
          <w:iCs/>
          <w:sz w:val="20"/>
          <w:szCs w:val="20"/>
        </w:rPr>
        <w:t>.</w:t>
      </w:r>
      <w:r>
        <w:rPr>
          <w:rFonts w:ascii="Verdana" w:hAnsi="Verdana"/>
          <w:bCs/>
          <w:iCs/>
          <w:sz w:val="20"/>
          <w:szCs w:val="20"/>
        </w:rPr>
        <w:t xml:space="preserve"> L</w:t>
      </w:r>
      <w:r w:rsidRPr="00B5676E">
        <w:rPr>
          <w:rFonts w:ascii="Verdana" w:hAnsi="Verdana"/>
          <w:bCs/>
          <w:iCs/>
          <w:sz w:val="20"/>
          <w:szCs w:val="20"/>
        </w:rPr>
        <w:t xml:space="preserve">a </w:t>
      </w:r>
      <w:proofErr w:type="spellStart"/>
      <w:r w:rsidRPr="00B5676E">
        <w:rPr>
          <w:rFonts w:ascii="Verdana" w:hAnsi="Verdana"/>
          <w:bCs/>
          <w:iCs/>
          <w:sz w:val="20"/>
          <w:szCs w:val="20"/>
        </w:rPr>
        <w:t>justiciabilidad</w:t>
      </w:r>
      <w:proofErr w:type="spellEnd"/>
      <w:r w:rsidRPr="00B5676E">
        <w:rPr>
          <w:rFonts w:ascii="Verdana" w:hAnsi="Verdana"/>
          <w:bCs/>
          <w:iCs/>
          <w:sz w:val="20"/>
          <w:szCs w:val="20"/>
        </w:rPr>
        <w:t xml:space="preserve"> del derecho al trabajo mediante el artículo 26 de la Convención Americana y la aplicación del principio </w:t>
      </w:r>
      <w:proofErr w:type="spellStart"/>
      <w:r w:rsidRPr="00A635E6">
        <w:rPr>
          <w:rFonts w:ascii="Verdana" w:hAnsi="Verdana"/>
          <w:bCs/>
          <w:i/>
          <w:iCs/>
          <w:sz w:val="20"/>
          <w:szCs w:val="20"/>
        </w:rPr>
        <w:t>iura</w:t>
      </w:r>
      <w:proofErr w:type="spellEnd"/>
      <w:r w:rsidRPr="00A635E6">
        <w:rPr>
          <w:rFonts w:ascii="Verdana" w:hAnsi="Verdana"/>
          <w:bCs/>
          <w:i/>
          <w:iCs/>
          <w:sz w:val="20"/>
          <w:szCs w:val="20"/>
        </w:rPr>
        <w:t xml:space="preserve"> </w:t>
      </w:r>
      <w:proofErr w:type="spellStart"/>
      <w:r w:rsidRPr="00A635E6">
        <w:rPr>
          <w:rFonts w:ascii="Verdana" w:hAnsi="Verdana"/>
          <w:bCs/>
          <w:i/>
          <w:iCs/>
          <w:sz w:val="20"/>
          <w:szCs w:val="20"/>
        </w:rPr>
        <w:t>novit</w:t>
      </w:r>
      <w:proofErr w:type="spellEnd"/>
      <w:r w:rsidRPr="00A635E6">
        <w:rPr>
          <w:rFonts w:ascii="Verdana" w:hAnsi="Verdana"/>
          <w:bCs/>
          <w:i/>
          <w:iCs/>
          <w:sz w:val="20"/>
          <w:szCs w:val="20"/>
        </w:rPr>
        <w:t xml:space="preserve"> curia</w:t>
      </w:r>
      <w:r>
        <w:rPr>
          <w:rFonts w:ascii="Verdana" w:hAnsi="Verdana"/>
          <w:bCs/>
          <w:i/>
          <w:iCs/>
          <w:sz w:val="20"/>
          <w:szCs w:val="20"/>
        </w:rPr>
        <w:t>;</w:t>
      </w:r>
      <w:r w:rsidRPr="0055116B">
        <w:rPr>
          <w:rFonts w:ascii="Verdana" w:hAnsi="Verdana"/>
          <w:bCs/>
          <w:i/>
          <w:iCs/>
          <w:sz w:val="20"/>
          <w:szCs w:val="20"/>
        </w:rPr>
        <w:t xml:space="preserve"> </w:t>
      </w:r>
      <w:r>
        <w:rPr>
          <w:rFonts w:ascii="Verdana" w:hAnsi="Verdana"/>
          <w:b/>
          <w:sz w:val="20"/>
          <w:szCs w:val="20"/>
        </w:rPr>
        <w:t>II</w:t>
      </w:r>
      <w:r>
        <w:rPr>
          <w:rFonts w:ascii="Verdana" w:hAnsi="Verdana"/>
          <w:sz w:val="20"/>
          <w:szCs w:val="20"/>
        </w:rPr>
        <w:t>.</w:t>
      </w:r>
      <w:r w:rsidRPr="00B5676E">
        <w:rPr>
          <w:rFonts w:ascii="Verdana" w:hAnsi="Verdana"/>
          <w:bCs/>
          <w:iCs/>
          <w:sz w:val="20"/>
          <w:szCs w:val="20"/>
        </w:rPr>
        <w:t xml:space="preserve"> El derecho de asociación en la jurisprudencia de la Corte I</w:t>
      </w:r>
      <w:r>
        <w:rPr>
          <w:rFonts w:ascii="Verdana" w:hAnsi="Verdana"/>
          <w:bCs/>
          <w:iCs/>
          <w:sz w:val="20"/>
          <w:szCs w:val="20"/>
        </w:rPr>
        <w:t>DH</w:t>
      </w:r>
      <w:r>
        <w:rPr>
          <w:rFonts w:ascii="Verdana" w:hAnsi="Verdana"/>
          <w:sz w:val="20"/>
          <w:szCs w:val="20"/>
        </w:rPr>
        <w:t xml:space="preserve">.; </w:t>
      </w:r>
      <w:r>
        <w:rPr>
          <w:rFonts w:ascii="Verdana" w:hAnsi="Verdana"/>
          <w:b/>
          <w:sz w:val="20"/>
          <w:szCs w:val="20"/>
        </w:rPr>
        <w:t>III</w:t>
      </w:r>
      <w:r w:rsidRPr="001C21C2">
        <w:rPr>
          <w:rFonts w:ascii="Verdana" w:hAnsi="Verdana"/>
          <w:sz w:val="20"/>
          <w:szCs w:val="20"/>
        </w:rPr>
        <w:t>.</w:t>
      </w:r>
      <w:r w:rsidRPr="00B5676E">
        <w:rPr>
          <w:rFonts w:ascii="Verdana" w:hAnsi="Verdana"/>
          <w:bCs/>
          <w:iCs/>
          <w:sz w:val="20"/>
          <w:szCs w:val="20"/>
        </w:rPr>
        <w:t xml:space="preserve"> derecho de asociación laboral para la protección y promoción de los intereses de los </w:t>
      </w:r>
      <w:r w:rsidRPr="00B5676E">
        <w:rPr>
          <w:rFonts w:ascii="Verdana" w:hAnsi="Verdana"/>
          <w:bCs/>
          <w:iCs/>
          <w:sz w:val="20"/>
          <w:szCs w:val="20"/>
        </w:rPr>
        <w:lastRenderedPageBreak/>
        <w:t>trabajadores como parte del derecho al trabajo</w:t>
      </w:r>
      <w:r>
        <w:rPr>
          <w:rFonts w:ascii="Verdana" w:hAnsi="Verdana"/>
          <w:bCs/>
          <w:iCs/>
          <w:sz w:val="20"/>
          <w:szCs w:val="20"/>
        </w:rPr>
        <w:t>,</w:t>
      </w:r>
      <w:r w:rsidRPr="0055116B">
        <w:rPr>
          <w:rFonts w:ascii="Verdana" w:hAnsi="Verdana"/>
          <w:bCs/>
          <w:i/>
          <w:iCs/>
          <w:sz w:val="20"/>
          <w:szCs w:val="20"/>
        </w:rPr>
        <w:t xml:space="preserve"> </w:t>
      </w:r>
      <w:r w:rsidRPr="0055116B">
        <w:rPr>
          <w:rFonts w:ascii="Verdana" w:hAnsi="Verdana"/>
          <w:sz w:val="20"/>
          <w:szCs w:val="20"/>
        </w:rPr>
        <w:t xml:space="preserve">y </w:t>
      </w:r>
      <w:r w:rsidRPr="00064565">
        <w:rPr>
          <w:rFonts w:ascii="Verdana" w:hAnsi="Verdana"/>
          <w:b/>
          <w:sz w:val="20"/>
          <w:szCs w:val="20"/>
        </w:rPr>
        <w:t>IV</w:t>
      </w:r>
      <w:r w:rsidRPr="001C21C2">
        <w:rPr>
          <w:rFonts w:ascii="Verdana" w:hAnsi="Verdana"/>
          <w:sz w:val="20"/>
          <w:szCs w:val="20"/>
        </w:rPr>
        <w:t>.</w:t>
      </w:r>
      <w:r>
        <w:rPr>
          <w:rFonts w:ascii="Verdana" w:hAnsi="Verdana"/>
          <w:bCs/>
          <w:i/>
          <w:iCs/>
          <w:sz w:val="20"/>
          <w:szCs w:val="20"/>
        </w:rPr>
        <w:t xml:space="preserve"> Conclusiones.</w:t>
      </w:r>
    </w:p>
    <w:p w14:paraId="18307A8C" w14:textId="77777777" w:rsidR="00F83E8F" w:rsidRPr="00AD360E" w:rsidRDefault="00F83E8F" w:rsidP="00F83E8F">
      <w:pPr>
        <w:widowControl w:val="0"/>
        <w:autoSpaceDE w:val="0"/>
        <w:autoSpaceDN w:val="0"/>
        <w:adjustRightInd w:val="0"/>
        <w:rPr>
          <w:rFonts w:ascii="Verdana" w:hAnsi="Verdana"/>
          <w:sz w:val="20"/>
          <w:szCs w:val="20"/>
        </w:rPr>
      </w:pPr>
    </w:p>
    <w:p w14:paraId="16DA0296" w14:textId="77777777" w:rsidR="00F83E8F" w:rsidRPr="00064565" w:rsidRDefault="00F83E8F" w:rsidP="00F83E8F">
      <w:pPr>
        <w:widowControl w:val="0"/>
        <w:autoSpaceDE w:val="0"/>
        <w:autoSpaceDN w:val="0"/>
        <w:adjustRightInd w:val="0"/>
        <w:jc w:val="center"/>
        <w:rPr>
          <w:rFonts w:ascii="Verdana" w:hAnsi="Verdana"/>
          <w:sz w:val="20"/>
          <w:szCs w:val="20"/>
        </w:rPr>
      </w:pPr>
      <w:r w:rsidRPr="00064565">
        <w:rPr>
          <w:rFonts w:ascii="Verdana" w:hAnsi="Verdana"/>
          <w:sz w:val="20"/>
          <w:szCs w:val="20"/>
        </w:rPr>
        <w:t xml:space="preserve">I. </w:t>
      </w:r>
      <w:r>
        <w:rPr>
          <w:rFonts w:ascii="Verdana" w:hAnsi="Verdana"/>
          <w:sz w:val="20"/>
          <w:szCs w:val="20"/>
        </w:rPr>
        <w:t xml:space="preserve"> </w:t>
      </w:r>
      <w:r w:rsidRPr="00064565">
        <w:rPr>
          <w:rFonts w:ascii="Verdana" w:hAnsi="Verdana"/>
          <w:sz w:val="20"/>
          <w:szCs w:val="20"/>
        </w:rPr>
        <w:t xml:space="preserve">LA JUSTICIABILIDAD DEL DERECHO AL TRABAJO MEDIANTE EL ARTÍCULO 26 DE LA CONVENCIÓN AMERICANA Y LA APLICACIÓN DEL PRINCIPIO </w:t>
      </w:r>
      <w:r w:rsidRPr="00064565">
        <w:rPr>
          <w:rFonts w:ascii="Verdana" w:hAnsi="Verdana"/>
          <w:i/>
          <w:sz w:val="20"/>
          <w:szCs w:val="20"/>
        </w:rPr>
        <w:t>IURA NOVIT CURIA</w:t>
      </w:r>
      <w:r w:rsidRPr="00064565">
        <w:rPr>
          <w:rFonts w:ascii="Verdana" w:hAnsi="Verdana"/>
          <w:sz w:val="20"/>
          <w:szCs w:val="20"/>
        </w:rPr>
        <w:t xml:space="preserve"> </w:t>
      </w:r>
    </w:p>
    <w:p w14:paraId="44A1F109" w14:textId="77777777" w:rsidR="00F83E8F" w:rsidRPr="00AD360E" w:rsidRDefault="00F83E8F" w:rsidP="00F83E8F">
      <w:pPr>
        <w:widowControl w:val="0"/>
        <w:autoSpaceDE w:val="0"/>
        <w:autoSpaceDN w:val="0"/>
        <w:adjustRightInd w:val="0"/>
        <w:jc w:val="both"/>
        <w:rPr>
          <w:rFonts w:ascii="Verdana" w:hAnsi="Verdana"/>
          <w:sz w:val="20"/>
          <w:szCs w:val="20"/>
        </w:rPr>
      </w:pPr>
    </w:p>
    <w:p w14:paraId="13A8B71F" w14:textId="77777777" w:rsidR="00F83E8F" w:rsidRPr="004E66B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4E66B4">
        <w:rPr>
          <w:rFonts w:ascii="Verdana" w:hAnsi="Verdana"/>
          <w:sz w:val="20"/>
          <w:szCs w:val="20"/>
        </w:rPr>
        <w:t>Como se mencionó</w:t>
      </w:r>
      <w:r>
        <w:rPr>
          <w:rFonts w:ascii="Verdana" w:hAnsi="Verdana"/>
          <w:sz w:val="20"/>
          <w:szCs w:val="20"/>
        </w:rPr>
        <w:t>, en el presente caso la Corte IDH declara</w:t>
      </w:r>
      <w:r w:rsidRPr="004E66B4">
        <w:rPr>
          <w:rFonts w:ascii="Verdana" w:hAnsi="Verdana"/>
          <w:sz w:val="20"/>
          <w:szCs w:val="20"/>
        </w:rPr>
        <w:t xml:space="preserve"> </w:t>
      </w:r>
      <w:r>
        <w:rPr>
          <w:rFonts w:ascii="Verdana" w:hAnsi="Verdana"/>
          <w:sz w:val="20"/>
          <w:szCs w:val="20"/>
        </w:rPr>
        <w:t>por primera vez violado</w:t>
      </w:r>
      <w:r w:rsidRPr="004E66B4">
        <w:rPr>
          <w:rFonts w:ascii="Verdana" w:hAnsi="Verdana"/>
          <w:sz w:val="20"/>
          <w:szCs w:val="20"/>
        </w:rPr>
        <w:t xml:space="preserve"> el artículo 26 de la Convención Americana</w:t>
      </w:r>
      <w:r>
        <w:rPr>
          <w:rFonts w:ascii="Verdana" w:hAnsi="Verdana"/>
          <w:sz w:val="20"/>
          <w:szCs w:val="20"/>
        </w:rPr>
        <w:t>,</w:t>
      </w:r>
      <w:r w:rsidRPr="004E66B4">
        <w:rPr>
          <w:rFonts w:ascii="Verdana" w:hAnsi="Verdana"/>
          <w:sz w:val="20"/>
          <w:szCs w:val="20"/>
        </w:rPr>
        <w:t xml:space="preserve"> </w:t>
      </w:r>
      <w:r>
        <w:rPr>
          <w:rFonts w:ascii="Verdana" w:hAnsi="Verdana"/>
          <w:sz w:val="20"/>
          <w:szCs w:val="20"/>
        </w:rPr>
        <w:t>en relación con el</w:t>
      </w:r>
      <w:r w:rsidRPr="004E66B4">
        <w:rPr>
          <w:rFonts w:ascii="Verdana" w:hAnsi="Verdana"/>
          <w:sz w:val="20"/>
          <w:szCs w:val="20"/>
        </w:rPr>
        <w:t xml:space="preserve"> derecho a la estabilidad laboral</w:t>
      </w:r>
      <w:r w:rsidRPr="004E66B4">
        <w:rPr>
          <w:rStyle w:val="FootnoteReference"/>
          <w:szCs w:val="20"/>
        </w:rPr>
        <w:footnoteReference w:id="299"/>
      </w:r>
      <w:r w:rsidRPr="004E66B4">
        <w:rPr>
          <w:rFonts w:ascii="Verdana" w:hAnsi="Verdana"/>
          <w:sz w:val="20"/>
          <w:szCs w:val="20"/>
        </w:rPr>
        <w:t xml:space="preserve"> y </w:t>
      </w:r>
      <w:r>
        <w:rPr>
          <w:rFonts w:ascii="Verdana" w:hAnsi="Verdana"/>
          <w:sz w:val="20"/>
          <w:szCs w:val="20"/>
        </w:rPr>
        <w:t xml:space="preserve">con el </w:t>
      </w:r>
      <w:r w:rsidRPr="004E66B4">
        <w:rPr>
          <w:rFonts w:ascii="Verdana" w:hAnsi="Verdana"/>
          <w:sz w:val="20"/>
          <w:szCs w:val="20"/>
        </w:rPr>
        <w:t>derecho a la asociación laboral</w:t>
      </w:r>
      <w:r w:rsidRPr="004E66B4">
        <w:rPr>
          <w:rStyle w:val="FootnoteReference"/>
          <w:szCs w:val="20"/>
        </w:rPr>
        <w:footnoteReference w:id="300"/>
      </w:r>
      <w:r>
        <w:rPr>
          <w:rFonts w:ascii="Verdana" w:hAnsi="Verdana"/>
          <w:sz w:val="20"/>
          <w:szCs w:val="20"/>
        </w:rPr>
        <w:t>. En ambos casos</w:t>
      </w:r>
      <w:r w:rsidRPr="004E66B4">
        <w:rPr>
          <w:rFonts w:ascii="Verdana" w:hAnsi="Verdana"/>
          <w:sz w:val="20"/>
          <w:szCs w:val="20"/>
        </w:rPr>
        <w:t xml:space="preserve"> invocando el principio </w:t>
      </w:r>
      <w:proofErr w:type="spellStart"/>
      <w:r w:rsidRPr="004E66B4">
        <w:rPr>
          <w:rFonts w:ascii="Verdana" w:hAnsi="Verdana"/>
          <w:i/>
          <w:sz w:val="20"/>
          <w:szCs w:val="20"/>
        </w:rPr>
        <w:t>iura</w:t>
      </w:r>
      <w:proofErr w:type="spellEnd"/>
      <w:r w:rsidRPr="004E66B4">
        <w:rPr>
          <w:rFonts w:ascii="Verdana" w:hAnsi="Verdana"/>
          <w:i/>
          <w:sz w:val="20"/>
          <w:szCs w:val="20"/>
        </w:rPr>
        <w:t xml:space="preserve"> </w:t>
      </w:r>
      <w:proofErr w:type="spellStart"/>
      <w:r w:rsidRPr="004E66B4">
        <w:rPr>
          <w:rFonts w:ascii="Verdana" w:hAnsi="Verdana"/>
          <w:i/>
          <w:sz w:val="20"/>
          <w:szCs w:val="20"/>
        </w:rPr>
        <w:t>novit</w:t>
      </w:r>
      <w:proofErr w:type="spellEnd"/>
      <w:r w:rsidRPr="004E66B4">
        <w:rPr>
          <w:rFonts w:ascii="Verdana" w:hAnsi="Verdana"/>
          <w:i/>
          <w:sz w:val="20"/>
          <w:szCs w:val="20"/>
        </w:rPr>
        <w:t xml:space="preserve"> curia</w:t>
      </w:r>
      <w:r w:rsidRPr="004E66B4">
        <w:rPr>
          <w:rFonts w:ascii="Verdana" w:hAnsi="Verdana"/>
          <w:sz w:val="20"/>
          <w:szCs w:val="20"/>
        </w:rPr>
        <w:t xml:space="preserve">. En este sentido, la Corte IDH sienta un precedente importante para la </w:t>
      </w:r>
      <w:proofErr w:type="spellStart"/>
      <w:r w:rsidRPr="004E66B4">
        <w:rPr>
          <w:rFonts w:ascii="Verdana" w:hAnsi="Verdana"/>
          <w:sz w:val="20"/>
          <w:szCs w:val="20"/>
        </w:rPr>
        <w:t>justiciabilidad</w:t>
      </w:r>
      <w:proofErr w:type="spellEnd"/>
      <w:r w:rsidRPr="004E66B4">
        <w:rPr>
          <w:rFonts w:ascii="Verdana" w:hAnsi="Verdana"/>
          <w:sz w:val="20"/>
          <w:szCs w:val="20"/>
        </w:rPr>
        <w:t xml:space="preserve"> de los derechos sociales en el Sistema Interamericano</w:t>
      </w:r>
      <w:r>
        <w:rPr>
          <w:rFonts w:ascii="Verdana" w:hAnsi="Verdana"/>
          <w:sz w:val="20"/>
          <w:szCs w:val="20"/>
        </w:rPr>
        <w:t>,</w:t>
      </w:r>
      <w:r w:rsidRPr="004E66B4">
        <w:rPr>
          <w:rFonts w:ascii="Verdana" w:hAnsi="Verdana"/>
          <w:sz w:val="20"/>
          <w:szCs w:val="20"/>
        </w:rPr>
        <w:t xml:space="preserve"> </w:t>
      </w:r>
      <w:r>
        <w:rPr>
          <w:rFonts w:ascii="Verdana" w:hAnsi="Verdana"/>
          <w:sz w:val="20"/>
          <w:szCs w:val="20"/>
        </w:rPr>
        <w:t xml:space="preserve">al abrir </w:t>
      </w:r>
      <w:r w:rsidRPr="004E66B4">
        <w:rPr>
          <w:rFonts w:ascii="Verdana" w:hAnsi="Verdana"/>
          <w:sz w:val="20"/>
          <w:szCs w:val="20"/>
        </w:rPr>
        <w:t>la posibilida</w:t>
      </w:r>
      <w:r>
        <w:rPr>
          <w:rFonts w:ascii="Verdana" w:hAnsi="Verdana"/>
          <w:sz w:val="20"/>
          <w:szCs w:val="20"/>
        </w:rPr>
        <w:t xml:space="preserve">d de que derechos que no fueron expresamente </w:t>
      </w:r>
      <w:r w:rsidRPr="004E66B4">
        <w:rPr>
          <w:rFonts w:ascii="Verdana" w:hAnsi="Verdana"/>
          <w:sz w:val="20"/>
          <w:szCs w:val="20"/>
        </w:rPr>
        <w:t>contemplados en el artículo 19.6 del</w:t>
      </w:r>
      <w:r>
        <w:rPr>
          <w:rFonts w:ascii="Verdana" w:hAnsi="Verdana"/>
          <w:sz w:val="20"/>
          <w:szCs w:val="20"/>
        </w:rPr>
        <w:t xml:space="preserve"> Protocolo de San Salvador</w:t>
      </w:r>
      <w:r>
        <w:rPr>
          <w:rStyle w:val="FootnoteReference"/>
          <w:szCs w:val="20"/>
        </w:rPr>
        <w:footnoteReference w:id="301"/>
      </w:r>
      <w:r>
        <w:rPr>
          <w:rFonts w:ascii="Verdana" w:hAnsi="Verdana"/>
          <w:sz w:val="20"/>
          <w:szCs w:val="20"/>
        </w:rPr>
        <w:t xml:space="preserve"> —</w:t>
      </w:r>
      <w:r w:rsidRPr="004E66B4">
        <w:rPr>
          <w:rFonts w:ascii="Verdana" w:hAnsi="Verdana"/>
          <w:sz w:val="20"/>
          <w:szCs w:val="20"/>
        </w:rPr>
        <w:t>como el derecho al trabajo y sus vertientes</w:t>
      </w:r>
      <w:r>
        <w:rPr>
          <w:rFonts w:ascii="Verdana" w:hAnsi="Verdana"/>
          <w:sz w:val="20"/>
          <w:szCs w:val="20"/>
        </w:rPr>
        <w:t>—,</w:t>
      </w:r>
      <w:r w:rsidRPr="004E66B4">
        <w:rPr>
          <w:rFonts w:ascii="Verdana" w:hAnsi="Verdana"/>
          <w:sz w:val="20"/>
          <w:szCs w:val="20"/>
        </w:rPr>
        <w:t xml:space="preserve"> puedan ser protegidos </w:t>
      </w:r>
      <w:r>
        <w:rPr>
          <w:rFonts w:ascii="Verdana" w:hAnsi="Verdana"/>
          <w:sz w:val="20"/>
          <w:szCs w:val="20"/>
        </w:rPr>
        <w:t xml:space="preserve">directamente </w:t>
      </w:r>
      <w:r w:rsidRPr="004E66B4">
        <w:rPr>
          <w:rFonts w:ascii="Verdana" w:hAnsi="Verdana"/>
          <w:sz w:val="20"/>
          <w:szCs w:val="20"/>
        </w:rPr>
        <w:t xml:space="preserve">mediante la Convención Americana.  </w:t>
      </w:r>
    </w:p>
    <w:p w14:paraId="4A85D35D"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0B0A6BFB" w14:textId="77777777" w:rsidR="00F83E8F"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E</w:t>
      </w:r>
      <w:r w:rsidRPr="004E66B4">
        <w:rPr>
          <w:rFonts w:ascii="Verdana" w:hAnsi="Verdana"/>
          <w:sz w:val="20"/>
          <w:szCs w:val="20"/>
        </w:rPr>
        <w:t>n la Sentencia</w:t>
      </w:r>
      <w:r>
        <w:rPr>
          <w:rFonts w:ascii="Verdana" w:hAnsi="Verdana"/>
          <w:sz w:val="20"/>
          <w:szCs w:val="20"/>
        </w:rPr>
        <w:t>, l</w:t>
      </w:r>
      <w:r w:rsidRPr="004E66B4">
        <w:rPr>
          <w:rFonts w:ascii="Verdana" w:hAnsi="Verdana"/>
          <w:sz w:val="20"/>
          <w:szCs w:val="20"/>
        </w:rPr>
        <w:t>a Corte IDH afianza los principios de interdependencia e indivisibilidad entre los derechos económicos, sociales</w:t>
      </w:r>
      <w:r>
        <w:rPr>
          <w:rFonts w:ascii="Verdana" w:hAnsi="Verdana"/>
          <w:sz w:val="20"/>
          <w:szCs w:val="20"/>
        </w:rPr>
        <w:t xml:space="preserve">, </w:t>
      </w:r>
      <w:r w:rsidRPr="004E66B4">
        <w:rPr>
          <w:rFonts w:ascii="Verdana" w:hAnsi="Verdana"/>
          <w:sz w:val="20"/>
          <w:szCs w:val="20"/>
        </w:rPr>
        <w:t>culturales</w:t>
      </w:r>
      <w:r>
        <w:rPr>
          <w:rFonts w:ascii="Verdana" w:hAnsi="Verdana"/>
          <w:sz w:val="20"/>
          <w:szCs w:val="20"/>
        </w:rPr>
        <w:t xml:space="preserve"> y ambientales con respecto a</w:t>
      </w:r>
      <w:r w:rsidRPr="004E66B4">
        <w:rPr>
          <w:rFonts w:ascii="Verdana" w:hAnsi="Verdana"/>
          <w:sz w:val="20"/>
          <w:szCs w:val="20"/>
        </w:rPr>
        <w:t xml:space="preserve"> l</w:t>
      </w:r>
      <w:r>
        <w:rPr>
          <w:rFonts w:ascii="Verdana" w:hAnsi="Verdana"/>
          <w:sz w:val="20"/>
          <w:szCs w:val="20"/>
        </w:rPr>
        <w:t>os derechos civiles y políticos. Ello es así, a partir de su comprensión de los derechos humanos entendidos integralmente y de forma conglobada</w:t>
      </w:r>
      <w:r>
        <w:rPr>
          <w:rFonts w:ascii="Verdana" w:hAnsi="Verdana" w:cs="Verdana"/>
          <w:sz w:val="20"/>
          <w:szCs w:val="20"/>
          <w:lang w:eastAsia="es-MX"/>
        </w:rPr>
        <w:t xml:space="preserve">, </w:t>
      </w:r>
      <w:r w:rsidRPr="00B3760D">
        <w:rPr>
          <w:rFonts w:ascii="Verdana" w:hAnsi="Verdana" w:cs="Verdana"/>
          <w:sz w:val="20"/>
          <w:szCs w:val="20"/>
          <w:lang w:eastAsia="es-MX"/>
        </w:rPr>
        <w:t>sin jerarquía entre sí y exigibles en todos los casos ante aquellas autoridades que resulten competentes para ello</w:t>
      </w:r>
      <w:r>
        <w:rPr>
          <w:rStyle w:val="FootnoteReference"/>
          <w:rFonts w:cs="Verdana"/>
          <w:szCs w:val="20"/>
          <w:lang w:eastAsia="es-MX"/>
        </w:rPr>
        <w:footnoteReference w:id="302"/>
      </w:r>
      <w:r w:rsidRPr="00BD786A">
        <w:rPr>
          <w:rFonts w:ascii="Verdana" w:hAnsi="Verdana" w:cs="Verdana"/>
          <w:sz w:val="20"/>
          <w:szCs w:val="20"/>
          <w:lang w:eastAsia="es-MX"/>
        </w:rPr>
        <w:t>.</w:t>
      </w:r>
      <w:r>
        <w:rPr>
          <w:rFonts w:ascii="Verdana" w:hAnsi="Verdana" w:cs="Verdana"/>
          <w:sz w:val="20"/>
          <w:szCs w:val="20"/>
          <w:lang w:eastAsia="es-MX"/>
        </w:rPr>
        <w:t xml:space="preserve"> </w:t>
      </w:r>
      <w:r w:rsidRPr="00AD07F6">
        <w:rPr>
          <w:rFonts w:ascii="Verdana" w:hAnsi="Verdana" w:cs="Verdana"/>
          <w:sz w:val="20"/>
          <w:szCs w:val="20"/>
          <w:lang w:eastAsia="es-MX"/>
        </w:rPr>
        <w:t>En otras palabras, la Sentencia reconoce que existe una dependencia recíproca entre todos los derechos humanos, lo cual ha sido incorporado en el marco internacional de los derechos humanos, sin jerarquizar ni subsumir en algunos derechos el contenido de otros</w:t>
      </w:r>
      <w:r w:rsidRPr="00AD07F6">
        <w:rPr>
          <w:rStyle w:val="FootnoteReference"/>
          <w:rFonts w:cs="Verdana"/>
          <w:szCs w:val="20"/>
          <w:lang w:eastAsia="es-MX"/>
        </w:rPr>
        <w:footnoteReference w:id="303"/>
      </w:r>
      <w:r w:rsidRPr="00AD07F6">
        <w:rPr>
          <w:rFonts w:ascii="Verdana" w:hAnsi="Verdana" w:cs="Verdana"/>
          <w:sz w:val="20"/>
          <w:szCs w:val="20"/>
          <w:lang w:eastAsia="es-MX"/>
        </w:rPr>
        <w:t>.</w:t>
      </w:r>
    </w:p>
    <w:p w14:paraId="29DD43D1" w14:textId="77777777" w:rsidR="00F83E8F" w:rsidRPr="00AD07F6" w:rsidRDefault="00F83E8F" w:rsidP="00F83E8F">
      <w:pPr>
        <w:widowControl w:val="0"/>
        <w:autoSpaceDE w:val="0"/>
        <w:autoSpaceDN w:val="0"/>
        <w:adjustRightInd w:val="0"/>
        <w:ind w:right="49"/>
        <w:jc w:val="both"/>
        <w:rPr>
          <w:rFonts w:ascii="Verdana" w:hAnsi="Verdana"/>
          <w:sz w:val="20"/>
          <w:szCs w:val="20"/>
        </w:rPr>
      </w:pPr>
    </w:p>
    <w:p w14:paraId="287F7548" w14:textId="77777777" w:rsidR="00F83E8F" w:rsidRPr="00AD07F6"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AD07F6">
        <w:rPr>
          <w:rFonts w:ascii="Verdana" w:hAnsi="Verdana"/>
          <w:sz w:val="20"/>
          <w:szCs w:val="20"/>
        </w:rPr>
        <w:t xml:space="preserve">Así, para derivar la estabilidad laboral como parte del derecho al trabajo mediante el artículo 26 de la Convención Americana, la Corte IDH considera cuatro aspectos de especial relevancia. El primer aspecto, referido a los derechos que se pueden proteger por el artículo 26 de la Convención Americana, son aquellos que se derivan o se identifican de las normas económicas, sociales y sobre educación, ciencia y cultura que se encuentran contenidas en la Carta de la OEA. En particular, para los efectos del caso </w:t>
      </w:r>
      <w:r w:rsidRPr="00AD07F6">
        <w:rPr>
          <w:rFonts w:ascii="Verdana" w:hAnsi="Verdana"/>
          <w:i/>
          <w:sz w:val="20"/>
          <w:szCs w:val="20"/>
        </w:rPr>
        <w:t xml:space="preserve">Lagos del Campos, </w:t>
      </w:r>
      <w:r w:rsidRPr="00AD07F6">
        <w:rPr>
          <w:rFonts w:ascii="Verdana" w:hAnsi="Verdana"/>
          <w:sz w:val="20"/>
          <w:szCs w:val="20"/>
        </w:rPr>
        <w:t>la Corte IDH estima que el artículo</w:t>
      </w:r>
      <w:r>
        <w:rPr>
          <w:rFonts w:ascii="Verdana" w:hAnsi="Verdana"/>
          <w:sz w:val="20"/>
          <w:szCs w:val="20"/>
        </w:rPr>
        <w:t xml:space="preserve"> 34 </w:t>
      </w:r>
      <w:proofErr w:type="gramStart"/>
      <w:r>
        <w:rPr>
          <w:rFonts w:ascii="Verdana" w:hAnsi="Verdana"/>
          <w:sz w:val="20"/>
          <w:szCs w:val="20"/>
        </w:rPr>
        <w:t>inciso</w:t>
      </w:r>
      <w:proofErr w:type="gramEnd"/>
      <w:r>
        <w:rPr>
          <w:rFonts w:ascii="Verdana" w:hAnsi="Verdana"/>
          <w:sz w:val="20"/>
          <w:szCs w:val="20"/>
        </w:rPr>
        <w:t xml:space="preserve"> g</w:t>
      </w:r>
      <w:r w:rsidRPr="00AD07F6">
        <w:rPr>
          <w:rFonts w:ascii="Verdana" w:hAnsi="Verdana"/>
          <w:sz w:val="20"/>
          <w:szCs w:val="20"/>
        </w:rPr>
        <w:t>), artículo 45, incisos b) y c), y el artículo 46 de la Carta de la OEA, contemplan diversos aspectos del derecho al trabajo</w:t>
      </w:r>
      <w:r w:rsidRPr="004E66B4">
        <w:rPr>
          <w:rStyle w:val="FootnoteReference"/>
          <w:szCs w:val="20"/>
        </w:rPr>
        <w:footnoteReference w:id="304"/>
      </w:r>
      <w:r w:rsidRPr="00AD07F6">
        <w:rPr>
          <w:rFonts w:ascii="Verdana" w:hAnsi="Verdana"/>
          <w:sz w:val="20"/>
          <w:szCs w:val="20"/>
        </w:rPr>
        <w:t xml:space="preserve">. Así, el artículo 26 contiene derechos sociales y no es una mera norma programática como algunos opinan. Sobre el particular, me permito reproducir lo que expresé en mi Voto Concurrente a la Sentencia del </w:t>
      </w:r>
      <w:r w:rsidRPr="00AD07F6">
        <w:rPr>
          <w:rFonts w:ascii="Verdana" w:hAnsi="Verdana"/>
          <w:i/>
          <w:sz w:val="20"/>
          <w:szCs w:val="20"/>
        </w:rPr>
        <w:t xml:space="preserve">Caso </w:t>
      </w:r>
      <w:proofErr w:type="spellStart"/>
      <w:r w:rsidRPr="00AD07F6">
        <w:rPr>
          <w:rFonts w:ascii="Verdana" w:hAnsi="Verdana"/>
          <w:i/>
          <w:sz w:val="20"/>
          <w:szCs w:val="20"/>
        </w:rPr>
        <w:t>Yarce</w:t>
      </w:r>
      <w:proofErr w:type="spellEnd"/>
      <w:r w:rsidRPr="00AD07F6">
        <w:rPr>
          <w:rFonts w:ascii="Verdana" w:hAnsi="Verdana"/>
          <w:i/>
          <w:sz w:val="20"/>
          <w:szCs w:val="20"/>
        </w:rPr>
        <w:t xml:space="preserve"> y Otras Vs. Colombia</w:t>
      </w:r>
      <w:r w:rsidRPr="00AD07F6">
        <w:rPr>
          <w:rStyle w:val="FootnoteReference"/>
          <w:szCs w:val="20"/>
        </w:rPr>
        <w:footnoteReference w:id="305"/>
      </w:r>
      <w:r w:rsidRPr="00AD07F6">
        <w:rPr>
          <w:rFonts w:ascii="Verdana" w:hAnsi="Verdana"/>
          <w:sz w:val="20"/>
          <w:szCs w:val="20"/>
        </w:rPr>
        <w:t xml:space="preserve">: </w:t>
      </w:r>
    </w:p>
    <w:p w14:paraId="3CC30227" w14:textId="77777777" w:rsidR="00F83E8F" w:rsidRPr="00AD07F6" w:rsidRDefault="00F83E8F" w:rsidP="00F83E8F">
      <w:pPr>
        <w:widowControl w:val="0"/>
        <w:autoSpaceDE w:val="0"/>
        <w:autoSpaceDN w:val="0"/>
        <w:adjustRightInd w:val="0"/>
        <w:ind w:right="49"/>
        <w:jc w:val="both"/>
        <w:rPr>
          <w:rFonts w:ascii="Verdana" w:hAnsi="Verdana"/>
          <w:sz w:val="20"/>
          <w:szCs w:val="20"/>
        </w:rPr>
      </w:pPr>
    </w:p>
    <w:p w14:paraId="20367873" w14:textId="77777777" w:rsidR="00F83E8F" w:rsidRPr="00AD07F6" w:rsidRDefault="00F83E8F" w:rsidP="00F83E8F">
      <w:pPr>
        <w:pStyle w:val="ListParagraph"/>
        <w:ind w:right="738"/>
        <w:contextualSpacing w:val="0"/>
        <w:jc w:val="both"/>
        <w:rPr>
          <w:rFonts w:ascii="Verdana" w:hAnsi="Verdana"/>
          <w:sz w:val="16"/>
          <w:szCs w:val="16"/>
        </w:rPr>
      </w:pPr>
      <w:r w:rsidRPr="00AD07F6">
        <w:rPr>
          <w:rFonts w:ascii="Verdana" w:hAnsi="Verdana"/>
          <w:sz w:val="16"/>
          <w:szCs w:val="16"/>
        </w:rPr>
        <w:t xml:space="preserve">19. </w:t>
      </w:r>
      <w:r w:rsidRPr="00AD07F6">
        <w:rPr>
          <w:rFonts w:ascii="Verdana" w:hAnsi="Verdana"/>
          <w:sz w:val="16"/>
          <w:szCs w:val="16"/>
        </w:rPr>
        <w:tab/>
        <w:t>Una argumentación recurrente para pretender negar competencia a la Corte IDH en relación a los “derechos” que consagra el artículo 26 parte del entendimiento de que esa norma no establece propiamente “derechos”, sino solo el compromiso de “desarrollo progresivo”; es decir, un objetivo programático. Considero que esta perspectiva que se argumenta resulta limitada a la luz de la protección que debe brindar el Sistema Interamericano por lo que no comparto esta visión por diversos motivos.</w:t>
      </w:r>
    </w:p>
    <w:p w14:paraId="64B784EE" w14:textId="77777777" w:rsidR="00F83E8F" w:rsidRPr="00AD07F6" w:rsidRDefault="00F83E8F" w:rsidP="00F83E8F">
      <w:pPr>
        <w:pStyle w:val="ListParagraph"/>
        <w:ind w:right="738"/>
        <w:contextualSpacing w:val="0"/>
        <w:jc w:val="both"/>
        <w:rPr>
          <w:rFonts w:ascii="Verdana" w:hAnsi="Verdana"/>
          <w:sz w:val="16"/>
          <w:szCs w:val="16"/>
        </w:rPr>
      </w:pPr>
    </w:p>
    <w:p w14:paraId="6F737E4B" w14:textId="77777777" w:rsidR="00F83E8F" w:rsidRPr="00AD07F6" w:rsidRDefault="00F83E8F" w:rsidP="00F83E8F">
      <w:pPr>
        <w:pStyle w:val="ListParagraph"/>
        <w:ind w:right="738"/>
        <w:contextualSpacing w:val="0"/>
        <w:jc w:val="both"/>
        <w:rPr>
          <w:rFonts w:ascii="Verdana" w:hAnsi="Verdana"/>
          <w:sz w:val="16"/>
          <w:szCs w:val="16"/>
        </w:rPr>
      </w:pPr>
      <w:r w:rsidRPr="00AD07F6">
        <w:rPr>
          <w:rFonts w:ascii="Verdana" w:hAnsi="Verdana"/>
          <w:sz w:val="16"/>
          <w:szCs w:val="16"/>
        </w:rPr>
        <w:t xml:space="preserve">20. </w:t>
      </w:r>
      <w:r w:rsidRPr="00AD07F6">
        <w:rPr>
          <w:rFonts w:ascii="Verdana" w:hAnsi="Verdana"/>
          <w:sz w:val="16"/>
          <w:szCs w:val="16"/>
        </w:rPr>
        <w:tab/>
        <w:t xml:space="preserve">En primer lugar, de acuerdo al texto del artículo 26, el compromiso de desarrollo progresivo se refiere a “derechos”, por el señalamiento literal de la norma; es decir, no podría predicarse tal obligación sino respecto de “derechos”, por lo que es imperioso colegir que la norma refiere a “derechos” y no a meros objetivos. </w:t>
      </w:r>
    </w:p>
    <w:p w14:paraId="3CC0E94D" w14:textId="77777777" w:rsidR="00F83E8F" w:rsidRPr="00AD07F6" w:rsidRDefault="00F83E8F" w:rsidP="00F83E8F">
      <w:pPr>
        <w:pStyle w:val="ListParagraph"/>
        <w:ind w:right="738"/>
        <w:contextualSpacing w:val="0"/>
        <w:jc w:val="both"/>
        <w:rPr>
          <w:rFonts w:ascii="Verdana" w:hAnsi="Verdana"/>
          <w:sz w:val="16"/>
          <w:szCs w:val="16"/>
        </w:rPr>
      </w:pPr>
    </w:p>
    <w:p w14:paraId="4FC2F195" w14:textId="77777777" w:rsidR="00F83E8F" w:rsidRPr="00AD07F6" w:rsidRDefault="00F83E8F" w:rsidP="00F83E8F">
      <w:pPr>
        <w:pStyle w:val="ListParagraph"/>
        <w:ind w:right="738"/>
        <w:contextualSpacing w:val="0"/>
        <w:jc w:val="both"/>
        <w:rPr>
          <w:rFonts w:ascii="Verdana" w:hAnsi="Verdana"/>
          <w:sz w:val="16"/>
          <w:szCs w:val="16"/>
        </w:rPr>
      </w:pPr>
      <w:r w:rsidRPr="00AD07F6">
        <w:rPr>
          <w:rFonts w:ascii="Verdana" w:hAnsi="Verdana"/>
          <w:sz w:val="16"/>
          <w:szCs w:val="16"/>
        </w:rPr>
        <w:t xml:space="preserve">21. </w:t>
      </w:r>
      <w:r w:rsidRPr="00AD07F6">
        <w:rPr>
          <w:rFonts w:ascii="Verdana" w:hAnsi="Verdana"/>
          <w:sz w:val="16"/>
          <w:szCs w:val="16"/>
        </w:rPr>
        <w:tab/>
        <w:t>Este entendimiento es acorde a lo previsto en la Convención de Viena sobre el Derecho de los Tratados, que manda a interpretar un tratado “de buena fe conforme al sentido corriente que haya de atribuirse a los términos del tratado en el contexto de estos y teniendo en cuenta su objeto y fin”</w:t>
      </w:r>
      <w:r w:rsidRPr="00AD07F6">
        <w:rPr>
          <w:rStyle w:val="FootnoteReference"/>
          <w:sz w:val="16"/>
          <w:szCs w:val="16"/>
        </w:rPr>
        <w:footnoteReference w:id="306"/>
      </w:r>
      <w:r w:rsidRPr="00AD07F6">
        <w:rPr>
          <w:rFonts w:ascii="Verdana" w:hAnsi="Verdana"/>
          <w:sz w:val="16"/>
          <w:szCs w:val="16"/>
        </w:rPr>
        <w:t>. En ese sentido, es evidente que un entendimiento de buena fe de la palabra “derechos” incluida en el citado artículo 26, que sea “conforme al sentido corriente” del término, indica que el mismo se refiere a “derechos” propiamente dichos, de igual naturaleza que el resto de los “derechos” aludidos en la Convención Americana. Lo anterior se corrobora al advertirse que precisamente el artículo 26 es el único artículo del Capítulo III denominado “</w:t>
      </w:r>
      <w:r w:rsidRPr="00AD07F6">
        <w:rPr>
          <w:rFonts w:ascii="Verdana" w:hAnsi="Verdana"/>
          <w:sz w:val="16"/>
          <w:szCs w:val="16"/>
          <w:u w:val="single"/>
        </w:rPr>
        <w:t>Derechos</w:t>
      </w:r>
      <w:r w:rsidRPr="00AD07F6">
        <w:rPr>
          <w:rFonts w:ascii="Verdana" w:hAnsi="Verdana"/>
          <w:sz w:val="16"/>
          <w:szCs w:val="16"/>
        </w:rPr>
        <w:t xml:space="preserve"> económicos, sociales y culturales”. Tal entendimiento es acorde al objeto y fin del tratado, que propende a la protección de los derechos de la persona humana. </w:t>
      </w:r>
    </w:p>
    <w:p w14:paraId="04BACD54" w14:textId="77777777" w:rsidR="00F83E8F" w:rsidRPr="00AD07F6" w:rsidRDefault="00F83E8F" w:rsidP="00F83E8F">
      <w:pPr>
        <w:pStyle w:val="Estilo4"/>
        <w:numPr>
          <w:ilvl w:val="0"/>
          <w:numId w:val="0"/>
        </w:numPr>
        <w:spacing w:after="0"/>
        <w:ind w:left="720" w:right="738"/>
        <w:rPr>
          <w:sz w:val="16"/>
          <w:szCs w:val="16"/>
          <w:lang w:val="es-ES_tradnl"/>
        </w:rPr>
      </w:pPr>
    </w:p>
    <w:p w14:paraId="0D63CE16" w14:textId="77777777" w:rsidR="00F83E8F" w:rsidRPr="002228F7" w:rsidRDefault="00F83E8F" w:rsidP="00F83E8F">
      <w:pPr>
        <w:pStyle w:val="Estilo4"/>
        <w:numPr>
          <w:ilvl w:val="0"/>
          <w:numId w:val="0"/>
        </w:numPr>
        <w:spacing w:after="0"/>
        <w:ind w:left="720" w:right="738"/>
        <w:rPr>
          <w:sz w:val="16"/>
          <w:szCs w:val="16"/>
          <w:lang w:val="es-ES_tradnl"/>
        </w:rPr>
      </w:pPr>
      <w:r w:rsidRPr="00AD07F6">
        <w:rPr>
          <w:sz w:val="16"/>
          <w:szCs w:val="16"/>
          <w:lang w:val="es-ES_tradnl"/>
        </w:rPr>
        <w:t xml:space="preserve">22. </w:t>
      </w:r>
      <w:r w:rsidRPr="00AD07F6">
        <w:rPr>
          <w:sz w:val="16"/>
          <w:szCs w:val="16"/>
          <w:lang w:val="es-ES_tradnl"/>
        </w:rPr>
        <w:tab/>
        <w:t>Así, el artículo 26 no es meramente una norma programática para los Estados Parte de la Convención Americana, sino que constituye una disposición que impone a la Corte IDH derivar derechos de las normas existentes en la Carta de la OEA, por lo que, atendiendo al caso concreto, contiene derechos de naturaleza económica, social o cultural y no meros objetivos</w:t>
      </w:r>
      <w:r>
        <w:rPr>
          <w:sz w:val="16"/>
          <w:szCs w:val="16"/>
          <w:lang w:val="es-ES_tradnl"/>
        </w:rPr>
        <w:t xml:space="preserve">. </w:t>
      </w:r>
      <w:r w:rsidRPr="002228F7">
        <w:rPr>
          <w:sz w:val="16"/>
          <w:szCs w:val="16"/>
          <w:lang w:val="es-ES_tradnl"/>
        </w:rPr>
        <w:t>[…].</w:t>
      </w:r>
    </w:p>
    <w:p w14:paraId="48E5C8CE" w14:textId="77777777" w:rsidR="00F83E8F" w:rsidRPr="00AD07F6" w:rsidRDefault="00F83E8F" w:rsidP="00F83E8F">
      <w:pPr>
        <w:pStyle w:val="Estilo4"/>
        <w:numPr>
          <w:ilvl w:val="0"/>
          <w:numId w:val="0"/>
        </w:numPr>
        <w:spacing w:after="0"/>
        <w:ind w:left="720" w:right="738"/>
        <w:rPr>
          <w:sz w:val="16"/>
          <w:szCs w:val="16"/>
          <w:lang w:val="es-ES_tradnl"/>
        </w:rPr>
      </w:pPr>
    </w:p>
    <w:p w14:paraId="3255641F" w14:textId="77777777" w:rsidR="00F83E8F" w:rsidRPr="00AD07F6" w:rsidRDefault="00F83E8F" w:rsidP="00F83E8F">
      <w:pPr>
        <w:pStyle w:val="Estilo4"/>
        <w:numPr>
          <w:ilvl w:val="0"/>
          <w:numId w:val="0"/>
        </w:numPr>
        <w:spacing w:after="0"/>
        <w:ind w:left="720" w:right="738"/>
        <w:rPr>
          <w:sz w:val="16"/>
          <w:szCs w:val="16"/>
          <w:lang w:val="es-ES_tradnl"/>
        </w:rPr>
      </w:pPr>
      <w:r w:rsidRPr="00AD07F6">
        <w:rPr>
          <w:sz w:val="16"/>
          <w:szCs w:val="16"/>
          <w:lang w:val="es-ES_tradnl"/>
        </w:rPr>
        <w:t xml:space="preserve">23. </w:t>
      </w:r>
      <w:r w:rsidRPr="00AD07F6">
        <w:rPr>
          <w:sz w:val="16"/>
          <w:szCs w:val="16"/>
          <w:lang w:val="es-ES_tradnl"/>
        </w:rPr>
        <w:tab/>
        <w:t>En segundo lugar, y siguiendo con la argumentación precedente, no puede pasar inadvertido que el artículo 26 de la Convención Americana expresamente indica que de las normas pertinentes de la Carta de la OEA</w:t>
      </w:r>
      <w:r w:rsidRPr="00AD07F6">
        <w:rPr>
          <w:rStyle w:val="FootnoteReference"/>
          <w:rFonts w:eastAsiaTheme="majorEastAsia"/>
          <w:sz w:val="16"/>
          <w:szCs w:val="16"/>
          <w:lang w:val="es-ES_tradnl"/>
        </w:rPr>
        <w:footnoteReference w:id="307"/>
      </w:r>
      <w:r w:rsidRPr="00AD07F6">
        <w:rPr>
          <w:sz w:val="16"/>
          <w:szCs w:val="16"/>
          <w:lang w:val="es-ES_tradnl"/>
        </w:rPr>
        <w:t xml:space="preserve"> se “derivan” derechos. El sentido literal es claro</w:t>
      </w:r>
      <w:r w:rsidRPr="00AD07F6">
        <w:rPr>
          <w:rStyle w:val="FootnoteReference"/>
          <w:rFonts w:eastAsiaTheme="majorEastAsia"/>
          <w:sz w:val="16"/>
          <w:szCs w:val="16"/>
          <w:lang w:val="es-ES_tradnl"/>
        </w:rPr>
        <w:footnoteReference w:id="308"/>
      </w:r>
      <w:r w:rsidRPr="00AD07F6">
        <w:rPr>
          <w:sz w:val="16"/>
          <w:szCs w:val="16"/>
          <w:lang w:val="es-ES_tradnl"/>
        </w:rPr>
        <w:t xml:space="preserve">: la norma no señala que para </w:t>
      </w:r>
      <w:r w:rsidRPr="00AD07F6">
        <w:rPr>
          <w:sz w:val="16"/>
          <w:szCs w:val="16"/>
          <w:lang w:val="es-ES_tradnl"/>
        </w:rPr>
        <w:lastRenderedPageBreak/>
        <w:t>esclarecer cuáles son los “derechos” a los que se refiere el artículo 26 deba buscarse a aquellos derechos que estén reconocidos expresamente como tales en la Carta de la OEA; por el contrario, lo que expresa este precepto —siendo el mandato principal del artículo 26— es que hay derechos que se “derivan” de ciertas normas de la Carta: “</w:t>
      </w:r>
      <w:r w:rsidRPr="00AD07F6">
        <w:rPr>
          <w:sz w:val="16"/>
          <w:szCs w:val="16"/>
        </w:rPr>
        <w:t>las normas económicas, sociales y sobre educación, ciencia y cultura”.</w:t>
      </w:r>
      <w:r w:rsidRPr="00AD07F6">
        <w:rPr>
          <w:sz w:val="16"/>
          <w:szCs w:val="16"/>
          <w:lang w:val="es-ES_tradnl"/>
        </w:rPr>
        <w:t xml:space="preserve"> </w:t>
      </w:r>
    </w:p>
    <w:p w14:paraId="10EED893" w14:textId="77777777" w:rsidR="00F83E8F" w:rsidRPr="00AD07F6" w:rsidRDefault="00F83E8F" w:rsidP="00F83E8F">
      <w:pPr>
        <w:pStyle w:val="Estilo4"/>
        <w:numPr>
          <w:ilvl w:val="0"/>
          <w:numId w:val="0"/>
        </w:numPr>
        <w:spacing w:after="0"/>
        <w:ind w:left="720" w:right="738"/>
        <w:rPr>
          <w:sz w:val="16"/>
          <w:szCs w:val="16"/>
          <w:lang w:val="es-ES_tradnl"/>
        </w:rPr>
      </w:pPr>
    </w:p>
    <w:p w14:paraId="35F734AD" w14:textId="77777777" w:rsidR="00F83E8F" w:rsidRPr="00AD07F6" w:rsidRDefault="00F83E8F" w:rsidP="00F83E8F">
      <w:pPr>
        <w:pStyle w:val="Estilo4"/>
        <w:numPr>
          <w:ilvl w:val="0"/>
          <w:numId w:val="0"/>
        </w:numPr>
        <w:spacing w:after="0"/>
        <w:ind w:left="720" w:right="738"/>
        <w:rPr>
          <w:sz w:val="16"/>
          <w:szCs w:val="16"/>
          <w:lang w:val="es-ES_tradnl"/>
        </w:rPr>
      </w:pPr>
      <w:r w:rsidRPr="00AD07F6">
        <w:rPr>
          <w:sz w:val="16"/>
          <w:szCs w:val="16"/>
          <w:lang w:val="es-ES_tradnl"/>
        </w:rPr>
        <w:t xml:space="preserve">24. </w:t>
      </w:r>
      <w:r w:rsidRPr="00AD07F6">
        <w:rPr>
          <w:sz w:val="16"/>
          <w:szCs w:val="16"/>
          <w:lang w:val="es-ES_tradnl"/>
        </w:rPr>
        <w:tab/>
        <w:t>De acuerdo al diccionario de la Real Academia Española “derivar”, en las acepciones pertinentes, es: “[d]</w:t>
      </w:r>
      <w:r w:rsidRPr="00AD07F6">
        <w:rPr>
          <w:rFonts w:eastAsia="Arial Unicode MS" w:cs="Arial Unicode MS"/>
          <w:sz w:val="16"/>
          <w:szCs w:val="16"/>
          <w:lang w:val="es-ES_tradnl"/>
        </w:rPr>
        <w:t xml:space="preserve">icho de una cosa: Traer su origen de </w:t>
      </w:r>
      <w:proofErr w:type="gramStart"/>
      <w:r w:rsidRPr="00AD07F6">
        <w:rPr>
          <w:rFonts w:eastAsia="Arial Unicode MS" w:cs="Arial Unicode MS"/>
          <w:sz w:val="16"/>
          <w:szCs w:val="16"/>
          <w:lang w:val="es-ES_tradnl"/>
        </w:rPr>
        <w:t>otra[</w:t>
      </w:r>
      <w:proofErr w:type="gramEnd"/>
      <w:r w:rsidRPr="00AD07F6">
        <w:rPr>
          <w:rFonts w:eastAsia="Arial Unicode MS" w:cs="Arial Unicode MS"/>
          <w:sz w:val="16"/>
          <w:szCs w:val="16"/>
          <w:lang w:val="es-ES_tradnl"/>
        </w:rPr>
        <w:t>; d]icho de una palabra: Proceder de cierta base léxica[, y] establecer una relación morfológica o etimológica entre dos voces”</w:t>
      </w:r>
      <w:r w:rsidRPr="00AD07F6">
        <w:rPr>
          <w:rStyle w:val="FootnoteReference"/>
          <w:rFonts w:eastAsiaTheme="majorEastAsia"/>
          <w:sz w:val="16"/>
          <w:szCs w:val="16"/>
          <w:lang w:val="es-ES_tradnl"/>
        </w:rPr>
        <w:t xml:space="preserve"> </w:t>
      </w:r>
      <w:r w:rsidRPr="00AD07F6">
        <w:rPr>
          <w:rStyle w:val="FootnoteReference"/>
          <w:rFonts w:eastAsiaTheme="majorEastAsia"/>
          <w:sz w:val="16"/>
          <w:szCs w:val="16"/>
          <w:lang w:val="es-ES_tradnl"/>
        </w:rPr>
        <w:footnoteReference w:id="309"/>
      </w:r>
      <w:r w:rsidRPr="00AD07F6">
        <w:rPr>
          <w:rFonts w:eastAsia="Arial Unicode MS" w:cs="Arial Unicode MS"/>
          <w:sz w:val="16"/>
          <w:szCs w:val="16"/>
          <w:lang w:val="es-ES_tradnl"/>
        </w:rPr>
        <w:t>.</w:t>
      </w:r>
    </w:p>
    <w:p w14:paraId="67ACB04E" w14:textId="77777777" w:rsidR="00F83E8F" w:rsidRPr="00AD07F6" w:rsidRDefault="00F83E8F" w:rsidP="00F83E8F">
      <w:pPr>
        <w:pStyle w:val="Estilo4"/>
        <w:numPr>
          <w:ilvl w:val="0"/>
          <w:numId w:val="0"/>
        </w:numPr>
        <w:spacing w:after="0"/>
        <w:ind w:left="720" w:right="738"/>
        <w:rPr>
          <w:rFonts w:eastAsia="Arial Unicode MS" w:cs="Arial Unicode MS"/>
          <w:sz w:val="16"/>
          <w:szCs w:val="16"/>
          <w:lang w:val="es-ES_tradnl"/>
        </w:rPr>
      </w:pPr>
    </w:p>
    <w:p w14:paraId="66F489E8" w14:textId="77777777" w:rsidR="00F83E8F" w:rsidRPr="00AD07F6" w:rsidRDefault="00F83E8F" w:rsidP="00F83E8F">
      <w:pPr>
        <w:pStyle w:val="Estilo4"/>
        <w:numPr>
          <w:ilvl w:val="0"/>
          <w:numId w:val="0"/>
        </w:numPr>
        <w:spacing w:after="0"/>
        <w:ind w:left="720" w:right="738"/>
        <w:rPr>
          <w:rFonts w:eastAsia="Arial Unicode MS" w:cs="Arial Unicode MS"/>
          <w:sz w:val="16"/>
          <w:szCs w:val="16"/>
          <w:lang w:val="es-ES_tradnl"/>
        </w:rPr>
      </w:pPr>
      <w:r w:rsidRPr="00AD07F6">
        <w:rPr>
          <w:rFonts w:eastAsia="Arial Unicode MS" w:cs="Arial Unicode MS"/>
          <w:sz w:val="16"/>
          <w:szCs w:val="16"/>
          <w:lang w:val="es-ES_tradnl"/>
        </w:rPr>
        <w:t xml:space="preserve">25. </w:t>
      </w:r>
      <w:r w:rsidRPr="00AD07F6">
        <w:rPr>
          <w:rFonts w:eastAsia="Arial Unicode MS" w:cs="Arial Unicode MS"/>
          <w:sz w:val="16"/>
          <w:szCs w:val="16"/>
          <w:lang w:val="es-ES_tradnl"/>
        </w:rPr>
        <w:tab/>
        <w:t>Por lo tanto, no debe acotarse el entendimiento de los derechos recogidos en el artículo 26 de la Convención Americana solo a aquellos que puedan encontrarse literalmente como tales —como podría entenderse el “derecho al trabajo”</w:t>
      </w:r>
      <w:r w:rsidRPr="00AD07F6">
        <w:rPr>
          <w:rStyle w:val="FootnoteReference"/>
          <w:rFonts w:eastAsia="Arial Unicode MS"/>
          <w:sz w:val="16"/>
          <w:szCs w:val="16"/>
          <w:lang w:val="es-ES_tradnl"/>
        </w:rPr>
        <w:footnoteReference w:id="310"/>
      </w:r>
      <w:r w:rsidRPr="00AD07F6">
        <w:rPr>
          <w:rFonts w:eastAsia="Arial Unicode MS" w:cs="Arial Unicode MS"/>
          <w:sz w:val="16"/>
          <w:szCs w:val="16"/>
          <w:lang w:val="es-ES_tradnl"/>
        </w:rPr>
        <w:t>— en el texto de la Carta de la OEA. Por el contrario, debe efectuarse una “derivación” de las normas correspondientes referidas: “proceder” a partir de “cierta base léxica” para encontrar un derecho. El texto del artículo 26, que habla de “derechos” que se “derivan” de las normas “económicas, sociales y sobre educación, ciencia y cultura, contenidas en la Carta” obliga al interprete, quien no puede desconocer el texto señalado y sostener de modo válido que las normas correspondientes de la Carta de la OEA no ofrecen una base suficiente para “derivar” derechos, pues ello está mandado por el texto convencional. Ello no obsta a la procedencia de métodos de interpretación que lleven a tener en consideración otras normas; inclusive el Protocolo Adicional a la Convención Americana sobre Derechos Humanos en materia de Derechos Económicos, Sociales y Culturales “Protocolo de San Salvador”</w:t>
      </w:r>
      <w:r w:rsidRPr="00AD07F6">
        <w:rPr>
          <w:rStyle w:val="FootnoteReference"/>
          <w:rFonts w:eastAsia="Arial Unicode MS"/>
          <w:sz w:val="16"/>
          <w:szCs w:val="16"/>
          <w:lang w:val="es-ES_tradnl"/>
        </w:rPr>
        <w:footnoteReference w:id="311"/>
      </w:r>
      <w:r w:rsidRPr="00AD07F6">
        <w:rPr>
          <w:rFonts w:eastAsia="Arial Unicode MS" w:cs="Arial Unicode MS"/>
          <w:sz w:val="16"/>
          <w:szCs w:val="16"/>
          <w:lang w:val="es-ES_tradnl"/>
        </w:rPr>
        <w:t>; sobre el particular ya me he referido en otras ocasione</w:t>
      </w:r>
      <w:r>
        <w:rPr>
          <w:rFonts w:eastAsia="Arial Unicode MS" w:cs="Arial Unicode MS"/>
          <w:sz w:val="16"/>
          <w:szCs w:val="16"/>
          <w:lang w:val="es-ES_tradnl"/>
        </w:rPr>
        <w:t>s</w:t>
      </w:r>
      <w:r w:rsidRPr="00AD07F6">
        <w:rPr>
          <w:rFonts w:eastAsia="Arial Unicode MS" w:cs="Arial Unicode MS"/>
          <w:sz w:val="16"/>
          <w:szCs w:val="16"/>
          <w:lang w:val="es-ES_tradnl"/>
        </w:rPr>
        <w:t>.</w:t>
      </w:r>
    </w:p>
    <w:p w14:paraId="4E5B86DC" w14:textId="77777777" w:rsidR="00F83E8F" w:rsidRPr="00AD07F6" w:rsidRDefault="00F83E8F" w:rsidP="00F83E8F">
      <w:pPr>
        <w:pStyle w:val="Estilo4"/>
        <w:numPr>
          <w:ilvl w:val="0"/>
          <w:numId w:val="0"/>
        </w:numPr>
        <w:spacing w:after="0"/>
        <w:ind w:left="720" w:right="738"/>
        <w:rPr>
          <w:sz w:val="16"/>
          <w:szCs w:val="16"/>
          <w:lang w:val="es-ES_tradnl"/>
        </w:rPr>
      </w:pPr>
    </w:p>
    <w:p w14:paraId="2851903F" w14:textId="77777777" w:rsidR="00F83E8F" w:rsidRPr="009B6A6A" w:rsidRDefault="00F83E8F" w:rsidP="00F83E8F">
      <w:pPr>
        <w:pStyle w:val="Estilo4"/>
        <w:numPr>
          <w:ilvl w:val="0"/>
          <w:numId w:val="0"/>
        </w:numPr>
        <w:spacing w:after="0"/>
        <w:ind w:left="720" w:right="738"/>
        <w:rPr>
          <w:rFonts w:eastAsia="Arial Unicode MS" w:cs="Arial Unicode MS"/>
          <w:sz w:val="16"/>
          <w:szCs w:val="16"/>
          <w:lang w:val="es-ES_tradnl"/>
        </w:rPr>
      </w:pPr>
      <w:r w:rsidRPr="00AD07F6">
        <w:rPr>
          <w:rFonts w:eastAsia="Arial Unicode MS" w:cs="Arial Unicode MS"/>
          <w:sz w:val="16"/>
          <w:szCs w:val="16"/>
          <w:lang w:val="es-ES_tradnl"/>
        </w:rPr>
        <w:t xml:space="preserve">26. </w:t>
      </w:r>
      <w:r w:rsidRPr="00AD07F6">
        <w:rPr>
          <w:rFonts w:eastAsia="Arial Unicode MS" w:cs="Arial Unicode MS"/>
          <w:sz w:val="16"/>
          <w:szCs w:val="16"/>
          <w:lang w:val="es-ES_tradnl"/>
        </w:rPr>
        <w:tab/>
        <w:t xml:space="preserve">Lo expuesto hace evidente que se requiere un ejercicio interpretativo evolutivo y dinámico por parte del Tribunal Interamericano y que si bien, ciertamente, existen dificultades interpretativas por el modo en que la Convención Americana ha establecido los derechos económicos, sociales y culturales plasmados en ella, no constituye una dificultad para que la labor hermenéutica e interpretativa sea realizada. Precisamente, es la función propia de la Corte IDH llevar a cabo la interpretación de la Convención Americana, sin que pueda excusarse en la obscuridad, vaguedad o ambigüedad de los términos del tratado y teniendo en consideración el principio </w:t>
      </w:r>
      <w:r w:rsidRPr="00AD07F6">
        <w:rPr>
          <w:rFonts w:eastAsia="Arial Unicode MS" w:cs="Arial Unicode MS"/>
          <w:i/>
          <w:sz w:val="16"/>
          <w:szCs w:val="16"/>
          <w:lang w:val="es-ES_tradnl"/>
        </w:rPr>
        <w:t>pro persona</w:t>
      </w:r>
      <w:r w:rsidRPr="00AD07F6">
        <w:rPr>
          <w:rFonts w:eastAsia="Arial Unicode MS" w:cs="Arial Unicode MS"/>
          <w:sz w:val="16"/>
          <w:szCs w:val="16"/>
          <w:lang w:val="es-ES_tradnl"/>
        </w:rPr>
        <w:t xml:space="preserve"> contenido en el artículo 29 del propio Pacto de San José.</w:t>
      </w:r>
      <w:r w:rsidRPr="009B6A6A">
        <w:rPr>
          <w:rFonts w:eastAsia="Arial Unicode MS" w:cs="Arial Unicode MS"/>
          <w:sz w:val="16"/>
          <w:szCs w:val="16"/>
          <w:lang w:val="es-ES_tradnl"/>
        </w:rPr>
        <w:t xml:space="preserve"> </w:t>
      </w:r>
    </w:p>
    <w:p w14:paraId="5C17910F" w14:textId="77777777" w:rsidR="00F83E8F" w:rsidRPr="00761869" w:rsidRDefault="00F83E8F" w:rsidP="00F83E8F">
      <w:pPr>
        <w:widowControl w:val="0"/>
        <w:autoSpaceDE w:val="0"/>
        <w:autoSpaceDN w:val="0"/>
        <w:adjustRightInd w:val="0"/>
        <w:ind w:right="49"/>
        <w:jc w:val="both"/>
        <w:rPr>
          <w:rFonts w:ascii="Verdana" w:hAnsi="Verdana"/>
          <w:sz w:val="20"/>
          <w:szCs w:val="20"/>
        </w:rPr>
      </w:pPr>
    </w:p>
    <w:p w14:paraId="0F24D3EE" w14:textId="77777777" w:rsidR="00F83E8F" w:rsidRPr="004E66B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El segundo aspecto relevante, referido</w:t>
      </w:r>
      <w:r w:rsidRPr="004E66B4">
        <w:rPr>
          <w:rFonts w:ascii="Verdana" w:hAnsi="Verdana"/>
          <w:sz w:val="20"/>
          <w:szCs w:val="20"/>
        </w:rPr>
        <w:t xml:space="preserve"> a</w:t>
      </w:r>
      <w:r>
        <w:rPr>
          <w:rFonts w:ascii="Verdana" w:hAnsi="Verdana"/>
          <w:sz w:val="20"/>
          <w:szCs w:val="20"/>
        </w:rPr>
        <w:t xml:space="preserve"> la Opinión Consultiva No. 10 —</w:t>
      </w:r>
      <w:r w:rsidRPr="004E66B4">
        <w:rPr>
          <w:rFonts w:ascii="Verdana" w:hAnsi="Verdana"/>
          <w:sz w:val="20"/>
          <w:szCs w:val="20"/>
        </w:rPr>
        <w:t>sobre la Interpretación de la Declaración Americana de los Derechos y Deberes del Hombre en el marco del artículo 64 de la Convención Americana</w:t>
      </w:r>
      <w:r>
        <w:rPr>
          <w:rStyle w:val="FootnoteReference"/>
          <w:szCs w:val="20"/>
        </w:rPr>
        <w:footnoteReference w:id="312"/>
      </w:r>
      <w:r>
        <w:rPr>
          <w:rFonts w:ascii="Verdana" w:hAnsi="Verdana"/>
          <w:sz w:val="20"/>
          <w:szCs w:val="20"/>
        </w:rPr>
        <w:t>—,</w:t>
      </w:r>
      <w:r w:rsidRPr="004E66B4">
        <w:rPr>
          <w:rFonts w:ascii="Verdana" w:hAnsi="Verdana"/>
          <w:sz w:val="20"/>
          <w:szCs w:val="20"/>
        </w:rPr>
        <w:t xml:space="preserve"> </w:t>
      </w:r>
      <w:r>
        <w:rPr>
          <w:rFonts w:ascii="Verdana" w:hAnsi="Verdana"/>
          <w:sz w:val="20"/>
          <w:szCs w:val="20"/>
        </w:rPr>
        <w:t>que la Corte IDH utiliza al emitir la Sentencia. Ello se debe a que, en esa ocasión, el Tribunal Interamericano consideró que</w:t>
      </w:r>
      <w:r w:rsidRPr="004E66B4">
        <w:rPr>
          <w:rFonts w:ascii="Verdana" w:hAnsi="Verdana"/>
          <w:sz w:val="20"/>
          <w:szCs w:val="20"/>
        </w:rPr>
        <w:t xml:space="preserve"> “[l]</w:t>
      </w:r>
      <w:r w:rsidRPr="004E66B4">
        <w:rPr>
          <w:rFonts w:ascii="Verdana" w:eastAsiaTheme="minorHAnsi" w:hAnsi="Verdana" w:cs="Verdana"/>
          <w:sz w:val="20"/>
          <w:szCs w:val="20"/>
        </w:rPr>
        <w:t>os Estados Miembros han entendido que la Declaración contiene y define aquellos derechos humanos esenciales a l</w:t>
      </w:r>
      <w:r>
        <w:rPr>
          <w:rFonts w:ascii="Verdana" w:eastAsiaTheme="minorHAnsi" w:hAnsi="Verdana" w:cs="Verdana"/>
          <w:sz w:val="20"/>
          <w:szCs w:val="20"/>
        </w:rPr>
        <w:t>os que la Carta se refiere […]”. Con lo anterior,</w:t>
      </w:r>
      <w:r w:rsidRPr="004E66B4">
        <w:rPr>
          <w:rFonts w:ascii="Verdana" w:eastAsiaTheme="minorHAnsi" w:hAnsi="Verdana" w:cs="Verdana"/>
          <w:sz w:val="20"/>
          <w:szCs w:val="20"/>
        </w:rPr>
        <w:t xml:space="preserve"> la Corte IDH</w:t>
      </w:r>
      <w:r>
        <w:rPr>
          <w:rFonts w:ascii="Verdana" w:eastAsiaTheme="minorHAnsi" w:hAnsi="Verdana" w:cs="Verdana"/>
          <w:sz w:val="20"/>
          <w:szCs w:val="20"/>
        </w:rPr>
        <w:t xml:space="preserve"> observa</w:t>
      </w:r>
      <w:r w:rsidRPr="004E66B4">
        <w:rPr>
          <w:rFonts w:ascii="Verdana" w:eastAsiaTheme="minorHAnsi" w:hAnsi="Verdana" w:cs="Verdana"/>
          <w:sz w:val="20"/>
          <w:szCs w:val="20"/>
        </w:rPr>
        <w:t xml:space="preserve"> que el derecho al trabajo se encuentra en el artículo XIV de la Declaración Americana</w:t>
      </w:r>
      <w:r w:rsidRPr="004E66B4">
        <w:rPr>
          <w:rStyle w:val="FootnoteReference"/>
          <w:rFonts w:eastAsiaTheme="minorHAnsi" w:cs="Verdana"/>
          <w:szCs w:val="20"/>
        </w:rPr>
        <w:footnoteReference w:id="313"/>
      </w:r>
      <w:r w:rsidRPr="004E66B4">
        <w:rPr>
          <w:rFonts w:ascii="Verdana" w:eastAsiaTheme="minorHAnsi" w:hAnsi="Verdana" w:cs="Verdana"/>
          <w:sz w:val="20"/>
          <w:szCs w:val="20"/>
        </w:rPr>
        <w:t>. E</w:t>
      </w:r>
      <w:r>
        <w:rPr>
          <w:rFonts w:ascii="Verdana" w:eastAsiaTheme="minorHAnsi" w:hAnsi="Verdana" w:cs="Verdana"/>
          <w:sz w:val="20"/>
          <w:szCs w:val="20"/>
        </w:rPr>
        <w:t>l tercer aspecto relevante consiste en el</w:t>
      </w:r>
      <w:r w:rsidRPr="004E66B4">
        <w:rPr>
          <w:rFonts w:ascii="Verdana" w:eastAsiaTheme="minorHAnsi" w:hAnsi="Verdana" w:cs="Verdana"/>
          <w:sz w:val="20"/>
          <w:szCs w:val="20"/>
        </w:rPr>
        <w:t xml:space="preserve"> </w:t>
      </w:r>
      <w:r w:rsidRPr="004E66B4">
        <w:rPr>
          <w:rFonts w:ascii="Verdana" w:eastAsiaTheme="minorHAnsi" w:hAnsi="Verdana" w:cs="Verdana"/>
          <w:i/>
          <w:sz w:val="20"/>
          <w:szCs w:val="20"/>
        </w:rPr>
        <w:t>corpus iuris</w:t>
      </w:r>
      <w:r w:rsidRPr="004E66B4">
        <w:rPr>
          <w:rFonts w:ascii="Verdana" w:eastAsiaTheme="minorHAnsi" w:hAnsi="Verdana" w:cs="Verdana"/>
          <w:sz w:val="20"/>
          <w:szCs w:val="20"/>
        </w:rPr>
        <w:t xml:space="preserve"> nacional e internacional que </w:t>
      </w:r>
      <w:r>
        <w:rPr>
          <w:rFonts w:ascii="Verdana" w:eastAsiaTheme="minorHAnsi" w:hAnsi="Verdana" w:cs="Verdana"/>
          <w:sz w:val="20"/>
          <w:szCs w:val="20"/>
        </w:rPr>
        <w:t>protege</w:t>
      </w:r>
      <w:r w:rsidRPr="004E66B4">
        <w:rPr>
          <w:rFonts w:ascii="Verdana" w:eastAsiaTheme="minorHAnsi" w:hAnsi="Verdana" w:cs="Verdana"/>
          <w:sz w:val="20"/>
          <w:szCs w:val="20"/>
        </w:rPr>
        <w:t xml:space="preserve"> el derecho al trabajo como derecho autónom</w:t>
      </w:r>
      <w:r>
        <w:rPr>
          <w:rFonts w:ascii="Verdana" w:eastAsiaTheme="minorHAnsi" w:hAnsi="Verdana" w:cs="Verdana"/>
          <w:sz w:val="20"/>
          <w:szCs w:val="20"/>
        </w:rPr>
        <w:t>o</w:t>
      </w:r>
      <w:r w:rsidRPr="004E66B4">
        <w:rPr>
          <w:rStyle w:val="FootnoteReference"/>
          <w:rFonts w:eastAsiaTheme="minorHAnsi" w:cs="Verdana"/>
          <w:szCs w:val="20"/>
        </w:rPr>
        <w:footnoteReference w:id="314"/>
      </w:r>
      <w:r>
        <w:rPr>
          <w:rFonts w:ascii="Verdana" w:eastAsiaTheme="minorHAnsi" w:hAnsi="Verdana" w:cs="Verdana"/>
          <w:sz w:val="20"/>
          <w:szCs w:val="20"/>
        </w:rPr>
        <w:t>, que la Corte IDH consideró al tomar su decisión respecto a este caso.  Por último, el cuarto aspecto relevante refiere al desarrollo del derecho a la estabilidad laboral en la normativa peruana, mediante</w:t>
      </w:r>
      <w:r w:rsidRPr="004E66B4">
        <w:rPr>
          <w:rFonts w:ascii="Verdana" w:eastAsiaTheme="minorHAnsi" w:hAnsi="Verdana" w:cs="Verdana"/>
          <w:sz w:val="20"/>
          <w:szCs w:val="20"/>
        </w:rPr>
        <w:t xml:space="preserve"> la</w:t>
      </w:r>
      <w:r>
        <w:rPr>
          <w:rFonts w:ascii="Verdana" w:eastAsiaTheme="minorHAnsi" w:hAnsi="Verdana" w:cs="Verdana"/>
          <w:sz w:val="20"/>
          <w:szCs w:val="20"/>
        </w:rPr>
        <w:t>s c</w:t>
      </w:r>
      <w:r w:rsidRPr="004E66B4">
        <w:rPr>
          <w:rFonts w:ascii="Verdana" w:eastAsiaTheme="minorHAnsi" w:hAnsi="Verdana" w:cs="Verdana"/>
          <w:sz w:val="20"/>
          <w:szCs w:val="20"/>
        </w:rPr>
        <w:t>onstituci</w:t>
      </w:r>
      <w:r>
        <w:rPr>
          <w:rFonts w:ascii="Verdana" w:eastAsiaTheme="minorHAnsi" w:hAnsi="Verdana" w:cs="Verdana"/>
          <w:sz w:val="20"/>
          <w:szCs w:val="20"/>
        </w:rPr>
        <w:t xml:space="preserve">ones (de 1979 y 1993) </w:t>
      </w:r>
      <w:r w:rsidRPr="004E66B4">
        <w:rPr>
          <w:rFonts w:ascii="Verdana" w:eastAsiaTheme="minorHAnsi" w:hAnsi="Verdana" w:cs="Verdana"/>
          <w:sz w:val="20"/>
          <w:szCs w:val="20"/>
        </w:rPr>
        <w:t>y la</w:t>
      </w:r>
      <w:r>
        <w:rPr>
          <w:rFonts w:ascii="Verdana" w:eastAsiaTheme="minorHAnsi" w:hAnsi="Verdana" w:cs="Verdana"/>
          <w:sz w:val="20"/>
          <w:szCs w:val="20"/>
        </w:rPr>
        <w:t xml:space="preserve">s </w:t>
      </w:r>
      <w:r>
        <w:rPr>
          <w:rFonts w:ascii="Verdana" w:eastAsiaTheme="minorHAnsi" w:hAnsi="Verdana" w:cs="Verdana"/>
          <w:sz w:val="20"/>
          <w:szCs w:val="20"/>
        </w:rPr>
        <w:lastRenderedPageBreak/>
        <w:t>leyes laborales</w:t>
      </w:r>
      <w:r w:rsidRPr="004E66B4">
        <w:rPr>
          <w:rStyle w:val="FootnoteReference"/>
          <w:rFonts w:eastAsiaTheme="minorHAnsi" w:cs="Verdana"/>
          <w:szCs w:val="20"/>
        </w:rPr>
        <w:footnoteReference w:id="315"/>
      </w:r>
      <w:r w:rsidRPr="004E66B4">
        <w:rPr>
          <w:rFonts w:ascii="Verdana" w:eastAsiaTheme="minorHAnsi" w:hAnsi="Verdana" w:cs="Verdana"/>
          <w:sz w:val="20"/>
          <w:szCs w:val="20"/>
        </w:rPr>
        <w:t xml:space="preserve">.  </w:t>
      </w:r>
    </w:p>
    <w:p w14:paraId="12E2FF05"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295E2714" w14:textId="77777777" w:rsidR="00F83E8F" w:rsidRPr="000C7DD1"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0C7DD1">
        <w:rPr>
          <w:rFonts w:ascii="Verdana" w:eastAsiaTheme="minorHAnsi" w:hAnsi="Verdana" w:cs="Verdana"/>
          <w:sz w:val="20"/>
          <w:szCs w:val="20"/>
        </w:rPr>
        <w:t>Asimismo, el Tribunal Interamericano utiliza en la Sentencia tres de los incisos del artículo 29 (b, c y d) de la Convención Americana</w:t>
      </w:r>
      <w:r w:rsidRPr="000C7DD1">
        <w:rPr>
          <w:rStyle w:val="FootnoteReference"/>
          <w:rFonts w:eastAsiaTheme="minorHAnsi" w:cs="Verdana"/>
          <w:szCs w:val="20"/>
        </w:rPr>
        <w:t xml:space="preserve"> </w:t>
      </w:r>
      <w:r w:rsidRPr="004E66B4">
        <w:rPr>
          <w:rStyle w:val="FootnoteReference"/>
          <w:rFonts w:eastAsiaTheme="minorHAnsi" w:cs="Verdana"/>
          <w:szCs w:val="20"/>
        </w:rPr>
        <w:footnoteReference w:id="316"/>
      </w:r>
      <w:r w:rsidRPr="000C7DD1">
        <w:rPr>
          <w:rFonts w:ascii="Verdana" w:eastAsiaTheme="minorHAnsi" w:hAnsi="Verdana" w:cs="Verdana"/>
          <w:sz w:val="20"/>
          <w:szCs w:val="20"/>
        </w:rPr>
        <w:t xml:space="preserve">. Es decir, la Corte IDH otorga una protección más amplia, que se deriva del reconocimiento del derecho al trabajo tanto en la ley como en la Constitución nacional, así como de los derechos reconocidos en cualquier tratado del que el Estado sea Parte y los efectos que produzcan la Declaración Americana sobre los Derechos y Deberes del Hombre.  En este caso, su efecto fue delimitar los derechos que se encuentran expresados en normas de la Carta de la OEA. Cabe destacar que estos tres incisos no tienen, </w:t>
      </w:r>
      <w:r w:rsidRPr="000C7DD1">
        <w:rPr>
          <w:rFonts w:ascii="Verdana" w:eastAsiaTheme="minorHAnsi" w:hAnsi="Verdana" w:cs="Verdana"/>
          <w:i/>
          <w:sz w:val="20"/>
          <w:szCs w:val="20"/>
        </w:rPr>
        <w:t xml:space="preserve">prima facie, </w:t>
      </w:r>
      <w:r w:rsidRPr="000C7DD1">
        <w:rPr>
          <w:rFonts w:ascii="Verdana" w:eastAsiaTheme="minorHAnsi" w:hAnsi="Verdana" w:cs="Verdana"/>
          <w:sz w:val="20"/>
          <w:szCs w:val="20"/>
        </w:rPr>
        <w:t xml:space="preserve">que ser concurrentes para hacer justiciables derechos de naturaleza social. Dicho de otro modo, puede que el derecho no esté reconocido expresamente en la legislación nacional, pero si se encuentre en un tratado internacional del que el Estado sea parte. O bien, de manera inversa, puede que el derecho no se encuentre expresamente contemplado en los tratados internacionales del cual el Estado es parte, pero su legislación nacional sí lo contemple. </w:t>
      </w:r>
    </w:p>
    <w:p w14:paraId="1C0DEFF4" w14:textId="77777777" w:rsidR="00F83E8F" w:rsidRPr="000C7DD1" w:rsidRDefault="00F83E8F" w:rsidP="00F83E8F">
      <w:pPr>
        <w:pStyle w:val="ListParagraph"/>
        <w:widowControl w:val="0"/>
        <w:autoSpaceDE w:val="0"/>
        <w:autoSpaceDN w:val="0"/>
        <w:adjustRightInd w:val="0"/>
        <w:ind w:left="0" w:right="49"/>
        <w:jc w:val="both"/>
        <w:rPr>
          <w:rFonts w:ascii="Verdana" w:hAnsi="Verdana"/>
          <w:sz w:val="20"/>
          <w:szCs w:val="20"/>
        </w:rPr>
      </w:pPr>
    </w:p>
    <w:p w14:paraId="5DBB1445" w14:textId="77777777" w:rsidR="00F83E8F" w:rsidRPr="00652C2C"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652C2C">
        <w:rPr>
          <w:rFonts w:ascii="Verdana" w:eastAsiaTheme="minorHAnsi" w:hAnsi="Verdana" w:cs="Verdana"/>
          <w:sz w:val="20"/>
          <w:szCs w:val="20"/>
        </w:rPr>
        <w:t xml:space="preserve">Por otro lado, </w:t>
      </w:r>
      <w:r>
        <w:rPr>
          <w:rFonts w:ascii="Verdana" w:eastAsiaTheme="minorHAnsi" w:hAnsi="Verdana" w:cs="Verdana"/>
          <w:sz w:val="20"/>
          <w:szCs w:val="20"/>
        </w:rPr>
        <w:t>se debe</w:t>
      </w:r>
      <w:r w:rsidRPr="00652C2C">
        <w:rPr>
          <w:rFonts w:ascii="Verdana" w:eastAsiaTheme="minorHAnsi" w:hAnsi="Verdana" w:cs="Verdana"/>
          <w:sz w:val="20"/>
          <w:szCs w:val="20"/>
        </w:rPr>
        <w:t xml:space="preserve"> tener en consideración los efectos de la Declaración Americana sobre los Derechos y Deberes del Hombre, mediante la derivación de derechos vía artículo 26, </w:t>
      </w:r>
      <w:r w:rsidRPr="008D2569">
        <w:rPr>
          <w:rFonts w:ascii="Verdana" w:eastAsiaTheme="minorHAnsi" w:hAnsi="Verdana" w:cs="Verdana"/>
          <w:sz w:val="20"/>
          <w:szCs w:val="20"/>
        </w:rPr>
        <w:t>que delimita con mayor claridad el catálogo de derechos que se encuentran contenidos en la Carta de la OEA</w:t>
      </w:r>
      <w:r w:rsidRPr="00652C2C">
        <w:rPr>
          <w:rFonts w:ascii="Verdana" w:eastAsiaTheme="minorHAnsi" w:hAnsi="Verdana" w:cs="Verdana"/>
          <w:sz w:val="20"/>
          <w:szCs w:val="20"/>
        </w:rPr>
        <w:t xml:space="preserve">. Así, dependiendo del caso y del derecho bajo análisis, competerá a este Tribunal Interamericano verificar qué normas de interpretación se deben aplicar para brindar una mayor protección </w:t>
      </w:r>
      <w:r>
        <w:rPr>
          <w:rFonts w:ascii="Verdana" w:eastAsiaTheme="minorHAnsi" w:hAnsi="Verdana" w:cs="Verdana"/>
          <w:sz w:val="20"/>
          <w:szCs w:val="20"/>
        </w:rPr>
        <w:t xml:space="preserve">a la víctima, </w:t>
      </w:r>
      <w:r w:rsidRPr="00652C2C">
        <w:rPr>
          <w:rFonts w:ascii="Verdana" w:eastAsiaTheme="minorHAnsi" w:hAnsi="Verdana" w:cs="Verdana"/>
          <w:sz w:val="20"/>
          <w:szCs w:val="20"/>
        </w:rPr>
        <w:t xml:space="preserve">y  para valorar si existe o no una violación a los derechos sociales que se aleguen. </w:t>
      </w:r>
    </w:p>
    <w:p w14:paraId="6D05707B"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04B92196" w14:textId="77777777" w:rsidR="00F83E8F" w:rsidRPr="004E66B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4E66B4">
        <w:rPr>
          <w:rFonts w:ascii="Verdana" w:hAnsi="Verdana"/>
          <w:sz w:val="20"/>
          <w:szCs w:val="20"/>
        </w:rPr>
        <w:t>Com</w:t>
      </w:r>
      <w:r>
        <w:rPr>
          <w:rFonts w:ascii="Verdana" w:hAnsi="Verdana"/>
          <w:sz w:val="20"/>
          <w:szCs w:val="20"/>
        </w:rPr>
        <w:t xml:space="preserve">plementando </w:t>
      </w:r>
      <w:r w:rsidRPr="004E66B4">
        <w:rPr>
          <w:rFonts w:ascii="Verdana" w:hAnsi="Verdana"/>
          <w:sz w:val="20"/>
          <w:szCs w:val="20"/>
        </w:rPr>
        <w:t>este análisis, la Corte IDH concluye una serie de obligaciones que, en principio</w:t>
      </w:r>
      <w:r>
        <w:rPr>
          <w:rFonts w:ascii="Verdana" w:hAnsi="Verdana"/>
          <w:sz w:val="20"/>
          <w:szCs w:val="20"/>
        </w:rPr>
        <w:t>, se</w:t>
      </w:r>
      <w:r w:rsidRPr="004E66B4">
        <w:rPr>
          <w:rFonts w:ascii="Verdana" w:hAnsi="Verdana"/>
          <w:sz w:val="20"/>
          <w:szCs w:val="20"/>
        </w:rPr>
        <w:t xml:space="preserve"> traducen en los siguientes deberes: “a) adoptar las medidas adecuadas para la debi</w:t>
      </w:r>
      <w:r>
        <w:rPr>
          <w:rFonts w:ascii="Verdana" w:hAnsi="Verdana"/>
          <w:sz w:val="20"/>
          <w:szCs w:val="20"/>
        </w:rPr>
        <w:t>da regulación y fiscalización [del derecho al trabajo]</w:t>
      </w:r>
      <w:r w:rsidRPr="004E66B4">
        <w:rPr>
          <w:rFonts w:ascii="Verdana" w:hAnsi="Verdana"/>
          <w:sz w:val="20"/>
          <w:szCs w:val="20"/>
        </w:rPr>
        <w:t xml:space="preserve">; b) proteger al trabajador y trabajadora, a través de sus órganos competentes, contra el despido injustificado, c) en caso de despido injustificado, remediar la situación (ya sea, a través de la reinstalación o, en su caso, mediante la indemnización y otras prestaciones previstas en la legislación nacional). Por ende, d) el Estado debe </w:t>
      </w:r>
      <w:r w:rsidRPr="004E66B4">
        <w:rPr>
          <w:rFonts w:ascii="Verdana" w:hAnsi="Verdana" w:cs="Verdana"/>
          <w:sz w:val="20"/>
          <w:szCs w:val="20"/>
        </w:rPr>
        <w:t>disponer de mecanismos efectivos de reclamo frente</w:t>
      </w:r>
      <w:r w:rsidRPr="004E66B4">
        <w:rPr>
          <w:rFonts w:ascii="Verdana" w:hAnsi="Verdana"/>
          <w:sz w:val="20"/>
          <w:szCs w:val="20"/>
        </w:rPr>
        <w:t xml:space="preserve"> a una situación de despido injustificado, a fin de garantizar el acceso a la justicia y la tutela judicial efectiva de tales derechos</w:t>
      </w:r>
      <w:r>
        <w:rPr>
          <w:rFonts w:ascii="Verdana" w:hAnsi="Verdana"/>
          <w:sz w:val="20"/>
          <w:szCs w:val="20"/>
        </w:rPr>
        <w:t>”</w:t>
      </w:r>
      <w:r w:rsidRPr="004E66B4">
        <w:rPr>
          <w:rStyle w:val="FootnoteReference"/>
          <w:szCs w:val="20"/>
        </w:rPr>
        <w:footnoteReference w:id="317"/>
      </w:r>
      <w:r w:rsidRPr="004E66B4">
        <w:rPr>
          <w:rFonts w:ascii="Verdana" w:hAnsi="Verdana"/>
          <w:sz w:val="20"/>
          <w:szCs w:val="20"/>
        </w:rPr>
        <w:t xml:space="preserve">. Es decir, </w:t>
      </w:r>
      <w:r>
        <w:rPr>
          <w:rFonts w:ascii="Verdana" w:hAnsi="Verdana"/>
          <w:sz w:val="20"/>
          <w:szCs w:val="20"/>
        </w:rPr>
        <w:t xml:space="preserve">la Corte IDH </w:t>
      </w:r>
      <w:r w:rsidRPr="004E66B4">
        <w:rPr>
          <w:rFonts w:ascii="Verdana" w:hAnsi="Verdana"/>
          <w:sz w:val="20"/>
          <w:szCs w:val="20"/>
        </w:rPr>
        <w:t xml:space="preserve">identifica obligaciones concretas en relación </w:t>
      </w:r>
      <w:r>
        <w:rPr>
          <w:rFonts w:ascii="Verdana" w:hAnsi="Verdana"/>
          <w:sz w:val="20"/>
          <w:szCs w:val="20"/>
        </w:rPr>
        <w:t>con el</w:t>
      </w:r>
      <w:r w:rsidRPr="004E66B4">
        <w:rPr>
          <w:rFonts w:ascii="Verdana" w:hAnsi="Verdana"/>
          <w:sz w:val="20"/>
          <w:szCs w:val="20"/>
        </w:rPr>
        <w:t xml:space="preserve"> derecho al trabajo (estabilidad laboral). </w:t>
      </w:r>
    </w:p>
    <w:p w14:paraId="4D4A378E" w14:textId="77777777" w:rsidR="00F83E8F" w:rsidRPr="004E66B4" w:rsidRDefault="00F83E8F" w:rsidP="00F83E8F">
      <w:pPr>
        <w:widowControl w:val="0"/>
        <w:autoSpaceDE w:val="0"/>
        <w:autoSpaceDN w:val="0"/>
        <w:adjustRightInd w:val="0"/>
        <w:ind w:right="49"/>
        <w:jc w:val="both"/>
        <w:rPr>
          <w:rFonts w:ascii="Verdana" w:hAnsi="Verdana"/>
          <w:sz w:val="20"/>
          <w:szCs w:val="20"/>
        </w:rPr>
      </w:pPr>
    </w:p>
    <w:p w14:paraId="3342280A" w14:textId="77777777" w:rsidR="00F83E8F" w:rsidRPr="005B3CA3"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E</w:t>
      </w:r>
      <w:r w:rsidRPr="004E66B4">
        <w:rPr>
          <w:rFonts w:ascii="Verdana" w:hAnsi="Verdana"/>
          <w:sz w:val="20"/>
          <w:szCs w:val="20"/>
        </w:rPr>
        <w:t xml:space="preserve">n cuanto </w:t>
      </w:r>
      <w:r>
        <w:rPr>
          <w:rFonts w:ascii="Verdana" w:hAnsi="Verdana"/>
          <w:sz w:val="20"/>
          <w:szCs w:val="20"/>
        </w:rPr>
        <w:t xml:space="preserve">a </w:t>
      </w:r>
      <w:r w:rsidRPr="004E66B4">
        <w:rPr>
          <w:rFonts w:ascii="Verdana" w:hAnsi="Verdana"/>
          <w:sz w:val="20"/>
          <w:szCs w:val="20"/>
        </w:rPr>
        <w:t>la violación del derecho a la estabilidad laboral como parte del derecho a</w:t>
      </w:r>
      <w:r>
        <w:rPr>
          <w:rFonts w:ascii="Verdana" w:hAnsi="Verdana"/>
          <w:sz w:val="20"/>
          <w:szCs w:val="20"/>
        </w:rPr>
        <w:t>l trabajo, la Corte IDH concluye</w:t>
      </w:r>
      <w:r w:rsidRPr="004E66B4">
        <w:rPr>
          <w:rFonts w:ascii="Verdana" w:hAnsi="Verdana"/>
          <w:sz w:val="20"/>
          <w:szCs w:val="20"/>
        </w:rPr>
        <w:t xml:space="preserve"> que: </w:t>
      </w:r>
    </w:p>
    <w:p w14:paraId="0C06DF3A" w14:textId="77777777" w:rsidR="00F83E8F" w:rsidRPr="004E66B4" w:rsidRDefault="00F83E8F" w:rsidP="00F83E8F">
      <w:pPr>
        <w:pStyle w:val="ListParagraph"/>
        <w:widowControl w:val="0"/>
        <w:autoSpaceDE w:val="0"/>
        <w:autoSpaceDN w:val="0"/>
        <w:adjustRightInd w:val="0"/>
        <w:ind w:left="0" w:right="855"/>
        <w:jc w:val="both"/>
        <w:rPr>
          <w:rFonts w:ascii="Verdana" w:hAnsi="Verdana"/>
          <w:sz w:val="16"/>
          <w:szCs w:val="16"/>
        </w:rPr>
      </w:pPr>
      <w:r w:rsidRPr="004E66B4">
        <w:rPr>
          <w:rFonts w:ascii="Verdana" w:hAnsi="Verdana"/>
          <w:sz w:val="20"/>
          <w:szCs w:val="20"/>
        </w:rPr>
        <w:t xml:space="preserve"> </w:t>
      </w:r>
    </w:p>
    <w:p w14:paraId="7EAE7481" w14:textId="77777777" w:rsidR="00F83E8F" w:rsidRPr="004E66B4" w:rsidRDefault="00F83E8F" w:rsidP="00E70701">
      <w:pPr>
        <w:pStyle w:val="ListParagraph"/>
        <w:numPr>
          <w:ilvl w:val="0"/>
          <w:numId w:val="30"/>
        </w:numPr>
        <w:ind w:left="709" w:right="738" w:firstLine="0"/>
        <w:jc w:val="both"/>
        <w:rPr>
          <w:rFonts w:ascii="Verdana" w:hAnsi="Verdana"/>
          <w:sz w:val="16"/>
          <w:szCs w:val="16"/>
        </w:rPr>
      </w:pPr>
      <w:r w:rsidRPr="004E66B4">
        <w:rPr>
          <w:rFonts w:ascii="Verdana" w:hAnsi="Verdana"/>
          <w:sz w:val="16"/>
          <w:szCs w:val="16"/>
        </w:rPr>
        <w:t xml:space="preserve">En el caso concreto, el señor Lagos del Campo había trabajado como obrero aproximadamente 13 años en la referida empresa, y al momento de los hechos ocupaba el cargo de Presidente del Comité Electoral de la Comunidad Industrial de la empresa y delegado pleno ante el CONACI. Con motivo de las manifestaciones recogidas en la entrevista publicada en la revista La Razón, en el contexto de las elecciones internas, el señor Lagos del Campo fue despedido bajo la causal de haber realizado una falta grave de palabra contra el empleador. El señor Lagos del Campo impugnó dicha decisión ante los órganos competentes, la cual fue avalada en segunda instancia, al considerar el despido se habría dado bajo causa justificada. Dicha decisión fue recurrida ante diversas </w:t>
      </w:r>
      <w:r w:rsidRPr="004E66B4">
        <w:rPr>
          <w:rFonts w:ascii="Verdana" w:hAnsi="Verdana"/>
          <w:sz w:val="16"/>
          <w:szCs w:val="16"/>
        </w:rPr>
        <w:lastRenderedPageBreak/>
        <w:t>instancias internas sin haber encontrado tutela, particularmente, respecto de su derecho a la estabilidad laboral, al alegarse causas injustificadas o carentes de motivos para el despido y afectaciones al debido proceso. Es decir, frente al despido arbitrario por parte de la empresa (</w:t>
      </w:r>
      <w:r w:rsidRPr="004E66B4">
        <w:rPr>
          <w:rFonts w:ascii="Verdana" w:hAnsi="Verdana"/>
          <w:i/>
          <w:sz w:val="16"/>
          <w:szCs w:val="16"/>
        </w:rPr>
        <w:t>supra</w:t>
      </w:r>
      <w:r>
        <w:rPr>
          <w:rFonts w:ascii="Verdana" w:hAnsi="Verdana"/>
          <w:sz w:val="16"/>
          <w:szCs w:val="16"/>
        </w:rPr>
        <w:t>, párr. 132</w:t>
      </w:r>
      <w:r w:rsidRPr="004E66B4">
        <w:rPr>
          <w:rFonts w:ascii="Verdana" w:hAnsi="Verdana"/>
          <w:sz w:val="16"/>
          <w:szCs w:val="16"/>
        </w:rPr>
        <w:t xml:space="preserve">) el Estado no adoptó las medidas adecuadas para proteger la vulneración del derecho al trabajo imputable a terceros. Por ende, no se le reinstaló en su puesto de trabajo ni recibió ninguna indemnización ni los beneficios correspondientes. </w:t>
      </w:r>
    </w:p>
    <w:p w14:paraId="05B88129" w14:textId="77777777" w:rsidR="00F83E8F" w:rsidRPr="004E66B4" w:rsidRDefault="00F83E8F" w:rsidP="00F83E8F">
      <w:pPr>
        <w:pStyle w:val="ListParagraph"/>
        <w:ind w:left="709" w:right="738"/>
        <w:jc w:val="both"/>
        <w:rPr>
          <w:rFonts w:ascii="Verdana" w:hAnsi="Verdana"/>
          <w:sz w:val="16"/>
          <w:szCs w:val="16"/>
        </w:rPr>
      </w:pPr>
    </w:p>
    <w:p w14:paraId="123FC4F5" w14:textId="77777777" w:rsidR="00F83E8F" w:rsidRPr="004E66B4" w:rsidRDefault="00F83E8F" w:rsidP="00E70701">
      <w:pPr>
        <w:pStyle w:val="ListParagraph"/>
        <w:numPr>
          <w:ilvl w:val="0"/>
          <w:numId w:val="30"/>
        </w:numPr>
        <w:ind w:left="709" w:right="738" w:firstLine="0"/>
        <w:jc w:val="both"/>
        <w:rPr>
          <w:rFonts w:ascii="Verdana" w:hAnsi="Verdana"/>
          <w:sz w:val="16"/>
          <w:szCs w:val="16"/>
        </w:rPr>
      </w:pPr>
      <w:r w:rsidRPr="004E66B4">
        <w:rPr>
          <w:rFonts w:ascii="Verdana" w:hAnsi="Verdana"/>
          <w:sz w:val="16"/>
          <w:szCs w:val="16"/>
        </w:rPr>
        <w:t>Con motivo de ello, el señor Lagos del Campo perdió su empleo, la posibilidad de acceder a una pensión por jubilación, así como ejercer sus derechos como representante de los trabajadores. Tal incidente tuvo como consecuencia ciertas repercusiones en su vida profesional, personal y familiar (</w:t>
      </w:r>
      <w:r w:rsidRPr="004E66B4">
        <w:rPr>
          <w:rFonts w:ascii="Verdana" w:hAnsi="Verdana"/>
          <w:i/>
          <w:sz w:val="16"/>
          <w:szCs w:val="16"/>
        </w:rPr>
        <w:t>supra,</w:t>
      </w:r>
      <w:r w:rsidRPr="004E66B4">
        <w:rPr>
          <w:rFonts w:ascii="Verdana" w:hAnsi="Verdana"/>
          <w:sz w:val="16"/>
          <w:szCs w:val="16"/>
        </w:rPr>
        <w:t xml:space="preserve"> párr. 72). […]</w:t>
      </w:r>
    </w:p>
    <w:p w14:paraId="3373B449" w14:textId="77777777" w:rsidR="00F83E8F" w:rsidRPr="004E66B4" w:rsidRDefault="00F83E8F" w:rsidP="00F83E8F">
      <w:pPr>
        <w:ind w:right="738"/>
        <w:jc w:val="both"/>
        <w:rPr>
          <w:rFonts w:ascii="Verdana" w:hAnsi="Verdana"/>
          <w:b/>
          <w:sz w:val="16"/>
          <w:szCs w:val="16"/>
        </w:rPr>
      </w:pPr>
    </w:p>
    <w:p w14:paraId="78D820B8" w14:textId="77777777" w:rsidR="00F83E8F" w:rsidRPr="004E66B4" w:rsidRDefault="00F83E8F" w:rsidP="00E70701">
      <w:pPr>
        <w:pStyle w:val="ListParagraph"/>
        <w:numPr>
          <w:ilvl w:val="0"/>
          <w:numId w:val="30"/>
        </w:numPr>
        <w:ind w:left="709" w:right="738" w:firstLine="0"/>
        <w:jc w:val="both"/>
        <w:rPr>
          <w:rFonts w:ascii="Verdana" w:hAnsi="Verdana"/>
          <w:sz w:val="16"/>
          <w:szCs w:val="16"/>
        </w:rPr>
      </w:pPr>
      <w:r w:rsidRPr="004E66B4">
        <w:rPr>
          <w:rFonts w:ascii="Verdana" w:hAnsi="Verdana"/>
          <w:sz w:val="16"/>
          <w:szCs w:val="16"/>
        </w:rPr>
        <w:t xml:space="preserve">En vista de lo anterior, </w:t>
      </w:r>
      <w:r w:rsidRPr="004E66B4">
        <w:rPr>
          <w:rFonts w:ascii="Verdana" w:hAnsi="Verdana"/>
          <w:sz w:val="16"/>
          <w:szCs w:val="16"/>
          <w:u w:val="single"/>
        </w:rPr>
        <w:t>la Corte concluye que, con motivo del despido arbitrario del señor Lagos del Campo, se le privó de su empleo y demás beneficios derivados de la seguridad social,</w:t>
      </w:r>
      <w:r w:rsidRPr="004E66B4">
        <w:rPr>
          <w:rFonts w:ascii="Verdana" w:hAnsi="Verdana"/>
          <w:sz w:val="16"/>
          <w:szCs w:val="16"/>
        </w:rPr>
        <w:t xml:space="preserve"> ante lo cual </w:t>
      </w:r>
      <w:r w:rsidRPr="004E66B4">
        <w:rPr>
          <w:rFonts w:ascii="Verdana" w:hAnsi="Verdana"/>
          <w:b/>
          <w:sz w:val="16"/>
          <w:szCs w:val="16"/>
        </w:rPr>
        <w:t>el Estado peruano no tuteló el derecho a la estabilidad laboral, en interpretación del artículo 26 de la Convención Americana, en relación con los artículos 1.1, 13, 8 y 16</w:t>
      </w:r>
      <w:r w:rsidRPr="004E66B4">
        <w:rPr>
          <w:rFonts w:ascii="Verdana" w:hAnsi="Verdana"/>
          <w:sz w:val="16"/>
          <w:szCs w:val="16"/>
        </w:rPr>
        <w:t xml:space="preserve"> de la misma, en perjuicio del señor Lagos del Campo</w:t>
      </w:r>
      <w:r>
        <w:rPr>
          <w:rStyle w:val="FootnoteReference"/>
          <w:sz w:val="16"/>
          <w:szCs w:val="16"/>
        </w:rPr>
        <w:footnoteReference w:id="318"/>
      </w:r>
      <w:r w:rsidRPr="004E66B4">
        <w:rPr>
          <w:rFonts w:ascii="Verdana" w:hAnsi="Verdana"/>
          <w:sz w:val="16"/>
          <w:szCs w:val="16"/>
        </w:rPr>
        <w:t>.</w:t>
      </w:r>
    </w:p>
    <w:p w14:paraId="166C28A2" w14:textId="77777777" w:rsidR="00F83E8F" w:rsidRPr="004E66B4" w:rsidRDefault="00F83E8F" w:rsidP="00F83E8F">
      <w:pPr>
        <w:jc w:val="both"/>
        <w:rPr>
          <w:rFonts w:ascii="Verdana" w:hAnsi="Verdana"/>
          <w:sz w:val="20"/>
          <w:szCs w:val="20"/>
        </w:rPr>
      </w:pPr>
    </w:p>
    <w:p w14:paraId="4E5F9702" w14:textId="77777777" w:rsidR="00F83E8F" w:rsidRPr="004E66B4" w:rsidRDefault="00F83E8F" w:rsidP="00E70701">
      <w:pPr>
        <w:pStyle w:val="ListParagraph"/>
        <w:numPr>
          <w:ilvl w:val="0"/>
          <w:numId w:val="28"/>
        </w:numPr>
        <w:ind w:left="0" w:firstLine="0"/>
        <w:jc w:val="both"/>
        <w:rPr>
          <w:rFonts w:ascii="Verdana" w:hAnsi="Verdana"/>
          <w:b/>
          <w:bCs/>
          <w:sz w:val="20"/>
          <w:szCs w:val="20"/>
          <w:u w:val="single"/>
        </w:rPr>
      </w:pPr>
      <w:r>
        <w:rPr>
          <w:rFonts w:ascii="Verdana" w:hAnsi="Verdana"/>
          <w:bCs/>
          <w:sz w:val="20"/>
          <w:szCs w:val="20"/>
        </w:rPr>
        <w:t xml:space="preserve">Como se </w:t>
      </w:r>
      <w:r w:rsidRPr="004E66B4">
        <w:rPr>
          <w:rFonts w:ascii="Verdana" w:hAnsi="Verdana"/>
          <w:bCs/>
          <w:sz w:val="20"/>
          <w:szCs w:val="20"/>
        </w:rPr>
        <w:t>hace alusión en la Sentencia:</w:t>
      </w:r>
      <w:r>
        <w:rPr>
          <w:rFonts w:ascii="Verdana" w:hAnsi="Verdana"/>
          <w:bCs/>
          <w:sz w:val="20"/>
          <w:szCs w:val="20"/>
        </w:rPr>
        <w:t xml:space="preserve"> “[…] l</w:t>
      </w:r>
      <w:r w:rsidRPr="004E66B4">
        <w:rPr>
          <w:rFonts w:ascii="Verdana" w:hAnsi="Verdana"/>
          <w:bCs/>
          <w:sz w:val="20"/>
          <w:szCs w:val="20"/>
        </w:rPr>
        <w:t xml:space="preserve">a Corte ha establecido […] su competencia para conocer y resolver controversias relativas al artículo 26 de la Convención Americana, como parte integrante de los </w:t>
      </w:r>
      <w:r>
        <w:rPr>
          <w:rFonts w:ascii="Verdana" w:hAnsi="Verdana"/>
          <w:bCs/>
          <w:sz w:val="20"/>
          <w:szCs w:val="20"/>
        </w:rPr>
        <w:t>derechos enumerados en la misma. Al respecto,</w:t>
      </w:r>
      <w:r w:rsidRPr="004E66B4">
        <w:rPr>
          <w:rFonts w:ascii="Verdana" w:hAnsi="Verdana"/>
          <w:bCs/>
          <w:sz w:val="20"/>
          <w:szCs w:val="20"/>
        </w:rPr>
        <w:t xml:space="preserve"> el artículo 1.1 </w:t>
      </w:r>
      <w:r>
        <w:rPr>
          <w:rFonts w:ascii="Verdana" w:hAnsi="Verdana"/>
          <w:bCs/>
          <w:sz w:val="20"/>
          <w:szCs w:val="20"/>
        </w:rPr>
        <w:t xml:space="preserve">de la Convención Americana </w:t>
      </w:r>
      <w:r w:rsidRPr="004E66B4">
        <w:rPr>
          <w:rFonts w:ascii="Verdana" w:hAnsi="Verdana"/>
          <w:bCs/>
          <w:sz w:val="20"/>
          <w:szCs w:val="20"/>
        </w:rPr>
        <w:t>confiere obligaciones general</w:t>
      </w:r>
      <w:r>
        <w:rPr>
          <w:rFonts w:ascii="Verdana" w:hAnsi="Verdana"/>
          <w:bCs/>
          <w:sz w:val="20"/>
          <w:szCs w:val="20"/>
        </w:rPr>
        <w:t>es</w:t>
      </w:r>
      <w:r w:rsidRPr="004E66B4">
        <w:rPr>
          <w:rFonts w:ascii="Verdana" w:hAnsi="Verdana"/>
          <w:bCs/>
          <w:sz w:val="20"/>
          <w:szCs w:val="20"/>
        </w:rPr>
        <w:t xml:space="preserve"> de respecto y garantía a los Estados  [en materia de derechos económicos, sociales, culturales y ambientales]. Asimismo, la Corte ha dispuesto importantes desarrollos jurisprudenciales en la materia a la luz de diversos artículos convencionales […]”. Y agrega: </w:t>
      </w:r>
    </w:p>
    <w:p w14:paraId="4430FE7E" w14:textId="77777777" w:rsidR="00F83E8F" w:rsidRPr="004E66B4" w:rsidRDefault="00F83E8F" w:rsidP="00F83E8F">
      <w:pPr>
        <w:pStyle w:val="ListParagraph"/>
        <w:ind w:left="0"/>
        <w:jc w:val="both"/>
        <w:rPr>
          <w:rFonts w:ascii="Verdana" w:hAnsi="Verdana"/>
          <w:b/>
          <w:bCs/>
          <w:sz w:val="20"/>
          <w:szCs w:val="20"/>
          <w:u w:val="single"/>
        </w:rPr>
      </w:pPr>
      <w:r w:rsidRPr="004E66B4">
        <w:rPr>
          <w:rFonts w:ascii="Verdana" w:hAnsi="Verdana"/>
          <w:bCs/>
          <w:sz w:val="20"/>
          <w:szCs w:val="20"/>
        </w:rPr>
        <w:t xml:space="preserve"> </w:t>
      </w:r>
    </w:p>
    <w:p w14:paraId="26A00EA7" w14:textId="77777777" w:rsidR="00F83E8F" w:rsidRPr="004E66B4" w:rsidRDefault="00F83E8F" w:rsidP="00F83E8F">
      <w:pPr>
        <w:pStyle w:val="ListParagraph"/>
        <w:ind w:left="708" w:right="738"/>
        <w:jc w:val="both"/>
        <w:rPr>
          <w:rFonts w:ascii="Verdana" w:hAnsi="Verdana"/>
          <w:bCs/>
          <w:sz w:val="16"/>
          <w:szCs w:val="16"/>
          <w:u w:val="single"/>
        </w:rPr>
      </w:pPr>
      <w:r w:rsidRPr="004E66B4">
        <w:rPr>
          <w:rFonts w:ascii="Verdana" w:hAnsi="Verdana"/>
          <w:bCs/>
          <w:sz w:val="16"/>
          <w:szCs w:val="16"/>
        </w:rPr>
        <w:t xml:space="preserve">154. […]En atención a estos precedentes, </w:t>
      </w:r>
      <w:r w:rsidRPr="004E66B4">
        <w:rPr>
          <w:rFonts w:ascii="Verdana" w:hAnsi="Verdana"/>
          <w:b/>
          <w:bCs/>
          <w:sz w:val="16"/>
          <w:szCs w:val="16"/>
        </w:rPr>
        <w:t>con esta Sentencia se desarrolla y concreta una condena específica por la violación del artículo 26 de la Convención Americana sobre Derechos Humanos</w:t>
      </w:r>
      <w:r w:rsidRPr="004E66B4">
        <w:rPr>
          <w:rFonts w:ascii="Verdana" w:hAnsi="Verdana"/>
          <w:bCs/>
          <w:sz w:val="16"/>
          <w:szCs w:val="16"/>
        </w:rPr>
        <w:t xml:space="preserve">, </w:t>
      </w:r>
      <w:r w:rsidRPr="004E66B4">
        <w:rPr>
          <w:rFonts w:ascii="Verdana" w:hAnsi="Verdana"/>
          <w:bCs/>
          <w:i/>
          <w:sz w:val="16"/>
          <w:szCs w:val="16"/>
        </w:rPr>
        <w:t>dispuesto en el Capítulo III, titulado Derechos Económicos, Sociales y Culturales de este tratado</w:t>
      </w:r>
      <w:r>
        <w:rPr>
          <w:rStyle w:val="FootnoteReference"/>
          <w:bCs/>
          <w:i/>
          <w:sz w:val="16"/>
          <w:szCs w:val="16"/>
        </w:rPr>
        <w:footnoteReference w:id="319"/>
      </w:r>
      <w:r w:rsidRPr="004E66B4">
        <w:rPr>
          <w:rFonts w:ascii="Verdana" w:hAnsi="Verdana"/>
          <w:bCs/>
          <w:sz w:val="16"/>
          <w:szCs w:val="16"/>
        </w:rPr>
        <w:t>.</w:t>
      </w:r>
      <w:r w:rsidRPr="004E66B4">
        <w:rPr>
          <w:rFonts w:ascii="Verdana" w:hAnsi="Verdana"/>
          <w:bCs/>
          <w:sz w:val="16"/>
          <w:szCs w:val="16"/>
          <w:u w:val="single"/>
        </w:rPr>
        <w:t xml:space="preserve"> </w:t>
      </w:r>
    </w:p>
    <w:p w14:paraId="655EDF34" w14:textId="77777777" w:rsidR="00F83E8F" w:rsidRPr="004E66B4" w:rsidRDefault="00F83E8F" w:rsidP="00F83E8F">
      <w:pPr>
        <w:widowControl w:val="0"/>
        <w:autoSpaceDE w:val="0"/>
        <w:autoSpaceDN w:val="0"/>
        <w:adjustRightInd w:val="0"/>
        <w:ind w:right="49"/>
        <w:jc w:val="both"/>
        <w:rPr>
          <w:rFonts w:ascii="Verdana" w:hAnsi="Verdana"/>
          <w:sz w:val="20"/>
          <w:szCs w:val="20"/>
        </w:rPr>
      </w:pPr>
    </w:p>
    <w:p w14:paraId="03A5B31F" w14:textId="77777777" w:rsidR="00F83E8F"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Este primer análisis nos ha permitido observar que</w:t>
      </w:r>
      <w:r w:rsidRPr="004E66B4">
        <w:rPr>
          <w:rFonts w:ascii="Verdana" w:hAnsi="Verdana"/>
          <w:sz w:val="20"/>
          <w:szCs w:val="20"/>
        </w:rPr>
        <w:t xml:space="preserve"> la Corte IDH </w:t>
      </w:r>
      <w:r>
        <w:rPr>
          <w:rFonts w:ascii="Verdana" w:hAnsi="Verdana"/>
          <w:sz w:val="20"/>
          <w:szCs w:val="20"/>
        </w:rPr>
        <w:t>desarrolla</w:t>
      </w:r>
      <w:r w:rsidRPr="004E66B4">
        <w:rPr>
          <w:rFonts w:ascii="Verdana" w:hAnsi="Verdana"/>
          <w:sz w:val="20"/>
          <w:szCs w:val="20"/>
        </w:rPr>
        <w:t xml:space="preserve"> la violación del artículo 26 </w:t>
      </w:r>
      <w:r>
        <w:rPr>
          <w:rFonts w:ascii="Verdana" w:hAnsi="Verdana"/>
          <w:sz w:val="20"/>
          <w:szCs w:val="20"/>
        </w:rPr>
        <w:t xml:space="preserve">de la Convención Americana, </w:t>
      </w:r>
      <w:r w:rsidRPr="004E66B4">
        <w:rPr>
          <w:rFonts w:ascii="Verdana" w:hAnsi="Verdana"/>
          <w:sz w:val="20"/>
          <w:szCs w:val="20"/>
        </w:rPr>
        <w:t>concretamente</w:t>
      </w:r>
      <w:r>
        <w:rPr>
          <w:rFonts w:ascii="Verdana" w:hAnsi="Verdana"/>
          <w:sz w:val="20"/>
          <w:szCs w:val="20"/>
        </w:rPr>
        <w:t>,</w:t>
      </w:r>
      <w:r w:rsidRPr="004E66B4">
        <w:rPr>
          <w:rFonts w:ascii="Verdana" w:hAnsi="Verdana"/>
          <w:sz w:val="20"/>
          <w:szCs w:val="20"/>
        </w:rPr>
        <w:t xml:space="preserve"> en relación con la estabilidad laboral. En este sentido, y ello constituye la esencia del presente voto, </w:t>
      </w:r>
      <w:r w:rsidRPr="005C3E8D">
        <w:rPr>
          <w:rFonts w:ascii="Verdana" w:hAnsi="Verdana"/>
          <w:sz w:val="20"/>
          <w:szCs w:val="20"/>
        </w:rPr>
        <w:t xml:space="preserve">este mismo análisis pudo haberse </w:t>
      </w:r>
      <w:r>
        <w:rPr>
          <w:rFonts w:ascii="Verdana" w:hAnsi="Verdana"/>
          <w:sz w:val="20"/>
          <w:szCs w:val="20"/>
        </w:rPr>
        <w:t>seguido</w:t>
      </w:r>
      <w:r w:rsidRPr="005C3E8D">
        <w:rPr>
          <w:rFonts w:ascii="Verdana" w:hAnsi="Verdana"/>
          <w:sz w:val="20"/>
          <w:szCs w:val="20"/>
        </w:rPr>
        <w:t xml:space="preserve"> en la afectación del derecho de asociación laboral para la protección y promoción de los intereses de los trabajadores</w:t>
      </w:r>
      <w:r>
        <w:rPr>
          <w:rFonts w:ascii="Verdana" w:hAnsi="Verdana"/>
          <w:sz w:val="20"/>
          <w:szCs w:val="20"/>
        </w:rPr>
        <w:t>. De</w:t>
      </w:r>
      <w:r w:rsidRPr="005C3E8D">
        <w:rPr>
          <w:rFonts w:ascii="Verdana" w:hAnsi="Verdana"/>
          <w:sz w:val="20"/>
          <w:szCs w:val="20"/>
        </w:rPr>
        <w:t xml:space="preserve"> esta</w:t>
      </w:r>
      <w:r>
        <w:rPr>
          <w:rFonts w:ascii="Verdana" w:hAnsi="Verdana"/>
          <w:sz w:val="20"/>
          <w:szCs w:val="20"/>
        </w:rPr>
        <w:t xml:space="preserve"> forma se pudo haber establecido </w:t>
      </w:r>
      <w:r w:rsidRPr="004E66B4">
        <w:rPr>
          <w:rFonts w:ascii="Verdana" w:hAnsi="Verdana"/>
          <w:sz w:val="20"/>
          <w:szCs w:val="20"/>
        </w:rPr>
        <w:t xml:space="preserve">las diferencias con la jurisprudencia anterior en materia de asociación sindical. </w:t>
      </w:r>
    </w:p>
    <w:p w14:paraId="06D56EF4" w14:textId="77777777" w:rsidR="00F83E8F" w:rsidRPr="00ED5B40" w:rsidRDefault="00F83E8F" w:rsidP="00F83E8F">
      <w:pPr>
        <w:pStyle w:val="ListParagraph"/>
        <w:widowControl w:val="0"/>
        <w:autoSpaceDE w:val="0"/>
        <w:autoSpaceDN w:val="0"/>
        <w:adjustRightInd w:val="0"/>
        <w:ind w:left="0" w:right="49"/>
        <w:jc w:val="both"/>
        <w:rPr>
          <w:rFonts w:ascii="Verdana" w:hAnsi="Verdana"/>
          <w:sz w:val="20"/>
          <w:szCs w:val="20"/>
        </w:rPr>
      </w:pPr>
    </w:p>
    <w:p w14:paraId="450E2D14" w14:textId="77777777" w:rsidR="00F83E8F" w:rsidRDefault="00F83E8F" w:rsidP="00F83E8F">
      <w:pPr>
        <w:pStyle w:val="ListParagraph"/>
        <w:widowControl w:val="0"/>
        <w:autoSpaceDE w:val="0"/>
        <w:autoSpaceDN w:val="0"/>
        <w:adjustRightInd w:val="0"/>
        <w:ind w:left="0"/>
        <w:jc w:val="center"/>
        <w:rPr>
          <w:rFonts w:ascii="Verdana" w:hAnsi="Verdana"/>
          <w:sz w:val="20"/>
          <w:szCs w:val="20"/>
        </w:rPr>
      </w:pPr>
      <w:r w:rsidRPr="00A75D43">
        <w:rPr>
          <w:rFonts w:ascii="Verdana" w:hAnsi="Verdana"/>
          <w:sz w:val="20"/>
          <w:szCs w:val="20"/>
        </w:rPr>
        <w:t xml:space="preserve">II. </w:t>
      </w:r>
      <w:r>
        <w:rPr>
          <w:rFonts w:ascii="Verdana" w:hAnsi="Verdana"/>
          <w:sz w:val="20"/>
          <w:szCs w:val="20"/>
        </w:rPr>
        <w:t xml:space="preserve"> </w:t>
      </w:r>
      <w:r w:rsidRPr="00A75D43">
        <w:rPr>
          <w:rFonts w:ascii="Verdana" w:hAnsi="Verdana"/>
          <w:sz w:val="20"/>
          <w:szCs w:val="20"/>
        </w:rPr>
        <w:t xml:space="preserve">EL DERECHO DE ASOCIACIÓN EN LA JURISPRUDENCIA DE LA </w:t>
      </w:r>
    </w:p>
    <w:p w14:paraId="4BE43913" w14:textId="77777777" w:rsidR="00F83E8F" w:rsidRDefault="00F83E8F" w:rsidP="00F83E8F">
      <w:pPr>
        <w:pStyle w:val="ListParagraph"/>
        <w:widowControl w:val="0"/>
        <w:autoSpaceDE w:val="0"/>
        <w:autoSpaceDN w:val="0"/>
        <w:adjustRightInd w:val="0"/>
        <w:ind w:left="0"/>
        <w:jc w:val="center"/>
        <w:rPr>
          <w:rFonts w:ascii="Verdana" w:hAnsi="Verdana"/>
          <w:sz w:val="20"/>
          <w:szCs w:val="20"/>
        </w:rPr>
      </w:pPr>
      <w:r w:rsidRPr="00A75D43">
        <w:rPr>
          <w:rFonts w:ascii="Verdana" w:hAnsi="Verdana"/>
          <w:sz w:val="20"/>
          <w:szCs w:val="20"/>
        </w:rPr>
        <w:t>CORTE INTERAMERICANA DE DERECHOS HUMANOS</w:t>
      </w:r>
    </w:p>
    <w:p w14:paraId="0D6E5B75" w14:textId="77777777" w:rsidR="00F83E8F" w:rsidRPr="004E66B4" w:rsidRDefault="00F83E8F" w:rsidP="00F83E8F">
      <w:pPr>
        <w:pStyle w:val="ListParagraph"/>
        <w:widowControl w:val="0"/>
        <w:autoSpaceDE w:val="0"/>
        <w:autoSpaceDN w:val="0"/>
        <w:adjustRightInd w:val="0"/>
        <w:ind w:left="0"/>
        <w:rPr>
          <w:rFonts w:ascii="Verdana" w:hAnsi="Verdana"/>
          <w:sz w:val="20"/>
          <w:szCs w:val="20"/>
        </w:rPr>
      </w:pPr>
    </w:p>
    <w:p w14:paraId="5DB74AE7" w14:textId="77777777" w:rsidR="00F83E8F" w:rsidRPr="004E66B4" w:rsidRDefault="00F83E8F" w:rsidP="00E70701">
      <w:pPr>
        <w:pStyle w:val="ListParagraph"/>
        <w:numPr>
          <w:ilvl w:val="0"/>
          <w:numId w:val="28"/>
        </w:numPr>
        <w:ind w:left="0" w:firstLine="0"/>
        <w:jc w:val="both"/>
        <w:rPr>
          <w:rFonts w:ascii="Verdana" w:hAnsi="Verdana"/>
          <w:sz w:val="20"/>
          <w:szCs w:val="20"/>
        </w:rPr>
      </w:pPr>
      <w:r w:rsidRPr="004E66B4">
        <w:rPr>
          <w:rFonts w:ascii="Verdana" w:hAnsi="Verdana"/>
          <w:sz w:val="20"/>
          <w:szCs w:val="20"/>
        </w:rPr>
        <w:t xml:space="preserve">El derecho de </w:t>
      </w:r>
      <w:r>
        <w:rPr>
          <w:rFonts w:ascii="Verdana" w:hAnsi="Verdana"/>
          <w:sz w:val="20"/>
          <w:szCs w:val="20"/>
        </w:rPr>
        <w:t>“</w:t>
      </w:r>
      <w:r w:rsidRPr="004E66B4">
        <w:rPr>
          <w:rFonts w:ascii="Verdana" w:hAnsi="Verdana"/>
          <w:sz w:val="20"/>
          <w:szCs w:val="20"/>
        </w:rPr>
        <w:t>asociación</w:t>
      </w:r>
      <w:r>
        <w:rPr>
          <w:rFonts w:ascii="Verdana" w:hAnsi="Verdana"/>
          <w:sz w:val="20"/>
          <w:szCs w:val="20"/>
        </w:rPr>
        <w:t xml:space="preserve"> laboral”</w:t>
      </w:r>
      <w:r w:rsidRPr="004E66B4">
        <w:rPr>
          <w:rFonts w:ascii="Verdana" w:hAnsi="Verdana"/>
          <w:sz w:val="20"/>
          <w:szCs w:val="20"/>
        </w:rPr>
        <w:t xml:space="preserve"> en la jurisprudencia de la Corte I</w:t>
      </w:r>
      <w:r>
        <w:rPr>
          <w:rFonts w:ascii="Verdana" w:hAnsi="Verdana"/>
          <w:sz w:val="20"/>
          <w:szCs w:val="20"/>
        </w:rPr>
        <w:t>DH</w:t>
      </w:r>
      <w:r w:rsidRPr="004E66B4">
        <w:rPr>
          <w:rFonts w:ascii="Verdana" w:hAnsi="Verdana"/>
          <w:sz w:val="20"/>
          <w:szCs w:val="20"/>
        </w:rPr>
        <w:t xml:space="preserve">, </w:t>
      </w:r>
      <w:r>
        <w:rPr>
          <w:rFonts w:ascii="Verdana" w:hAnsi="Verdana"/>
          <w:sz w:val="20"/>
          <w:szCs w:val="20"/>
        </w:rPr>
        <w:t xml:space="preserve">fue abordado solo </w:t>
      </w:r>
      <w:r w:rsidRPr="004E66B4">
        <w:rPr>
          <w:rFonts w:ascii="Verdana" w:hAnsi="Verdana"/>
          <w:sz w:val="20"/>
          <w:szCs w:val="20"/>
        </w:rPr>
        <w:t xml:space="preserve">en relación </w:t>
      </w:r>
      <w:r>
        <w:rPr>
          <w:rFonts w:ascii="Verdana" w:hAnsi="Verdana"/>
          <w:sz w:val="20"/>
          <w:szCs w:val="20"/>
        </w:rPr>
        <w:t>con</w:t>
      </w:r>
      <w:r w:rsidRPr="004E66B4">
        <w:rPr>
          <w:rFonts w:ascii="Verdana" w:hAnsi="Verdana"/>
          <w:sz w:val="20"/>
          <w:szCs w:val="20"/>
        </w:rPr>
        <w:t xml:space="preserve"> la temática sindical, es decir, </w:t>
      </w:r>
      <w:r>
        <w:rPr>
          <w:rFonts w:ascii="Verdana" w:hAnsi="Verdana"/>
          <w:sz w:val="20"/>
          <w:szCs w:val="20"/>
        </w:rPr>
        <w:t>a</w:t>
      </w:r>
      <w:r w:rsidRPr="004E66B4">
        <w:rPr>
          <w:rFonts w:ascii="Verdana" w:hAnsi="Verdana"/>
          <w:sz w:val="20"/>
          <w:szCs w:val="20"/>
        </w:rPr>
        <w:t>l</w:t>
      </w:r>
      <w:r>
        <w:rPr>
          <w:rFonts w:ascii="Verdana" w:hAnsi="Verdana"/>
          <w:sz w:val="20"/>
          <w:szCs w:val="20"/>
        </w:rPr>
        <w:t xml:space="preserve"> derecho de asociación sindical.</w:t>
      </w:r>
      <w:r w:rsidRPr="004E66B4">
        <w:rPr>
          <w:rFonts w:ascii="Verdana" w:hAnsi="Verdana"/>
          <w:sz w:val="20"/>
          <w:szCs w:val="20"/>
        </w:rPr>
        <w:t xml:space="preserve"> </w:t>
      </w:r>
      <w:r>
        <w:rPr>
          <w:rFonts w:ascii="Verdana" w:hAnsi="Verdana"/>
          <w:sz w:val="20"/>
          <w:szCs w:val="20"/>
        </w:rPr>
        <w:t>A</w:t>
      </w:r>
      <w:r w:rsidRPr="004E66B4">
        <w:rPr>
          <w:rFonts w:ascii="Verdana" w:hAnsi="Verdana"/>
          <w:sz w:val="20"/>
          <w:szCs w:val="20"/>
        </w:rPr>
        <w:t>dicionalmente, también es muy importante puntualizar que pese a que el artículo 19.6 del Protocolo Adicional a la Convención Americana en materia de Derechos Económicos, Sociales y Culturales (en adelante “el Protocolo de San Salvador”) contempla el derecho de asociación sindical (artículo 8.1.a del Protocolo de San Salvador)</w:t>
      </w:r>
      <w:r>
        <w:rPr>
          <w:rFonts w:ascii="Verdana" w:hAnsi="Verdana"/>
          <w:sz w:val="20"/>
          <w:szCs w:val="20"/>
        </w:rPr>
        <w:t xml:space="preserve"> </w:t>
      </w:r>
      <w:r w:rsidRPr="004E66B4">
        <w:rPr>
          <w:rFonts w:ascii="Verdana" w:hAnsi="Verdana"/>
          <w:sz w:val="20"/>
          <w:szCs w:val="20"/>
        </w:rPr>
        <w:t xml:space="preserve">como uno de los dos derechos </w:t>
      </w:r>
      <w:r>
        <w:rPr>
          <w:rFonts w:ascii="Verdana" w:hAnsi="Verdana"/>
          <w:sz w:val="20"/>
          <w:szCs w:val="20"/>
        </w:rPr>
        <w:t xml:space="preserve">expresamente mencionados como </w:t>
      </w:r>
      <w:r w:rsidRPr="004E66B4">
        <w:rPr>
          <w:rFonts w:ascii="Verdana" w:hAnsi="Verdana"/>
          <w:sz w:val="20"/>
          <w:szCs w:val="20"/>
        </w:rPr>
        <w:t>exigibles ante los órganos del Sistema Interamericano, la jurisprudencia anterior de la Corte I</w:t>
      </w:r>
      <w:r>
        <w:rPr>
          <w:rFonts w:ascii="Verdana" w:hAnsi="Verdana"/>
          <w:sz w:val="20"/>
          <w:szCs w:val="20"/>
        </w:rPr>
        <w:t>DH</w:t>
      </w:r>
      <w:r w:rsidRPr="004E66B4">
        <w:rPr>
          <w:rFonts w:ascii="Verdana" w:hAnsi="Verdana"/>
          <w:sz w:val="20"/>
          <w:szCs w:val="20"/>
        </w:rPr>
        <w:t xml:space="preserve"> lo ha subsumido dentro del contenido del artículo 16 de la Convención Americana. </w:t>
      </w:r>
      <w:r>
        <w:rPr>
          <w:rFonts w:ascii="Verdana" w:hAnsi="Verdana"/>
          <w:sz w:val="20"/>
          <w:szCs w:val="20"/>
        </w:rPr>
        <w:t>En este sentido, resulta ilustrativo hacer mención de aquellos estándares que se han vertido en la materia de asociación sindical derivado de la expresión “laboral”, contemplada en el artículo 16 del Pacto de San José.</w:t>
      </w:r>
    </w:p>
    <w:p w14:paraId="5BC170FC" w14:textId="77777777" w:rsidR="00F83E8F" w:rsidRPr="004E66B4" w:rsidRDefault="00F83E8F" w:rsidP="00F83E8F">
      <w:pPr>
        <w:pStyle w:val="ListParagraph"/>
        <w:ind w:left="0"/>
        <w:jc w:val="both"/>
        <w:rPr>
          <w:rFonts w:ascii="Verdana" w:hAnsi="Verdana"/>
          <w:sz w:val="20"/>
          <w:szCs w:val="20"/>
        </w:rPr>
      </w:pPr>
    </w:p>
    <w:p w14:paraId="2718510F" w14:textId="77777777" w:rsidR="00F83E8F" w:rsidRPr="00786B04" w:rsidRDefault="00F83E8F" w:rsidP="00E70701">
      <w:pPr>
        <w:pStyle w:val="ListParagraph"/>
        <w:numPr>
          <w:ilvl w:val="0"/>
          <w:numId w:val="28"/>
        </w:numPr>
        <w:ind w:left="0" w:firstLine="0"/>
        <w:jc w:val="both"/>
        <w:rPr>
          <w:rFonts w:ascii="Verdana" w:hAnsi="Verdana"/>
          <w:sz w:val="20"/>
          <w:szCs w:val="20"/>
        </w:rPr>
      </w:pPr>
      <w:r w:rsidRPr="00786B04">
        <w:rPr>
          <w:rFonts w:ascii="Verdana" w:hAnsi="Verdana"/>
          <w:sz w:val="20"/>
          <w:szCs w:val="20"/>
        </w:rPr>
        <w:t>En cuanto a la función contenciosa, el tema sindical y de asociación ante la Corte IDH ha versado sobre despidos de personas integrantes d</w:t>
      </w:r>
      <w:r>
        <w:rPr>
          <w:rFonts w:ascii="Verdana" w:hAnsi="Verdana"/>
          <w:sz w:val="20"/>
          <w:szCs w:val="20"/>
        </w:rPr>
        <w:t>e sindicatos y ejecuciones de lí</w:t>
      </w:r>
      <w:r w:rsidRPr="00786B04">
        <w:rPr>
          <w:rFonts w:ascii="Verdana" w:hAnsi="Verdana"/>
          <w:sz w:val="20"/>
          <w:szCs w:val="20"/>
        </w:rPr>
        <w:t xml:space="preserve">deres sindicales. En los casos </w:t>
      </w:r>
      <w:r w:rsidRPr="00786B04">
        <w:rPr>
          <w:rFonts w:ascii="Verdana" w:hAnsi="Verdana"/>
          <w:i/>
          <w:sz w:val="20"/>
          <w:szCs w:val="20"/>
        </w:rPr>
        <w:t>Baena Ricardo Vs. Panamá</w:t>
      </w:r>
      <w:r w:rsidRPr="00786B04">
        <w:rPr>
          <w:rStyle w:val="FootnoteReference"/>
          <w:i/>
          <w:szCs w:val="20"/>
        </w:rPr>
        <w:footnoteReference w:id="320"/>
      </w:r>
      <w:r w:rsidRPr="00786B04">
        <w:rPr>
          <w:rFonts w:ascii="Verdana" w:hAnsi="Verdana"/>
          <w:sz w:val="20"/>
          <w:szCs w:val="20"/>
        </w:rPr>
        <w:t xml:space="preserve">, </w:t>
      </w:r>
      <w:proofErr w:type="spellStart"/>
      <w:r w:rsidRPr="00786B04">
        <w:rPr>
          <w:rFonts w:ascii="Verdana" w:hAnsi="Verdana"/>
          <w:i/>
          <w:sz w:val="20"/>
          <w:szCs w:val="20"/>
        </w:rPr>
        <w:t>Huilca</w:t>
      </w:r>
      <w:proofErr w:type="spellEnd"/>
      <w:r w:rsidRPr="00786B04">
        <w:rPr>
          <w:rFonts w:ascii="Verdana" w:hAnsi="Verdana"/>
          <w:i/>
          <w:sz w:val="20"/>
          <w:szCs w:val="20"/>
        </w:rPr>
        <w:t xml:space="preserve"> </w:t>
      </w:r>
      <w:proofErr w:type="spellStart"/>
      <w:r w:rsidRPr="00786B04">
        <w:rPr>
          <w:rFonts w:ascii="Verdana" w:hAnsi="Verdana"/>
          <w:i/>
          <w:sz w:val="20"/>
          <w:szCs w:val="20"/>
        </w:rPr>
        <w:t>Tecse</w:t>
      </w:r>
      <w:proofErr w:type="spellEnd"/>
      <w:r w:rsidRPr="00786B04">
        <w:rPr>
          <w:rFonts w:ascii="Verdana" w:hAnsi="Verdana"/>
          <w:i/>
          <w:sz w:val="20"/>
          <w:szCs w:val="20"/>
        </w:rPr>
        <w:t xml:space="preserve"> Vs. Perú</w:t>
      </w:r>
      <w:r w:rsidRPr="00786B04">
        <w:rPr>
          <w:rStyle w:val="FootnoteReference"/>
          <w:i/>
          <w:szCs w:val="20"/>
        </w:rPr>
        <w:footnoteReference w:id="321"/>
      </w:r>
      <w:r w:rsidRPr="00786B04">
        <w:rPr>
          <w:rFonts w:ascii="Verdana" w:hAnsi="Verdana"/>
          <w:i/>
          <w:sz w:val="20"/>
          <w:szCs w:val="20"/>
        </w:rPr>
        <w:t xml:space="preserve"> </w:t>
      </w:r>
      <w:r w:rsidRPr="00786B04">
        <w:rPr>
          <w:rFonts w:ascii="Verdana" w:hAnsi="Verdana"/>
          <w:sz w:val="20"/>
          <w:szCs w:val="20"/>
        </w:rPr>
        <w:t xml:space="preserve">y </w:t>
      </w:r>
      <w:r w:rsidRPr="00786B04">
        <w:rPr>
          <w:rFonts w:ascii="Verdana" w:hAnsi="Verdana"/>
          <w:i/>
          <w:sz w:val="20"/>
          <w:szCs w:val="20"/>
        </w:rPr>
        <w:t xml:space="preserve">Cantoral </w:t>
      </w:r>
      <w:proofErr w:type="spellStart"/>
      <w:r w:rsidRPr="00786B04">
        <w:rPr>
          <w:rFonts w:ascii="Verdana" w:hAnsi="Verdana"/>
          <w:i/>
          <w:sz w:val="20"/>
          <w:szCs w:val="20"/>
        </w:rPr>
        <w:t>Huamaní</w:t>
      </w:r>
      <w:proofErr w:type="spellEnd"/>
      <w:r w:rsidRPr="00786B04">
        <w:rPr>
          <w:rFonts w:ascii="Verdana" w:hAnsi="Verdana"/>
          <w:i/>
          <w:sz w:val="20"/>
          <w:szCs w:val="20"/>
        </w:rPr>
        <w:t xml:space="preserve"> y García Santa Cruz Vs. Perú</w:t>
      </w:r>
      <w:r w:rsidRPr="00786B04">
        <w:rPr>
          <w:rStyle w:val="FootnoteReference"/>
          <w:i/>
          <w:szCs w:val="20"/>
        </w:rPr>
        <w:footnoteReference w:id="322"/>
      </w:r>
      <w:r w:rsidRPr="00786B04">
        <w:rPr>
          <w:rFonts w:ascii="Verdana" w:hAnsi="Verdana"/>
          <w:i/>
          <w:sz w:val="20"/>
          <w:szCs w:val="20"/>
        </w:rPr>
        <w:t xml:space="preserve">, </w:t>
      </w:r>
      <w:r w:rsidRPr="00786B04">
        <w:rPr>
          <w:rFonts w:ascii="Verdana" w:hAnsi="Verdana"/>
          <w:sz w:val="20"/>
          <w:szCs w:val="20"/>
        </w:rPr>
        <w:t>el Tribunal Interamericano ha desarrollado el contenido del derecho de asociación “laboral”</w:t>
      </w:r>
      <w:r>
        <w:rPr>
          <w:rFonts w:ascii="Verdana" w:hAnsi="Verdana"/>
          <w:sz w:val="20"/>
          <w:szCs w:val="20"/>
        </w:rPr>
        <w:t xml:space="preserve"> </w:t>
      </w:r>
      <w:proofErr w:type="gramStart"/>
      <w:r>
        <w:rPr>
          <w:rFonts w:ascii="Verdana" w:hAnsi="Verdana"/>
          <w:sz w:val="20"/>
          <w:szCs w:val="20"/>
        </w:rPr>
        <w:t>consagrado en el artí</w:t>
      </w:r>
      <w:r w:rsidRPr="00786B04">
        <w:rPr>
          <w:rFonts w:ascii="Verdana" w:hAnsi="Verdana"/>
          <w:sz w:val="20"/>
          <w:szCs w:val="20"/>
        </w:rPr>
        <w:t xml:space="preserve">culo 16 de la Convención Americana, </w:t>
      </w:r>
      <w:r>
        <w:rPr>
          <w:rFonts w:ascii="Verdana" w:hAnsi="Verdana"/>
          <w:sz w:val="20"/>
          <w:szCs w:val="20"/>
        </w:rPr>
        <w:t>relativo</w:t>
      </w:r>
      <w:proofErr w:type="gramEnd"/>
      <w:r>
        <w:rPr>
          <w:rFonts w:ascii="Verdana" w:hAnsi="Verdana"/>
          <w:sz w:val="20"/>
          <w:szCs w:val="20"/>
        </w:rPr>
        <w:t xml:space="preserve"> a</w:t>
      </w:r>
      <w:r w:rsidRPr="00786B04">
        <w:rPr>
          <w:rFonts w:ascii="Verdana" w:hAnsi="Verdana"/>
          <w:sz w:val="20"/>
          <w:szCs w:val="20"/>
        </w:rPr>
        <w:t xml:space="preserve"> las violaciones </w:t>
      </w:r>
      <w:r>
        <w:rPr>
          <w:rFonts w:ascii="Verdana" w:hAnsi="Verdana"/>
          <w:sz w:val="20"/>
          <w:szCs w:val="20"/>
        </w:rPr>
        <w:t>a</w:t>
      </w:r>
      <w:r w:rsidRPr="00786B04">
        <w:rPr>
          <w:rFonts w:ascii="Verdana" w:hAnsi="Verdana"/>
          <w:sz w:val="20"/>
          <w:szCs w:val="20"/>
        </w:rPr>
        <w:t xml:space="preserve"> la asociación sindical. </w:t>
      </w:r>
    </w:p>
    <w:p w14:paraId="6AEA7A4C" w14:textId="77777777" w:rsidR="00F83E8F" w:rsidRPr="004E66B4" w:rsidRDefault="00F83E8F" w:rsidP="00F83E8F">
      <w:pPr>
        <w:pStyle w:val="ListParagraph"/>
        <w:ind w:left="0"/>
        <w:jc w:val="both"/>
        <w:rPr>
          <w:rFonts w:ascii="Verdana" w:hAnsi="Verdana"/>
          <w:sz w:val="20"/>
          <w:szCs w:val="20"/>
        </w:rPr>
      </w:pPr>
    </w:p>
    <w:p w14:paraId="4062AB3F" w14:textId="77777777" w:rsidR="00F83E8F" w:rsidRPr="004E66B4" w:rsidRDefault="00F83E8F" w:rsidP="00E70701">
      <w:pPr>
        <w:pStyle w:val="ListParagraph"/>
        <w:numPr>
          <w:ilvl w:val="0"/>
          <w:numId w:val="28"/>
        </w:numPr>
        <w:ind w:left="0" w:firstLine="0"/>
        <w:jc w:val="both"/>
        <w:rPr>
          <w:rFonts w:ascii="Verdana" w:hAnsi="Verdana"/>
          <w:sz w:val="20"/>
          <w:szCs w:val="20"/>
        </w:rPr>
      </w:pPr>
      <w:r w:rsidRPr="004E66B4">
        <w:rPr>
          <w:rFonts w:ascii="Verdana" w:hAnsi="Verdana"/>
          <w:sz w:val="20"/>
          <w:szCs w:val="20"/>
        </w:rPr>
        <w:t xml:space="preserve">En el caso </w:t>
      </w:r>
      <w:r w:rsidRPr="004E66B4">
        <w:rPr>
          <w:rFonts w:ascii="Verdana" w:hAnsi="Verdana"/>
          <w:i/>
          <w:sz w:val="20"/>
          <w:szCs w:val="20"/>
        </w:rPr>
        <w:t>Baena Ricardo</w:t>
      </w:r>
      <w:r>
        <w:rPr>
          <w:rFonts w:ascii="Verdana" w:hAnsi="Verdana"/>
          <w:i/>
          <w:sz w:val="20"/>
          <w:szCs w:val="20"/>
        </w:rPr>
        <w:t xml:space="preserve"> vs. Panamá</w:t>
      </w:r>
      <w:r w:rsidRPr="004E66B4">
        <w:rPr>
          <w:rFonts w:ascii="Verdana" w:hAnsi="Verdana"/>
          <w:sz w:val="20"/>
          <w:szCs w:val="20"/>
        </w:rPr>
        <w:t xml:space="preserve">, la Corte IDH consideró que para analizar si se había configurado una violación del derecho </w:t>
      </w:r>
      <w:r>
        <w:rPr>
          <w:rFonts w:ascii="Verdana" w:hAnsi="Verdana"/>
          <w:sz w:val="20"/>
          <w:szCs w:val="20"/>
        </w:rPr>
        <w:t xml:space="preserve">a </w:t>
      </w:r>
      <w:r w:rsidRPr="004E66B4">
        <w:rPr>
          <w:rFonts w:ascii="Verdana" w:hAnsi="Verdana"/>
          <w:sz w:val="20"/>
          <w:szCs w:val="20"/>
        </w:rPr>
        <w:t xml:space="preserve">la libertad de asociación, </w:t>
      </w:r>
      <w:r>
        <w:rPr>
          <w:rFonts w:ascii="Verdana" w:hAnsi="Verdana"/>
          <w:sz w:val="20"/>
          <w:szCs w:val="20"/>
        </w:rPr>
        <w:t>ello debía ser analizado</w:t>
      </w:r>
      <w:r w:rsidRPr="004E66B4">
        <w:rPr>
          <w:rFonts w:ascii="Verdana" w:hAnsi="Verdana"/>
          <w:sz w:val="20"/>
          <w:szCs w:val="20"/>
        </w:rPr>
        <w:t xml:space="preserve"> en relación con la libertad sindical. Así, consideró que la libertad de asociación, en materia sindical, consiste básicamente en la facultad de constituir organizaciones sindicales y poner en marcha su estructura interna, actividades y programa de acción, sin intervención de las autoridades públicas que limite</w:t>
      </w:r>
      <w:r>
        <w:rPr>
          <w:rFonts w:ascii="Verdana" w:hAnsi="Verdana"/>
          <w:sz w:val="20"/>
          <w:szCs w:val="20"/>
        </w:rPr>
        <w:t>n</w:t>
      </w:r>
      <w:r w:rsidRPr="004E66B4">
        <w:rPr>
          <w:rFonts w:ascii="Verdana" w:hAnsi="Verdana"/>
          <w:sz w:val="20"/>
          <w:szCs w:val="20"/>
        </w:rPr>
        <w:t xml:space="preserve"> o entorpezca el ejercicio del respectivo derecho. Por otra parte, esta libertad supone que cada persona pueda determinar</w:t>
      </w:r>
      <w:r>
        <w:rPr>
          <w:rFonts w:ascii="Verdana" w:hAnsi="Verdana"/>
          <w:sz w:val="20"/>
          <w:szCs w:val="20"/>
        </w:rPr>
        <w:t>,</w:t>
      </w:r>
      <w:r w:rsidRPr="004E66B4">
        <w:rPr>
          <w:rFonts w:ascii="Verdana" w:hAnsi="Verdana"/>
          <w:sz w:val="20"/>
          <w:szCs w:val="20"/>
        </w:rPr>
        <w:t xml:space="preserve"> si</w:t>
      </w:r>
      <w:r>
        <w:rPr>
          <w:rFonts w:ascii="Verdana" w:hAnsi="Verdana"/>
          <w:sz w:val="20"/>
          <w:szCs w:val="20"/>
        </w:rPr>
        <w:t>n</w:t>
      </w:r>
      <w:r w:rsidRPr="004E66B4">
        <w:rPr>
          <w:rFonts w:ascii="Verdana" w:hAnsi="Verdana"/>
          <w:sz w:val="20"/>
          <w:szCs w:val="20"/>
        </w:rPr>
        <w:t xml:space="preserve"> coacción alguna</w:t>
      </w:r>
      <w:r>
        <w:rPr>
          <w:rFonts w:ascii="Verdana" w:hAnsi="Verdana"/>
          <w:sz w:val="20"/>
          <w:szCs w:val="20"/>
        </w:rPr>
        <w:t>,</w:t>
      </w:r>
      <w:r w:rsidRPr="004E66B4">
        <w:rPr>
          <w:rFonts w:ascii="Verdana" w:hAnsi="Verdana"/>
          <w:sz w:val="20"/>
          <w:szCs w:val="20"/>
        </w:rPr>
        <w:t xml:space="preserve"> si desea o no formar parte de la asociación. Se trata, pues, del derecho fundamental de agruparse para la realización de un fin licito sin presiones o intromisiones que puedan alterar o desnaturalizar su finalidad</w:t>
      </w:r>
      <w:r w:rsidRPr="004E66B4">
        <w:rPr>
          <w:rStyle w:val="FootnoteReference"/>
          <w:szCs w:val="20"/>
        </w:rPr>
        <w:footnoteReference w:id="323"/>
      </w:r>
      <w:r w:rsidRPr="004E66B4">
        <w:rPr>
          <w:rFonts w:ascii="Verdana" w:hAnsi="Verdana"/>
          <w:sz w:val="20"/>
          <w:szCs w:val="20"/>
        </w:rPr>
        <w:t>.</w:t>
      </w:r>
    </w:p>
    <w:p w14:paraId="24507079" w14:textId="77777777" w:rsidR="00F83E8F" w:rsidRPr="004E66B4" w:rsidRDefault="00F83E8F" w:rsidP="00F83E8F">
      <w:pPr>
        <w:jc w:val="both"/>
        <w:rPr>
          <w:rFonts w:ascii="Verdana" w:hAnsi="Verdana"/>
          <w:sz w:val="20"/>
          <w:szCs w:val="20"/>
        </w:rPr>
      </w:pPr>
    </w:p>
    <w:p w14:paraId="3CF78A9A" w14:textId="77777777" w:rsidR="00F83E8F" w:rsidRPr="004E66B4" w:rsidRDefault="00F83E8F" w:rsidP="00E70701">
      <w:pPr>
        <w:pStyle w:val="ListParagraph"/>
        <w:numPr>
          <w:ilvl w:val="0"/>
          <w:numId w:val="28"/>
        </w:numPr>
        <w:ind w:left="0" w:firstLine="0"/>
        <w:jc w:val="both"/>
        <w:rPr>
          <w:rFonts w:ascii="Verdana" w:hAnsi="Verdana"/>
          <w:sz w:val="20"/>
          <w:szCs w:val="20"/>
        </w:rPr>
      </w:pPr>
      <w:r w:rsidRPr="004E66B4">
        <w:rPr>
          <w:rFonts w:ascii="Verdana" w:hAnsi="Verdana"/>
          <w:sz w:val="20"/>
          <w:szCs w:val="20"/>
        </w:rPr>
        <w:t>En este sent</w:t>
      </w:r>
      <w:r>
        <w:rPr>
          <w:rFonts w:ascii="Verdana" w:hAnsi="Verdana"/>
          <w:sz w:val="20"/>
          <w:szCs w:val="20"/>
        </w:rPr>
        <w:t>ido, el Tribunal Interamericano</w:t>
      </w:r>
      <w:r w:rsidRPr="004E66B4">
        <w:rPr>
          <w:rFonts w:ascii="Verdana" w:hAnsi="Verdana"/>
          <w:sz w:val="20"/>
          <w:szCs w:val="20"/>
        </w:rPr>
        <w:t xml:space="preserve"> consideró que la libertad de asociación, en materia sindical, reviste la mayor importancia para la defensa de los intereses legítimos de los trabajadores y se enmarca en el </w:t>
      </w:r>
      <w:r w:rsidRPr="004E66B4">
        <w:rPr>
          <w:rFonts w:ascii="Verdana" w:hAnsi="Verdana"/>
          <w:i/>
          <w:sz w:val="20"/>
          <w:szCs w:val="20"/>
        </w:rPr>
        <w:t xml:space="preserve">corpus </w:t>
      </w:r>
      <w:proofErr w:type="spellStart"/>
      <w:r w:rsidRPr="004E66B4">
        <w:rPr>
          <w:rFonts w:ascii="Verdana" w:hAnsi="Verdana"/>
          <w:i/>
          <w:sz w:val="20"/>
          <w:szCs w:val="20"/>
        </w:rPr>
        <w:t>juris</w:t>
      </w:r>
      <w:proofErr w:type="spellEnd"/>
      <w:r w:rsidRPr="004E66B4">
        <w:rPr>
          <w:rFonts w:ascii="Verdana" w:hAnsi="Verdana"/>
          <w:sz w:val="20"/>
          <w:szCs w:val="20"/>
        </w:rPr>
        <w:t xml:space="preserve"> de los derechos humanos</w:t>
      </w:r>
      <w:r w:rsidRPr="004E66B4">
        <w:rPr>
          <w:rStyle w:val="FootnoteReference"/>
          <w:szCs w:val="20"/>
        </w:rPr>
        <w:footnoteReference w:id="324"/>
      </w:r>
      <w:r w:rsidRPr="004E66B4">
        <w:rPr>
          <w:rFonts w:ascii="Verdana" w:hAnsi="Verdana"/>
          <w:sz w:val="20"/>
          <w:szCs w:val="20"/>
        </w:rPr>
        <w:t xml:space="preserve">. </w:t>
      </w:r>
      <w:r>
        <w:rPr>
          <w:rFonts w:ascii="Verdana" w:hAnsi="Verdana"/>
          <w:sz w:val="20"/>
          <w:szCs w:val="20"/>
        </w:rPr>
        <w:t>En materia laboral, l</w:t>
      </w:r>
      <w:r w:rsidRPr="004E66B4">
        <w:rPr>
          <w:rFonts w:ascii="Verdana" w:hAnsi="Verdana"/>
          <w:sz w:val="20"/>
          <w:szCs w:val="20"/>
        </w:rPr>
        <w:t>a libertad de asociación, en materia labor</w:t>
      </w:r>
      <w:r>
        <w:rPr>
          <w:rFonts w:ascii="Verdana" w:hAnsi="Verdana"/>
          <w:sz w:val="20"/>
          <w:szCs w:val="20"/>
        </w:rPr>
        <w:t>al, en los términos del artí</w:t>
      </w:r>
      <w:r w:rsidRPr="004E66B4">
        <w:rPr>
          <w:rFonts w:ascii="Verdana" w:hAnsi="Verdana"/>
          <w:sz w:val="20"/>
          <w:szCs w:val="20"/>
        </w:rPr>
        <w:t>culo 16 de la Convención Americana, comp</w:t>
      </w:r>
      <w:r>
        <w:rPr>
          <w:rFonts w:ascii="Verdana" w:hAnsi="Verdana"/>
          <w:sz w:val="20"/>
          <w:szCs w:val="20"/>
        </w:rPr>
        <w:t>rende un derecho y una libertad:</w:t>
      </w:r>
      <w:r w:rsidRPr="004E66B4">
        <w:rPr>
          <w:rFonts w:ascii="Verdana" w:hAnsi="Verdana"/>
          <w:sz w:val="20"/>
          <w:szCs w:val="20"/>
        </w:rPr>
        <w:t xml:space="preserve"> </w:t>
      </w:r>
      <w:r>
        <w:rPr>
          <w:rFonts w:ascii="Verdana" w:hAnsi="Verdana"/>
          <w:sz w:val="20"/>
          <w:szCs w:val="20"/>
        </w:rPr>
        <w:t>(i)</w:t>
      </w:r>
      <w:r w:rsidRPr="004E66B4">
        <w:rPr>
          <w:rFonts w:ascii="Verdana" w:hAnsi="Verdana"/>
          <w:sz w:val="20"/>
          <w:szCs w:val="20"/>
        </w:rPr>
        <w:t xml:space="preserve"> el derecho de formar asociaciones sin restricciones distintas a las permitidas en los incisos 2 y 3 del propio articulo 16</w:t>
      </w:r>
      <w:r w:rsidRPr="004E66B4">
        <w:rPr>
          <w:rStyle w:val="FootnoteReference"/>
          <w:szCs w:val="20"/>
        </w:rPr>
        <w:footnoteReference w:id="325"/>
      </w:r>
      <w:r>
        <w:rPr>
          <w:rFonts w:ascii="Verdana" w:hAnsi="Verdana"/>
          <w:sz w:val="20"/>
          <w:szCs w:val="20"/>
        </w:rPr>
        <w:t>;</w:t>
      </w:r>
      <w:r w:rsidRPr="004E66B4">
        <w:rPr>
          <w:rFonts w:ascii="Verdana" w:hAnsi="Verdana"/>
          <w:sz w:val="20"/>
          <w:szCs w:val="20"/>
        </w:rPr>
        <w:t xml:space="preserve"> y </w:t>
      </w:r>
      <w:r>
        <w:rPr>
          <w:rFonts w:ascii="Verdana" w:hAnsi="Verdana"/>
          <w:sz w:val="20"/>
          <w:szCs w:val="20"/>
        </w:rPr>
        <w:t xml:space="preserve">(ii) </w:t>
      </w:r>
      <w:r w:rsidRPr="004E66B4">
        <w:rPr>
          <w:rFonts w:ascii="Verdana" w:hAnsi="Verdana"/>
          <w:sz w:val="20"/>
          <w:szCs w:val="20"/>
        </w:rPr>
        <w:t>la libertad de toda persona de no ser compelida y obligada a asociarse</w:t>
      </w:r>
      <w:r w:rsidRPr="004E66B4">
        <w:rPr>
          <w:rStyle w:val="FootnoteReference"/>
          <w:szCs w:val="20"/>
        </w:rPr>
        <w:footnoteReference w:id="326"/>
      </w:r>
      <w:r w:rsidRPr="004E66B4">
        <w:rPr>
          <w:rFonts w:ascii="Verdana" w:hAnsi="Verdana"/>
          <w:sz w:val="20"/>
          <w:szCs w:val="20"/>
        </w:rPr>
        <w:t xml:space="preserve">. </w:t>
      </w:r>
    </w:p>
    <w:p w14:paraId="7F8D1C12" w14:textId="77777777" w:rsidR="00F83E8F" w:rsidRPr="004E66B4" w:rsidRDefault="00F83E8F" w:rsidP="00F83E8F">
      <w:pPr>
        <w:jc w:val="both"/>
        <w:rPr>
          <w:rFonts w:ascii="Verdana" w:hAnsi="Verdana"/>
          <w:sz w:val="20"/>
          <w:szCs w:val="20"/>
        </w:rPr>
      </w:pPr>
    </w:p>
    <w:p w14:paraId="637ACE7B" w14:textId="77777777" w:rsidR="00F83E8F" w:rsidRPr="004E66B4" w:rsidRDefault="00F83E8F" w:rsidP="00E70701">
      <w:pPr>
        <w:pStyle w:val="ListParagraph"/>
        <w:numPr>
          <w:ilvl w:val="0"/>
          <w:numId w:val="28"/>
        </w:numPr>
        <w:ind w:left="0" w:firstLine="0"/>
        <w:jc w:val="both"/>
        <w:rPr>
          <w:rFonts w:ascii="Verdana" w:hAnsi="Verdana"/>
          <w:sz w:val="20"/>
          <w:szCs w:val="20"/>
        </w:rPr>
      </w:pPr>
      <w:r w:rsidRPr="004E66B4">
        <w:rPr>
          <w:rFonts w:ascii="Verdana" w:hAnsi="Verdana"/>
          <w:sz w:val="20"/>
          <w:szCs w:val="20"/>
        </w:rPr>
        <w:t xml:space="preserve">En el caso </w:t>
      </w:r>
      <w:proofErr w:type="spellStart"/>
      <w:r w:rsidRPr="004E66B4">
        <w:rPr>
          <w:rFonts w:ascii="Verdana" w:hAnsi="Verdana"/>
          <w:i/>
          <w:sz w:val="20"/>
          <w:szCs w:val="20"/>
        </w:rPr>
        <w:t>Huilca</w:t>
      </w:r>
      <w:proofErr w:type="spellEnd"/>
      <w:r w:rsidRPr="004E66B4">
        <w:rPr>
          <w:rFonts w:ascii="Verdana" w:hAnsi="Verdana"/>
          <w:i/>
          <w:sz w:val="20"/>
          <w:szCs w:val="20"/>
        </w:rPr>
        <w:t xml:space="preserve"> </w:t>
      </w:r>
      <w:proofErr w:type="spellStart"/>
      <w:r w:rsidRPr="004E66B4">
        <w:rPr>
          <w:rFonts w:ascii="Verdana" w:hAnsi="Verdana"/>
          <w:i/>
          <w:sz w:val="20"/>
          <w:szCs w:val="20"/>
        </w:rPr>
        <w:t>Tecse</w:t>
      </w:r>
      <w:proofErr w:type="spellEnd"/>
      <w:r w:rsidRPr="004E66B4">
        <w:rPr>
          <w:rFonts w:ascii="Verdana" w:hAnsi="Verdana"/>
          <w:sz w:val="20"/>
          <w:szCs w:val="20"/>
        </w:rPr>
        <w:t>, tras el reconocimiento de res</w:t>
      </w:r>
      <w:r>
        <w:rPr>
          <w:rFonts w:ascii="Verdana" w:hAnsi="Verdana"/>
          <w:sz w:val="20"/>
          <w:szCs w:val="20"/>
        </w:rPr>
        <w:t>ponsabilidad internacional realizada</w:t>
      </w:r>
      <w:r w:rsidRPr="004E66B4">
        <w:rPr>
          <w:rFonts w:ascii="Verdana" w:hAnsi="Verdana"/>
          <w:sz w:val="20"/>
          <w:szCs w:val="20"/>
        </w:rPr>
        <w:t xml:space="preserve"> por el Estado peruano, la Corte IDH consideró que la ejecución extrajudicial del señor Pedro </w:t>
      </w:r>
      <w:proofErr w:type="spellStart"/>
      <w:r w:rsidRPr="004E66B4">
        <w:rPr>
          <w:rFonts w:ascii="Verdana" w:hAnsi="Verdana"/>
          <w:sz w:val="20"/>
          <w:szCs w:val="20"/>
        </w:rPr>
        <w:t>Huilca</w:t>
      </w:r>
      <w:proofErr w:type="spellEnd"/>
      <w:r w:rsidRPr="004E66B4">
        <w:rPr>
          <w:rFonts w:ascii="Verdana" w:hAnsi="Verdana"/>
          <w:sz w:val="20"/>
          <w:szCs w:val="20"/>
        </w:rPr>
        <w:t xml:space="preserve"> </w:t>
      </w:r>
      <w:proofErr w:type="spellStart"/>
      <w:r w:rsidRPr="004E66B4">
        <w:rPr>
          <w:rFonts w:ascii="Verdana" w:hAnsi="Verdana"/>
          <w:sz w:val="20"/>
          <w:szCs w:val="20"/>
        </w:rPr>
        <w:t>Tecse</w:t>
      </w:r>
      <w:proofErr w:type="spellEnd"/>
      <w:r w:rsidRPr="004E66B4">
        <w:rPr>
          <w:rFonts w:ascii="Verdana" w:hAnsi="Verdana"/>
          <w:sz w:val="20"/>
          <w:szCs w:val="20"/>
        </w:rPr>
        <w:t xml:space="preserve"> </w:t>
      </w:r>
      <w:r w:rsidRPr="004E66B4">
        <w:rPr>
          <w:rFonts w:ascii="Verdana" w:hAnsi="Verdana"/>
          <w:i/>
          <w:sz w:val="20"/>
          <w:szCs w:val="20"/>
          <w:u w:val="single"/>
        </w:rPr>
        <w:t>había configurado una violación del contenido del derecho a la libertad de asociación, en relación con la libertad sindical</w:t>
      </w:r>
      <w:r w:rsidRPr="00075518">
        <w:rPr>
          <w:rStyle w:val="FootnoteReference"/>
          <w:szCs w:val="20"/>
        </w:rPr>
        <w:footnoteReference w:id="327"/>
      </w:r>
      <w:r w:rsidRPr="00075518">
        <w:rPr>
          <w:rFonts w:ascii="Verdana" w:hAnsi="Verdana"/>
          <w:sz w:val="20"/>
          <w:szCs w:val="20"/>
        </w:rPr>
        <w:t>.</w:t>
      </w:r>
      <w:r w:rsidRPr="004E66B4">
        <w:rPr>
          <w:rFonts w:ascii="Verdana" w:hAnsi="Verdana"/>
          <w:i/>
          <w:sz w:val="20"/>
          <w:szCs w:val="20"/>
        </w:rPr>
        <w:t xml:space="preserve"> </w:t>
      </w:r>
      <w:r w:rsidRPr="004E66B4">
        <w:rPr>
          <w:rFonts w:ascii="Verdana" w:hAnsi="Verdana"/>
          <w:sz w:val="20"/>
          <w:szCs w:val="20"/>
        </w:rPr>
        <w:t xml:space="preserve">Además, el Tribunal Interamericano estableció que la ejecución de un líder sindical, no solo restringía la libertad de asociación de un individuo, sino también el derecho y la libertad de determinado grupo a asociarse libremente, sin miedo o </w:t>
      </w:r>
      <w:r w:rsidRPr="004E66B4">
        <w:rPr>
          <w:rFonts w:ascii="Verdana" w:hAnsi="Verdana"/>
          <w:sz w:val="20"/>
          <w:szCs w:val="20"/>
        </w:rPr>
        <w:lastRenderedPageBreak/>
        <w:t xml:space="preserve">temor, de donde resulta que el derecho protegido por el articulo 16 tiene un alcance y un carácter especial. </w:t>
      </w:r>
      <w:r w:rsidRPr="004E66B4">
        <w:rPr>
          <w:rFonts w:ascii="Verdana" w:hAnsi="Verdana"/>
          <w:i/>
          <w:sz w:val="20"/>
          <w:szCs w:val="20"/>
          <w:u w:val="single"/>
        </w:rPr>
        <w:t>Se ponen así de manifiesto las dos dimensiones de la libertad de asociación</w:t>
      </w:r>
      <w:r w:rsidRPr="004E66B4">
        <w:rPr>
          <w:rStyle w:val="FootnoteReference"/>
          <w:szCs w:val="20"/>
        </w:rPr>
        <w:footnoteReference w:id="328"/>
      </w:r>
      <w:r w:rsidRPr="00075518">
        <w:rPr>
          <w:rFonts w:ascii="Verdana" w:hAnsi="Verdana"/>
          <w:sz w:val="20"/>
          <w:szCs w:val="20"/>
        </w:rPr>
        <w:t>.</w:t>
      </w:r>
    </w:p>
    <w:p w14:paraId="79502CC1" w14:textId="77777777" w:rsidR="00F83E8F" w:rsidRPr="004E66B4" w:rsidRDefault="00F83E8F" w:rsidP="00F83E8F">
      <w:pPr>
        <w:jc w:val="both"/>
        <w:rPr>
          <w:rFonts w:ascii="Verdana" w:hAnsi="Verdana"/>
          <w:i/>
          <w:sz w:val="20"/>
          <w:szCs w:val="20"/>
          <w:u w:val="single"/>
        </w:rPr>
      </w:pPr>
    </w:p>
    <w:p w14:paraId="13D1F3C8" w14:textId="77777777" w:rsidR="00F83E8F" w:rsidRPr="004E66B4" w:rsidRDefault="00F83E8F" w:rsidP="00E70701">
      <w:pPr>
        <w:pStyle w:val="ListParagraph"/>
        <w:numPr>
          <w:ilvl w:val="0"/>
          <w:numId w:val="28"/>
        </w:numPr>
        <w:ind w:left="0" w:firstLine="0"/>
        <w:jc w:val="both"/>
        <w:rPr>
          <w:rFonts w:ascii="Verdana" w:hAnsi="Verdana"/>
          <w:i/>
          <w:sz w:val="20"/>
          <w:szCs w:val="20"/>
          <w:u w:val="single"/>
        </w:rPr>
      </w:pPr>
      <w:r w:rsidRPr="004E66B4">
        <w:rPr>
          <w:rFonts w:ascii="Verdana" w:hAnsi="Verdana"/>
          <w:sz w:val="20"/>
          <w:szCs w:val="20"/>
        </w:rPr>
        <w:t>Sobre las dos dimensiones</w:t>
      </w:r>
      <w:r>
        <w:rPr>
          <w:rFonts w:ascii="Verdana" w:hAnsi="Verdana"/>
          <w:sz w:val="20"/>
          <w:szCs w:val="20"/>
        </w:rPr>
        <w:t xml:space="preserve"> del derecho de asociación</w:t>
      </w:r>
      <w:r w:rsidRPr="004E66B4">
        <w:rPr>
          <w:rFonts w:ascii="Verdana" w:hAnsi="Verdana"/>
          <w:sz w:val="20"/>
          <w:szCs w:val="20"/>
        </w:rPr>
        <w:t xml:space="preserve">, la individual y </w:t>
      </w:r>
      <w:r>
        <w:rPr>
          <w:rFonts w:ascii="Verdana" w:hAnsi="Verdana"/>
          <w:sz w:val="20"/>
          <w:szCs w:val="20"/>
        </w:rPr>
        <w:t>la social,</w:t>
      </w:r>
      <w:r w:rsidRPr="004E66B4">
        <w:rPr>
          <w:rFonts w:ascii="Verdana" w:hAnsi="Verdana"/>
          <w:sz w:val="20"/>
          <w:szCs w:val="20"/>
        </w:rPr>
        <w:t xml:space="preserve"> la Corte IDH agregó que:</w:t>
      </w:r>
    </w:p>
    <w:p w14:paraId="7882094F" w14:textId="77777777" w:rsidR="00F83E8F" w:rsidRPr="004E66B4" w:rsidRDefault="00F83E8F" w:rsidP="00F83E8F">
      <w:pPr>
        <w:pStyle w:val="ListParagraph"/>
        <w:ind w:left="0"/>
        <w:jc w:val="both"/>
        <w:rPr>
          <w:rFonts w:ascii="Verdana" w:hAnsi="Verdana"/>
          <w:i/>
          <w:sz w:val="20"/>
          <w:szCs w:val="20"/>
          <w:u w:val="single"/>
        </w:rPr>
      </w:pPr>
    </w:p>
    <w:p w14:paraId="2FAC0ABF" w14:textId="77777777" w:rsidR="00F83E8F" w:rsidRDefault="00F83E8F" w:rsidP="00F83E8F">
      <w:pPr>
        <w:ind w:left="709" w:right="738"/>
        <w:jc w:val="both"/>
        <w:rPr>
          <w:rFonts w:ascii="Verdana" w:hAnsi="Verdana"/>
          <w:sz w:val="16"/>
          <w:szCs w:val="16"/>
        </w:rPr>
      </w:pPr>
      <w:r w:rsidRPr="004E66B4">
        <w:rPr>
          <w:rFonts w:ascii="Verdana" w:hAnsi="Verdana"/>
          <w:sz w:val="16"/>
          <w:szCs w:val="16"/>
        </w:rPr>
        <w:t xml:space="preserve">70. En su </w:t>
      </w:r>
      <w:r w:rsidRPr="004E66B4">
        <w:rPr>
          <w:rFonts w:ascii="Verdana" w:hAnsi="Verdana"/>
          <w:sz w:val="16"/>
          <w:szCs w:val="16"/>
          <w:u w:val="single"/>
        </w:rPr>
        <w:t>dimensión individual</w:t>
      </w:r>
      <w:r w:rsidRPr="004E66B4">
        <w:rPr>
          <w:rFonts w:ascii="Verdana" w:hAnsi="Verdana"/>
          <w:sz w:val="16"/>
          <w:szCs w:val="16"/>
        </w:rPr>
        <w:t>, la libertad de asociación, en materia laboral, no se agota con el reconocimiento teórico del derecho a formar sindicatos, sino que comprende además, inseparablemente, el derecho a utilizar cualquier medio apropiado para ejercer esa libertad. Cuando la Convención proclama que la libertad de asociación comprende el derecho de asociarse libremente con fines “de cualquier [...] índole”, está subrayando que la libertad para asociarse y la persecución de ciertos fines colectivos son indivisibles, de modo que una restricción de las posibilidades de asociarse representa directamente, y en la misma medida, un límite al derecho de la colectividad de alcanzar lo</w:t>
      </w:r>
      <w:r>
        <w:rPr>
          <w:rFonts w:ascii="Verdana" w:hAnsi="Verdana"/>
          <w:sz w:val="16"/>
          <w:szCs w:val="16"/>
        </w:rPr>
        <w:t>s fines que se proponga. De ahí</w:t>
      </w:r>
      <w:r w:rsidRPr="004E66B4">
        <w:rPr>
          <w:rFonts w:ascii="Verdana" w:hAnsi="Verdana"/>
          <w:sz w:val="16"/>
          <w:szCs w:val="16"/>
        </w:rPr>
        <w:t xml:space="preserve"> la importancia de la adecuación con la Convención del régimen legal aplicable a los sindicatos y de las acciones del Estado, o que ocurran con tolerancia de este, que pudieran hacer i</w:t>
      </w:r>
      <w:r>
        <w:rPr>
          <w:rFonts w:ascii="Verdana" w:hAnsi="Verdana"/>
          <w:sz w:val="16"/>
          <w:szCs w:val="16"/>
        </w:rPr>
        <w:t>noperante este derecho en la prá</w:t>
      </w:r>
      <w:r w:rsidRPr="004E66B4">
        <w:rPr>
          <w:rFonts w:ascii="Verdana" w:hAnsi="Verdana"/>
          <w:sz w:val="16"/>
          <w:szCs w:val="16"/>
        </w:rPr>
        <w:t xml:space="preserve">ctica. </w:t>
      </w:r>
    </w:p>
    <w:p w14:paraId="7624FC34" w14:textId="77777777" w:rsidR="00F83E8F" w:rsidRPr="004E66B4" w:rsidRDefault="00F83E8F" w:rsidP="00F83E8F">
      <w:pPr>
        <w:ind w:left="709" w:right="738"/>
        <w:jc w:val="both"/>
        <w:rPr>
          <w:rFonts w:ascii="Verdana" w:hAnsi="Verdana"/>
          <w:sz w:val="16"/>
          <w:szCs w:val="16"/>
        </w:rPr>
      </w:pPr>
    </w:p>
    <w:p w14:paraId="03EC4749" w14:textId="77777777" w:rsidR="00F83E8F" w:rsidRPr="004E66B4" w:rsidRDefault="00F83E8F" w:rsidP="00F83E8F">
      <w:pPr>
        <w:ind w:left="709" w:right="738"/>
        <w:jc w:val="both"/>
        <w:rPr>
          <w:rFonts w:ascii="Verdana" w:hAnsi="Verdana"/>
          <w:sz w:val="16"/>
          <w:szCs w:val="16"/>
        </w:rPr>
      </w:pPr>
      <w:r w:rsidRPr="004E66B4">
        <w:rPr>
          <w:rFonts w:ascii="Verdana" w:hAnsi="Verdana"/>
          <w:sz w:val="16"/>
          <w:szCs w:val="16"/>
        </w:rPr>
        <w:t xml:space="preserve">71. En su </w:t>
      </w:r>
      <w:r w:rsidRPr="004E66B4">
        <w:rPr>
          <w:rFonts w:ascii="Verdana" w:hAnsi="Verdana"/>
          <w:sz w:val="16"/>
          <w:szCs w:val="16"/>
          <w:u w:val="single"/>
        </w:rPr>
        <w:t>dimensión social</w:t>
      </w:r>
      <w:r w:rsidRPr="004E66B4">
        <w:rPr>
          <w:rFonts w:ascii="Verdana" w:hAnsi="Verdana"/>
          <w:sz w:val="16"/>
          <w:szCs w:val="16"/>
        </w:rPr>
        <w:t xml:space="preserve"> la libertad de asociación es un medio que permite a los integrantes de un grupo o colectividad laboral alcanzar determinados fines en conjunto y beneficiarse de los mismos. </w:t>
      </w:r>
    </w:p>
    <w:p w14:paraId="1A7780AE" w14:textId="77777777" w:rsidR="00F83E8F" w:rsidRPr="004E66B4" w:rsidRDefault="00F83E8F" w:rsidP="00F83E8F">
      <w:pPr>
        <w:pStyle w:val="ListParagraph"/>
        <w:ind w:left="709" w:right="918"/>
        <w:jc w:val="both"/>
        <w:rPr>
          <w:rFonts w:ascii="Verdana" w:hAnsi="Verdana"/>
          <w:sz w:val="16"/>
          <w:szCs w:val="16"/>
          <w:u w:val="single"/>
        </w:rPr>
      </w:pPr>
      <w:r w:rsidRPr="004E66B4">
        <w:rPr>
          <w:rFonts w:ascii="Verdana" w:hAnsi="Verdana"/>
          <w:sz w:val="16"/>
          <w:szCs w:val="16"/>
        </w:rPr>
        <w:t xml:space="preserve">72. </w:t>
      </w:r>
      <w:r w:rsidRPr="004E66B4">
        <w:rPr>
          <w:rFonts w:ascii="Verdana" w:hAnsi="Verdana"/>
          <w:sz w:val="16"/>
          <w:szCs w:val="16"/>
          <w:u w:val="single"/>
        </w:rPr>
        <w:t>Las dos dimensiones mencionadas de la libertad de asociación deben ser garantizadas simultáneamente,</w:t>
      </w:r>
      <w:r w:rsidRPr="004E66B4">
        <w:rPr>
          <w:rFonts w:ascii="Verdana" w:hAnsi="Verdana"/>
          <w:sz w:val="16"/>
          <w:szCs w:val="16"/>
        </w:rPr>
        <w:t xml:space="preserve"> sin perjuicio de las restricciones pe</w:t>
      </w:r>
      <w:r>
        <w:rPr>
          <w:rFonts w:ascii="Verdana" w:hAnsi="Verdana"/>
          <w:sz w:val="16"/>
          <w:szCs w:val="16"/>
        </w:rPr>
        <w:t>rmitidas en el inciso 2 del artí</w:t>
      </w:r>
      <w:r w:rsidRPr="004E66B4">
        <w:rPr>
          <w:rFonts w:ascii="Verdana" w:hAnsi="Verdana"/>
          <w:sz w:val="16"/>
          <w:szCs w:val="16"/>
        </w:rPr>
        <w:t>culo 16 de la Convención</w:t>
      </w:r>
      <w:r w:rsidRPr="004E66B4">
        <w:rPr>
          <w:rStyle w:val="FootnoteReference"/>
          <w:sz w:val="16"/>
          <w:szCs w:val="16"/>
        </w:rPr>
        <w:footnoteReference w:id="329"/>
      </w:r>
      <w:r w:rsidRPr="004E66B4">
        <w:rPr>
          <w:rFonts w:ascii="Verdana" w:hAnsi="Verdana"/>
          <w:sz w:val="16"/>
          <w:szCs w:val="16"/>
        </w:rPr>
        <w:t>.</w:t>
      </w:r>
    </w:p>
    <w:p w14:paraId="75905FC9" w14:textId="77777777" w:rsidR="00F83E8F" w:rsidRPr="004E66B4" w:rsidRDefault="00F83E8F" w:rsidP="00F83E8F">
      <w:pPr>
        <w:jc w:val="both"/>
        <w:rPr>
          <w:rFonts w:ascii="Verdana" w:hAnsi="Verdana"/>
          <w:sz w:val="20"/>
          <w:szCs w:val="20"/>
          <w:u w:val="single"/>
        </w:rPr>
      </w:pPr>
    </w:p>
    <w:p w14:paraId="3EB79449" w14:textId="77777777" w:rsidR="00F83E8F" w:rsidRPr="004E66B4" w:rsidRDefault="00F83E8F" w:rsidP="00E70701">
      <w:pPr>
        <w:pStyle w:val="ListParagraph"/>
        <w:numPr>
          <w:ilvl w:val="0"/>
          <w:numId w:val="28"/>
        </w:numPr>
        <w:ind w:left="0" w:firstLine="0"/>
        <w:jc w:val="both"/>
        <w:rPr>
          <w:rFonts w:ascii="Verdana" w:hAnsi="Verdana"/>
          <w:i/>
          <w:sz w:val="20"/>
          <w:szCs w:val="20"/>
        </w:rPr>
      </w:pPr>
      <w:r>
        <w:rPr>
          <w:rFonts w:ascii="Verdana" w:hAnsi="Verdana"/>
          <w:sz w:val="20"/>
          <w:szCs w:val="20"/>
        </w:rPr>
        <w:t>En ese mismo caso,</w:t>
      </w:r>
      <w:r w:rsidRPr="004E66B4">
        <w:rPr>
          <w:rFonts w:ascii="Verdana" w:hAnsi="Verdana"/>
          <w:sz w:val="20"/>
          <w:szCs w:val="20"/>
        </w:rPr>
        <w:t xml:space="preserve"> la Corte I</w:t>
      </w:r>
      <w:r>
        <w:rPr>
          <w:rFonts w:ascii="Verdana" w:hAnsi="Verdana"/>
          <w:sz w:val="20"/>
          <w:szCs w:val="20"/>
        </w:rPr>
        <w:t>DH</w:t>
      </w:r>
      <w:r w:rsidRPr="004E66B4">
        <w:rPr>
          <w:rFonts w:ascii="Verdana" w:hAnsi="Verdana"/>
          <w:sz w:val="20"/>
          <w:szCs w:val="20"/>
        </w:rPr>
        <w:t xml:space="preserve"> se refirió, por primera vez, al Protocolo de San Salvador y al Convenio No. 87 de la Organización Internacional de Trabajo, relativo a la Libertad Sindical y a la Protec</w:t>
      </w:r>
      <w:r>
        <w:rPr>
          <w:rFonts w:ascii="Verdana" w:hAnsi="Verdana"/>
          <w:sz w:val="20"/>
          <w:szCs w:val="20"/>
        </w:rPr>
        <w:t>ción del Derecho de Sindicación;</w:t>
      </w:r>
      <w:r w:rsidRPr="004E66B4">
        <w:rPr>
          <w:rFonts w:ascii="Verdana" w:hAnsi="Verdana"/>
          <w:sz w:val="20"/>
          <w:szCs w:val="20"/>
        </w:rPr>
        <w:t xml:space="preserve"> los cuales en sus artículos 8.1.a y 11, respectivamente, comprenden la obligación del Estado de permitir que los sindicatos, federaci</w:t>
      </w:r>
      <w:r>
        <w:rPr>
          <w:rFonts w:ascii="Verdana" w:hAnsi="Verdana"/>
          <w:sz w:val="20"/>
          <w:szCs w:val="20"/>
        </w:rPr>
        <w:t>ones y confederaciones funcionen</w:t>
      </w:r>
      <w:r w:rsidRPr="004E66B4">
        <w:rPr>
          <w:rFonts w:ascii="Verdana" w:hAnsi="Verdana"/>
          <w:sz w:val="20"/>
          <w:szCs w:val="20"/>
        </w:rPr>
        <w:t xml:space="preserve"> libremente</w:t>
      </w:r>
      <w:r w:rsidRPr="004E66B4">
        <w:rPr>
          <w:rStyle w:val="FootnoteReference"/>
          <w:szCs w:val="20"/>
        </w:rPr>
        <w:footnoteReference w:id="330"/>
      </w:r>
      <w:r w:rsidRPr="004E66B4">
        <w:rPr>
          <w:rFonts w:ascii="Verdana" w:hAnsi="Verdana"/>
          <w:sz w:val="20"/>
          <w:szCs w:val="20"/>
        </w:rPr>
        <w:t xml:space="preserve">. </w:t>
      </w:r>
    </w:p>
    <w:p w14:paraId="23C08E83" w14:textId="77777777" w:rsidR="00F83E8F" w:rsidRPr="004E66B4" w:rsidRDefault="00F83E8F" w:rsidP="00F83E8F">
      <w:pPr>
        <w:pStyle w:val="ListParagraph"/>
        <w:ind w:left="0"/>
        <w:jc w:val="both"/>
        <w:rPr>
          <w:rFonts w:ascii="Verdana" w:hAnsi="Verdana"/>
          <w:i/>
          <w:sz w:val="20"/>
          <w:szCs w:val="20"/>
        </w:rPr>
      </w:pPr>
    </w:p>
    <w:p w14:paraId="2D27F0D6" w14:textId="77777777" w:rsidR="00F83E8F" w:rsidRPr="004E66B4" w:rsidRDefault="00F83E8F" w:rsidP="00E70701">
      <w:pPr>
        <w:pStyle w:val="ListParagraph"/>
        <w:numPr>
          <w:ilvl w:val="0"/>
          <w:numId w:val="28"/>
        </w:numPr>
        <w:ind w:left="0" w:firstLine="0"/>
        <w:jc w:val="both"/>
        <w:rPr>
          <w:rFonts w:ascii="Verdana" w:hAnsi="Verdana"/>
          <w:i/>
          <w:sz w:val="20"/>
          <w:szCs w:val="20"/>
        </w:rPr>
      </w:pPr>
      <w:r w:rsidRPr="004E66B4">
        <w:rPr>
          <w:rFonts w:ascii="Verdana" w:hAnsi="Verdana"/>
          <w:sz w:val="20"/>
          <w:szCs w:val="20"/>
        </w:rPr>
        <w:t xml:space="preserve">En el caso </w:t>
      </w:r>
      <w:r w:rsidRPr="004E66B4">
        <w:rPr>
          <w:rFonts w:ascii="Verdana" w:hAnsi="Verdana"/>
          <w:i/>
          <w:sz w:val="20"/>
          <w:szCs w:val="20"/>
        </w:rPr>
        <w:t xml:space="preserve">Cantoral </w:t>
      </w:r>
      <w:proofErr w:type="spellStart"/>
      <w:r w:rsidRPr="004E66B4">
        <w:rPr>
          <w:rFonts w:ascii="Verdana" w:hAnsi="Verdana"/>
          <w:i/>
          <w:sz w:val="20"/>
          <w:szCs w:val="20"/>
        </w:rPr>
        <w:t>Huamaní</w:t>
      </w:r>
      <w:proofErr w:type="spellEnd"/>
      <w:r w:rsidRPr="004E66B4">
        <w:rPr>
          <w:rFonts w:ascii="Verdana" w:hAnsi="Verdana"/>
          <w:i/>
          <w:sz w:val="20"/>
          <w:szCs w:val="20"/>
        </w:rPr>
        <w:t xml:space="preserve"> y García Santa Cruz</w:t>
      </w:r>
      <w:r w:rsidRPr="004E66B4">
        <w:rPr>
          <w:rFonts w:ascii="Verdana" w:hAnsi="Verdana"/>
          <w:sz w:val="20"/>
          <w:szCs w:val="20"/>
        </w:rPr>
        <w:t xml:space="preserve">, </w:t>
      </w:r>
      <w:r>
        <w:rPr>
          <w:rFonts w:ascii="Verdana" w:hAnsi="Verdana"/>
          <w:sz w:val="20"/>
          <w:szCs w:val="20"/>
        </w:rPr>
        <w:t>el Tribunal Interamericano consideró violado el artí</w:t>
      </w:r>
      <w:r w:rsidRPr="004E66B4">
        <w:rPr>
          <w:rFonts w:ascii="Verdana" w:hAnsi="Verdana"/>
          <w:sz w:val="20"/>
          <w:szCs w:val="20"/>
        </w:rPr>
        <w:t>culo 16</w:t>
      </w:r>
      <w:r>
        <w:rPr>
          <w:rFonts w:ascii="Verdana" w:hAnsi="Verdana"/>
          <w:sz w:val="20"/>
          <w:szCs w:val="20"/>
        </w:rPr>
        <w:t xml:space="preserve"> del Pacto de San José. Ello</w:t>
      </w:r>
      <w:r w:rsidRPr="004E66B4">
        <w:rPr>
          <w:rFonts w:ascii="Verdana" w:hAnsi="Verdana"/>
          <w:sz w:val="20"/>
          <w:szCs w:val="20"/>
        </w:rPr>
        <w:t xml:space="preserve"> en virtud de que las ejecuciones de las victimas tuvieron un efecto amedrentador e intimidador en los trabajadores del movimient</w:t>
      </w:r>
      <w:r>
        <w:rPr>
          <w:rFonts w:ascii="Verdana" w:hAnsi="Verdana"/>
          <w:sz w:val="20"/>
          <w:szCs w:val="20"/>
        </w:rPr>
        <w:t>o sindical minero peruano. Esas ejecuciones no restringieron so</w:t>
      </w:r>
      <w:r w:rsidRPr="004E66B4">
        <w:rPr>
          <w:rFonts w:ascii="Verdana" w:hAnsi="Verdana"/>
          <w:sz w:val="20"/>
          <w:szCs w:val="20"/>
        </w:rPr>
        <w:t xml:space="preserve">lo la libertad de un grupo determinado para asociarse libremente sin miedo o temor, </w:t>
      </w:r>
      <w:r>
        <w:rPr>
          <w:rFonts w:ascii="Verdana" w:hAnsi="Verdana"/>
          <w:sz w:val="20"/>
          <w:szCs w:val="20"/>
        </w:rPr>
        <w:t>sino</w:t>
      </w:r>
      <w:r w:rsidRPr="004E66B4">
        <w:rPr>
          <w:rFonts w:ascii="Verdana" w:hAnsi="Verdana"/>
          <w:sz w:val="20"/>
          <w:szCs w:val="20"/>
        </w:rPr>
        <w:t xml:space="preserve"> se afectó la libertad de los trabajadores mineros para ejercer este derecho</w:t>
      </w:r>
      <w:r w:rsidRPr="004E66B4">
        <w:rPr>
          <w:rStyle w:val="FootnoteReference"/>
          <w:szCs w:val="20"/>
        </w:rPr>
        <w:footnoteReference w:id="331"/>
      </w:r>
      <w:r w:rsidRPr="004E66B4">
        <w:rPr>
          <w:rFonts w:ascii="Verdana" w:hAnsi="Verdana"/>
          <w:sz w:val="20"/>
          <w:szCs w:val="20"/>
        </w:rPr>
        <w:t>.</w:t>
      </w:r>
      <w:r w:rsidRPr="004E66B4">
        <w:rPr>
          <w:rFonts w:ascii="Verdana" w:hAnsi="Verdana"/>
          <w:b/>
          <w:sz w:val="20"/>
          <w:szCs w:val="20"/>
        </w:rPr>
        <w:t xml:space="preserve"> </w:t>
      </w:r>
      <w:r w:rsidRPr="004E66B4">
        <w:rPr>
          <w:rFonts w:ascii="Verdana" w:hAnsi="Verdana"/>
          <w:sz w:val="20"/>
          <w:szCs w:val="20"/>
        </w:rPr>
        <w:t xml:space="preserve">En este caso la Corte IDH hizo una distinción entre los dos tipos de obligaciones (negativas y positivas) que enmarca el articulo 16 al considerar que: </w:t>
      </w:r>
    </w:p>
    <w:p w14:paraId="704F12E3" w14:textId="77777777" w:rsidR="00F83E8F" w:rsidRPr="004E66B4" w:rsidRDefault="00F83E8F" w:rsidP="00F83E8F">
      <w:pPr>
        <w:jc w:val="both"/>
        <w:rPr>
          <w:rFonts w:ascii="Verdana" w:hAnsi="Verdana"/>
          <w:i/>
          <w:sz w:val="20"/>
          <w:szCs w:val="20"/>
        </w:rPr>
      </w:pPr>
    </w:p>
    <w:p w14:paraId="249483CE" w14:textId="77777777" w:rsidR="00F83E8F" w:rsidRPr="004E66B4" w:rsidRDefault="00F83E8F" w:rsidP="00F83E8F">
      <w:pPr>
        <w:pStyle w:val="NormalWeb"/>
        <w:spacing w:before="0" w:beforeAutospacing="0" w:after="0" w:afterAutospacing="0"/>
        <w:ind w:left="709" w:right="738"/>
        <w:jc w:val="both"/>
        <w:rPr>
          <w:rFonts w:ascii="Verdana" w:hAnsi="Verdana"/>
          <w:sz w:val="16"/>
          <w:szCs w:val="16"/>
          <w:lang w:val="es-ES_tradnl"/>
        </w:rPr>
      </w:pPr>
      <w:r>
        <w:rPr>
          <w:rFonts w:ascii="Verdana" w:hAnsi="Verdana"/>
          <w:sz w:val="16"/>
          <w:szCs w:val="16"/>
          <w:lang w:val="es-ES_tradnl"/>
        </w:rPr>
        <w:t>144.  El artí</w:t>
      </w:r>
      <w:r w:rsidRPr="004E66B4">
        <w:rPr>
          <w:rFonts w:ascii="Verdana" w:hAnsi="Verdana"/>
          <w:sz w:val="16"/>
          <w:szCs w:val="16"/>
          <w:lang w:val="es-ES_tradnl"/>
        </w:rPr>
        <w:t xml:space="preserve">culo 16.1 de la Convención establece que quienes están bajo la jurisdicción de los Estados Partes </w:t>
      </w:r>
      <w:r w:rsidRPr="004E66B4">
        <w:rPr>
          <w:rFonts w:ascii="Verdana" w:hAnsi="Verdana"/>
          <w:sz w:val="16"/>
          <w:szCs w:val="16"/>
          <w:u w:val="single"/>
          <w:lang w:val="es-ES_tradnl"/>
        </w:rPr>
        <w:t>tienen el derecho y la libertad de asociarse libremente con otras personas, sin intervención de las autoridades públicas que limiten o entorpezcan el ejercicio del referido derecho</w:t>
      </w:r>
      <w:r w:rsidRPr="004E66B4">
        <w:rPr>
          <w:rFonts w:ascii="Verdana" w:hAnsi="Verdana"/>
          <w:sz w:val="16"/>
          <w:szCs w:val="16"/>
          <w:lang w:val="es-ES_tradnl"/>
        </w:rPr>
        <w:t xml:space="preserve">. </w:t>
      </w:r>
      <w:r w:rsidRPr="004E66B4">
        <w:rPr>
          <w:rFonts w:ascii="Verdana" w:hAnsi="Verdana"/>
          <w:sz w:val="16"/>
          <w:szCs w:val="16"/>
          <w:u w:val="single"/>
          <w:lang w:val="es-ES_tradnl"/>
        </w:rPr>
        <w:t>Además, gozan del derecho y la libertad de reunirse con la finalidad de buscar la realización común de un fin lícito, sin presiones o intromisiones que puedan alterar o desnaturalizar dicha finalidad [Obligación negativa]. [T</w:t>
      </w:r>
      <w:proofErr w:type="gramStart"/>
      <w:r w:rsidRPr="004E66B4">
        <w:rPr>
          <w:rFonts w:ascii="Verdana" w:hAnsi="Verdana"/>
          <w:sz w:val="16"/>
          <w:szCs w:val="16"/>
          <w:u w:val="single"/>
          <w:lang w:val="es-ES_tradnl"/>
        </w:rPr>
        <w:t>]</w:t>
      </w:r>
      <w:proofErr w:type="spellStart"/>
      <w:r w:rsidRPr="004E66B4">
        <w:rPr>
          <w:rFonts w:ascii="Verdana" w:hAnsi="Verdana"/>
          <w:sz w:val="16"/>
          <w:szCs w:val="16"/>
          <w:u w:val="single"/>
          <w:lang w:val="es-ES_tradnl"/>
        </w:rPr>
        <w:t>ambie</w:t>
      </w:r>
      <w:proofErr w:type="gramEnd"/>
      <w:r w:rsidRPr="004E66B4">
        <w:rPr>
          <w:rFonts w:ascii="Verdana" w:hAnsi="Verdana"/>
          <w:sz w:val="16"/>
          <w:szCs w:val="16"/>
          <w:u w:val="single"/>
          <w:lang w:val="es-ES_tradnl"/>
        </w:rPr>
        <w:t>́n</w:t>
      </w:r>
      <w:proofErr w:type="spellEnd"/>
      <w:r w:rsidRPr="004E66B4">
        <w:rPr>
          <w:rFonts w:ascii="Verdana" w:hAnsi="Verdana"/>
          <w:sz w:val="16"/>
          <w:szCs w:val="16"/>
          <w:u w:val="single"/>
          <w:lang w:val="es-ES_tradnl"/>
        </w:rPr>
        <w:t xml:space="preserve"> se derivan obligaciones positivas de prevenir los atentados contra la misma, proteger a quienes la ejercen e investigar las violaciones de dicha libertad. Estas obligaciones positivas deben adoptarse, incluso en la esfera de relaciones entre particulares, si el caso así́ lo amerita</w:t>
      </w:r>
      <w:r w:rsidRPr="004E66B4">
        <w:rPr>
          <w:rFonts w:ascii="Verdana" w:hAnsi="Verdana"/>
          <w:sz w:val="16"/>
          <w:szCs w:val="16"/>
          <w:lang w:val="es-ES_tradnl"/>
        </w:rPr>
        <w:t>. Como lo ha determinado anteriormente, la Corte considera que el ámbito de protección del artículo 16.1 incluye el ejercicio de la libertad sindical</w:t>
      </w:r>
      <w:r w:rsidRPr="004E66B4">
        <w:rPr>
          <w:rStyle w:val="FootnoteReference"/>
          <w:rFonts w:eastAsiaTheme="majorEastAsia"/>
          <w:sz w:val="16"/>
          <w:szCs w:val="16"/>
          <w:lang w:val="es-ES_tradnl"/>
        </w:rPr>
        <w:footnoteReference w:id="332"/>
      </w:r>
      <w:r w:rsidRPr="004E66B4">
        <w:rPr>
          <w:rFonts w:ascii="Verdana" w:hAnsi="Verdana"/>
          <w:sz w:val="16"/>
          <w:szCs w:val="16"/>
          <w:lang w:val="es-ES_tradnl"/>
        </w:rPr>
        <w:t xml:space="preserve">. </w:t>
      </w:r>
    </w:p>
    <w:p w14:paraId="70913A8B" w14:textId="77777777" w:rsidR="00F83E8F" w:rsidRPr="004E66B4" w:rsidRDefault="00F83E8F" w:rsidP="00F83E8F">
      <w:pPr>
        <w:pStyle w:val="NormalWeb"/>
        <w:spacing w:before="0" w:beforeAutospacing="0" w:after="0" w:afterAutospacing="0"/>
        <w:ind w:right="567"/>
        <w:jc w:val="both"/>
        <w:rPr>
          <w:rFonts w:ascii="Verdana" w:hAnsi="Verdana"/>
          <w:sz w:val="16"/>
          <w:szCs w:val="16"/>
          <w:lang w:val="es-ES_tradnl"/>
        </w:rPr>
      </w:pPr>
    </w:p>
    <w:p w14:paraId="0E7FD5FE" w14:textId="77777777" w:rsidR="00F83E8F" w:rsidRPr="00354EF9"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Asimismo,</w:t>
      </w:r>
      <w:r w:rsidRPr="004E66B4">
        <w:rPr>
          <w:rFonts w:ascii="Verdana" w:hAnsi="Verdana"/>
          <w:sz w:val="20"/>
          <w:szCs w:val="20"/>
        </w:rPr>
        <w:t xml:space="preserve"> en la Opinión Consultiva No. 22</w:t>
      </w:r>
      <w:r>
        <w:rPr>
          <w:rFonts w:ascii="Verdana" w:hAnsi="Verdana"/>
          <w:sz w:val="20"/>
          <w:szCs w:val="20"/>
        </w:rPr>
        <w:t>,</w:t>
      </w:r>
      <w:r w:rsidRPr="004E66B4">
        <w:rPr>
          <w:rFonts w:ascii="Verdana" w:hAnsi="Verdana"/>
          <w:sz w:val="20"/>
          <w:szCs w:val="20"/>
        </w:rPr>
        <w:t xml:space="preserve"> </w:t>
      </w:r>
      <w:r>
        <w:rPr>
          <w:rFonts w:ascii="Verdana" w:hAnsi="Verdana"/>
          <w:sz w:val="20"/>
          <w:szCs w:val="20"/>
        </w:rPr>
        <w:t xml:space="preserve">sobre la </w:t>
      </w:r>
      <w:r w:rsidRPr="00357AA1">
        <w:rPr>
          <w:rFonts w:ascii="Verdana" w:hAnsi="Verdana"/>
          <w:i/>
          <w:sz w:val="20"/>
          <w:szCs w:val="20"/>
        </w:rPr>
        <w:t>titularidad de derechos de las personas jurídicas</w:t>
      </w:r>
      <w:r>
        <w:rPr>
          <w:rFonts w:ascii="Verdana" w:hAnsi="Verdana"/>
          <w:sz w:val="20"/>
          <w:szCs w:val="20"/>
        </w:rPr>
        <w:t xml:space="preserve">, </w:t>
      </w:r>
      <w:r w:rsidRPr="004E66B4">
        <w:rPr>
          <w:rFonts w:ascii="Verdana" w:hAnsi="Verdana"/>
          <w:sz w:val="20"/>
          <w:szCs w:val="20"/>
        </w:rPr>
        <w:t xml:space="preserve">el Tribunal Interamericano </w:t>
      </w:r>
      <w:r>
        <w:rPr>
          <w:rFonts w:ascii="Verdana" w:hAnsi="Verdana"/>
          <w:sz w:val="20"/>
          <w:szCs w:val="20"/>
        </w:rPr>
        <w:t>consideró que “</w:t>
      </w:r>
      <w:r w:rsidRPr="004E66B4">
        <w:rPr>
          <w:rFonts w:ascii="Verdana" w:hAnsi="Verdana"/>
          <w:sz w:val="20"/>
          <w:szCs w:val="20"/>
        </w:rPr>
        <w:t>cuando el artículo</w:t>
      </w:r>
      <w:r>
        <w:rPr>
          <w:rFonts w:ascii="Verdana" w:hAnsi="Verdana"/>
          <w:sz w:val="20"/>
          <w:szCs w:val="20"/>
        </w:rPr>
        <w:t xml:space="preserve"> 8.1.a indica </w:t>
      </w:r>
      <w:r>
        <w:rPr>
          <w:rFonts w:ascii="Verdana" w:hAnsi="Verdana"/>
          <w:sz w:val="20"/>
          <w:szCs w:val="20"/>
        </w:rPr>
        <w:lastRenderedPageBreak/>
        <w:t>que ‘</w:t>
      </w:r>
      <w:r w:rsidRPr="004E66B4">
        <w:rPr>
          <w:rFonts w:ascii="Verdana" w:hAnsi="Verdana"/>
          <w:sz w:val="20"/>
          <w:szCs w:val="20"/>
        </w:rPr>
        <w:t>como proyección del derecho de los trabajadores, el Estado permitirá́ a los sindicatos, las federaciones y las confederaciones actuar libremente</w:t>
      </w:r>
      <w:r>
        <w:rPr>
          <w:rFonts w:ascii="Verdana" w:hAnsi="Verdana"/>
          <w:sz w:val="20"/>
          <w:szCs w:val="20"/>
        </w:rPr>
        <w:t>,</w:t>
      </w:r>
      <w:r w:rsidRPr="004E66B4">
        <w:rPr>
          <w:rFonts w:ascii="Verdana" w:hAnsi="Verdana"/>
          <w:sz w:val="20"/>
          <w:szCs w:val="20"/>
        </w:rPr>
        <w:t xml:space="preserve"> así como </w:t>
      </w:r>
      <w:r w:rsidRPr="00BD5340">
        <w:rPr>
          <w:rFonts w:ascii="Verdana" w:hAnsi="Verdana"/>
          <w:sz w:val="20"/>
          <w:szCs w:val="20"/>
        </w:rPr>
        <w:t>a los sindicatos asociarse y formar federaciones y confederaciones nacionales, y organizaciones sindicales internacionales</w:t>
      </w:r>
      <w:r>
        <w:rPr>
          <w:rFonts w:ascii="Verdana" w:hAnsi="Verdana"/>
          <w:sz w:val="20"/>
          <w:szCs w:val="20"/>
        </w:rPr>
        <w:t>’</w:t>
      </w:r>
      <w:r w:rsidRPr="00BD5340">
        <w:rPr>
          <w:rFonts w:ascii="Verdana" w:hAnsi="Verdana"/>
          <w:sz w:val="20"/>
          <w:szCs w:val="20"/>
        </w:rPr>
        <w:t>, lo que la norma hace es darle un alcance al derecho de los trabajadores más amplio que el solo hecho de poder organizar sindicatos y afiliarse al de su elección</w:t>
      </w:r>
      <w:r w:rsidRPr="00C17861">
        <w:rPr>
          <w:rFonts w:ascii="Verdana" w:hAnsi="Verdana"/>
          <w:sz w:val="20"/>
          <w:szCs w:val="20"/>
        </w:rPr>
        <w:t xml:space="preserve">. </w:t>
      </w:r>
      <w:r w:rsidRPr="004E66B4">
        <w:rPr>
          <w:rFonts w:ascii="Verdana" w:hAnsi="Verdana"/>
          <w:sz w:val="20"/>
          <w:szCs w:val="20"/>
        </w:rPr>
        <w:t xml:space="preserve">Esto lo logra </w:t>
      </w:r>
      <w:r>
        <w:rPr>
          <w:rFonts w:ascii="Verdana" w:hAnsi="Verdana"/>
          <w:sz w:val="20"/>
          <w:szCs w:val="20"/>
        </w:rPr>
        <w:t xml:space="preserve">la Corte IDH </w:t>
      </w:r>
      <w:r w:rsidRPr="004E66B4">
        <w:rPr>
          <w:rFonts w:ascii="Verdana" w:hAnsi="Verdana"/>
          <w:sz w:val="20"/>
          <w:szCs w:val="20"/>
        </w:rPr>
        <w:t xml:space="preserve">especificando los medios mínimos a través de los cuales los Estados garantizaran el ejercicio de dicho derecho. En consecuencia, el derecho que la norma consagra a favor de los trabajadores constituye un marco a través del </w:t>
      </w:r>
      <w:r w:rsidRPr="00212BD6">
        <w:rPr>
          <w:rFonts w:ascii="Verdana" w:hAnsi="Verdana"/>
          <w:sz w:val="20"/>
          <w:szCs w:val="20"/>
        </w:rPr>
        <w:t xml:space="preserve">cual se generan derechos más </w:t>
      </w:r>
      <w:r w:rsidRPr="00354EF9">
        <w:rPr>
          <w:rFonts w:ascii="Verdana" w:hAnsi="Verdana"/>
          <w:sz w:val="20"/>
          <w:szCs w:val="20"/>
        </w:rPr>
        <w:t xml:space="preserve">específicos en cabeza de los sindicatos, las federaciones y confederaciones como sujetos de derechos </w:t>
      </w:r>
      <w:r w:rsidRPr="005B6191">
        <w:rPr>
          <w:rFonts w:ascii="Verdana" w:hAnsi="Verdana"/>
          <w:sz w:val="20"/>
          <w:szCs w:val="20"/>
        </w:rPr>
        <w:t xml:space="preserve">autónomos, cuya finalidad es permitirles ser interlocutores de sus asociados, facilitando a través de esta función una protección </w:t>
      </w:r>
      <w:proofErr w:type="spellStart"/>
      <w:r w:rsidRPr="005B6191">
        <w:rPr>
          <w:rFonts w:ascii="Verdana" w:hAnsi="Verdana"/>
          <w:sz w:val="20"/>
          <w:szCs w:val="20"/>
        </w:rPr>
        <w:t>más</w:t>
      </w:r>
      <w:proofErr w:type="spellEnd"/>
      <w:r w:rsidRPr="005B6191">
        <w:rPr>
          <w:rFonts w:ascii="Verdana" w:hAnsi="Verdana"/>
          <w:sz w:val="20"/>
          <w:szCs w:val="20"/>
        </w:rPr>
        <w:t xml:space="preserve"> extensa y el goce efectivo del derecho de los trabajadores”</w:t>
      </w:r>
      <w:r w:rsidRPr="00212BD6">
        <w:rPr>
          <w:rStyle w:val="FootnoteReference"/>
          <w:szCs w:val="20"/>
        </w:rPr>
        <w:footnoteReference w:id="333"/>
      </w:r>
      <w:r w:rsidRPr="00212BD6">
        <w:rPr>
          <w:rFonts w:ascii="Verdana" w:hAnsi="Verdana"/>
          <w:sz w:val="20"/>
          <w:szCs w:val="20"/>
        </w:rPr>
        <w:t xml:space="preserve">.  </w:t>
      </w:r>
    </w:p>
    <w:p w14:paraId="59412F8A" w14:textId="77777777" w:rsidR="00F83E8F" w:rsidRPr="005B6191" w:rsidRDefault="00F83E8F" w:rsidP="00F83E8F">
      <w:pPr>
        <w:pStyle w:val="ListParagraph"/>
        <w:widowControl w:val="0"/>
        <w:autoSpaceDE w:val="0"/>
        <w:autoSpaceDN w:val="0"/>
        <w:adjustRightInd w:val="0"/>
        <w:ind w:left="0" w:right="49"/>
        <w:jc w:val="both"/>
        <w:rPr>
          <w:rFonts w:ascii="Verdana" w:hAnsi="Verdana"/>
          <w:sz w:val="20"/>
          <w:szCs w:val="20"/>
        </w:rPr>
      </w:pPr>
    </w:p>
    <w:p w14:paraId="34C998CD" w14:textId="77777777" w:rsidR="00F83E8F" w:rsidRPr="00354EF9"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8D2569">
        <w:rPr>
          <w:rFonts w:ascii="Verdana" w:hAnsi="Verdana"/>
          <w:sz w:val="20"/>
          <w:szCs w:val="20"/>
        </w:rPr>
        <w:t>En suma, el derecho de asociación sindical ha sido protegido por la vía de la conexidad, subsumiéndolo en el derecho de asociación contemplado en el artículo 16 de la Convención Americana (</w:t>
      </w:r>
      <w:proofErr w:type="spellStart"/>
      <w:r w:rsidRPr="008D2569">
        <w:rPr>
          <w:rFonts w:ascii="Verdana" w:hAnsi="Verdana"/>
          <w:sz w:val="20"/>
          <w:szCs w:val="20"/>
        </w:rPr>
        <w:t>justiciabilidad</w:t>
      </w:r>
      <w:proofErr w:type="spellEnd"/>
      <w:r w:rsidRPr="008D2569">
        <w:rPr>
          <w:rFonts w:ascii="Verdana" w:hAnsi="Verdana"/>
          <w:sz w:val="20"/>
          <w:szCs w:val="20"/>
        </w:rPr>
        <w:t xml:space="preserve"> indirecta por conexidad). No obstante, el Tribunal Interamericano, como veremos en el siguiente apartado</w:t>
      </w:r>
      <w:r w:rsidRPr="005B6191">
        <w:rPr>
          <w:rFonts w:ascii="Verdana" w:hAnsi="Verdana"/>
          <w:sz w:val="20"/>
          <w:szCs w:val="20"/>
        </w:rPr>
        <w:t xml:space="preserve">, extiende </w:t>
      </w:r>
      <w:r>
        <w:rPr>
          <w:rFonts w:ascii="Verdana" w:hAnsi="Verdana"/>
          <w:sz w:val="20"/>
          <w:szCs w:val="20"/>
        </w:rPr>
        <w:t xml:space="preserve">en el presente caso </w:t>
      </w:r>
      <w:r w:rsidRPr="005B6191">
        <w:rPr>
          <w:rFonts w:ascii="Verdana" w:hAnsi="Verdana"/>
          <w:sz w:val="20"/>
          <w:szCs w:val="20"/>
        </w:rPr>
        <w:t>la protección de asociaci</w:t>
      </w:r>
      <w:r>
        <w:rPr>
          <w:rFonts w:ascii="Verdana" w:hAnsi="Verdana"/>
          <w:sz w:val="20"/>
          <w:szCs w:val="20"/>
        </w:rPr>
        <w:t xml:space="preserve">ones a instituciones laborales </w:t>
      </w:r>
      <w:r w:rsidRPr="005B6191">
        <w:rPr>
          <w:rFonts w:ascii="Verdana" w:hAnsi="Verdana"/>
          <w:sz w:val="20"/>
          <w:szCs w:val="20"/>
        </w:rPr>
        <w:t>que no conforman sindicatos</w:t>
      </w:r>
      <w:r>
        <w:rPr>
          <w:rFonts w:ascii="Verdana" w:hAnsi="Verdana"/>
          <w:sz w:val="20"/>
          <w:szCs w:val="20"/>
        </w:rPr>
        <w:t>,</w:t>
      </w:r>
      <w:r w:rsidRPr="005B6191">
        <w:rPr>
          <w:rFonts w:ascii="Verdana" w:hAnsi="Verdana"/>
          <w:sz w:val="20"/>
          <w:szCs w:val="20"/>
        </w:rPr>
        <w:t xml:space="preserve"> y a diferencia de los casos anteriormente enunciados, </w:t>
      </w:r>
      <w:r>
        <w:rPr>
          <w:rFonts w:ascii="Verdana" w:hAnsi="Verdana"/>
          <w:sz w:val="20"/>
          <w:szCs w:val="20"/>
        </w:rPr>
        <w:t xml:space="preserve">la Corte IDH </w:t>
      </w:r>
      <w:r w:rsidRPr="005B6191">
        <w:rPr>
          <w:rFonts w:ascii="Verdana" w:hAnsi="Verdana"/>
          <w:sz w:val="20"/>
          <w:szCs w:val="20"/>
        </w:rPr>
        <w:t>aborda de manera directa el derecho</w:t>
      </w:r>
      <w:r w:rsidRPr="00212BD6">
        <w:rPr>
          <w:rFonts w:ascii="Verdana" w:hAnsi="Verdana"/>
          <w:sz w:val="20"/>
          <w:szCs w:val="20"/>
        </w:rPr>
        <w:t xml:space="preserve"> </w:t>
      </w:r>
      <w:r w:rsidRPr="00354EF9">
        <w:rPr>
          <w:rFonts w:ascii="Verdana" w:hAnsi="Verdana"/>
          <w:i/>
          <w:sz w:val="20"/>
          <w:szCs w:val="20"/>
        </w:rPr>
        <w:t>de asociación laboral</w:t>
      </w:r>
      <w:r w:rsidRPr="005B6191">
        <w:rPr>
          <w:rFonts w:ascii="Verdana" w:hAnsi="Verdana"/>
          <w:i/>
          <w:sz w:val="20"/>
          <w:szCs w:val="20"/>
        </w:rPr>
        <w:t xml:space="preserve"> desde la óptica del artículo 26 de la Convención Americana</w:t>
      </w:r>
      <w:r w:rsidRPr="00354EF9">
        <w:rPr>
          <w:rFonts w:ascii="Verdana" w:hAnsi="Verdana"/>
          <w:i/>
          <w:sz w:val="20"/>
          <w:szCs w:val="20"/>
        </w:rPr>
        <w:t xml:space="preserve">. </w:t>
      </w:r>
      <w:r w:rsidRPr="00354EF9">
        <w:rPr>
          <w:rFonts w:ascii="Verdana" w:hAnsi="Verdana"/>
          <w:sz w:val="20"/>
          <w:szCs w:val="20"/>
        </w:rPr>
        <w:t xml:space="preserve"> </w:t>
      </w:r>
    </w:p>
    <w:p w14:paraId="34F7B7E1" w14:textId="77777777" w:rsidR="00F83E8F" w:rsidRPr="0065672D" w:rsidRDefault="00F83E8F" w:rsidP="00F83E8F">
      <w:pPr>
        <w:widowControl w:val="0"/>
        <w:autoSpaceDE w:val="0"/>
        <w:autoSpaceDN w:val="0"/>
        <w:adjustRightInd w:val="0"/>
        <w:ind w:right="49"/>
        <w:jc w:val="both"/>
        <w:rPr>
          <w:rFonts w:ascii="Verdana" w:hAnsi="Verdana"/>
          <w:sz w:val="20"/>
          <w:szCs w:val="20"/>
        </w:rPr>
      </w:pPr>
    </w:p>
    <w:p w14:paraId="1E56108D" w14:textId="77777777" w:rsidR="00F83E8F" w:rsidRDefault="00F83E8F" w:rsidP="00F83E8F">
      <w:pPr>
        <w:pStyle w:val="ListParagraph"/>
        <w:widowControl w:val="0"/>
        <w:autoSpaceDE w:val="0"/>
        <w:autoSpaceDN w:val="0"/>
        <w:adjustRightInd w:val="0"/>
        <w:ind w:left="0" w:right="51"/>
        <w:jc w:val="center"/>
        <w:rPr>
          <w:rFonts w:ascii="Verdana" w:hAnsi="Verdana"/>
          <w:b/>
          <w:sz w:val="20"/>
          <w:szCs w:val="20"/>
        </w:rPr>
      </w:pPr>
      <w:r w:rsidRPr="00761869">
        <w:rPr>
          <w:rFonts w:ascii="Verdana" w:hAnsi="Verdana"/>
          <w:bCs/>
          <w:iCs/>
          <w:sz w:val="20"/>
          <w:szCs w:val="20"/>
        </w:rPr>
        <w:t>III.  EL DERECHO DE ASOCIACIÓN LABORAL PARA LA PROTECCIÓNY PROMOCIÓN DE LOS INTERESES DE LOS TRABAJADORES COMO PARTE DEL DERECHO AL TRABAJO</w:t>
      </w:r>
      <w:r>
        <w:rPr>
          <w:rFonts w:ascii="Verdana" w:hAnsi="Verdana"/>
          <w:b/>
          <w:sz w:val="20"/>
          <w:szCs w:val="20"/>
        </w:rPr>
        <w:t xml:space="preserve"> </w:t>
      </w:r>
    </w:p>
    <w:p w14:paraId="66C5B495" w14:textId="77777777" w:rsidR="00F83E8F" w:rsidRPr="00FD58B6" w:rsidRDefault="00F83E8F" w:rsidP="00F83E8F">
      <w:pPr>
        <w:pStyle w:val="ListParagraph"/>
        <w:widowControl w:val="0"/>
        <w:autoSpaceDE w:val="0"/>
        <w:autoSpaceDN w:val="0"/>
        <w:adjustRightInd w:val="0"/>
        <w:ind w:left="0" w:right="51"/>
        <w:rPr>
          <w:rFonts w:ascii="Verdana" w:hAnsi="Verdana"/>
          <w:sz w:val="20"/>
          <w:szCs w:val="20"/>
        </w:rPr>
      </w:pPr>
    </w:p>
    <w:p w14:paraId="49AD9D48" w14:textId="77777777" w:rsidR="00F83E8F" w:rsidRPr="004E66B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4E66B4">
        <w:rPr>
          <w:rFonts w:ascii="Verdana" w:hAnsi="Verdana"/>
          <w:sz w:val="20"/>
          <w:szCs w:val="20"/>
        </w:rPr>
        <w:t xml:space="preserve">En la </w:t>
      </w:r>
      <w:r>
        <w:rPr>
          <w:rFonts w:ascii="Verdana" w:hAnsi="Verdana"/>
          <w:sz w:val="20"/>
          <w:szCs w:val="20"/>
        </w:rPr>
        <w:t>Sentencia, la Corte IDH concluye que existe</w:t>
      </w:r>
      <w:r w:rsidRPr="004E66B4">
        <w:rPr>
          <w:rFonts w:ascii="Verdana" w:hAnsi="Verdana"/>
          <w:sz w:val="20"/>
          <w:szCs w:val="20"/>
        </w:rPr>
        <w:t xml:space="preserve"> una violación a los artículos 16.1 y 26 </w:t>
      </w:r>
      <w:r>
        <w:rPr>
          <w:rFonts w:ascii="Verdana" w:hAnsi="Verdana"/>
          <w:sz w:val="20"/>
          <w:szCs w:val="20"/>
        </w:rPr>
        <w:t xml:space="preserve">de la Convención Americana, </w:t>
      </w:r>
      <w:r w:rsidRPr="004E66B4">
        <w:rPr>
          <w:rFonts w:ascii="Verdana" w:hAnsi="Verdana"/>
          <w:sz w:val="20"/>
          <w:szCs w:val="20"/>
        </w:rPr>
        <w:t>en relació</w:t>
      </w:r>
      <w:r>
        <w:rPr>
          <w:rFonts w:ascii="Verdana" w:hAnsi="Verdana"/>
          <w:sz w:val="20"/>
          <w:szCs w:val="20"/>
        </w:rPr>
        <w:t>n con los artículos 8, 11, y 13 del mismo instrumento,</w:t>
      </w:r>
      <w:r w:rsidRPr="004E66B4">
        <w:rPr>
          <w:rFonts w:ascii="Verdana" w:hAnsi="Verdana"/>
          <w:sz w:val="20"/>
          <w:szCs w:val="20"/>
        </w:rPr>
        <w:t xml:space="preserve"> en perjuicio del señor Lagos del Campos</w:t>
      </w:r>
      <w:r>
        <w:rPr>
          <w:rFonts w:ascii="Verdana" w:hAnsi="Verdana"/>
          <w:sz w:val="20"/>
          <w:szCs w:val="20"/>
        </w:rPr>
        <w:t>,</w:t>
      </w:r>
      <w:r w:rsidRPr="004E66B4">
        <w:rPr>
          <w:rFonts w:ascii="Verdana" w:hAnsi="Verdana"/>
          <w:sz w:val="20"/>
          <w:szCs w:val="20"/>
        </w:rPr>
        <w:t xml:space="preserve"> en los siguientes términos: </w:t>
      </w:r>
    </w:p>
    <w:p w14:paraId="2477B53D"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1F70B616" w14:textId="77777777" w:rsidR="00F83E8F" w:rsidRPr="004E66B4" w:rsidRDefault="00F83E8F" w:rsidP="00F83E8F">
      <w:pPr>
        <w:ind w:left="720" w:right="738"/>
        <w:contextualSpacing/>
        <w:jc w:val="both"/>
        <w:rPr>
          <w:rFonts w:ascii="Verdana" w:hAnsi="Verdana"/>
          <w:b/>
          <w:sz w:val="16"/>
          <w:szCs w:val="16"/>
        </w:rPr>
      </w:pPr>
      <w:r w:rsidRPr="004E66B4">
        <w:rPr>
          <w:rFonts w:ascii="Verdana" w:hAnsi="Verdana"/>
          <w:sz w:val="16"/>
          <w:szCs w:val="16"/>
        </w:rPr>
        <w:t>162. […] la Corte encuentra que el despido del señor Lagos del Campo trascendió a la violación de su derecho individual a la libertad de asociación, pues privó a los trabajadores de la Comunidad Industrial de la representación de uno de sus líderes, en especial en la elección que habría tenido lugar bajo su supervisión como Presidente del Comité Electoral […]</w:t>
      </w:r>
      <w:r w:rsidRPr="004E66B4">
        <w:rPr>
          <w:rFonts w:ascii="Verdana" w:hAnsi="Verdana"/>
          <w:i/>
          <w:sz w:val="16"/>
          <w:szCs w:val="16"/>
        </w:rPr>
        <w:t>.</w:t>
      </w:r>
      <w:r w:rsidRPr="004E66B4">
        <w:rPr>
          <w:rFonts w:ascii="Verdana" w:hAnsi="Verdana"/>
          <w:sz w:val="16"/>
          <w:szCs w:val="16"/>
        </w:rPr>
        <w:t xml:space="preserve"> De igual forma, la Corte advierte que el despido del señor Lagos del Campo, al haber sido realizado en represalia por sus labores de representación, pudo tener un efecto amedrentador e intimidante en los demás miembros de la Comunidad Industrial</w:t>
      </w:r>
      <w:r>
        <w:rPr>
          <w:rFonts w:ascii="Verdana" w:hAnsi="Verdana"/>
          <w:sz w:val="16"/>
          <w:szCs w:val="16"/>
        </w:rPr>
        <w:t xml:space="preserve"> </w:t>
      </w:r>
      <w:r w:rsidRPr="004E66B4">
        <w:rPr>
          <w:rFonts w:ascii="Verdana" w:hAnsi="Verdana"/>
          <w:sz w:val="16"/>
          <w:szCs w:val="16"/>
        </w:rPr>
        <w:t>[…]</w:t>
      </w:r>
      <w:r>
        <w:rPr>
          <w:rStyle w:val="FootnoteReference"/>
          <w:sz w:val="16"/>
          <w:szCs w:val="16"/>
        </w:rPr>
        <w:footnoteReference w:id="334"/>
      </w:r>
      <w:r w:rsidRPr="004E66B4">
        <w:rPr>
          <w:rFonts w:ascii="Verdana" w:hAnsi="Verdana"/>
          <w:sz w:val="16"/>
          <w:szCs w:val="16"/>
        </w:rPr>
        <w:t xml:space="preserve">. </w:t>
      </w:r>
    </w:p>
    <w:p w14:paraId="42062410"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00A24AE4" w14:textId="77777777" w:rsidR="00F83E8F"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C4526E">
        <w:rPr>
          <w:rFonts w:ascii="Verdana" w:hAnsi="Verdana"/>
          <w:sz w:val="20"/>
          <w:szCs w:val="20"/>
        </w:rPr>
        <w:t xml:space="preserve">Al respecto, si bien coincido con la Sentencia, creo importante hacer algunas precisiones en relación </w:t>
      </w:r>
      <w:r>
        <w:rPr>
          <w:rFonts w:ascii="Verdana" w:hAnsi="Verdana"/>
          <w:sz w:val="20"/>
          <w:szCs w:val="20"/>
        </w:rPr>
        <w:t>con</w:t>
      </w:r>
      <w:r w:rsidRPr="00C4526E">
        <w:rPr>
          <w:rFonts w:ascii="Verdana" w:hAnsi="Verdana"/>
          <w:sz w:val="20"/>
          <w:szCs w:val="20"/>
        </w:rPr>
        <w:t xml:space="preserve"> la afect</w:t>
      </w:r>
      <w:r>
        <w:rPr>
          <w:rFonts w:ascii="Verdana" w:hAnsi="Verdana"/>
          <w:sz w:val="20"/>
          <w:szCs w:val="20"/>
        </w:rPr>
        <w:t>ación del derecho de asociación</w:t>
      </w:r>
      <w:r w:rsidRPr="00C4526E">
        <w:rPr>
          <w:rFonts w:ascii="Verdana" w:hAnsi="Verdana"/>
          <w:sz w:val="20"/>
          <w:szCs w:val="20"/>
        </w:rPr>
        <w:t xml:space="preserve"> y su impacto en la materia laboral. </w:t>
      </w:r>
      <w:r w:rsidRPr="00360566">
        <w:rPr>
          <w:rFonts w:ascii="Verdana" w:hAnsi="Verdana"/>
          <w:sz w:val="20"/>
          <w:szCs w:val="20"/>
        </w:rPr>
        <w:t>Lo anterior, teniendo en consideración que en la Sentencia no se expresan las razones por las cuales se relaciona el artículo 26 del Pacto de San José, con el derecho de asociación en materia laboral para la protección y promoción de los intereses de la víctima, contenido expresamente en el artículo 45, inciso c) de la Carta de la OEA; y su relación con el artículo 16 de la Convención Americana</w:t>
      </w:r>
      <w:r w:rsidRPr="004E66B4">
        <w:rPr>
          <w:rStyle w:val="FootnoteReference"/>
          <w:szCs w:val="20"/>
        </w:rPr>
        <w:footnoteReference w:id="335"/>
      </w:r>
      <w:r w:rsidRPr="00360566">
        <w:rPr>
          <w:rFonts w:ascii="Verdana" w:hAnsi="Verdana"/>
          <w:sz w:val="20"/>
          <w:szCs w:val="20"/>
        </w:rPr>
        <w:t>.</w:t>
      </w:r>
      <w:r>
        <w:rPr>
          <w:rFonts w:ascii="Verdana" w:hAnsi="Verdana"/>
          <w:sz w:val="20"/>
          <w:szCs w:val="20"/>
        </w:rPr>
        <w:t xml:space="preserve"> </w:t>
      </w:r>
    </w:p>
    <w:p w14:paraId="6D1FAE78" w14:textId="77777777" w:rsidR="00F83E8F" w:rsidRPr="00C4526E" w:rsidRDefault="00F83E8F" w:rsidP="00F83E8F">
      <w:pPr>
        <w:pStyle w:val="ListParagraph"/>
        <w:widowControl w:val="0"/>
        <w:autoSpaceDE w:val="0"/>
        <w:autoSpaceDN w:val="0"/>
        <w:adjustRightInd w:val="0"/>
        <w:ind w:left="0" w:right="49"/>
        <w:jc w:val="both"/>
        <w:rPr>
          <w:rFonts w:ascii="Verdana" w:hAnsi="Verdana"/>
          <w:sz w:val="20"/>
          <w:szCs w:val="20"/>
        </w:rPr>
      </w:pPr>
    </w:p>
    <w:p w14:paraId="737520C9" w14:textId="77777777" w:rsidR="00F83E8F" w:rsidRPr="00A068F0"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A068F0">
        <w:rPr>
          <w:rFonts w:ascii="Verdana" w:hAnsi="Verdana"/>
          <w:sz w:val="20"/>
          <w:szCs w:val="20"/>
        </w:rPr>
        <w:lastRenderedPageBreak/>
        <w:t>En el presente caso, la Corte IDH reconoció que la temática de asociación laboral en materia sind</w:t>
      </w:r>
      <w:r>
        <w:rPr>
          <w:rFonts w:ascii="Verdana" w:hAnsi="Verdana"/>
          <w:sz w:val="20"/>
          <w:szCs w:val="20"/>
        </w:rPr>
        <w:t>ical es de especial importancia. Incluso, el</w:t>
      </w:r>
      <w:r w:rsidRPr="00A068F0">
        <w:rPr>
          <w:rFonts w:ascii="Verdana" w:hAnsi="Verdana"/>
          <w:sz w:val="20"/>
          <w:szCs w:val="20"/>
        </w:rPr>
        <w:t xml:space="preserve"> artículo 19.6 del Protocolo de San Salvador </w:t>
      </w:r>
      <w:r w:rsidRPr="00E03B31">
        <w:rPr>
          <w:rFonts w:ascii="Verdana" w:hAnsi="Verdana"/>
          <w:sz w:val="20"/>
          <w:szCs w:val="20"/>
        </w:rPr>
        <w:t xml:space="preserve">le confiere a la Corte IDH </w:t>
      </w:r>
      <w:r>
        <w:rPr>
          <w:rFonts w:ascii="Verdana" w:hAnsi="Verdana"/>
          <w:sz w:val="20"/>
          <w:szCs w:val="20"/>
        </w:rPr>
        <w:t xml:space="preserve">la </w:t>
      </w:r>
      <w:r w:rsidRPr="00E03B31">
        <w:rPr>
          <w:rFonts w:ascii="Verdana" w:hAnsi="Verdana"/>
          <w:sz w:val="20"/>
          <w:szCs w:val="20"/>
        </w:rPr>
        <w:t xml:space="preserve">competencia </w:t>
      </w:r>
      <w:r>
        <w:rPr>
          <w:rFonts w:ascii="Verdana" w:hAnsi="Verdana"/>
          <w:sz w:val="20"/>
          <w:szCs w:val="20"/>
        </w:rPr>
        <w:t xml:space="preserve">expresa </w:t>
      </w:r>
      <w:r w:rsidRPr="00A068F0">
        <w:rPr>
          <w:rFonts w:ascii="Verdana" w:hAnsi="Verdana"/>
          <w:sz w:val="20"/>
          <w:szCs w:val="20"/>
        </w:rPr>
        <w:t>para pronunciarse sobre violaciones a la obligación del Estado de permitir que los sindicatos, federaciones y confederaciones funcionen libremente</w:t>
      </w:r>
      <w:r>
        <w:rPr>
          <w:rFonts w:ascii="Verdana" w:hAnsi="Verdana"/>
          <w:sz w:val="20"/>
          <w:szCs w:val="20"/>
        </w:rPr>
        <w:t>, como se encuentra  contemplado en el artículo</w:t>
      </w:r>
      <w:r w:rsidRPr="00A068F0">
        <w:rPr>
          <w:rFonts w:ascii="Verdana" w:hAnsi="Verdana"/>
          <w:sz w:val="20"/>
          <w:szCs w:val="20"/>
        </w:rPr>
        <w:t xml:space="preserve"> 8.1</w:t>
      </w:r>
      <w:r>
        <w:rPr>
          <w:rFonts w:ascii="Verdana" w:hAnsi="Verdana"/>
          <w:sz w:val="20"/>
          <w:szCs w:val="20"/>
        </w:rPr>
        <w:t xml:space="preserve"> inciso </w:t>
      </w:r>
      <w:r w:rsidRPr="00A068F0">
        <w:rPr>
          <w:rFonts w:ascii="Verdana" w:hAnsi="Verdana"/>
          <w:sz w:val="20"/>
          <w:szCs w:val="20"/>
        </w:rPr>
        <w:t>a</w:t>
      </w:r>
      <w:r>
        <w:rPr>
          <w:rFonts w:ascii="Verdana" w:hAnsi="Verdana"/>
          <w:sz w:val="20"/>
          <w:szCs w:val="20"/>
        </w:rPr>
        <w:t>)</w:t>
      </w:r>
      <w:r w:rsidRPr="004E66B4">
        <w:rPr>
          <w:rStyle w:val="FootnoteReference"/>
          <w:szCs w:val="20"/>
        </w:rPr>
        <w:footnoteReference w:id="336"/>
      </w:r>
      <w:r w:rsidRPr="00A068F0">
        <w:rPr>
          <w:rFonts w:ascii="Verdana" w:hAnsi="Verdana"/>
          <w:sz w:val="20"/>
          <w:szCs w:val="20"/>
        </w:rPr>
        <w:t xml:space="preserve">. Además, la Corte IDH expresó una vertiente de los derechos sindicales al expresar que “la libertad de asociación en materia sindical reviste la mayor importancia </w:t>
      </w:r>
      <w:r w:rsidRPr="001B19E4">
        <w:rPr>
          <w:rFonts w:ascii="Verdana" w:hAnsi="Verdana"/>
          <w:sz w:val="20"/>
          <w:szCs w:val="20"/>
        </w:rPr>
        <w:t>para la defensa de los intereses legítimos de los</w:t>
      </w:r>
      <w:r w:rsidRPr="00A068F0">
        <w:rPr>
          <w:rFonts w:ascii="Verdana" w:hAnsi="Verdana"/>
          <w:sz w:val="20"/>
          <w:szCs w:val="20"/>
          <w:u w:val="single"/>
        </w:rPr>
        <w:t xml:space="preserve"> trabajadores</w:t>
      </w:r>
      <w:r w:rsidRPr="00A068F0">
        <w:rPr>
          <w:rFonts w:ascii="Verdana" w:hAnsi="Verdana"/>
          <w:sz w:val="20"/>
          <w:szCs w:val="20"/>
        </w:rPr>
        <w:t xml:space="preserve">, y se enmarca en el </w:t>
      </w:r>
      <w:r w:rsidRPr="00A068F0">
        <w:rPr>
          <w:rFonts w:ascii="Verdana" w:hAnsi="Verdana"/>
          <w:i/>
          <w:sz w:val="20"/>
          <w:szCs w:val="20"/>
        </w:rPr>
        <w:t xml:space="preserve">corpus </w:t>
      </w:r>
      <w:proofErr w:type="spellStart"/>
      <w:r w:rsidRPr="00A068F0">
        <w:rPr>
          <w:rFonts w:ascii="Verdana" w:hAnsi="Verdana"/>
          <w:i/>
          <w:sz w:val="20"/>
          <w:szCs w:val="20"/>
        </w:rPr>
        <w:t>juris</w:t>
      </w:r>
      <w:proofErr w:type="spellEnd"/>
      <w:r w:rsidRPr="00A068F0">
        <w:rPr>
          <w:rFonts w:ascii="Verdana" w:hAnsi="Verdana"/>
          <w:i/>
          <w:sz w:val="20"/>
          <w:szCs w:val="20"/>
        </w:rPr>
        <w:t xml:space="preserve"> </w:t>
      </w:r>
      <w:r w:rsidRPr="00A068F0">
        <w:rPr>
          <w:rFonts w:ascii="Verdana" w:hAnsi="Verdana"/>
          <w:sz w:val="20"/>
          <w:szCs w:val="20"/>
        </w:rPr>
        <w:t>de derechos humanos</w:t>
      </w:r>
      <w:r w:rsidRPr="004E66B4">
        <w:rPr>
          <w:rFonts w:ascii="Verdana" w:hAnsi="Verdana"/>
          <w:sz w:val="20"/>
          <w:szCs w:val="20"/>
          <w:vertAlign w:val="superscript"/>
        </w:rPr>
        <w:footnoteReference w:id="337"/>
      </w:r>
      <w:r w:rsidRPr="00A068F0">
        <w:rPr>
          <w:rFonts w:ascii="Verdana" w:hAnsi="Verdana"/>
          <w:sz w:val="20"/>
          <w:szCs w:val="20"/>
        </w:rPr>
        <w:t xml:space="preserve">. </w:t>
      </w:r>
      <w:r>
        <w:rPr>
          <w:rFonts w:ascii="Verdana" w:hAnsi="Verdana"/>
          <w:sz w:val="20"/>
          <w:szCs w:val="20"/>
        </w:rPr>
        <w:t xml:space="preserve">No obstante, lo cierto es que el artículo 8.1.a del Protocolo de San Salvador no contempló todos los supuestos en los cuales se podría declarar una violación cuando se afecte la asociación en materia sindical. </w:t>
      </w:r>
    </w:p>
    <w:p w14:paraId="6F77B9AD" w14:textId="77777777" w:rsidR="00F83E8F" w:rsidRPr="004E66B4" w:rsidRDefault="00F83E8F" w:rsidP="00F83E8F">
      <w:pPr>
        <w:widowControl w:val="0"/>
        <w:autoSpaceDE w:val="0"/>
        <w:autoSpaceDN w:val="0"/>
        <w:adjustRightInd w:val="0"/>
        <w:ind w:right="49"/>
        <w:jc w:val="both"/>
        <w:rPr>
          <w:rFonts w:ascii="Verdana" w:hAnsi="Verdana"/>
          <w:sz w:val="20"/>
          <w:szCs w:val="20"/>
        </w:rPr>
      </w:pPr>
    </w:p>
    <w:p w14:paraId="5F1B0906" w14:textId="77777777" w:rsidR="00F83E8F"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Por ejemplo,</w:t>
      </w:r>
      <w:r w:rsidRPr="004E66B4">
        <w:rPr>
          <w:rFonts w:ascii="Verdana" w:hAnsi="Verdana"/>
          <w:sz w:val="20"/>
          <w:szCs w:val="20"/>
        </w:rPr>
        <w:t xml:space="preserve"> en la Opinión Consultiva No. 22 sobre </w:t>
      </w:r>
      <w:r w:rsidRPr="004E66B4">
        <w:rPr>
          <w:rFonts w:ascii="Verdana" w:hAnsi="Verdana"/>
          <w:i/>
          <w:sz w:val="20"/>
          <w:szCs w:val="20"/>
        </w:rPr>
        <w:t>la titularidad de derechos de las personas jurídicas en el Sistema Interamericano</w:t>
      </w:r>
      <w:r w:rsidRPr="004E66B4">
        <w:rPr>
          <w:rFonts w:ascii="Verdana" w:hAnsi="Verdana"/>
          <w:sz w:val="20"/>
          <w:szCs w:val="20"/>
        </w:rPr>
        <w:t>, al establecer el régimen obligacional de los Estados en materia sindical</w:t>
      </w:r>
      <w:r>
        <w:rPr>
          <w:rFonts w:ascii="Verdana" w:hAnsi="Verdana"/>
          <w:sz w:val="20"/>
          <w:szCs w:val="20"/>
        </w:rPr>
        <w:t>,</w:t>
      </w:r>
      <w:r w:rsidRPr="004E66B4">
        <w:rPr>
          <w:rFonts w:ascii="Verdana" w:hAnsi="Verdana"/>
          <w:sz w:val="20"/>
          <w:szCs w:val="20"/>
        </w:rPr>
        <w:t xml:space="preserve"> el Tribunal Interamericano no delimitó ni estableció una serie de derechos </w:t>
      </w:r>
      <w:r>
        <w:rPr>
          <w:rFonts w:ascii="Verdana" w:hAnsi="Verdana"/>
          <w:sz w:val="20"/>
          <w:szCs w:val="20"/>
        </w:rPr>
        <w:t xml:space="preserve">de manera </w:t>
      </w:r>
      <w:r w:rsidRPr="004E66B4">
        <w:rPr>
          <w:rFonts w:ascii="Verdana" w:hAnsi="Verdana"/>
          <w:sz w:val="20"/>
          <w:szCs w:val="20"/>
        </w:rPr>
        <w:t>taxativa ni limitativa</w:t>
      </w:r>
      <w:r w:rsidRPr="004E66B4">
        <w:rPr>
          <w:rStyle w:val="FootnoteReference"/>
          <w:szCs w:val="20"/>
        </w:rPr>
        <w:footnoteReference w:id="338"/>
      </w:r>
      <w:r>
        <w:rPr>
          <w:rFonts w:ascii="Verdana" w:hAnsi="Verdana"/>
          <w:sz w:val="20"/>
          <w:szCs w:val="20"/>
        </w:rPr>
        <w:t>, los cuales</w:t>
      </w:r>
      <w:r w:rsidRPr="004E66B4">
        <w:rPr>
          <w:rFonts w:ascii="Verdana" w:hAnsi="Verdana"/>
          <w:sz w:val="20"/>
          <w:szCs w:val="20"/>
        </w:rPr>
        <w:t xml:space="preserve"> se contemplarían en el art</w:t>
      </w:r>
      <w:r>
        <w:rPr>
          <w:rFonts w:ascii="Verdana" w:hAnsi="Verdana"/>
          <w:sz w:val="20"/>
          <w:szCs w:val="20"/>
        </w:rPr>
        <w:t>ículo</w:t>
      </w:r>
      <w:r w:rsidRPr="004E66B4">
        <w:rPr>
          <w:rFonts w:ascii="Verdana" w:hAnsi="Verdana"/>
          <w:sz w:val="20"/>
          <w:szCs w:val="20"/>
        </w:rPr>
        <w:t xml:space="preserve"> 8.1.a</w:t>
      </w:r>
      <w:r>
        <w:rPr>
          <w:rFonts w:ascii="Verdana" w:hAnsi="Verdana"/>
          <w:sz w:val="20"/>
          <w:szCs w:val="20"/>
        </w:rPr>
        <w:t xml:space="preserve"> del Protocolo de San Salvador. Sino que, la Corte IDH</w:t>
      </w:r>
      <w:r w:rsidRPr="004E66B4">
        <w:rPr>
          <w:rFonts w:ascii="Verdana" w:hAnsi="Verdana"/>
          <w:sz w:val="20"/>
          <w:szCs w:val="20"/>
        </w:rPr>
        <w:t xml:space="preserve"> se limitó a establecer</w:t>
      </w:r>
      <w:r>
        <w:rPr>
          <w:rFonts w:ascii="Verdana" w:hAnsi="Verdana"/>
          <w:sz w:val="20"/>
          <w:szCs w:val="20"/>
        </w:rPr>
        <w:t xml:space="preserve"> y a interpretar</w:t>
      </w:r>
      <w:r w:rsidRPr="004E66B4">
        <w:rPr>
          <w:rFonts w:ascii="Verdana" w:hAnsi="Verdana"/>
          <w:sz w:val="20"/>
          <w:szCs w:val="20"/>
        </w:rPr>
        <w:t xml:space="preserve"> algunos “ejemplos” de obligaciones, </w:t>
      </w:r>
      <w:r>
        <w:rPr>
          <w:rFonts w:ascii="Verdana" w:hAnsi="Verdana"/>
          <w:sz w:val="20"/>
          <w:szCs w:val="20"/>
        </w:rPr>
        <w:t>y que de no respetarse o garantizarse tales obligaciones, se podría violar el artículo 8.1.</w:t>
      </w:r>
      <w:proofErr w:type="spellStart"/>
      <w:r>
        <w:rPr>
          <w:rFonts w:ascii="Verdana" w:hAnsi="Verdana"/>
          <w:sz w:val="20"/>
          <w:szCs w:val="20"/>
        </w:rPr>
        <w:t>a</w:t>
      </w:r>
      <w:proofErr w:type="spellEnd"/>
      <w:r>
        <w:rPr>
          <w:rFonts w:ascii="Verdana" w:hAnsi="Verdana"/>
          <w:sz w:val="20"/>
          <w:szCs w:val="20"/>
        </w:rPr>
        <w:t xml:space="preserve"> de Protocolo de San Salvador</w:t>
      </w:r>
      <w:r w:rsidRPr="004E66B4">
        <w:rPr>
          <w:rFonts w:ascii="Verdana" w:hAnsi="Verdana"/>
          <w:sz w:val="20"/>
          <w:szCs w:val="20"/>
        </w:rPr>
        <w:t xml:space="preserve">. De esta manera, la Corte IDH consideró que: </w:t>
      </w:r>
      <w:r>
        <w:rPr>
          <w:rFonts w:ascii="Verdana" w:hAnsi="Verdana"/>
          <w:sz w:val="20"/>
          <w:szCs w:val="20"/>
        </w:rPr>
        <w:t xml:space="preserve"> </w:t>
      </w:r>
    </w:p>
    <w:p w14:paraId="2B3609AA" w14:textId="77777777" w:rsidR="00F83E8F" w:rsidRPr="00FD58B6" w:rsidRDefault="00F83E8F" w:rsidP="00F83E8F">
      <w:pPr>
        <w:pStyle w:val="ListParagraph"/>
        <w:rPr>
          <w:rFonts w:ascii="Verdana" w:hAnsi="Verdana"/>
          <w:sz w:val="20"/>
          <w:szCs w:val="20"/>
        </w:rPr>
      </w:pPr>
    </w:p>
    <w:p w14:paraId="531D9A78" w14:textId="77777777" w:rsidR="00F83E8F" w:rsidRPr="004E66B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p>
    <w:p w14:paraId="31BBD406" w14:textId="77777777" w:rsidR="00F83E8F" w:rsidRDefault="00F83E8F" w:rsidP="00F83E8F">
      <w:pPr>
        <w:tabs>
          <w:tab w:val="left" w:pos="8222"/>
        </w:tabs>
        <w:ind w:left="708" w:right="918"/>
        <w:jc w:val="both"/>
        <w:rPr>
          <w:rFonts w:ascii="Verdana" w:hAnsi="Verdana"/>
          <w:sz w:val="16"/>
          <w:szCs w:val="16"/>
        </w:rPr>
      </w:pPr>
      <w:r w:rsidRPr="004E66B4">
        <w:rPr>
          <w:rFonts w:ascii="Verdana" w:hAnsi="Verdana"/>
          <w:sz w:val="16"/>
          <w:szCs w:val="16"/>
        </w:rPr>
        <w:t xml:space="preserve">101. Adicionalmente, la Corte considera que la </w:t>
      </w:r>
      <w:proofErr w:type="spellStart"/>
      <w:r w:rsidRPr="004E66B4">
        <w:rPr>
          <w:rFonts w:ascii="Verdana" w:hAnsi="Verdana"/>
          <w:b/>
          <w:sz w:val="16"/>
          <w:szCs w:val="16"/>
        </w:rPr>
        <w:t>obligación</w:t>
      </w:r>
      <w:proofErr w:type="spellEnd"/>
      <w:r w:rsidRPr="004E66B4">
        <w:rPr>
          <w:rFonts w:ascii="Verdana" w:hAnsi="Verdana"/>
          <w:b/>
          <w:sz w:val="16"/>
          <w:szCs w:val="16"/>
        </w:rPr>
        <w:t xml:space="preserve"> general que tienen los Estados de garantizar</w:t>
      </w:r>
      <w:r w:rsidRPr="004E66B4">
        <w:rPr>
          <w:rFonts w:ascii="Verdana" w:hAnsi="Verdana"/>
          <w:sz w:val="16"/>
          <w:szCs w:val="16"/>
        </w:rPr>
        <w:t xml:space="preserve"> </w:t>
      </w:r>
      <w:r w:rsidRPr="004E66B4">
        <w:rPr>
          <w:rFonts w:ascii="Verdana" w:hAnsi="Verdana"/>
          <w:sz w:val="16"/>
          <w:szCs w:val="16"/>
          <w:u w:val="single"/>
        </w:rPr>
        <w:t xml:space="preserve">los derechos sindicales contenidos en el </w:t>
      </w:r>
      <w:proofErr w:type="spellStart"/>
      <w:r w:rsidRPr="004E66B4">
        <w:rPr>
          <w:rFonts w:ascii="Verdana" w:hAnsi="Verdana"/>
          <w:sz w:val="16"/>
          <w:szCs w:val="16"/>
          <w:u w:val="single"/>
        </w:rPr>
        <w:t>artículo</w:t>
      </w:r>
      <w:proofErr w:type="spellEnd"/>
      <w:r w:rsidRPr="004E66B4">
        <w:rPr>
          <w:rFonts w:ascii="Verdana" w:hAnsi="Verdana"/>
          <w:sz w:val="16"/>
          <w:szCs w:val="16"/>
          <w:u w:val="single"/>
        </w:rPr>
        <w:t xml:space="preserve"> 8.1.a del Protocolo se traduce en las obligaciones positivas de permitir e incentivar la </w:t>
      </w:r>
      <w:proofErr w:type="spellStart"/>
      <w:r w:rsidRPr="004E66B4">
        <w:rPr>
          <w:rFonts w:ascii="Verdana" w:hAnsi="Verdana"/>
          <w:sz w:val="16"/>
          <w:szCs w:val="16"/>
          <w:u w:val="single"/>
        </w:rPr>
        <w:t>generación</w:t>
      </w:r>
      <w:proofErr w:type="spellEnd"/>
      <w:r w:rsidRPr="004E66B4">
        <w:rPr>
          <w:rFonts w:ascii="Verdana" w:hAnsi="Verdana"/>
          <w:sz w:val="16"/>
          <w:szCs w:val="16"/>
          <w:u w:val="single"/>
        </w:rPr>
        <w:t xml:space="preserve"> de las condiciones aptas para que tales derechos se puedan llevar a cabo efectivamente</w:t>
      </w:r>
      <w:r w:rsidRPr="004E66B4">
        <w:rPr>
          <w:rFonts w:ascii="Verdana" w:hAnsi="Verdana"/>
          <w:sz w:val="16"/>
          <w:szCs w:val="16"/>
        </w:rPr>
        <w:t>. En este sentido,</w:t>
      </w:r>
      <w:r w:rsidRPr="004E66B4">
        <w:rPr>
          <w:rFonts w:ascii="Verdana" w:hAnsi="Verdana"/>
          <w:b/>
          <w:sz w:val="16"/>
          <w:szCs w:val="16"/>
        </w:rPr>
        <w:t xml:space="preserve"> la Corte acude al Convenio 87 de la OIT con el fin de mencionar ejemplos </w:t>
      </w:r>
      <w:r w:rsidRPr="004E66B4">
        <w:rPr>
          <w:rFonts w:ascii="Verdana" w:hAnsi="Verdana"/>
          <w:sz w:val="16"/>
          <w:szCs w:val="16"/>
        </w:rPr>
        <w:t xml:space="preserve">que ilustren las obligaciones positivas que surgen de la </w:t>
      </w:r>
      <w:proofErr w:type="spellStart"/>
      <w:r w:rsidRPr="004E66B4">
        <w:rPr>
          <w:rFonts w:ascii="Verdana" w:hAnsi="Verdana"/>
          <w:sz w:val="16"/>
          <w:szCs w:val="16"/>
        </w:rPr>
        <w:t>obligación</w:t>
      </w:r>
      <w:proofErr w:type="spellEnd"/>
      <w:r w:rsidRPr="004E66B4">
        <w:rPr>
          <w:rFonts w:ascii="Verdana" w:hAnsi="Verdana"/>
          <w:sz w:val="16"/>
          <w:szCs w:val="16"/>
        </w:rPr>
        <w:t xml:space="preserve"> general de garantizar los derechos reconocidos a los sindicatos, las federaciones y las confederaciones. En este sentido, la Corte nota que el </w:t>
      </w:r>
      <w:proofErr w:type="spellStart"/>
      <w:r w:rsidRPr="004E66B4">
        <w:rPr>
          <w:rFonts w:ascii="Verdana" w:hAnsi="Verdana"/>
          <w:sz w:val="16"/>
          <w:szCs w:val="16"/>
        </w:rPr>
        <w:t>artículo</w:t>
      </w:r>
      <w:proofErr w:type="spellEnd"/>
      <w:r w:rsidRPr="004E66B4">
        <w:rPr>
          <w:rFonts w:ascii="Verdana" w:hAnsi="Verdana"/>
          <w:sz w:val="16"/>
          <w:szCs w:val="16"/>
        </w:rPr>
        <w:t xml:space="preserve"> 3.1 del Convenio establece el derecho de las organizaciones de trabajadores a “r</w:t>
      </w:r>
      <w:r w:rsidRPr="004E66B4">
        <w:rPr>
          <w:rFonts w:ascii="Verdana" w:hAnsi="Verdana"/>
          <w:sz w:val="16"/>
          <w:szCs w:val="16"/>
          <w:u w:val="single"/>
        </w:rPr>
        <w:t xml:space="preserve">edactar sus estatutos y reglamentos administrativos, el de elegir a sus representantes, el de organizar su </w:t>
      </w:r>
      <w:proofErr w:type="spellStart"/>
      <w:r w:rsidRPr="004E66B4">
        <w:rPr>
          <w:rFonts w:ascii="Verdana" w:hAnsi="Verdana"/>
          <w:sz w:val="16"/>
          <w:szCs w:val="16"/>
          <w:u w:val="single"/>
        </w:rPr>
        <w:t>administración</w:t>
      </w:r>
      <w:proofErr w:type="spellEnd"/>
      <w:r w:rsidRPr="004E66B4">
        <w:rPr>
          <w:rFonts w:ascii="Verdana" w:hAnsi="Verdana"/>
          <w:sz w:val="16"/>
          <w:szCs w:val="16"/>
          <w:u w:val="single"/>
        </w:rPr>
        <w:t xml:space="preserve"> y sus actividades y el de formular su programa de </w:t>
      </w:r>
      <w:proofErr w:type="spellStart"/>
      <w:r w:rsidRPr="004E66B4">
        <w:rPr>
          <w:rFonts w:ascii="Verdana" w:hAnsi="Verdana"/>
          <w:sz w:val="16"/>
          <w:szCs w:val="16"/>
          <w:u w:val="single"/>
        </w:rPr>
        <w:t>acción</w:t>
      </w:r>
      <w:proofErr w:type="spellEnd"/>
      <w:r w:rsidRPr="004E66B4">
        <w:rPr>
          <w:rFonts w:ascii="Verdana" w:hAnsi="Verdana"/>
          <w:sz w:val="16"/>
          <w:szCs w:val="16"/>
        </w:rPr>
        <w:t xml:space="preserve">”. </w:t>
      </w:r>
    </w:p>
    <w:p w14:paraId="0DC1A946" w14:textId="77777777" w:rsidR="00F83E8F" w:rsidRPr="004E66B4" w:rsidRDefault="00F83E8F" w:rsidP="00F83E8F">
      <w:pPr>
        <w:tabs>
          <w:tab w:val="left" w:pos="8222"/>
        </w:tabs>
        <w:ind w:left="708" w:right="918"/>
        <w:jc w:val="both"/>
        <w:rPr>
          <w:rFonts w:ascii="Verdana" w:hAnsi="Verdana"/>
          <w:sz w:val="16"/>
          <w:szCs w:val="16"/>
        </w:rPr>
      </w:pPr>
    </w:p>
    <w:p w14:paraId="598793A8" w14:textId="77777777" w:rsidR="00F83E8F" w:rsidRDefault="00F83E8F" w:rsidP="00F83E8F">
      <w:pPr>
        <w:tabs>
          <w:tab w:val="left" w:pos="8222"/>
        </w:tabs>
        <w:ind w:left="708" w:right="918"/>
        <w:jc w:val="both"/>
        <w:rPr>
          <w:rFonts w:ascii="Verdana" w:hAnsi="Verdana"/>
          <w:sz w:val="20"/>
          <w:szCs w:val="20"/>
        </w:rPr>
      </w:pPr>
      <w:r w:rsidRPr="004E66B4">
        <w:rPr>
          <w:rFonts w:ascii="Verdana" w:hAnsi="Verdana"/>
          <w:sz w:val="16"/>
          <w:szCs w:val="16"/>
        </w:rPr>
        <w:t xml:space="preserve">102. En consonancia con lo anterior, </w:t>
      </w:r>
      <w:r w:rsidRPr="004E66B4">
        <w:rPr>
          <w:rFonts w:ascii="Verdana" w:hAnsi="Verdana"/>
          <w:b/>
          <w:sz w:val="16"/>
          <w:szCs w:val="16"/>
        </w:rPr>
        <w:t xml:space="preserve">la </w:t>
      </w:r>
      <w:proofErr w:type="spellStart"/>
      <w:r w:rsidRPr="004E66B4">
        <w:rPr>
          <w:rFonts w:ascii="Verdana" w:hAnsi="Verdana"/>
          <w:b/>
          <w:sz w:val="16"/>
          <w:szCs w:val="16"/>
        </w:rPr>
        <w:t>obligación</w:t>
      </w:r>
      <w:proofErr w:type="spellEnd"/>
      <w:r w:rsidRPr="004E66B4">
        <w:rPr>
          <w:rFonts w:ascii="Verdana" w:hAnsi="Verdana"/>
          <w:b/>
          <w:sz w:val="16"/>
          <w:szCs w:val="16"/>
        </w:rPr>
        <w:t xml:space="preserve"> general de los Estados de respetar</w:t>
      </w:r>
      <w:r w:rsidRPr="004E66B4">
        <w:rPr>
          <w:rFonts w:ascii="Verdana" w:hAnsi="Verdana"/>
          <w:sz w:val="16"/>
          <w:szCs w:val="16"/>
        </w:rPr>
        <w:t xml:space="preserve"> los </w:t>
      </w:r>
      <w:r w:rsidRPr="004E66B4">
        <w:rPr>
          <w:rFonts w:ascii="Verdana" w:hAnsi="Verdana"/>
          <w:sz w:val="16"/>
          <w:szCs w:val="16"/>
          <w:u w:val="single"/>
        </w:rPr>
        <w:t>derechos implica las obligaciones negativas de abstener de crear barreras tales como legales o políticas tendientes a impedir a los sindicatos, las federaciones y las confederaciones la posibilidad de gozar de un libre funcionamiento y adicionalmente a los sindicatos la posibilidad de asociarse</w:t>
      </w:r>
      <w:r w:rsidRPr="004E66B4">
        <w:rPr>
          <w:rFonts w:ascii="Verdana" w:hAnsi="Verdana"/>
          <w:sz w:val="16"/>
          <w:szCs w:val="16"/>
        </w:rPr>
        <w:t xml:space="preserve">. En este sentido, </w:t>
      </w:r>
      <w:r w:rsidRPr="004E66B4">
        <w:rPr>
          <w:rFonts w:ascii="Verdana" w:hAnsi="Verdana"/>
          <w:b/>
          <w:sz w:val="16"/>
          <w:szCs w:val="16"/>
          <w:u w:val="single"/>
        </w:rPr>
        <w:t xml:space="preserve">la Corte nota que el referido </w:t>
      </w:r>
      <w:proofErr w:type="spellStart"/>
      <w:r w:rsidRPr="004E66B4">
        <w:rPr>
          <w:rFonts w:ascii="Verdana" w:hAnsi="Verdana"/>
          <w:b/>
          <w:sz w:val="16"/>
          <w:szCs w:val="16"/>
          <w:u w:val="single"/>
        </w:rPr>
        <w:t>artículo</w:t>
      </w:r>
      <w:proofErr w:type="spellEnd"/>
      <w:r w:rsidRPr="004E66B4">
        <w:rPr>
          <w:rFonts w:ascii="Verdana" w:hAnsi="Verdana"/>
          <w:b/>
          <w:sz w:val="16"/>
          <w:szCs w:val="16"/>
          <w:u w:val="single"/>
        </w:rPr>
        <w:t xml:space="preserve"> 3.2 del Convenio N° 87</w:t>
      </w:r>
      <w:r w:rsidRPr="004E66B4">
        <w:rPr>
          <w:rFonts w:ascii="Verdana" w:hAnsi="Verdana"/>
          <w:sz w:val="16"/>
          <w:szCs w:val="16"/>
          <w:u w:val="single"/>
        </w:rPr>
        <w:t xml:space="preserve"> establece que “[l]as autoridades públicas deberán abstenerse de toda </w:t>
      </w:r>
      <w:proofErr w:type="spellStart"/>
      <w:r w:rsidRPr="004E66B4">
        <w:rPr>
          <w:rFonts w:ascii="Verdana" w:hAnsi="Verdana"/>
          <w:sz w:val="16"/>
          <w:szCs w:val="16"/>
          <w:u w:val="single"/>
        </w:rPr>
        <w:t>intervención</w:t>
      </w:r>
      <w:proofErr w:type="spellEnd"/>
      <w:r w:rsidRPr="004E66B4">
        <w:rPr>
          <w:rFonts w:ascii="Verdana" w:hAnsi="Verdana"/>
          <w:sz w:val="16"/>
          <w:szCs w:val="16"/>
          <w:u w:val="single"/>
        </w:rPr>
        <w:t xml:space="preserve"> que tienda a limitar [los derechos reconocidos en el numeral 1 del </w:t>
      </w:r>
      <w:proofErr w:type="spellStart"/>
      <w:r w:rsidRPr="004E66B4">
        <w:rPr>
          <w:rFonts w:ascii="Verdana" w:hAnsi="Verdana"/>
          <w:sz w:val="16"/>
          <w:szCs w:val="16"/>
          <w:u w:val="single"/>
        </w:rPr>
        <w:t>artículo</w:t>
      </w:r>
      <w:proofErr w:type="spellEnd"/>
      <w:r w:rsidRPr="004E66B4">
        <w:rPr>
          <w:rFonts w:ascii="Verdana" w:hAnsi="Verdana"/>
          <w:sz w:val="16"/>
          <w:szCs w:val="16"/>
          <w:u w:val="single"/>
        </w:rPr>
        <w:t>] o a entorpecer su ejercicio legal”</w:t>
      </w:r>
      <w:r w:rsidRPr="004E66B4">
        <w:rPr>
          <w:rStyle w:val="FootnoteReference"/>
          <w:sz w:val="16"/>
          <w:szCs w:val="16"/>
          <w:u w:val="single"/>
        </w:rPr>
        <w:footnoteReference w:id="339"/>
      </w:r>
      <w:r w:rsidRPr="004E66B4">
        <w:rPr>
          <w:rFonts w:ascii="Verdana" w:hAnsi="Verdana"/>
          <w:sz w:val="16"/>
          <w:szCs w:val="16"/>
          <w:u w:val="single"/>
        </w:rPr>
        <w:t>.</w:t>
      </w:r>
      <w:r w:rsidRPr="004E66B4">
        <w:rPr>
          <w:rFonts w:ascii="Verdana" w:hAnsi="Verdana"/>
          <w:sz w:val="16"/>
          <w:szCs w:val="16"/>
        </w:rPr>
        <w:t xml:space="preserve"> </w:t>
      </w:r>
      <w:r w:rsidRPr="004E66B4">
        <w:rPr>
          <w:rFonts w:ascii="Verdana" w:hAnsi="Verdana"/>
          <w:sz w:val="20"/>
          <w:szCs w:val="20"/>
        </w:rPr>
        <w:t xml:space="preserve"> </w:t>
      </w:r>
    </w:p>
    <w:p w14:paraId="41387AD5" w14:textId="77777777" w:rsidR="00F83E8F" w:rsidRPr="004E66B4" w:rsidRDefault="00F83E8F" w:rsidP="00F83E8F">
      <w:pPr>
        <w:tabs>
          <w:tab w:val="left" w:pos="8222"/>
        </w:tabs>
        <w:ind w:left="708" w:right="758"/>
        <w:jc w:val="both"/>
        <w:rPr>
          <w:rFonts w:ascii="Verdana" w:hAnsi="Verdana"/>
          <w:sz w:val="16"/>
          <w:szCs w:val="16"/>
        </w:rPr>
      </w:pPr>
    </w:p>
    <w:p w14:paraId="2ECD1F50" w14:textId="77777777" w:rsidR="00F83E8F"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4E66B4">
        <w:rPr>
          <w:rFonts w:ascii="Verdana" w:hAnsi="Verdana"/>
          <w:sz w:val="20"/>
          <w:szCs w:val="20"/>
        </w:rPr>
        <w:t xml:space="preserve">Esta ejemplificación que se hace en relación </w:t>
      </w:r>
      <w:r>
        <w:rPr>
          <w:rFonts w:ascii="Verdana" w:hAnsi="Verdana"/>
          <w:sz w:val="20"/>
          <w:szCs w:val="20"/>
        </w:rPr>
        <w:t>con</w:t>
      </w:r>
      <w:r w:rsidRPr="004E66B4">
        <w:rPr>
          <w:rFonts w:ascii="Verdana" w:hAnsi="Verdana"/>
          <w:sz w:val="20"/>
          <w:szCs w:val="20"/>
        </w:rPr>
        <w:t xml:space="preserve"> la materia</w:t>
      </w:r>
      <w:r>
        <w:rPr>
          <w:rFonts w:ascii="Verdana" w:hAnsi="Verdana"/>
          <w:sz w:val="20"/>
          <w:szCs w:val="20"/>
        </w:rPr>
        <w:t xml:space="preserve"> sindical es de suma relevancia. </w:t>
      </w:r>
      <w:r w:rsidRPr="004E66B4">
        <w:rPr>
          <w:rFonts w:ascii="Verdana" w:hAnsi="Verdana"/>
          <w:sz w:val="20"/>
          <w:szCs w:val="20"/>
        </w:rPr>
        <w:t xml:space="preserve"> </w:t>
      </w:r>
      <w:r>
        <w:rPr>
          <w:rFonts w:ascii="Verdana" w:hAnsi="Verdana"/>
          <w:sz w:val="20"/>
          <w:szCs w:val="20"/>
        </w:rPr>
        <w:t xml:space="preserve">En efecto, </w:t>
      </w:r>
      <w:r w:rsidRPr="004E66B4">
        <w:rPr>
          <w:rFonts w:ascii="Verdana" w:hAnsi="Verdana"/>
          <w:sz w:val="20"/>
          <w:szCs w:val="20"/>
        </w:rPr>
        <w:t xml:space="preserve">implícitamente se acepta en la Sentencia del caso </w:t>
      </w:r>
      <w:r w:rsidRPr="004E66B4">
        <w:rPr>
          <w:rFonts w:ascii="Verdana" w:hAnsi="Verdana"/>
          <w:i/>
          <w:sz w:val="20"/>
          <w:szCs w:val="20"/>
        </w:rPr>
        <w:t>Lagos del Campo</w:t>
      </w:r>
      <w:r>
        <w:rPr>
          <w:rFonts w:ascii="Verdana" w:hAnsi="Verdana"/>
          <w:sz w:val="20"/>
          <w:szCs w:val="20"/>
        </w:rPr>
        <w:t xml:space="preserve"> —si bien</w:t>
      </w:r>
      <w:r w:rsidRPr="004E66B4">
        <w:rPr>
          <w:rFonts w:ascii="Verdana" w:hAnsi="Verdana"/>
          <w:sz w:val="20"/>
          <w:szCs w:val="20"/>
        </w:rPr>
        <w:t xml:space="preserve"> no relacionado con la </w:t>
      </w:r>
      <w:proofErr w:type="spellStart"/>
      <w:r w:rsidRPr="00B05C28">
        <w:rPr>
          <w:rFonts w:ascii="Verdana" w:hAnsi="Verdana"/>
          <w:sz w:val="20"/>
          <w:szCs w:val="20"/>
        </w:rPr>
        <w:t>litis</w:t>
      </w:r>
      <w:proofErr w:type="spellEnd"/>
      <w:r w:rsidRPr="004E66B4">
        <w:rPr>
          <w:rFonts w:ascii="Verdana" w:hAnsi="Verdana"/>
          <w:sz w:val="20"/>
          <w:szCs w:val="20"/>
        </w:rPr>
        <w:t xml:space="preserve"> del </w:t>
      </w:r>
      <w:r>
        <w:rPr>
          <w:rFonts w:ascii="Verdana" w:hAnsi="Verdana"/>
          <w:sz w:val="20"/>
          <w:szCs w:val="20"/>
        </w:rPr>
        <w:t>caso—</w:t>
      </w:r>
      <w:r w:rsidRPr="004E66B4">
        <w:rPr>
          <w:rFonts w:ascii="Verdana" w:hAnsi="Verdana"/>
          <w:sz w:val="20"/>
          <w:szCs w:val="20"/>
        </w:rPr>
        <w:t xml:space="preserve"> </w:t>
      </w:r>
      <w:r>
        <w:rPr>
          <w:rFonts w:ascii="Verdana" w:hAnsi="Verdana"/>
          <w:sz w:val="20"/>
          <w:szCs w:val="20"/>
        </w:rPr>
        <w:t>al remitirse a la Carta de la OEA en el artículo 45 inciso c), que aun cuando el Protocolo de San Salvador</w:t>
      </w:r>
      <w:r w:rsidRPr="004E66B4">
        <w:rPr>
          <w:rFonts w:ascii="Verdana" w:hAnsi="Verdana"/>
          <w:sz w:val="20"/>
          <w:szCs w:val="20"/>
        </w:rPr>
        <w:t xml:space="preserve"> es el principal instrumento en materia de DESCA en el S</w:t>
      </w:r>
      <w:r>
        <w:rPr>
          <w:rFonts w:ascii="Verdana" w:hAnsi="Verdana"/>
          <w:sz w:val="20"/>
          <w:szCs w:val="20"/>
        </w:rPr>
        <w:t>istema Interamericano,</w:t>
      </w:r>
      <w:r w:rsidRPr="004E66B4">
        <w:rPr>
          <w:rFonts w:ascii="Verdana" w:hAnsi="Verdana"/>
          <w:sz w:val="20"/>
          <w:szCs w:val="20"/>
        </w:rPr>
        <w:t xml:space="preserve"> </w:t>
      </w:r>
      <w:r>
        <w:rPr>
          <w:rFonts w:ascii="Verdana" w:hAnsi="Verdana"/>
          <w:sz w:val="20"/>
          <w:szCs w:val="20"/>
        </w:rPr>
        <w:t xml:space="preserve">lo cierto es que </w:t>
      </w:r>
      <w:r w:rsidRPr="004E66B4">
        <w:rPr>
          <w:rFonts w:ascii="Verdana" w:hAnsi="Verdana"/>
          <w:sz w:val="20"/>
          <w:szCs w:val="20"/>
        </w:rPr>
        <w:t xml:space="preserve">cuando fue redactado no contempló de manera exhaustiva todas las facetas y </w:t>
      </w:r>
      <w:r>
        <w:rPr>
          <w:rFonts w:ascii="Verdana" w:hAnsi="Verdana"/>
          <w:sz w:val="20"/>
          <w:szCs w:val="20"/>
        </w:rPr>
        <w:t>aristas de los derechos que en este tratado</w:t>
      </w:r>
      <w:r w:rsidRPr="004E66B4">
        <w:rPr>
          <w:rFonts w:ascii="Verdana" w:hAnsi="Verdana"/>
          <w:sz w:val="20"/>
          <w:szCs w:val="20"/>
        </w:rPr>
        <w:t xml:space="preserve"> se consagraron (</w:t>
      </w:r>
      <w:r>
        <w:rPr>
          <w:rFonts w:ascii="Verdana" w:hAnsi="Verdana"/>
          <w:sz w:val="20"/>
          <w:szCs w:val="20"/>
        </w:rPr>
        <w:t>como el derecho de los trabajadores de asociarse libremente para la defensa y promoción de sus intereses). Así,</w:t>
      </w:r>
      <w:r w:rsidRPr="004E66B4">
        <w:rPr>
          <w:rFonts w:ascii="Verdana" w:hAnsi="Verdana"/>
          <w:sz w:val="20"/>
          <w:szCs w:val="20"/>
        </w:rPr>
        <w:t xml:space="preserve">  es el propio Tribunal Interamericano el que mediante una interpretación evolutiva</w:t>
      </w:r>
      <w:r w:rsidRPr="004E66B4">
        <w:rPr>
          <w:rStyle w:val="FootnoteReference"/>
          <w:szCs w:val="20"/>
        </w:rPr>
        <w:footnoteReference w:id="340"/>
      </w:r>
      <w:r w:rsidRPr="004E66B4">
        <w:rPr>
          <w:rFonts w:ascii="Verdana" w:hAnsi="Verdana"/>
          <w:sz w:val="20"/>
          <w:szCs w:val="20"/>
        </w:rPr>
        <w:t xml:space="preserve">, se ha encargado de determinar el extremo de los derechos y su aplicación a los casos concretos, ya sean </w:t>
      </w:r>
      <w:r>
        <w:rPr>
          <w:rFonts w:ascii="Verdana" w:hAnsi="Verdana"/>
          <w:sz w:val="20"/>
          <w:szCs w:val="20"/>
        </w:rPr>
        <w:t xml:space="preserve">derechos </w:t>
      </w:r>
      <w:r w:rsidRPr="004E66B4">
        <w:rPr>
          <w:rFonts w:ascii="Verdana" w:hAnsi="Verdana"/>
          <w:sz w:val="20"/>
          <w:szCs w:val="20"/>
        </w:rPr>
        <w:t xml:space="preserve">económicos, sociales, culturales, ambientales o </w:t>
      </w:r>
      <w:r>
        <w:rPr>
          <w:rFonts w:ascii="Verdana" w:hAnsi="Verdana"/>
          <w:sz w:val="20"/>
          <w:szCs w:val="20"/>
        </w:rPr>
        <w:t xml:space="preserve">derechos </w:t>
      </w:r>
      <w:r w:rsidRPr="004E66B4">
        <w:rPr>
          <w:rFonts w:ascii="Verdana" w:hAnsi="Verdana"/>
          <w:sz w:val="20"/>
          <w:szCs w:val="20"/>
        </w:rPr>
        <w:t>civiles y políticos (determinando su contenido al caso en concreto)</w:t>
      </w:r>
      <w:r>
        <w:rPr>
          <w:rFonts w:ascii="Verdana" w:hAnsi="Verdana"/>
          <w:sz w:val="20"/>
          <w:szCs w:val="20"/>
        </w:rPr>
        <w:t>. Ello, cuando</w:t>
      </w:r>
      <w:r w:rsidRPr="004E66B4">
        <w:rPr>
          <w:rFonts w:ascii="Verdana" w:hAnsi="Verdana"/>
          <w:sz w:val="20"/>
          <w:szCs w:val="20"/>
        </w:rPr>
        <w:t xml:space="preserve"> resulte infringido </w:t>
      </w:r>
      <w:r>
        <w:rPr>
          <w:rFonts w:ascii="Verdana" w:hAnsi="Verdana"/>
          <w:sz w:val="20"/>
          <w:szCs w:val="20"/>
        </w:rPr>
        <w:t xml:space="preserve">algún derecho mencionado anteriormente, </w:t>
      </w:r>
      <w:r w:rsidRPr="004E66B4">
        <w:rPr>
          <w:rFonts w:ascii="Verdana" w:hAnsi="Verdana"/>
          <w:sz w:val="20"/>
          <w:szCs w:val="20"/>
        </w:rPr>
        <w:t xml:space="preserve">en relación </w:t>
      </w:r>
      <w:r>
        <w:rPr>
          <w:rFonts w:ascii="Verdana" w:hAnsi="Verdana"/>
          <w:sz w:val="20"/>
          <w:szCs w:val="20"/>
        </w:rPr>
        <w:t>con</w:t>
      </w:r>
      <w:r w:rsidRPr="004E66B4">
        <w:rPr>
          <w:rFonts w:ascii="Verdana" w:hAnsi="Verdana"/>
          <w:sz w:val="20"/>
          <w:szCs w:val="20"/>
        </w:rPr>
        <w:t xml:space="preserve"> las obligaciones generales contempladas en los artículos 1 y 2 de la Convención</w:t>
      </w:r>
      <w:r>
        <w:rPr>
          <w:rFonts w:ascii="Verdana" w:hAnsi="Verdana"/>
          <w:sz w:val="20"/>
          <w:szCs w:val="20"/>
        </w:rPr>
        <w:t xml:space="preserve"> Americana</w:t>
      </w:r>
      <w:r w:rsidRPr="004E66B4">
        <w:rPr>
          <w:rFonts w:ascii="Verdana" w:hAnsi="Verdana"/>
          <w:sz w:val="20"/>
          <w:szCs w:val="20"/>
        </w:rPr>
        <w:t>, como ha sido su práctica constante al recurrir a otros instrumentos internacionales para complementar lo dispuesto en</w:t>
      </w:r>
      <w:r>
        <w:rPr>
          <w:rFonts w:ascii="Verdana" w:hAnsi="Verdana"/>
          <w:sz w:val="20"/>
          <w:szCs w:val="20"/>
        </w:rPr>
        <w:t xml:space="preserve"> el Pacto de San José</w:t>
      </w:r>
      <w:r w:rsidRPr="004E66B4">
        <w:rPr>
          <w:rStyle w:val="FootnoteReference"/>
          <w:szCs w:val="20"/>
        </w:rPr>
        <w:footnoteReference w:id="341"/>
      </w:r>
      <w:r w:rsidRPr="004E66B4">
        <w:rPr>
          <w:rFonts w:ascii="Verdana" w:hAnsi="Verdana"/>
          <w:sz w:val="20"/>
          <w:szCs w:val="20"/>
        </w:rPr>
        <w:t xml:space="preserve"> o en el Protocolo de San Salvador </w:t>
      </w:r>
      <w:r w:rsidRPr="004E66B4">
        <w:rPr>
          <w:rStyle w:val="FootnoteReference"/>
          <w:szCs w:val="20"/>
        </w:rPr>
        <w:footnoteReference w:id="342"/>
      </w:r>
      <w:r w:rsidRPr="004E66B4">
        <w:rPr>
          <w:rFonts w:ascii="Verdana" w:hAnsi="Verdana"/>
          <w:sz w:val="20"/>
          <w:szCs w:val="20"/>
        </w:rPr>
        <w:t xml:space="preserve">. </w:t>
      </w:r>
    </w:p>
    <w:p w14:paraId="0E37030D"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6F7CCC08" w14:textId="77777777" w:rsidR="00F83E8F" w:rsidRPr="00A068F0"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Por otro lado, si bien el artí</w:t>
      </w:r>
      <w:r w:rsidRPr="004E66B4">
        <w:rPr>
          <w:rFonts w:ascii="Verdana" w:hAnsi="Verdana"/>
          <w:sz w:val="20"/>
          <w:szCs w:val="20"/>
        </w:rPr>
        <w:t xml:space="preserve">culo 16 de la Convención Americana contempla que “[t]odas las personas tienen derecho a </w:t>
      </w:r>
      <w:r w:rsidRPr="004E66B4">
        <w:rPr>
          <w:rFonts w:ascii="Verdana" w:hAnsi="Verdana"/>
          <w:i/>
          <w:sz w:val="20"/>
          <w:szCs w:val="20"/>
        </w:rPr>
        <w:t>asociarse libremente con fines […] laborales</w:t>
      </w:r>
      <w:r w:rsidRPr="004E66B4">
        <w:rPr>
          <w:rFonts w:ascii="Verdana" w:hAnsi="Verdana"/>
          <w:sz w:val="20"/>
          <w:szCs w:val="20"/>
        </w:rPr>
        <w:t>”</w:t>
      </w:r>
      <w:r>
        <w:rPr>
          <w:rFonts w:ascii="Verdana" w:hAnsi="Verdana"/>
          <w:sz w:val="20"/>
          <w:szCs w:val="20"/>
        </w:rPr>
        <w:t>;</w:t>
      </w:r>
      <w:r w:rsidRPr="004E66B4">
        <w:rPr>
          <w:rFonts w:ascii="Verdana" w:hAnsi="Verdana"/>
          <w:sz w:val="20"/>
          <w:szCs w:val="20"/>
        </w:rPr>
        <w:t xml:space="preserve"> lo cierto es que, en general, las asociaciones no se reducen sólo en la materia laboral, sino que tal como lo contempla el propio </w:t>
      </w:r>
      <w:r>
        <w:rPr>
          <w:rFonts w:ascii="Verdana" w:hAnsi="Verdana"/>
          <w:sz w:val="20"/>
          <w:szCs w:val="20"/>
        </w:rPr>
        <w:t>dispositivo convencional</w:t>
      </w:r>
      <w:r w:rsidRPr="004E66B4">
        <w:rPr>
          <w:rFonts w:ascii="Verdana" w:hAnsi="Verdana"/>
          <w:sz w:val="20"/>
          <w:szCs w:val="20"/>
        </w:rPr>
        <w:t xml:space="preserve"> exist</w:t>
      </w:r>
      <w:r>
        <w:rPr>
          <w:rFonts w:ascii="Verdana" w:hAnsi="Verdana"/>
          <w:sz w:val="20"/>
          <w:szCs w:val="20"/>
        </w:rPr>
        <w:t>en otros tipos de asociaciones —</w:t>
      </w:r>
      <w:r w:rsidRPr="004E66B4">
        <w:rPr>
          <w:rFonts w:ascii="Verdana" w:hAnsi="Verdana"/>
          <w:sz w:val="20"/>
          <w:szCs w:val="20"/>
        </w:rPr>
        <w:t>ideológicas, religiosas, políticas, económicas, sociales, culturales, deportivas o de cualquiera otra índole</w:t>
      </w:r>
      <w:r>
        <w:rPr>
          <w:rFonts w:ascii="Verdana" w:hAnsi="Verdana"/>
          <w:sz w:val="20"/>
          <w:szCs w:val="20"/>
        </w:rPr>
        <w:t>—</w:t>
      </w:r>
      <w:r w:rsidRPr="004E66B4">
        <w:rPr>
          <w:rFonts w:ascii="Verdana" w:hAnsi="Verdana"/>
          <w:sz w:val="20"/>
          <w:szCs w:val="20"/>
        </w:rPr>
        <w:t>. E</w:t>
      </w:r>
      <w:r>
        <w:rPr>
          <w:rFonts w:ascii="Verdana" w:hAnsi="Verdana"/>
          <w:sz w:val="20"/>
          <w:szCs w:val="20"/>
        </w:rPr>
        <w:t>stimo que e</w:t>
      </w:r>
      <w:r w:rsidRPr="004E66B4">
        <w:rPr>
          <w:rFonts w:ascii="Verdana" w:hAnsi="Verdana"/>
          <w:sz w:val="20"/>
          <w:szCs w:val="20"/>
        </w:rPr>
        <w:t>sta precisión es de vital importancia</w:t>
      </w:r>
      <w:r>
        <w:rPr>
          <w:rFonts w:ascii="Verdana" w:hAnsi="Verdana"/>
          <w:sz w:val="20"/>
          <w:szCs w:val="20"/>
        </w:rPr>
        <w:t>, ya que</w:t>
      </w:r>
      <w:r w:rsidRPr="004E66B4">
        <w:rPr>
          <w:rFonts w:ascii="Verdana" w:hAnsi="Verdana"/>
          <w:sz w:val="20"/>
          <w:szCs w:val="20"/>
        </w:rPr>
        <w:t xml:space="preserve"> si bien la Corte IDH a la fecha ha declarado la violación del derecho de asociación en materia “laboral” (enfocada a sindicatos), en ningún caso se ha pronunciado sobre el derecho de asociac</w:t>
      </w:r>
      <w:r>
        <w:rPr>
          <w:rFonts w:ascii="Verdana" w:hAnsi="Verdana"/>
          <w:sz w:val="20"/>
          <w:szCs w:val="20"/>
        </w:rPr>
        <w:t>ión sindical de manera directa co</w:t>
      </w:r>
      <w:r w:rsidRPr="004E66B4">
        <w:rPr>
          <w:rFonts w:ascii="Verdana" w:hAnsi="Verdana"/>
          <w:sz w:val="20"/>
          <w:szCs w:val="20"/>
        </w:rPr>
        <w:t xml:space="preserve">mo derecho autónomo según el Protocolo de San Salvador, y las diferentes facetas que engloba este derecho como lo ha delineado, en buena medida, la Opinión Consultiva No. 22. </w:t>
      </w:r>
    </w:p>
    <w:p w14:paraId="21AC4598"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68F6A744" w14:textId="77777777" w:rsidR="00F83E8F"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C</w:t>
      </w:r>
      <w:r w:rsidRPr="004E66B4">
        <w:rPr>
          <w:rFonts w:ascii="Verdana" w:hAnsi="Verdana"/>
          <w:sz w:val="20"/>
          <w:szCs w:val="20"/>
        </w:rPr>
        <w:t>uando el artículo 16 de la Convención Americana contempla la “</w:t>
      </w:r>
      <w:r>
        <w:rPr>
          <w:rFonts w:ascii="Verdana" w:hAnsi="Verdana"/>
          <w:sz w:val="20"/>
          <w:szCs w:val="20"/>
        </w:rPr>
        <w:t xml:space="preserve">asociación con fines laborales”, </w:t>
      </w:r>
      <w:r w:rsidRPr="004E66B4">
        <w:rPr>
          <w:rFonts w:ascii="Verdana" w:hAnsi="Verdana"/>
          <w:sz w:val="20"/>
          <w:szCs w:val="20"/>
        </w:rPr>
        <w:t>lo cierto es que “el derecho de asociación”</w:t>
      </w:r>
      <w:r>
        <w:rPr>
          <w:rFonts w:ascii="Verdana" w:hAnsi="Verdana"/>
          <w:sz w:val="20"/>
          <w:szCs w:val="20"/>
        </w:rPr>
        <w:t xml:space="preserve"> —</w:t>
      </w:r>
      <w:r w:rsidRPr="004E66B4">
        <w:rPr>
          <w:rFonts w:ascii="Verdana" w:hAnsi="Verdana"/>
          <w:i/>
          <w:sz w:val="20"/>
          <w:szCs w:val="20"/>
        </w:rPr>
        <w:t>lato sensu</w:t>
      </w:r>
      <w:r>
        <w:rPr>
          <w:rFonts w:ascii="Verdana" w:hAnsi="Verdana"/>
          <w:i/>
          <w:sz w:val="20"/>
          <w:szCs w:val="20"/>
        </w:rPr>
        <w:t>—</w:t>
      </w:r>
      <w:r w:rsidRPr="004E66B4">
        <w:rPr>
          <w:rFonts w:ascii="Verdana" w:hAnsi="Verdana"/>
          <w:sz w:val="20"/>
          <w:szCs w:val="20"/>
        </w:rPr>
        <w:t xml:space="preserve">, es en realidad el género, por lo que pueden tener diversas especies </w:t>
      </w:r>
      <w:r w:rsidRPr="00390F9C">
        <w:rPr>
          <w:rFonts w:ascii="Verdana" w:hAnsi="Verdana"/>
          <w:sz w:val="20"/>
          <w:szCs w:val="20"/>
        </w:rPr>
        <w:t>o asociaciones en</w:t>
      </w:r>
      <w:r w:rsidRPr="004E66B4">
        <w:rPr>
          <w:rFonts w:ascii="Verdana" w:hAnsi="Verdana"/>
          <w:i/>
          <w:sz w:val="20"/>
          <w:szCs w:val="20"/>
        </w:rPr>
        <w:t xml:space="preserve"> stricto sensu</w:t>
      </w:r>
      <w:r w:rsidRPr="004E66B4">
        <w:rPr>
          <w:rFonts w:ascii="Verdana" w:hAnsi="Verdana"/>
          <w:sz w:val="20"/>
          <w:szCs w:val="20"/>
        </w:rPr>
        <w:t xml:space="preserve"> (laborales</w:t>
      </w:r>
      <w:r w:rsidRPr="008D2569">
        <w:rPr>
          <w:rStyle w:val="FootnoteReference"/>
          <w:szCs w:val="20"/>
        </w:rPr>
        <w:footnoteReference w:id="343"/>
      </w:r>
      <w:r w:rsidRPr="008D2569">
        <w:rPr>
          <w:rFonts w:ascii="Verdana" w:hAnsi="Verdana"/>
          <w:sz w:val="20"/>
          <w:szCs w:val="20"/>
        </w:rPr>
        <w:t>,</w:t>
      </w:r>
      <w:r w:rsidRPr="004E66B4">
        <w:rPr>
          <w:rFonts w:ascii="Verdana" w:hAnsi="Verdana"/>
          <w:sz w:val="20"/>
          <w:szCs w:val="20"/>
        </w:rPr>
        <w:t xml:space="preserve"> sindicales, ideológicas, religiosas, políticas, económicas, sociales, culturales, deportivas o de cualquiera otra índole). Esta distinción brinda mayor especificidad en cuanto al derecho violado y los alcances en materia de derechos sociales</w:t>
      </w:r>
      <w:r>
        <w:rPr>
          <w:rFonts w:ascii="Verdana" w:hAnsi="Verdana"/>
          <w:sz w:val="20"/>
          <w:szCs w:val="20"/>
        </w:rPr>
        <w:t>. Por</w:t>
      </w:r>
      <w:r w:rsidRPr="004E66B4">
        <w:rPr>
          <w:rFonts w:ascii="Verdana" w:hAnsi="Verdana"/>
          <w:sz w:val="20"/>
          <w:szCs w:val="20"/>
        </w:rPr>
        <w:t xml:space="preserve"> ejemplo, mientras que las asociaciones laborales y sindicales pueden protegerse por el contenido de derechos sociales</w:t>
      </w:r>
      <w:r>
        <w:rPr>
          <w:rFonts w:ascii="Verdana" w:hAnsi="Verdana"/>
          <w:sz w:val="20"/>
          <w:szCs w:val="20"/>
        </w:rPr>
        <w:t>,</w:t>
      </w:r>
      <w:r w:rsidRPr="004E66B4">
        <w:rPr>
          <w:rFonts w:ascii="Verdana" w:hAnsi="Verdana"/>
          <w:sz w:val="20"/>
          <w:szCs w:val="20"/>
        </w:rPr>
        <w:t xml:space="preserve"> las asociaciones religiosas o ideológicas estarían en el campo del contenido de los derechos civiles y políticos. </w:t>
      </w:r>
    </w:p>
    <w:p w14:paraId="597BCDBE" w14:textId="77777777" w:rsidR="00F83E8F" w:rsidRDefault="00F83E8F" w:rsidP="00F83E8F">
      <w:pPr>
        <w:pStyle w:val="ListParagraph"/>
        <w:widowControl w:val="0"/>
        <w:autoSpaceDE w:val="0"/>
        <w:autoSpaceDN w:val="0"/>
        <w:adjustRightInd w:val="0"/>
        <w:ind w:left="0" w:right="49"/>
        <w:jc w:val="both"/>
        <w:rPr>
          <w:rFonts w:ascii="Verdana" w:hAnsi="Verdana"/>
          <w:sz w:val="20"/>
          <w:szCs w:val="20"/>
        </w:rPr>
      </w:pPr>
    </w:p>
    <w:p w14:paraId="7D90DD64" w14:textId="77777777" w:rsidR="00F83E8F" w:rsidRPr="00CB3D61" w:rsidRDefault="00F83E8F" w:rsidP="00E70701">
      <w:pPr>
        <w:pStyle w:val="NormalWeb"/>
        <w:numPr>
          <w:ilvl w:val="0"/>
          <w:numId w:val="28"/>
        </w:numPr>
        <w:spacing w:before="0" w:beforeAutospacing="0" w:after="0" w:afterAutospacing="0"/>
        <w:ind w:left="0" w:firstLine="0"/>
        <w:jc w:val="both"/>
        <w:rPr>
          <w:rFonts w:ascii="Verdana" w:hAnsi="Verdana"/>
          <w:sz w:val="20"/>
          <w:szCs w:val="20"/>
          <w:lang w:val="es-ES_tradnl"/>
        </w:rPr>
      </w:pPr>
      <w:r w:rsidRPr="00CB3D61">
        <w:rPr>
          <w:rFonts w:ascii="Verdana" w:hAnsi="Verdana"/>
          <w:sz w:val="20"/>
          <w:szCs w:val="20"/>
          <w:lang w:val="es-ES_tradnl"/>
        </w:rPr>
        <w:lastRenderedPageBreak/>
        <w:t xml:space="preserve">Al respecto, para ejemplificar lo anterior, resulta de importancia traer a colación el caso </w:t>
      </w:r>
      <w:r w:rsidRPr="00CB3D61">
        <w:rPr>
          <w:rFonts w:ascii="Verdana" w:hAnsi="Verdana"/>
          <w:i/>
          <w:sz w:val="20"/>
          <w:szCs w:val="20"/>
          <w:lang w:val="es-ES_tradnl"/>
        </w:rPr>
        <w:t>Kawas Fernández Vs. Honduras,</w:t>
      </w:r>
      <w:r w:rsidRPr="00CB3D61">
        <w:rPr>
          <w:rFonts w:ascii="Verdana" w:hAnsi="Verdana"/>
          <w:sz w:val="20"/>
          <w:szCs w:val="20"/>
          <w:lang w:val="es-ES_tradnl"/>
        </w:rPr>
        <w:t xml:space="preserve"> en donde la Corte IDH declaró violado el artículo 16 de la Convención Americana en un contexto no sindical. Al momento de los hechos “Blanca Jeannette Kawas Fernández era presidenta de la fundación PROLANSATE, y en esa calidad impulsó el establecimiento de políticas públicas sobre protección del medio ambiente en el departamento de Atlántida, Honduras, así como la sensibilización sobre la preservación de los recursos naturales mediante la enseñanza, y denunció daños ambientales en la zona”</w:t>
      </w:r>
      <w:r w:rsidRPr="00CB3D61">
        <w:rPr>
          <w:rStyle w:val="FootnoteReference"/>
          <w:rFonts w:eastAsiaTheme="majorEastAsia"/>
          <w:szCs w:val="20"/>
          <w:lang w:val="es-ES_tradnl"/>
        </w:rPr>
        <w:footnoteReference w:id="344"/>
      </w:r>
      <w:r w:rsidRPr="00CB3D61">
        <w:rPr>
          <w:rFonts w:ascii="Verdana" w:hAnsi="Verdana"/>
          <w:sz w:val="20"/>
          <w:szCs w:val="20"/>
          <w:lang w:val="es-ES_tradnl"/>
        </w:rPr>
        <w:t>. En este sentido, precisó que “[e]l reconocimiento del trabajo realizado por la defensa del medio ambiente y su relación con los derechos humanos cobra mayor vigencia en los países de la región, en los que se observa un número creciente de denuncias de amenazas, actos de violencia y asesinatos de ambientalistas con motivo de su labor”</w:t>
      </w:r>
      <w:r w:rsidRPr="00CB3D61">
        <w:rPr>
          <w:rStyle w:val="FootnoteReference"/>
          <w:rFonts w:eastAsiaTheme="majorEastAsia"/>
          <w:szCs w:val="20"/>
          <w:lang w:val="es-ES_tradnl"/>
        </w:rPr>
        <w:footnoteReference w:id="345"/>
      </w:r>
      <w:r w:rsidRPr="00CB3D61">
        <w:rPr>
          <w:rFonts w:ascii="Verdana" w:hAnsi="Verdana"/>
          <w:sz w:val="20"/>
          <w:szCs w:val="20"/>
          <w:lang w:val="es-ES_tradnl"/>
        </w:rPr>
        <w:t xml:space="preserve">. En dicho caso, la Corte IDH consideró que el “artículo 16 de la Convención Americana comprende también </w:t>
      </w:r>
      <w:r w:rsidRPr="00CB3D61">
        <w:rPr>
          <w:rFonts w:ascii="Verdana" w:hAnsi="Verdana"/>
          <w:sz w:val="20"/>
          <w:szCs w:val="20"/>
          <w:u w:val="single"/>
          <w:lang w:val="es-ES_tradnl"/>
        </w:rPr>
        <w:t>el derecho de toda persona a formar y participar libremente en organizaciones, asociaciones o grupos no gubernamentales orientados a la vigilancia, denuncia y promoción de los derechos humanos”</w:t>
      </w:r>
      <w:r w:rsidRPr="00CB3D61">
        <w:rPr>
          <w:rStyle w:val="FootnoteReference"/>
          <w:rFonts w:eastAsiaTheme="majorEastAsia"/>
          <w:szCs w:val="20"/>
          <w:lang w:val="es-ES_tradnl"/>
        </w:rPr>
        <w:footnoteReference w:id="346"/>
      </w:r>
      <w:r w:rsidRPr="00CB3D61">
        <w:rPr>
          <w:rFonts w:ascii="Verdana" w:hAnsi="Verdana"/>
          <w:sz w:val="20"/>
          <w:szCs w:val="20"/>
          <w:lang w:val="es-ES_tradnl"/>
        </w:rPr>
        <w:t xml:space="preserve">. </w:t>
      </w:r>
    </w:p>
    <w:p w14:paraId="398A50B2" w14:textId="77777777" w:rsidR="00F83E8F" w:rsidRPr="002F0B14" w:rsidRDefault="00F83E8F" w:rsidP="00F83E8F">
      <w:pPr>
        <w:pStyle w:val="NormalWeb"/>
        <w:spacing w:before="0" w:beforeAutospacing="0" w:after="0" w:afterAutospacing="0"/>
        <w:ind w:left="360"/>
        <w:jc w:val="both"/>
        <w:rPr>
          <w:rFonts w:ascii="Verdana" w:hAnsi="Verdana"/>
          <w:lang w:val="es-ES_tradnl"/>
        </w:rPr>
      </w:pPr>
    </w:p>
    <w:p w14:paraId="0A4690D0" w14:textId="77777777" w:rsidR="00F83E8F" w:rsidRPr="004E66B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4E66B4">
        <w:rPr>
          <w:rFonts w:ascii="Verdana" w:hAnsi="Verdana"/>
          <w:sz w:val="20"/>
          <w:szCs w:val="20"/>
        </w:rPr>
        <w:t>En el pres</w:t>
      </w:r>
      <w:r>
        <w:rPr>
          <w:rFonts w:ascii="Verdana" w:hAnsi="Verdana"/>
          <w:sz w:val="20"/>
          <w:szCs w:val="20"/>
        </w:rPr>
        <w:t>ente caso, ha quedado demostrado</w:t>
      </w:r>
      <w:r w:rsidRPr="004E66B4">
        <w:rPr>
          <w:rFonts w:ascii="Verdana" w:hAnsi="Verdana"/>
          <w:sz w:val="20"/>
          <w:szCs w:val="20"/>
        </w:rPr>
        <w:t xml:space="preserve"> que el señor Lagos del Campo fue despedido con motivo de las denuncias realizadas en el marco de un proceso electoral del cual estaba llamado a supervisar como par</w:t>
      </w:r>
      <w:r>
        <w:rPr>
          <w:rFonts w:ascii="Verdana" w:hAnsi="Verdana"/>
          <w:sz w:val="20"/>
          <w:szCs w:val="20"/>
        </w:rPr>
        <w:t>te de su cargo. A</w:t>
      </w:r>
      <w:r w:rsidRPr="004E66B4">
        <w:rPr>
          <w:rFonts w:ascii="Verdana" w:hAnsi="Verdana"/>
          <w:sz w:val="20"/>
          <w:szCs w:val="20"/>
        </w:rPr>
        <w:t>demás</w:t>
      </w:r>
      <w:r>
        <w:rPr>
          <w:rFonts w:ascii="Verdana" w:hAnsi="Verdana"/>
          <w:sz w:val="20"/>
          <w:szCs w:val="20"/>
        </w:rPr>
        <w:t xml:space="preserve">, </w:t>
      </w:r>
      <w:r w:rsidRPr="004E66B4">
        <w:rPr>
          <w:rFonts w:ascii="Verdana" w:hAnsi="Verdana"/>
          <w:sz w:val="20"/>
          <w:szCs w:val="20"/>
        </w:rPr>
        <w:t xml:space="preserve">como consecuencia del despido, </w:t>
      </w:r>
      <w:r>
        <w:rPr>
          <w:rFonts w:ascii="Verdana" w:hAnsi="Verdana"/>
          <w:sz w:val="20"/>
          <w:szCs w:val="20"/>
        </w:rPr>
        <w:t>la víctima</w:t>
      </w:r>
      <w:r w:rsidRPr="004E66B4">
        <w:rPr>
          <w:rFonts w:ascii="Verdana" w:hAnsi="Verdana"/>
          <w:sz w:val="20"/>
          <w:szCs w:val="20"/>
        </w:rPr>
        <w:t xml:space="preserve"> no pudo continuar con sus labores de representación de los trabajadores en el Comité Electoral</w:t>
      </w:r>
      <w:r>
        <w:rPr>
          <w:rFonts w:ascii="Verdana" w:hAnsi="Verdana"/>
          <w:sz w:val="20"/>
          <w:szCs w:val="20"/>
        </w:rPr>
        <w:t>. T</w:t>
      </w:r>
      <w:r w:rsidRPr="004E66B4">
        <w:rPr>
          <w:rFonts w:ascii="Verdana" w:hAnsi="Verdana"/>
          <w:sz w:val="20"/>
          <w:szCs w:val="20"/>
        </w:rPr>
        <w:t>ampoco pudo continuar perteneciendo a la Comunidad Industrial, al ya no formar parte de la empresa como trabajador, siendo que el Segundo Tribunal del Trabajo de Lima calificó el despido de la víctima como “</w:t>
      </w:r>
      <w:r>
        <w:rPr>
          <w:rFonts w:ascii="Verdana" w:hAnsi="Verdana"/>
          <w:sz w:val="20"/>
          <w:szCs w:val="20"/>
        </w:rPr>
        <w:t xml:space="preserve">legal y justificado”, avalando </w:t>
      </w:r>
      <w:r w:rsidRPr="004E66B4">
        <w:rPr>
          <w:rFonts w:ascii="Verdana" w:hAnsi="Verdana"/>
          <w:sz w:val="20"/>
          <w:szCs w:val="20"/>
        </w:rPr>
        <w:t>una sanción que tuvo un impacto en la posibilidad del señor Lagos del Campo de poder continuar perteneciendo a dicha corporación, y de representar los intereses de los demás trabajadores</w:t>
      </w:r>
      <w:r w:rsidRPr="004E66B4">
        <w:rPr>
          <w:rStyle w:val="FootnoteReference"/>
          <w:szCs w:val="20"/>
        </w:rPr>
        <w:footnoteReference w:id="347"/>
      </w:r>
      <w:r w:rsidRPr="004E66B4">
        <w:rPr>
          <w:rFonts w:ascii="Verdana" w:hAnsi="Verdana"/>
          <w:sz w:val="20"/>
          <w:szCs w:val="20"/>
        </w:rPr>
        <w:t>. La Corte</w:t>
      </w:r>
      <w:r>
        <w:rPr>
          <w:rFonts w:ascii="Verdana" w:hAnsi="Verdana"/>
          <w:sz w:val="20"/>
          <w:szCs w:val="20"/>
        </w:rPr>
        <w:t xml:space="preserve"> IDH</w:t>
      </w:r>
      <w:r w:rsidRPr="004E66B4">
        <w:rPr>
          <w:rFonts w:ascii="Verdana" w:hAnsi="Verdana"/>
          <w:sz w:val="20"/>
          <w:szCs w:val="20"/>
        </w:rPr>
        <w:t xml:space="preserve"> concluyó que: </w:t>
      </w:r>
    </w:p>
    <w:p w14:paraId="502E2E5D" w14:textId="77777777" w:rsidR="00F83E8F" w:rsidRPr="004E66B4" w:rsidRDefault="00F83E8F" w:rsidP="00F83E8F">
      <w:pPr>
        <w:widowControl w:val="0"/>
        <w:autoSpaceDE w:val="0"/>
        <w:autoSpaceDN w:val="0"/>
        <w:adjustRightInd w:val="0"/>
        <w:ind w:right="18"/>
        <w:jc w:val="both"/>
        <w:rPr>
          <w:rFonts w:ascii="Verdana" w:hAnsi="Verdana"/>
          <w:sz w:val="20"/>
          <w:szCs w:val="20"/>
        </w:rPr>
      </w:pPr>
    </w:p>
    <w:p w14:paraId="16B58579" w14:textId="77777777" w:rsidR="00F83E8F" w:rsidRPr="004E66B4" w:rsidRDefault="00F83E8F" w:rsidP="00F83E8F">
      <w:pPr>
        <w:autoSpaceDE w:val="0"/>
        <w:autoSpaceDN w:val="0"/>
        <w:adjustRightInd w:val="0"/>
        <w:ind w:left="709" w:right="738"/>
        <w:jc w:val="both"/>
        <w:rPr>
          <w:rFonts w:ascii="Verdana" w:hAnsi="Verdana"/>
          <w:sz w:val="16"/>
          <w:szCs w:val="16"/>
        </w:rPr>
      </w:pPr>
      <w:r w:rsidRPr="004E66B4">
        <w:rPr>
          <w:rFonts w:ascii="Verdana" w:hAnsi="Verdana"/>
          <w:sz w:val="16"/>
          <w:szCs w:val="16"/>
        </w:rPr>
        <w:t>162. Adicionalmente, este Tribunal ha establecido que la libertad de asociación tiene</w:t>
      </w:r>
      <w:r>
        <w:rPr>
          <w:rFonts w:ascii="Verdana" w:hAnsi="Verdana"/>
          <w:sz w:val="16"/>
          <w:szCs w:val="16"/>
        </w:rPr>
        <w:t xml:space="preserve"> </w:t>
      </w:r>
      <w:r w:rsidRPr="004E66B4">
        <w:rPr>
          <w:rFonts w:ascii="Verdana" w:hAnsi="Verdana"/>
          <w:sz w:val="16"/>
          <w:szCs w:val="16"/>
        </w:rPr>
        <w:t>dos dimensiones, pues recae tanto en el derecho del individuo de asociarse libremente y utilizar los medios apropiados para ejercer esa libertad, como en los integrantes de un grupo para alcanzar determinados fines en conjunto y beneficiarse de los mismos. Asimismo, este Tribunal ha establecido que los derechos derivados de la representación de los intereses de un grupo tiene una naturaleza dual, pues recae tanto en el derecho del individuo que ejerce el mandato o designación como en el derecho de la colectividad de ser representada, por lo que la violación del derecho del primero (del representante) repercute en la vulneración del derecho del otro (el representado)</w:t>
      </w:r>
      <w:r>
        <w:rPr>
          <w:rFonts w:ascii="Verdana" w:hAnsi="Verdana"/>
          <w:sz w:val="16"/>
          <w:szCs w:val="16"/>
        </w:rPr>
        <w:t xml:space="preserve"> </w:t>
      </w:r>
      <w:r w:rsidRPr="004E66B4">
        <w:rPr>
          <w:rFonts w:ascii="Verdana" w:hAnsi="Verdana"/>
          <w:sz w:val="16"/>
          <w:szCs w:val="16"/>
        </w:rPr>
        <w:t>[…]</w:t>
      </w:r>
      <w:r w:rsidRPr="004E66B4">
        <w:rPr>
          <w:rStyle w:val="FootnoteReference"/>
          <w:sz w:val="16"/>
          <w:szCs w:val="16"/>
        </w:rPr>
        <w:footnoteReference w:id="348"/>
      </w:r>
      <w:r w:rsidRPr="004E66B4">
        <w:rPr>
          <w:rFonts w:ascii="Verdana" w:hAnsi="Verdana"/>
          <w:sz w:val="16"/>
          <w:szCs w:val="16"/>
        </w:rPr>
        <w:t xml:space="preserve">. </w:t>
      </w:r>
    </w:p>
    <w:p w14:paraId="4CCE24B5"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1B6324F9" w14:textId="77777777" w:rsidR="00F83E8F" w:rsidRPr="004E66B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N</w:t>
      </w:r>
      <w:r w:rsidRPr="004E66B4">
        <w:rPr>
          <w:rFonts w:ascii="Verdana" w:hAnsi="Verdana"/>
          <w:sz w:val="20"/>
          <w:szCs w:val="20"/>
        </w:rPr>
        <w:t>o c</w:t>
      </w:r>
      <w:r>
        <w:rPr>
          <w:rFonts w:ascii="Verdana" w:hAnsi="Verdana"/>
          <w:sz w:val="20"/>
          <w:szCs w:val="20"/>
        </w:rPr>
        <w:t>abe duda que las violaciones al</w:t>
      </w:r>
      <w:r w:rsidRPr="004E66B4">
        <w:rPr>
          <w:rFonts w:ascii="Verdana" w:hAnsi="Verdana"/>
          <w:sz w:val="20"/>
          <w:szCs w:val="20"/>
        </w:rPr>
        <w:t xml:space="preserve"> señor Campos del Lago no se enmarcan dentro del análisis de los derechos de los sindicatos, de los sindicalistas o de los representantes sindicales </w:t>
      </w:r>
      <w:r>
        <w:rPr>
          <w:rFonts w:ascii="Verdana" w:hAnsi="Verdana"/>
          <w:sz w:val="20"/>
          <w:szCs w:val="20"/>
        </w:rPr>
        <w:t>y sus derechos correlativos.</w:t>
      </w:r>
      <w:r w:rsidRPr="004E66B4">
        <w:rPr>
          <w:rFonts w:ascii="Verdana" w:hAnsi="Verdana"/>
          <w:sz w:val="20"/>
          <w:szCs w:val="20"/>
        </w:rPr>
        <w:t xml:space="preserve"> </w:t>
      </w:r>
      <w:r>
        <w:rPr>
          <w:rFonts w:ascii="Verdana" w:hAnsi="Verdana"/>
          <w:sz w:val="20"/>
          <w:szCs w:val="20"/>
        </w:rPr>
        <w:t>Por</w:t>
      </w:r>
      <w:r w:rsidRPr="004E66B4">
        <w:rPr>
          <w:rFonts w:ascii="Verdana" w:hAnsi="Verdana"/>
          <w:sz w:val="20"/>
          <w:szCs w:val="20"/>
        </w:rPr>
        <w:t xml:space="preserve"> el contrario</w:t>
      </w:r>
      <w:r>
        <w:rPr>
          <w:rFonts w:ascii="Verdana" w:hAnsi="Verdana"/>
          <w:sz w:val="20"/>
          <w:szCs w:val="20"/>
        </w:rPr>
        <w:t>,</w:t>
      </w:r>
      <w:r w:rsidRPr="004E66B4">
        <w:rPr>
          <w:rFonts w:ascii="Verdana" w:hAnsi="Verdana"/>
          <w:sz w:val="20"/>
          <w:szCs w:val="20"/>
        </w:rPr>
        <w:t xml:space="preserve"> el presente caso presenta una particularidad distinta a los casos que anteriormente habían sido objeto de análisis de este Tribunal </w:t>
      </w:r>
      <w:r>
        <w:rPr>
          <w:rFonts w:ascii="Verdana" w:hAnsi="Verdana"/>
          <w:sz w:val="20"/>
          <w:szCs w:val="20"/>
        </w:rPr>
        <w:t xml:space="preserve">Interamericano </w:t>
      </w:r>
      <w:r w:rsidRPr="004E66B4">
        <w:rPr>
          <w:rFonts w:ascii="Verdana" w:hAnsi="Verdana"/>
          <w:sz w:val="20"/>
          <w:szCs w:val="20"/>
        </w:rPr>
        <w:t xml:space="preserve">en relación </w:t>
      </w:r>
      <w:r>
        <w:rPr>
          <w:rFonts w:ascii="Verdana" w:hAnsi="Verdana"/>
          <w:sz w:val="20"/>
          <w:szCs w:val="20"/>
        </w:rPr>
        <w:t>con el</w:t>
      </w:r>
      <w:r w:rsidRPr="004E66B4">
        <w:rPr>
          <w:rFonts w:ascii="Verdana" w:hAnsi="Verdana"/>
          <w:sz w:val="20"/>
          <w:szCs w:val="20"/>
        </w:rPr>
        <w:t xml:space="preserve"> derecho de asociación, ya que el señor Lagos del Campo era representante de una aso</w:t>
      </w:r>
      <w:r>
        <w:rPr>
          <w:rFonts w:ascii="Verdana" w:hAnsi="Verdana"/>
          <w:sz w:val="20"/>
          <w:szCs w:val="20"/>
        </w:rPr>
        <w:t>ciación de trabajadores. Así, coincido</w:t>
      </w:r>
      <w:r w:rsidRPr="004E66B4">
        <w:rPr>
          <w:rFonts w:ascii="Verdana" w:hAnsi="Verdana"/>
          <w:sz w:val="20"/>
          <w:szCs w:val="20"/>
        </w:rPr>
        <w:t xml:space="preserve"> plenamente con la Sentencia, </w:t>
      </w:r>
      <w:r>
        <w:rPr>
          <w:rFonts w:ascii="Verdana" w:hAnsi="Verdana"/>
          <w:sz w:val="20"/>
          <w:szCs w:val="20"/>
        </w:rPr>
        <w:t xml:space="preserve">cuando señala </w:t>
      </w:r>
      <w:r w:rsidRPr="004E66B4">
        <w:rPr>
          <w:rFonts w:ascii="Verdana" w:hAnsi="Verdana"/>
          <w:sz w:val="20"/>
          <w:szCs w:val="20"/>
        </w:rPr>
        <w:t xml:space="preserve">que: </w:t>
      </w:r>
    </w:p>
    <w:p w14:paraId="458E298A" w14:textId="77777777" w:rsidR="00F83E8F" w:rsidRPr="004E66B4" w:rsidRDefault="00F83E8F" w:rsidP="00F83E8F">
      <w:pPr>
        <w:pStyle w:val="ListParagraph"/>
        <w:widowControl w:val="0"/>
        <w:autoSpaceDE w:val="0"/>
        <w:autoSpaceDN w:val="0"/>
        <w:adjustRightInd w:val="0"/>
        <w:ind w:left="0"/>
        <w:jc w:val="both"/>
        <w:rPr>
          <w:rFonts w:ascii="Verdana" w:hAnsi="Verdana"/>
          <w:sz w:val="20"/>
          <w:szCs w:val="20"/>
        </w:rPr>
      </w:pPr>
    </w:p>
    <w:p w14:paraId="79DC7F1A" w14:textId="77777777" w:rsidR="00F83E8F" w:rsidRPr="004E66B4" w:rsidRDefault="00F83E8F" w:rsidP="00F83E8F">
      <w:pPr>
        <w:widowControl w:val="0"/>
        <w:autoSpaceDE w:val="0"/>
        <w:autoSpaceDN w:val="0"/>
        <w:adjustRightInd w:val="0"/>
        <w:ind w:left="709" w:right="738"/>
        <w:jc w:val="both"/>
        <w:rPr>
          <w:rFonts w:ascii="Verdana" w:hAnsi="Verdana"/>
          <w:sz w:val="16"/>
          <w:szCs w:val="16"/>
        </w:rPr>
      </w:pPr>
      <w:r w:rsidRPr="004E66B4">
        <w:rPr>
          <w:rFonts w:ascii="Verdana" w:hAnsi="Verdana"/>
          <w:sz w:val="16"/>
          <w:szCs w:val="16"/>
        </w:rPr>
        <w:t xml:space="preserve">157. En relación con lo anterior, esta Corte encuentra que el ámbito de protección del derecho de </w:t>
      </w:r>
      <w:r w:rsidRPr="004E66B4">
        <w:rPr>
          <w:rFonts w:ascii="Verdana" w:hAnsi="Verdana"/>
          <w:sz w:val="16"/>
          <w:szCs w:val="16"/>
        </w:rPr>
        <w:lastRenderedPageBreak/>
        <w:t xml:space="preserve">libertad de asociación en materia laboral </w:t>
      </w:r>
      <w:r w:rsidRPr="004E66B4">
        <w:rPr>
          <w:rFonts w:ascii="Verdana" w:hAnsi="Verdana"/>
          <w:sz w:val="16"/>
          <w:szCs w:val="16"/>
          <w:u w:val="single"/>
        </w:rPr>
        <w:t>no sólo se encuentra subsumido a la protección de los sindicatos, sus miembros y sus representantes.</w:t>
      </w:r>
      <w:r w:rsidRPr="004E66B4">
        <w:rPr>
          <w:rFonts w:ascii="Verdana" w:hAnsi="Verdana"/>
          <w:sz w:val="16"/>
          <w:szCs w:val="16"/>
        </w:rPr>
        <w:t xml:space="preserve"> […]</w:t>
      </w:r>
    </w:p>
    <w:p w14:paraId="1B04FED6" w14:textId="77777777" w:rsidR="00F83E8F" w:rsidRPr="004E66B4" w:rsidRDefault="00F83E8F" w:rsidP="00F83E8F">
      <w:pPr>
        <w:widowControl w:val="0"/>
        <w:autoSpaceDE w:val="0"/>
        <w:autoSpaceDN w:val="0"/>
        <w:adjustRightInd w:val="0"/>
        <w:ind w:left="709" w:right="758"/>
        <w:jc w:val="both"/>
        <w:rPr>
          <w:rFonts w:ascii="Verdana" w:hAnsi="Verdana"/>
          <w:sz w:val="16"/>
          <w:szCs w:val="16"/>
        </w:rPr>
      </w:pPr>
    </w:p>
    <w:p w14:paraId="29B10AEB" w14:textId="77777777" w:rsidR="00F83E8F" w:rsidRPr="004E66B4" w:rsidRDefault="00F83E8F" w:rsidP="00F83E8F">
      <w:pPr>
        <w:widowControl w:val="0"/>
        <w:autoSpaceDE w:val="0"/>
        <w:autoSpaceDN w:val="0"/>
        <w:adjustRightInd w:val="0"/>
        <w:ind w:left="709" w:right="758"/>
        <w:jc w:val="both"/>
        <w:rPr>
          <w:rFonts w:ascii="Verdana" w:hAnsi="Verdana"/>
          <w:sz w:val="16"/>
          <w:szCs w:val="16"/>
        </w:rPr>
      </w:pPr>
      <w:r w:rsidRPr="004E66B4">
        <w:rPr>
          <w:rFonts w:ascii="Verdana" w:hAnsi="Verdana"/>
          <w:sz w:val="16"/>
          <w:szCs w:val="16"/>
        </w:rPr>
        <w:t xml:space="preserve">158. Sin embargo, </w:t>
      </w:r>
      <w:r w:rsidRPr="004E66B4">
        <w:rPr>
          <w:rFonts w:ascii="Verdana" w:hAnsi="Verdana"/>
          <w:sz w:val="16"/>
          <w:szCs w:val="16"/>
          <w:u w:val="single"/>
        </w:rPr>
        <w:t>la protección que reconoce el derecho a la libertad de asociación en el contexto laboral se extiende a organizaciones que, aun cuando tengan una naturaleza distinta a la de los sindicatos, persigan fines de representación de los intereses legítimos de los trabajadores.</w:t>
      </w:r>
      <w:r w:rsidRPr="004E66B4">
        <w:rPr>
          <w:rFonts w:ascii="Verdana" w:hAnsi="Verdana"/>
          <w:sz w:val="16"/>
          <w:szCs w:val="16"/>
        </w:rPr>
        <w:t xml:space="preserve"> Esta protección deriva del propio artículo 16 de la Convención Americana, el cual protege la libertad de asociación con fines de cualquier índole, así como de otros instrumentos internacionales, </w:t>
      </w:r>
      <w:r w:rsidRPr="004E66B4">
        <w:rPr>
          <w:rFonts w:ascii="Verdana" w:hAnsi="Verdana"/>
          <w:sz w:val="16"/>
          <w:szCs w:val="16"/>
          <w:u w:val="single"/>
        </w:rPr>
        <w:t xml:space="preserve">que reconocen una protección especial a la libertad de asociación con fines de protección de los intereses de los trabajadores, sin especificar que esta protección se restrinja al ámbito sindical </w:t>
      </w:r>
      <w:r w:rsidRPr="004E66B4">
        <w:rPr>
          <w:rFonts w:ascii="Verdana" w:hAnsi="Verdana"/>
          <w:sz w:val="16"/>
          <w:szCs w:val="16"/>
        </w:rPr>
        <w:t>[…]</w:t>
      </w:r>
      <w:r w:rsidRPr="004E66B4">
        <w:rPr>
          <w:rStyle w:val="FootnoteReference"/>
          <w:sz w:val="16"/>
          <w:szCs w:val="16"/>
        </w:rPr>
        <w:footnoteReference w:id="349"/>
      </w:r>
      <w:r w:rsidRPr="004E66B4">
        <w:rPr>
          <w:rFonts w:ascii="Verdana" w:hAnsi="Verdana"/>
          <w:sz w:val="16"/>
          <w:szCs w:val="16"/>
        </w:rPr>
        <w:t>.</w:t>
      </w:r>
    </w:p>
    <w:p w14:paraId="07FCB589" w14:textId="77777777" w:rsidR="00F83E8F" w:rsidRPr="004E66B4" w:rsidRDefault="00F83E8F" w:rsidP="00F83E8F">
      <w:pPr>
        <w:widowControl w:val="0"/>
        <w:autoSpaceDE w:val="0"/>
        <w:autoSpaceDN w:val="0"/>
        <w:adjustRightInd w:val="0"/>
        <w:ind w:right="758"/>
        <w:jc w:val="both"/>
        <w:rPr>
          <w:rFonts w:ascii="Verdana" w:hAnsi="Verdana"/>
          <w:sz w:val="16"/>
          <w:szCs w:val="16"/>
        </w:rPr>
      </w:pPr>
    </w:p>
    <w:p w14:paraId="04CD0C49" w14:textId="77777777" w:rsidR="00F83E8F" w:rsidRPr="004E66B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4E66B4">
        <w:rPr>
          <w:rFonts w:ascii="Verdana" w:hAnsi="Verdana"/>
          <w:sz w:val="20"/>
          <w:szCs w:val="20"/>
        </w:rPr>
        <w:t>Adicionalmente</w:t>
      </w:r>
      <w:r>
        <w:rPr>
          <w:rFonts w:ascii="Verdana" w:hAnsi="Verdana"/>
          <w:sz w:val="20"/>
          <w:szCs w:val="20"/>
        </w:rPr>
        <w:t>,</w:t>
      </w:r>
      <w:r w:rsidRPr="004E66B4">
        <w:rPr>
          <w:rFonts w:ascii="Verdana" w:hAnsi="Verdana"/>
          <w:sz w:val="20"/>
          <w:szCs w:val="20"/>
        </w:rPr>
        <w:t xml:space="preserve"> la Corte </w:t>
      </w:r>
      <w:r>
        <w:rPr>
          <w:rFonts w:ascii="Verdana" w:hAnsi="Verdana"/>
          <w:sz w:val="20"/>
          <w:szCs w:val="20"/>
        </w:rPr>
        <w:t xml:space="preserve">IDH </w:t>
      </w:r>
      <w:r w:rsidRPr="004E66B4">
        <w:rPr>
          <w:rFonts w:ascii="Verdana" w:hAnsi="Verdana"/>
          <w:sz w:val="20"/>
          <w:szCs w:val="20"/>
        </w:rPr>
        <w:t xml:space="preserve">agregó que: </w:t>
      </w:r>
    </w:p>
    <w:p w14:paraId="495CF2E2"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0DDEA1F2" w14:textId="77777777" w:rsidR="00F83E8F" w:rsidRPr="004E66B4" w:rsidRDefault="00F83E8F" w:rsidP="00F83E8F">
      <w:pPr>
        <w:pStyle w:val="ListParagraph"/>
        <w:ind w:left="709" w:right="758"/>
        <w:jc w:val="both"/>
        <w:rPr>
          <w:rFonts w:ascii="Verdana" w:hAnsi="Verdana"/>
          <w:b/>
          <w:sz w:val="16"/>
          <w:szCs w:val="16"/>
        </w:rPr>
      </w:pPr>
      <w:r w:rsidRPr="004E66B4">
        <w:rPr>
          <w:rFonts w:ascii="Verdana" w:hAnsi="Verdana"/>
          <w:sz w:val="16"/>
          <w:szCs w:val="16"/>
        </w:rPr>
        <w:t xml:space="preserve">159. Estos principios coinciden con la protección reconocida por la Organización Internacional del Trabajo, la cual ha definido que la expresión </w:t>
      </w:r>
      <w:r w:rsidRPr="004E66B4">
        <w:rPr>
          <w:rFonts w:ascii="Verdana" w:hAnsi="Verdana"/>
          <w:sz w:val="16"/>
          <w:szCs w:val="16"/>
          <w:u w:val="single"/>
        </w:rPr>
        <w:t>“</w:t>
      </w:r>
      <w:r w:rsidRPr="004E66B4">
        <w:rPr>
          <w:rFonts w:ascii="Verdana" w:hAnsi="Verdana"/>
          <w:b/>
          <w:sz w:val="16"/>
          <w:szCs w:val="16"/>
          <w:u w:val="single"/>
        </w:rPr>
        <w:t>representantes de los trabajadores”</w:t>
      </w:r>
      <w:r w:rsidRPr="004E66B4">
        <w:rPr>
          <w:rFonts w:ascii="Verdana" w:hAnsi="Verdana"/>
          <w:b/>
          <w:sz w:val="16"/>
          <w:szCs w:val="16"/>
        </w:rPr>
        <w:t xml:space="preserve"> comprende aquellos reconocidos como tales en virtud de la legislación o práctica nacional, ya se trate de representantes sindicales, o de “representantes electos, es decir, representantes libremente elegidos por los trabajadores de la empresa, de conformidad con las disposiciones de la legislación nacional o de los contratos colectivos, y cuyas actividades no se extiendan a actividades que sean reconocidas en el país como prerrogativas exclusivas de los sindicatos”.</w:t>
      </w:r>
      <w:r w:rsidRPr="004E66B4">
        <w:rPr>
          <w:rFonts w:ascii="Verdana" w:hAnsi="Verdana"/>
          <w:sz w:val="16"/>
          <w:szCs w:val="16"/>
        </w:rPr>
        <w:t xml:space="preserve"> </w:t>
      </w:r>
    </w:p>
    <w:p w14:paraId="30F76C39" w14:textId="77777777" w:rsidR="00F83E8F" w:rsidRPr="004E66B4" w:rsidRDefault="00F83E8F" w:rsidP="00F83E8F">
      <w:pPr>
        <w:pStyle w:val="ListParagraph"/>
        <w:ind w:left="709" w:right="758"/>
        <w:jc w:val="both"/>
        <w:rPr>
          <w:rFonts w:ascii="Verdana" w:hAnsi="Verdana"/>
          <w:sz w:val="16"/>
          <w:szCs w:val="16"/>
        </w:rPr>
      </w:pPr>
    </w:p>
    <w:p w14:paraId="1EFFA019" w14:textId="77777777" w:rsidR="00F83E8F" w:rsidRPr="004E66B4" w:rsidRDefault="00F83E8F" w:rsidP="00F83E8F">
      <w:pPr>
        <w:pStyle w:val="ListParagraph"/>
        <w:ind w:left="709" w:right="758"/>
        <w:jc w:val="both"/>
        <w:rPr>
          <w:rFonts w:ascii="Verdana" w:hAnsi="Verdana"/>
          <w:b/>
          <w:sz w:val="16"/>
          <w:szCs w:val="16"/>
        </w:rPr>
      </w:pPr>
      <w:r w:rsidRPr="004E66B4">
        <w:rPr>
          <w:rFonts w:ascii="Verdana" w:hAnsi="Verdana"/>
          <w:sz w:val="16"/>
          <w:szCs w:val="16"/>
        </w:rPr>
        <w:t xml:space="preserve">160. En el mismo sentido, se ha interpretado [por el Tribunal Europeo] </w:t>
      </w:r>
      <w:r w:rsidRPr="004E66B4">
        <w:rPr>
          <w:rFonts w:ascii="Verdana" w:hAnsi="Verdana"/>
          <w:sz w:val="16"/>
          <w:szCs w:val="16"/>
          <w:u w:val="single"/>
        </w:rPr>
        <w:t>que los representantes de los trabajadores de una empresa deben gozar de una protección eficaz contra todo acto que pueda perjudicarlos, incluido el despido por razón de su condición de representantes de los trabajadores, o de sus actividades derivadas de dicha representación.</w:t>
      </w:r>
      <w:r w:rsidRPr="004E66B4">
        <w:rPr>
          <w:rFonts w:ascii="Verdana" w:eastAsia="Times New Roman" w:hAnsi="Verdana"/>
          <w:sz w:val="16"/>
          <w:szCs w:val="16"/>
        </w:rPr>
        <w:t xml:space="preserve"> Asimismo, </w:t>
      </w:r>
      <w:r w:rsidRPr="004E66B4">
        <w:rPr>
          <w:rFonts w:ascii="Verdana" w:hAnsi="Verdana"/>
          <w:sz w:val="16"/>
          <w:szCs w:val="16"/>
        </w:rPr>
        <w:t xml:space="preserve">las autoridades nacionales deben garantizar que la imposición de sanciones que puedan resultar desproporcionadas no </w:t>
      </w:r>
      <w:proofErr w:type="gramStart"/>
      <w:r w:rsidRPr="004E66B4">
        <w:rPr>
          <w:rFonts w:ascii="Verdana" w:hAnsi="Verdana"/>
          <w:sz w:val="16"/>
          <w:szCs w:val="16"/>
        </w:rPr>
        <w:t>generen</w:t>
      </w:r>
      <w:proofErr w:type="gramEnd"/>
      <w:r w:rsidRPr="004E66B4">
        <w:rPr>
          <w:rFonts w:ascii="Verdana" w:hAnsi="Verdana"/>
          <w:sz w:val="16"/>
          <w:szCs w:val="16"/>
        </w:rPr>
        <w:t xml:space="preserve"> un efecto disuasivo en el derecho de los representantes de expresar y defender los intereses de los trabajadores</w:t>
      </w:r>
      <w:r w:rsidRPr="004E66B4">
        <w:rPr>
          <w:rStyle w:val="FootnoteReference"/>
          <w:sz w:val="16"/>
          <w:szCs w:val="16"/>
        </w:rPr>
        <w:footnoteReference w:id="350"/>
      </w:r>
      <w:r w:rsidRPr="004E66B4">
        <w:rPr>
          <w:rFonts w:ascii="Verdana" w:hAnsi="Verdana"/>
          <w:sz w:val="16"/>
          <w:szCs w:val="16"/>
        </w:rPr>
        <w:t>.</w:t>
      </w:r>
      <w:r>
        <w:rPr>
          <w:rFonts w:ascii="Verdana" w:hAnsi="Verdana"/>
          <w:sz w:val="16"/>
          <w:szCs w:val="16"/>
        </w:rPr>
        <w:t xml:space="preserve"> </w:t>
      </w:r>
    </w:p>
    <w:p w14:paraId="4FADAD4E" w14:textId="77777777" w:rsidR="00F83E8F" w:rsidRPr="004E66B4" w:rsidRDefault="00F83E8F" w:rsidP="00F83E8F">
      <w:pPr>
        <w:widowControl w:val="0"/>
        <w:autoSpaceDE w:val="0"/>
        <w:autoSpaceDN w:val="0"/>
        <w:adjustRightInd w:val="0"/>
        <w:ind w:right="49"/>
        <w:jc w:val="both"/>
        <w:rPr>
          <w:rFonts w:ascii="Verdana" w:hAnsi="Verdana"/>
          <w:sz w:val="20"/>
          <w:szCs w:val="20"/>
        </w:rPr>
      </w:pPr>
    </w:p>
    <w:p w14:paraId="54DE7B73" w14:textId="77777777" w:rsidR="00F83E8F" w:rsidRPr="004E66B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 xml:space="preserve">Como se observa, </w:t>
      </w:r>
      <w:r w:rsidRPr="004E66B4">
        <w:rPr>
          <w:rFonts w:ascii="Verdana" w:hAnsi="Verdana"/>
          <w:sz w:val="20"/>
          <w:szCs w:val="20"/>
        </w:rPr>
        <w:t xml:space="preserve">lo que la Corte IDH </w:t>
      </w:r>
      <w:r>
        <w:rPr>
          <w:rFonts w:ascii="Verdana" w:hAnsi="Verdana"/>
          <w:sz w:val="20"/>
          <w:szCs w:val="20"/>
        </w:rPr>
        <w:t>refleja</w:t>
      </w:r>
      <w:r w:rsidRPr="004E66B4">
        <w:rPr>
          <w:rFonts w:ascii="Verdana" w:hAnsi="Verdana"/>
          <w:sz w:val="20"/>
          <w:szCs w:val="20"/>
        </w:rPr>
        <w:t xml:space="preserve"> con estos pronunciamientos es que tanto los sindicatos como sus representantes</w:t>
      </w:r>
      <w:r>
        <w:rPr>
          <w:rFonts w:ascii="Verdana" w:hAnsi="Verdana"/>
          <w:sz w:val="20"/>
          <w:szCs w:val="20"/>
        </w:rPr>
        <w:t>,</w:t>
      </w:r>
      <w:r w:rsidRPr="004E66B4">
        <w:rPr>
          <w:rFonts w:ascii="Verdana" w:hAnsi="Verdana"/>
          <w:sz w:val="20"/>
          <w:szCs w:val="20"/>
        </w:rPr>
        <w:t xml:space="preserve"> así como las asociaciones de trabajadores como sus representantes, </w:t>
      </w:r>
      <w:r w:rsidRPr="004E66B4">
        <w:rPr>
          <w:rFonts w:ascii="Verdana" w:hAnsi="Verdana"/>
          <w:i/>
          <w:sz w:val="20"/>
          <w:szCs w:val="20"/>
        </w:rPr>
        <w:t>gozan de una protección específica</w:t>
      </w:r>
      <w:r w:rsidRPr="004E66B4">
        <w:rPr>
          <w:rFonts w:ascii="Verdana" w:hAnsi="Verdana"/>
          <w:sz w:val="20"/>
          <w:szCs w:val="20"/>
        </w:rPr>
        <w:t xml:space="preserve"> para el correcto desempeño de sus funciones</w:t>
      </w:r>
      <w:r w:rsidRPr="004E66B4">
        <w:rPr>
          <w:rStyle w:val="FootnoteReference"/>
          <w:szCs w:val="20"/>
        </w:rPr>
        <w:footnoteReference w:id="351"/>
      </w:r>
      <w:r>
        <w:rPr>
          <w:rFonts w:ascii="Verdana" w:hAnsi="Verdana"/>
          <w:sz w:val="20"/>
          <w:szCs w:val="20"/>
        </w:rPr>
        <w:t>,</w:t>
      </w:r>
      <w:r w:rsidRPr="004E66B4">
        <w:rPr>
          <w:rFonts w:ascii="Verdana" w:hAnsi="Verdana"/>
          <w:sz w:val="20"/>
          <w:szCs w:val="20"/>
        </w:rPr>
        <w:t xml:space="preserve"> sin hacer distinción alguna entre uno u otro. Al respecto, la Corte IDH concluyó que: </w:t>
      </w:r>
    </w:p>
    <w:p w14:paraId="7632DD1D"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1859A8C9" w14:textId="77777777" w:rsidR="00F83E8F" w:rsidRPr="004E66B4" w:rsidRDefault="00F83E8F" w:rsidP="00F83E8F">
      <w:pPr>
        <w:pStyle w:val="ListParagraph"/>
        <w:widowControl w:val="0"/>
        <w:autoSpaceDE w:val="0"/>
        <w:autoSpaceDN w:val="0"/>
        <w:adjustRightInd w:val="0"/>
        <w:ind w:left="708" w:right="758"/>
        <w:jc w:val="both"/>
        <w:rPr>
          <w:rFonts w:ascii="Verdana" w:hAnsi="Verdana"/>
          <w:sz w:val="16"/>
          <w:szCs w:val="16"/>
        </w:rPr>
      </w:pPr>
      <w:r w:rsidRPr="004E66B4">
        <w:rPr>
          <w:rFonts w:ascii="Verdana" w:hAnsi="Verdana"/>
          <w:sz w:val="16"/>
          <w:szCs w:val="16"/>
        </w:rPr>
        <w:t xml:space="preserve">158. […] En este sentido, el propio artículo 26 de la Convención Americana que se deriva de las normas económicas, sociales y sobre educación, ciencia y cultura, contenidas en la Carta de la Organización de los Estados Americanos, reconoce el derecho de los empleadores y trabajadores de asociarse libremente para la defensa y promoción de sus intereses, y el Preámbulo la Carta Democrática Interamericana reconoce que el derecho de los trabajadores de asociarse para la defensa y promoción de sus intereses es fundamental para la plena realización de los ideales democráticos. </w:t>
      </w:r>
    </w:p>
    <w:p w14:paraId="42ACD540" w14:textId="77777777" w:rsidR="00F83E8F" w:rsidRPr="004E66B4" w:rsidRDefault="00F83E8F" w:rsidP="00F83E8F">
      <w:pPr>
        <w:ind w:right="758"/>
        <w:contextualSpacing/>
        <w:jc w:val="both"/>
        <w:rPr>
          <w:rFonts w:ascii="Verdana" w:hAnsi="Verdana"/>
          <w:sz w:val="20"/>
          <w:szCs w:val="20"/>
        </w:rPr>
      </w:pPr>
    </w:p>
    <w:p w14:paraId="7B7DD4DC" w14:textId="77777777" w:rsidR="00F83E8F" w:rsidRPr="004E66B4" w:rsidRDefault="00F83E8F" w:rsidP="00F83E8F">
      <w:pPr>
        <w:ind w:left="708" w:right="758"/>
        <w:contextualSpacing/>
        <w:jc w:val="both"/>
        <w:rPr>
          <w:rFonts w:ascii="Verdana" w:hAnsi="Verdana"/>
          <w:sz w:val="16"/>
          <w:szCs w:val="16"/>
        </w:rPr>
      </w:pPr>
      <w:r w:rsidRPr="004E66B4">
        <w:rPr>
          <w:rFonts w:ascii="Verdana" w:hAnsi="Verdana"/>
          <w:sz w:val="16"/>
          <w:szCs w:val="16"/>
        </w:rPr>
        <w:t>163. En vista de lo anterior, esta Corte concluye que el Estado es responsable por la violación del artículo 16.1 y 26 en relación con los artículos 1.1, 13 y 8 de la Convención Americana, en perjuicio de Alfredo Lagos del Campo</w:t>
      </w:r>
      <w:r>
        <w:rPr>
          <w:rStyle w:val="FootnoteReference"/>
          <w:sz w:val="16"/>
          <w:szCs w:val="16"/>
        </w:rPr>
        <w:footnoteReference w:id="352"/>
      </w:r>
      <w:r w:rsidRPr="004E66B4">
        <w:rPr>
          <w:rFonts w:ascii="Verdana" w:hAnsi="Verdana"/>
          <w:sz w:val="16"/>
          <w:szCs w:val="16"/>
        </w:rPr>
        <w:t>.</w:t>
      </w:r>
    </w:p>
    <w:p w14:paraId="255BE93F" w14:textId="77777777" w:rsidR="00F83E8F" w:rsidRPr="004E66B4" w:rsidRDefault="00F83E8F" w:rsidP="00F83E8F">
      <w:pPr>
        <w:pStyle w:val="ListParagraph"/>
        <w:widowControl w:val="0"/>
        <w:autoSpaceDE w:val="0"/>
        <w:autoSpaceDN w:val="0"/>
        <w:adjustRightInd w:val="0"/>
        <w:ind w:left="0" w:right="49"/>
        <w:jc w:val="both"/>
        <w:rPr>
          <w:rFonts w:ascii="Verdana" w:hAnsi="Verdana"/>
          <w:sz w:val="20"/>
          <w:szCs w:val="20"/>
        </w:rPr>
      </w:pPr>
    </w:p>
    <w:p w14:paraId="520FC9F6" w14:textId="77777777" w:rsidR="00F83E8F"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4E66B4">
        <w:rPr>
          <w:rFonts w:ascii="Verdana" w:hAnsi="Verdana"/>
          <w:sz w:val="20"/>
          <w:szCs w:val="20"/>
        </w:rPr>
        <w:t>En este s</w:t>
      </w:r>
      <w:r>
        <w:rPr>
          <w:rFonts w:ascii="Verdana" w:hAnsi="Verdana"/>
          <w:sz w:val="20"/>
          <w:szCs w:val="20"/>
        </w:rPr>
        <w:t xml:space="preserve">entido, no se </w:t>
      </w:r>
      <w:r w:rsidRPr="004E66B4">
        <w:rPr>
          <w:rFonts w:ascii="Verdana" w:hAnsi="Verdana"/>
          <w:sz w:val="20"/>
          <w:szCs w:val="20"/>
        </w:rPr>
        <w:t>pretende establecer que el artículo 8.1.a</w:t>
      </w:r>
      <w:r>
        <w:rPr>
          <w:rFonts w:ascii="Verdana" w:hAnsi="Verdana"/>
          <w:sz w:val="20"/>
          <w:szCs w:val="20"/>
        </w:rPr>
        <w:t xml:space="preserve"> del Protocolo de San Salvador</w:t>
      </w:r>
      <w:r w:rsidRPr="004E66B4">
        <w:rPr>
          <w:rFonts w:ascii="Verdana" w:hAnsi="Verdana"/>
          <w:sz w:val="20"/>
          <w:szCs w:val="20"/>
        </w:rPr>
        <w:t xml:space="preserve"> le sea aplicable</w:t>
      </w:r>
      <w:r>
        <w:rPr>
          <w:rFonts w:ascii="Verdana" w:hAnsi="Verdana"/>
          <w:sz w:val="20"/>
          <w:szCs w:val="20"/>
        </w:rPr>
        <w:t>,</w:t>
      </w:r>
      <w:r w:rsidRPr="004E66B4">
        <w:rPr>
          <w:rFonts w:ascii="Verdana" w:hAnsi="Verdana"/>
          <w:sz w:val="20"/>
          <w:szCs w:val="20"/>
        </w:rPr>
        <w:t xml:space="preserve"> mediante el artículo 19.6 </w:t>
      </w:r>
      <w:r>
        <w:rPr>
          <w:rFonts w:ascii="Verdana" w:hAnsi="Verdana"/>
          <w:sz w:val="20"/>
          <w:szCs w:val="20"/>
        </w:rPr>
        <w:t xml:space="preserve">de la Convención Americana, </w:t>
      </w:r>
      <w:r w:rsidRPr="004E66B4">
        <w:rPr>
          <w:rFonts w:ascii="Verdana" w:hAnsi="Verdana"/>
          <w:sz w:val="20"/>
          <w:szCs w:val="20"/>
        </w:rPr>
        <w:t>a la situa</w:t>
      </w:r>
      <w:r>
        <w:rPr>
          <w:rFonts w:ascii="Verdana" w:hAnsi="Verdana"/>
          <w:sz w:val="20"/>
          <w:szCs w:val="20"/>
        </w:rPr>
        <w:t>ción del señor Lagos del Campos. Lo anterior se debe a que</w:t>
      </w:r>
      <w:r w:rsidRPr="004E66B4">
        <w:rPr>
          <w:rFonts w:ascii="Verdana" w:hAnsi="Verdana"/>
          <w:sz w:val="20"/>
          <w:szCs w:val="20"/>
        </w:rPr>
        <w:t xml:space="preserve"> no se trata de un representante sindical que actuaba en la defensa legítima de los intereses de los sindicalistas</w:t>
      </w:r>
      <w:r>
        <w:rPr>
          <w:rFonts w:ascii="Verdana" w:hAnsi="Verdana"/>
          <w:sz w:val="20"/>
          <w:szCs w:val="20"/>
        </w:rPr>
        <w:t>.</w:t>
      </w:r>
      <w:r w:rsidRPr="004E66B4">
        <w:rPr>
          <w:rFonts w:ascii="Verdana" w:hAnsi="Verdana"/>
          <w:sz w:val="20"/>
          <w:szCs w:val="20"/>
        </w:rPr>
        <w:t xml:space="preserve"> </w:t>
      </w:r>
      <w:r>
        <w:rPr>
          <w:rFonts w:ascii="Verdana" w:hAnsi="Verdana"/>
          <w:sz w:val="20"/>
          <w:szCs w:val="20"/>
        </w:rPr>
        <w:t>P</w:t>
      </w:r>
      <w:r w:rsidRPr="004E66B4">
        <w:rPr>
          <w:rFonts w:ascii="Verdana" w:hAnsi="Verdana"/>
          <w:sz w:val="20"/>
          <w:szCs w:val="20"/>
        </w:rPr>
        <w:t xml:space="preserve">or el contrario, la situación del señor Lagos del Campo se enmarcaba dentro de la protección que las asociaciones laborales y sus representantes tienen </w:t>
      </w:r>
      <w:r>
        <w:rPr>
          <w:rFonts w:ascii="Verdana" w:hAnsi="Verdana"/>
          <w:i/>
          <w:sz w:val="20"/>
          <w:szCs w:val="20"/>
        </w:rPr>
        <w:t>para asociarse, que au</w:t>
      </w:r>
      <w:r w:rsidRPr="004E66B4">
        <w:rPr>
          <w:rFonts w:ascii="Verdana" w:hAnsi="Verdana"/>
          <w:i/>
          <w:sz w:val="20"/>
          <w:szCs w:val="20"/>
        </w:rPr>
        <w:t xml:space="preserve">n cuando tengan una naturaleza </w:t>
      </w:r>
      <w:r w:rsidRPr="004E66B4">
        <w:rPr>
          <w:rFonts w:ascii="Verdana" w:hAnsi="Verdana"/>
          <w:i/>
          <w:sz w:val="20"/>
          <w:szCs w:val="20"/>
        </w:rPr>
        <w:lastRenderedPageBreak/>
        <w:t>distinta a la de los sindicatos, persigan intereses y derechos legítimos de los trabajadores</w:t>
      </w:r>
      <w:r w:rsidRPr="004E66B4">
        <w:rPr>
          <w:rStyle w:val="FootnoteReference"/>
          <w:i/>
          <w:szCs w:val="20"/>
        </w:rPr>
        <w:footnoteReference w:id="353"/>
      </w:r>
      <w:r>
        <w:rPr>
          <w:rFonts w:ascii="Verdana" w:hAnsi="Verdana"/>
          <w:sz w:val="20"/>
          <w:szCs w:val="20"/>
        </w:rPr>
        <w:t>;</w:t>
      </w:r>
      <w:r w:rsidRPr="004E66B4">
        <w:rPr>
          <w:rFonts w:ascii="Verdana" w:hAnsi="Verdana"/>
          <w:sz w:val="20"/>
          <w:szCs w:val="20"/>
        </w:rPr>
        <w:t xml:space="preserve"> protección que no se encuentra en el Protocolo de San Salvador en el artículo concerniente a la materia laboral (artículo 6 del Protocolo de San Salvador)</w:t>
      </w:r>
      <w:r w:rsidRPr="004E66B4">
        <w:rPr>
          <w:rStyle w:val="FootnoteReference"/>
          <w:szCs w:val="20"/>
        </w:rPr>
        <w:footnoteReference w:id="354"/>
      </w:r>
      <w:r w:rsidRPr="004E66B4">
        <w:rPr>
          <w:rFonts w:ascii="Verdana" w:hAnsi="Verdana"/>
          <w:sz w:val="20"/>
          <w:szCs w:val="20"/>
        </w:rPr>
        <w:t>, sino que éste se encuentra contemplado de manera expresa en el artículo 45 inciso c)</w:t>
      </w:r>
      <w:r>
        <w:rPr>
          <w:rFonts w:ascii="Verdana" w:hAnsi="Verdana"/>
          <w:sz w:val="20"/>
          <w:szCs w:val="20"/>
        </w:rPr>
        <w:t>,</w:t>
      </w:r>
      <w:r w:rsidRPr="004E66B4">
        <w:rPr>
          <w:rFonts w:ascii="Verdana" w:hAnsi="Verdana"/>
          <w:sz w:val="20"/>
          <w:szCs w:val="20"/>
        </w:rPr>
        <w:t xml:space="preserve"> de la Carta </w:t>
      </w:r>
      <w:r>
        <w:rPr>
          <w:rFonts w:ascii="Verdana" w:hAnsi="Verdana"/>
          <w:sz w:val="20"/>
          <w:szCs w:val="20"/>
        </w:rPr>
        <w:t xml:space="preserve">OEA. </w:t>
      </w:r>
    </w:p>
    <w:p w14:paraId="42C3C56C" w14:textId="77777777" w:rsidR="00F83E8F" w:rsidRDefault="00F83E8F" w:rsidP="00F83E8F">
      <w:pPr>
        <w:pStyle w:val="ListParagraph"/>
        <w:widowControl w:val="0"/>
        <w:autoSpaceDE w:val="0"/>
        <w:autoSpaceDN w:val="0"/>
        <w:adjustRightInd w:val="0"/>
        <w:ind w:left="0" w:right="49"/>
        <w:jc w:val="both"/>
        <w:rPr>
          <w:rFonts w:ascii="Verdana" w:hAnsi="Verdana"/>
          <w:sz w:val="20"/>
          <w:szCs w:val="20"/>
        </w:rPr>
      </w:pPr>
    </w:p>
    <w:p w14:paraId="6B799F04" w14:textId="77777777" w:rsidR="00F83E8F"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 xml:space="preserve">En un ejercicio comparativo entre el artículo 8.1.a del Protocolo de San Salvador y el artículo 45 inciso c) de la Carta de la OEA, podemos arribar a algunas precisiones que resultan fundamentales para comprender el alcance del derecho de asociación laboral para la defensa y promoción de los intereses de los trabajadores en el presente caso: </w:t>
      </w:r>
    </w:p>
    <w:p w14:paraId="33D6540A" w14:textId="77777777" w:rsidR="00F83E8F" w:rsidRPr="00AE10A0" w:rsidRDefault="00F83E8F" w:rsidP="00F83E8F">
      <w:pPr>
        <w:pStyle w:val="ListParagraph"/>
        <w:widowControl w:val="0"/>
        <w:autoSpaceDE w:val="0"/>
        <w:autoSpaceDN w:val="0"/>
        <w:adjustRightInd w:val="0"/>
        <w:ind w:left="0" w:right="49"/>
        <w:jc w:val="both"/>
        <w:rPr>
          <w:rFonts w:ascii="Verdana" w:hAnsi="Verdana"/>
          <w:sz w:val="20"/>
          <w:szCs w:val="20"/>
        </w:rPr>
      </w:pPr>
    </w:p>
    <w:p w14:paraId="4062D993" w14:textId="77777777" w:rsidR="00F83E8F" w:rsidRPr="004E66B4" w:rsidRDefault="00F83E8F" w:rsidP="00F83E8F">
      <w:pPr>
        <w:pStyle w:val="ListParagraph"/>
        <w:ind w:left="360" w:right="758"/>
        <w:jc w:val="center"/>
        <w:rPr>
          <w:rFonts w:ascii="Verdana" w:hAnsi="Verdana"/>
          <w:b/>
          <w:sz w:val="16"/>
          <w:szCs w:val="16"/>
        </w:rPr>
      </w:pPr>
      <w:r>
        <w:rPr>
          <w:rFonts w:ascii="Verdana" w:hAnsi="Verdana"/>
          <w:b/>
          <w:sz w:val="16"/>
          <w:szCs w:val="16"/>
        </w:rPr>
        <w:t xml:space="preserve">45. c) </w:t>
      </w:r>
      <w:r w:rsidRPr="004E66B4">
        <w:rPr>
          <w:rFonts w:ascii="Verdana" w:hAnsi="Verdana"/>
          <w:b/>
          <w:sz w:val="16"/>
          <w:szCs w:val="16"/>
        </w:rPr>
        <w:t xml:space="preserve"> Carta de la OEA</w:t>
      </w:r>
    </w:p>
    <w:p w14:paraId="2B41C35B" w14:textId="77777777" w:rsidR="00F83E8F" w:rsidRPr="004E66B4" w:rsidRDefault="00F83E8F" w:rsidP="00F83E8F">
      <w:pPr>
        <w:pStyle w:val="ListParagraph"/>
        <w:ind w:left="360" w:right="758"/>
        <w:jc w:val="both"/>
        <w:rPr>
          <w:rFonts w:ascii="Verdana" w:hAnsi="Verdana"/>
          <w:b/>
          <w:sz w:val="16"/>
          <w:szCs w:val="16"/>
        </w:rPr>
      </w:pPr>
    </w:p>
    <w:p w14:paraId="14F04391" w14:textId="77777777" w:rsidR="00F83E8F" w:rsidRPr="004E66B4" w:rsidRDefault="00F83E8F" w:rsidP="00F83E8F">
      <w:pPr>
        <w:pStyle w:val="ListParagraph"/>
        <w:tabs>
          <w:tab w:val="left" w:pos="8080"/>
        </w:tabs>
        <w:ind w:left="709" w:right="758"/>
        <w:jc w:val="both"/>
        <w:rPr>
          <w:rFonts w:ascii="Verdana" w:hAnsi="Verdana"/>
          <w:sz w:val="16"/>
          <w:szCs w:val="16"/>
        </w:rPr>
      </w:pPr>
      <w:r w:rsidRPr="004E66B4">
        <w:rPr>
          <w:rFonts w:ascii="Verdana" w:hAnsi="Verdana"/>
          <w:b/>
          <w:sz w:val="16"/>
          <w:szCs w:val="16"/>
        </w:rPr>
        <w:t>Los empleadores y los trabajadores,</w:t>
      </w:r>
      <w:r w:rsidRPr="004E66B4">
        <w:rPr>
          <w:rFonts w:ascii="Verdana" w:hAnsi="Verdana"/>
          <w:sz w:val="16"/>
          <w:szCs w:val="16"/>
        </w:rPr>
        <w:t xml:space="preserve"> tanto rurales como urbanos, </w:t>
      </w:r>
      <w:r w:rsidRPr="00B05C28">
        <w:rPr>
          <w:rFonts w:ascii="Verdana" w:hAnsi="Verdana"/>
          <w:b/>
          <w:sz w:val="16"/>
          <w:szCs w:val="16"/>
        </w:rPr>
        <w:t>tienen el derecho de asociarse libremente para la defensa y promoción de sus intereses</w:t>
      </w:r>
      <w:r w:rsidRPr="004E66B4">
        <w:rPr>
          <w:rFonts w:ascii="Verdana" w:hAnsi="Verdana"/>
          <w:b/>
          <w:sz w:val="16"/>
          <w:szCs w:val="16"/>
        </w:rPr>
        <w:t>,</w:t>
      </w:r>
      <w:r w:rsidRPr="004E66B4">
        <w:rPr>
          <w:rFonts w:ascii="Verdana" w:hAnsi="Verdana"/>
          <w:sz w:val="16"/>
          <w:szCs w:val="16"/>
        </w:rPr>
        <w:t xml:space="preserve"> incluyendo el derecho de negociación colectiva y el de huelga por parte de los trabajadores, el reconocimiento de la personería jurídica de las asociaciones y la protección de su libertad e independencia, todo de conformidad con la legislación respectiva.</w:t>
      </w:r>
    </w:p>
    <w:p w14:paraId="605CCC6B" w14:textId="77777777" w:rsidR="00F83E8F" w:rsidRPr="004E66B4" w:rsidRDefault="00F83E8F" w:rsidP="00F83E8F">
      <w:pPr>
        <w:widowControl w:val="0"/>
        <w:autoSpaceDE w:val="0"/>
        <w:autoSpaceDN w:val="0"/>
        <w:adjustRightInd w:val="0"/>
        <w:ind w:right="49"/>
        <w:jc w:val="both"/>
        <w:rPr>
          <w:rFonts w:ascii="Verdana" w:hAnsi="Verdana"/>
          <w:sz w:val="20"/>
          <w:szCs w:val="20"/>
        </w:rPr>
      </w:pPr>
    </w:p>
    <w:p w14:paraId="631B0E4B" w14:textId="77777777" w:rsidR="00F83E8F" w:rsidRPr="004E66B4" w:rsidRDefault="00F83E8F" w:rsidP="00F83E8F">
      <w:pPr>
        <w:ind w:right="758" w:firstLine="708"/>
        <w:jc w:val="center"/>
        <w:rPr>
          <w:rFonts w:ascii="Verdana" w:hAnsi="Verdana"/>
          <w:b/>
          <w:sz w:val="16"/>
          <w:szCs w:val="16"/>
        </w:rPr>
      </w:pPr>
      <w:r w:rsidRPr="004E66B4">
        <w:rPr>
          <w:rFonts w:ascii="Verdana" w:hAnsi="Verdana"/>
          <w:b/>
          <w:sz w:val="16"/>
          <w:szCs w:val="16"/>
        </w:rPr>
        <w:t>8.1</w:t>
      </w:r>
      <w:proofErr w:type="gramStart"/>
      <w:r w:rsidRPr="004E66B4">
        <w:rPr>
          <w:rFonts w:ascii="Verdana" w:hAnsi="Verdana"/>
          <w:b/>
          <w:sz w:val="16"/>
          <w:szCs w:val="16"/>
        </w:rPr>
        <w:t>.a</w:t>
      </w:r>
      <w:proofErr w:type="gramEnd"/>
      <w:r w:rsidRPr="004E66B4">
        <w:rPr>
          <w:rFonts w:ascii="Verdana" w:hAnsi="Verdana"/>
          <w:b/>
          <w:sz w:val="16"/>
          <w:szCs w:val="16"/>
        </w:rPr>
        <w:t xml:space="preserve"> Derechos Sindicales del Protocolo de San Salvador</w:t>
      </w:r>
    </w:p>
    <w:p w14:paraId="200042E4" w14:textId="77777777" w:rsidR="00F83E8F" w:rsidRPr="004E66B4" w:rsidRDefault="00F83E8F" w:rsidP="00F83E8F">
      <w:pPr>
        <w:ind w:right="758" w:firstLine="708"/>
        <w:jc w:val="center"/>
        <w:rPr>
          <w:rFonts w:ascii="Verdana" w:hAnsi="Verdana"/>
          <w:b/>
          <w:sz w:val="16"/>
          <w:szCs w:val="16"/>
        </w:rPr>
      </w:pPr>
    </w:p>
    <w:p w14:paraId="4512F108" w14:textId="77777777" w:rsidR="00F83E8F" w:rsidRPr="004E66B4" w:rsidRDefault="00F83E8F" w:rsidP="00F83E8F">
      <w:pPr>
        <w:widowControl w:val="0"/>
        <w:autoSpaceDE w:val="0"/>
        <w:autoSpaceDN w:val="0"/>
        <w:adjustRightInd w:val="0"/>
        <w:ind w:left="708" w:right="758"/>
        <w:jc w:val="both"/>
        <w:rPr>
          <w:rFonts w:ascii="Verdana" w:hAnsi="Verdana"/>
          <w:sz w:val="16"/>
          <w:szCs w:val="16"/>
        </w:rPr>
      </w:pPr>
      <w:r w:rsidRPr="004E66B4">
        <w:rPr>
          <w:rFonts w:ascii="Verdana" w:hAnsi="Verdana"/>
          <w:sz w:val="16"/>
          <w:szCs w:val="16"/>
        </w:rPr>
        <w:t>1. Los Estados partes garantizarán: a</w:t>
      </w:r>
      <w:r w:rsidRPr="004E66B4">
        <w:rPr>
          <w:rFonts w:ascii="Verdana" w:hAnsi="Verdana"/>
          <w:b/>
          <w:sz w:val="16"/>
          <w:szCs w:val="16"/>
        </w:rPr>
        <w:t>. el derecho de los trabajadores a organizar sindicatos y a afiliarse al de su elección, para la protección y promoción de sus intereses.</w:t>
      </w:r>
      <w:r w:rsidRPr="004E66B4">
        <w:rPr>
          <w:rFonts w:ascii="Verdana" w:hAnsi="Verdana"/>
          <w:sz w:val="16"/>
          <w:szCs w:val="16"/>
        </w:rPr>
        <w:t xml:space="preserve">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w:t>
      </w:r>
    </w:p>
    <w:p w14:paraId="02B58F56" w14:textId="77777777" w:rsidR="00F83E8F" w:rsidRPr="004E66B4" w:rsidRDefault="00F83E8F" w:rsidP="00F83E8F">
      <w:pPr>
        <w:widowControl w:val="0"/>
        <w:autoSpaceDE w:val="0"/>
        <w:autoSpaceDN w:val="0"/>
        <w:adjustRightInd w:val="0"/>
        <w:ind w:right="49"/>
        <w:jc w:val="both"/>
        <w:rPr>
          <w:rFonts w:ascii="Verdana" w:hAnsi="Verdana"/>
          <w:sz w:val="20"/>
          <w:szCs w:val="20"/>
        </w:rPr>
      </w:pPr>
    </w:p>
    <w:p w14:paraId="0A48780A" w14:textId="77777777" w:rsidR="00F83E8F" w:rsidRPr="00BF1E46"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D</w:t>
      </w:r>
      <w:r w:rsidRPr="004E66B4">
        <w:rPr>
          <w:rFonts w:ascii="Verdana" w:hAnsi="Verdana"/>
          <w:sz w:val="20"/>
          <w:szCs w:val="20"/>
        </w:rPr>
        <w:t>e la lectura entre el artículo 8.1</w:t>
      </w:r>
      <w:r>
        <w:rPr>
          <w:rFonts w:ascii="Verdana" w:hAnsi="Verdana"/>
          <w:sz w:val="20"/>
          <w:szCs w:val="20"/>
        </w:rPr>
        <w:t>.</w:t>
      </w:r>
      <w:r w:rsidRPr="004E66B4">
        <w:rPr>
          <w:rFonts w:ascii="Verdana" w:hAnsi="Verdana"/>
          <w:sz w:val="20"/>
          <w:szCs w:val="20"/>
        </w:rPr>
        <w:t>a</w:t>
      </w:r>
      <w:r>
        <w:rPr>
          <w:rFonts w:ascii="Verdana" w:hAnsi="Verdana"/>
          <w:sz w:val="20"/>
          <w:szCs w:val="20"/>
        </w:rPr>
        <w:t xml:space="preserve"> del Protocolo de San Salvador</w:t>
      </w:r>
      <w:r w:rsidRPr="004E66B4">
        <w:rPr>
          <w:rFonts w:ascii="Verdana" w:hAnsi="Verdana"/>
          <w:sz w:val="20"/>
          <w:szCs w:val="20"/>
        </w:rPr>
        <w:t xml:space="preserve"> y el artículo 45 inciso c) de la Carta de la OEA</w:t>
      </w:r>
      <w:r>
        <w:rPr>
          <w:rFonts w:ascii="Verdana" w:hAnsi="Verdana"/>
          <w:sz w:val="20"/>
          <w:szCs w:val="20"/>
        </w:rPr>
        <w:t>, se aprecia que</w:t>
      </w:r>
      <w:r w:rsidRPr="004E66B4">
        <w:rPr>
          <w:rFonts w:ascii="Verdana" w:hAnsi="Verdana"/>
          <w:sz w:val="20"/>
          <w:szCs w:val="20"/>
        </w:rPr>
        <w:t xml:space="preserve"> </w:t>
      </w:r>
      <w:r w:rsidRPr="00BF1E46">
        <w:rPr>
          <w:rFonts w:ascii="Verdana" w:hAnsi="Verdana"/>
          <w:sz w:val="20"/>
          <w:szCs w:val="20"/>
        </w:rPr>
        <w:t xml:space="preserve">la diferencia estriba en quién es el titular </w:t>
      </w:r>
      <w:r w:rsidRPr="00BF1E46">
        <w:rPr>
          <w:rFonts w:ascii="Verdana" w:hAnsi="Verdana"/>
          <w:i/>
          <w:sz w:val="20"/>
          <w:szCs w:val="20"/>
        </w:rPr>
        <w:t xml:space="preserve">del derecho de asociación para </w:t>
      </w:r>
      <w:r>
        <w:rPr>
          <w:rFonts w:ascii="Verdana" w:hAnsi="Verdana"/>
          <w:i/>
          <w:sz w:val="20"/>
          <w:szCs w:val="20"/>
        </w:rPr>
        <w:t xml:space="preserve">la </w:t>
      </w:r>
      <w:r w:rsidRPr="00BF1E46">
        <w:rPr>
          <w:rFonts w:ascii="Verdana" w:hAnsi="Verdana"/>
          <w:i/>
          <w:sz w:val="20"/>
          <w:szCs w:val="20"/>
        </w:rPr>
        <w:t>protección/defensa y promoción  de sus intereses</w:t>
      </w:r>
      <w:r w:rsidRPr="00BF1E46">
        <w:rPr>
          <w:rFonts w:ascii="Verdana" w:hAnsi="Verdana"/>
          <w:sz w:val="20"/>
          <w:szCs w:val="20"/>
        </w:rPr>
        <w:t xml:space="preserve"> reconocido en ambos instrumentos</w:t>
      </w:r>
      <w:r>
        <w:rPr>
          <w:rFonts w:ascii="Verdana" w:hAnsi="Verdana"/>
          <w:sz w:val="20"/>
          <w:szCs w:val="20"/>
        </w:rPr>
        <w:t>. E</w:t>
      </w:r>
      <w:r w:rsidRPr="00BF1E46">
        <w:rPr>
          <w:rFonts w:ascii="Verdana" w:hAnsi="Verdana"/>
          <w:sz w:val="20"/>
          <w:szCs w:val="20"/>
        </w:rPr>
        <w:t xml:space="preserve">s decir, mientras que el primero se lo reconoce a </w:t>
      </w:r>
      <w:r>
        <w:rPr>
          <w:rFonts w:ascii="Verdana" w:hAnsi="Verdana"/>
          <w:sz w:val="20"/>
          <w:szCs w:val="20"/>
        </w:rPr>
        <w:t>los sindicatos (de manera especí</w:t>
      </w:r>
      <w:r w:rsidRPr="00BF1E46">
        <w:rPr>
          <w:rFonts w:ascii="Verdana" w:hAnsi="Verdana"/>
          <w:sz w:val="20"/>
          <w:szCs w:val="20"/>
        </w:rPr>
        <w:t>fica)</w:t>
      </w:r>
      <w:r>
        <w:rPr>
          <w:rFonts w:ascii="Verdana" w:hAnsi="Verdana"/>
          <w:sz w:val="20"/>
          <w:szCs w:val="20"/>
        </w:rPr>
        <w:t>,</w:t>
      </w:r>
      <w:r w:rsidRPr="00BF1E46">
        <w:rPr>
          <w:rFonts w:ascii="Verdana" w:hAnsi="Verdana"/>
          <w:sz w:val="20"/>
          <w:szCs w:val="20"/>
        </w:rPr>
        <w:t xml:space="preserve"> el segundo lo hace de manera más general a las asociaciones de trabajadores sin condicionar a que sean o estén conformados como sindicatos. </w:t>
      </w:r>
    </w:p>
    <w:p w14:paraId="1931C80B" w14:textId="77777777" w:rsidR="00F83E8F" w:rsidRPr="004E66B4" w:rsidRDefault="00F83E8F" w:rsidP="00F83E8F">
      <w:pPr>
        <w:widowControl w:val="0"/>
        <w:autoSpaceDE w:val="0"/>
        <w:autoSpaceDN w:val="0"/>
        <w:adjustRightInd w:val="0"/>
        <w:ind w:right="49"/>
        <w:jc w:val="both"/>
        <w:rPr>
          <w:rFonts w:ascii="Verdana" w:hAnsi="Verdana"/>
          <w:sz w:val="20"/>
          <w:szCs w:val="20"/>
        </w:rPr>
      </w:pPr>
    </w:p>
    <w:p w14:paraId="25D3FF24" w14:textId="77777777" w:rsidR="00F83E8F" w:rsidRPr="00D36B44"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Así también, la Corte IDH al declarar violado</w:t>
      </w:r>
      <w:r w:rsidRPr="004E66B4">
        <w:rPr>
          <w:rFonts w:ascii="Verdana" w:hAnsi="Verdana"/>
          <w:sz w:val="20"/>
          <w:szCs w:val="20"/>
        </w:rPr>
        <w:t xml:space="preserve"> el artículo 26</w:t>
      </w:r>
      <w:r>
        <w:rPr>
          <w:rFonts w:ascii="Verdana" w:hAnsi="Verdana"/>
          <w:sz w:val="20"/>
          <w:szCs w:val="20"/>
        </w:rPr>
        <w:t xml:space="preserve"> de la Convención Americana, concluye</w:t>
      </w:r>
      <w:r w:rsidRPr="004E66B4">
        <w:rPr>
          <w:rFonts w:ascii="Verdana" w:hAnsi="Verdana"/>
          <w:sz w:val="20"/>
          <w:szCs w:val="20"/>
        </w:rPr>
        <w:t xml:space="preserve"> que el derecho </w:t>
      </w:r>
      <w:r>
        <w:rPr>
          <w:rFonts w:ascii="Verdana" w:hAnsi="Verdana"/>
          <w:i/>
          <w:sz w:val="20"/>
          <w:szCs w:val="20"/>
        </w:rPr>
        <w:t>de defensa y promoción de</w:t>
      </w:r>
      <w:r w:rsidRPr="004E66B4">
        <w:rPr>
          <w:rFonts w:ascii="Verdana" w:hAnsi="Verdana"/>
          <w:i/>
          <w:sz w:val="20"/>
          <w:szCs w:val="20"/>
        </w:rPr>
        <w:t xml:space="preserve"> intereses de los trabajadores mediante la </w:t>
      </w:r>
      <w:r w:rsidRPr="00B448A4">
        <w:rPr>
          <w:rFonts w:ascii="Verdana" w:hAnsi="Verdana"/>
          <w:i/>
          <w:sz w:val="20"/>
          <w:szCs w:val="20"/>
          <w:u w:val="single"/>
        </w:rPr>
        <w:t>asociación</w:t>
      </w:r>
      <w:r>
        <w:rPr>
          <w:rFonts w:ascii="Verdana" w:hAnsi="Verdana"/>
          <w:i/>
          <w:sz w:val="20"/>
          <w:szCs w:val="20"/>
        </w:rPr>
        <w:t>,</w:t>
      </w:r>
      <w:r>
        <w:rPr>
          <w:rFonts w:ascii="Verdana" w:hAnsi="Verdana"/>
          <w:sz w:val="20"/>
          <w:szCs w:val="20"/>
        </w:rPr>
        <w:t xml:space="preserve"> puede ser válidamente exigible (derivado del mandato convencional), a través del artículo 26 del Pacto de San José; pues tal como</w:t>
      </w:r>
      <w:r w:rsidRPr="004E66B4">
        <w:rPr>
          <w:rFonts w:ascii="Verdana" w:hAnsi="Verdana"/>
          <w:sz w:val="20"/>
          <w:szCs w:val="20"/>
        </w:rPr>
        <w:t xml:space="preserve"> lo ha referido la Sentencia</w:t>
      </w:r>
      <w:r>
        <w:rPr>
          <w:rFonts w:ascii="Verdana" w:hAnsi="Verdana"/>
          <w:sz w:val="20"/>
          <w:szCs w:val="20"/>
        </w:rPr>
        <w:t>,</w:t>
      </w:r>
      <w:r w:rsidRPr="004E66B4">
        <w:rPr>
          <w:rFonts w:ascii="Verdana" w:hAnsi="Verdana"/>
          <w:sz w:val="20"/>
          <w:szCs w:val="20"/>
        </w:rPr>
        <w:t xml:space="preserve"> entre representantes de sindicatos y representantes de asociaciones laborales no hay diferencia alguna</w:t>
      </w:r>
      <w:r>
        <w:rPr>
          <w:rFonts w:ascii="Verdana" w:hAnsi="Verdana"/>
          <w:sz w:val="20"/>
          <w:szCs w:val="20"/>
        </w:rPr>
        <w:t xml:space="preserve">. </w:t>
      </w:r>
      <w:r w:rsidRPr="00D36B44">
        <w:rPr>
          <w:rFonts w:ascii="Verdana" w:hAnsi="Verdana"/>
          <w:sz w:val="20"/>
          <w:szCs w:val="20"/>
        </w:rPr>
        <w:t xml:space="preserve">Así, mientras que la asociación sindical para la defensa de los intereses puede ser invocada vía protocolo de San Salvador (8.1.a), de no haberse hecho justiciable vía </w:t>
      </w:r>
      <w:r>
        <w:rPr>
          <w:rFonts w:ascii="Verdana" w:hAnsi="Verdana"/>
          <w:sz w:val="20"/>
          <w:szCs w:val="20"/>
        </w:rPr>
        <w:t xml:space="preserve">artículo </w:t>
      </w:r>
      <w:r w:rsidRPr="00D36B44">
        <w:rPr>
          <w:rFonts w:ascii="Verdana" w:hAnsi="Verdana"/>
          <w:sz w:val="20"/>
          <w:szCs w:val="20"/>
        </w:rPr>
        <w:t>26</w:t>
      </w:r>
      <w:r>
        <w:rPr>
          <w:rFonts w:ascii="Verdana" w:hAnsi="Verdana"/>
          <w:sz w:val="20"/>
          <w:szCs w:val="20"/>
        </w:rPr>
        <w:t xml:space="preserve"> de la Convención Americana,</w:t>
      </w:r>
      <w:r w:rsidRPr="00D36B44">
        <w:rPr>
          <w:rFonts w:ascii="Verdana" w:hAnsi="Verdana"/>
          <w:sz w:val="20"/>
          <w:szCs w:val="20"/>
        </w:rPr>
        <w:t xml:space="preserve"> el derecho de “asociación laboral para la defensa de s</w:t>
      </w:r>
      <w:r>
        <w:rPr>
          <w:rFonts w:ascii="Verdana" w:hAnsi="Verdana"/>
          <w:sz w:val="20"/>
          <w:szCs w:val="20"/>
        </w:rPr>
        <w:t>us intereses” hubiera tenido</w:t>
      </w:r>
      <w:r w:rsidRPr="00D36B44">
        <w:rPr>
          <w:rFonts w:ascii="Verdana" w:hAnsi="Verdana"/>
          <w:sz w:val="20"/>
          <w:szCs w:val="20"/>
        </w:rPr>
        <w:t xml:space="preserve"> el riesgo de dejar sin protección internacional a personas que también merecen la protección por esta vertiente </w:t>
      </w:r>
      <w:r>
        <w:rPr>
          <w:rFonts w:ascii="Verdana" w:hAnsi="Verdana"/>
          <w:sz w:val="20"/>
          <w:szCs w:val="20"/>
        </w:rPr>
        <w:t>en contextos laborales</w:t>
      </w:r>
      <w:r w:rsidRPr="008D2569">
        <w:rPr>
          <w:rStyle w:val="FootnoteReference"/>
          <w:szCs w:val="20"/>
        </w:rPr>
        <w:footnoteReference w:id="355"/>
      </w:r>
      <w:r w:rsidRPr="008D2569">
        <w:rPr>
          <w:rFonts w:ascii="Verdana" w:hAnsi="Verdana"/>
          <w:sz w:val="20"/>
          <w:szCs w:val="20"/>
        </w:rPr>
        <w:t>.</w:t>
      </w:r>
      <w:r w:rsidRPr="00D36B44">
        <w:rPr>
          <w:rFonts w:ascii="Verdana" w:hAnsi="Verdana"/>
          <w:sz w:val="20"/>
          <w:szCs w:val="20"/>
        </w:rPr>
        <w:t xml:space="preserve"> </w:t>
      </w:r>
    </w:p>
    <w:p w14:paraId="50EFD8AA" w14:textId="77777777" w:rsidR="00F83E8F" w:rsidRPr="004E66B4" w:rsidRDefault="00F83E8F" w:rsidP="00F83E8F">
      <w:pPr>
        <w:widowControl w:val="0"/>
        <w:autoSpaceDE w:val="0"/>
        <w:autoSpaceDN w:val="0"/>
        <w:adjustRightInd w:val="0"/>
        <w:ind w:right="49"/>
        <w:jc w:val="both"/>
        <w:rPr>
          <w:rFonts w:ascii="Verdana" w:hAnsi="Verdana"/>
          <w:sz w:val="20"/>
          <w:szCs w:val="20"/>
        </w:rPr>
      </w:pPr>
    </w:p>
    <w:p w14:paraId="1C57C604" w14:textId="77777777" w:rsidR="00F83E8F"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sidRPr="004E66B4">
        <w:rPr>
          <w:rFonts w:ascii="Verdana" w:hAnsi="Verdana"/>
          <w:sz w:val="20"/>
          <w:szCs w:val="20"/>
        </w:rPr>
        <w:t xml:space="preserve">Sobre este punto, </w:t>
      </w:r>
      <w:r>
        <w:rPr>
          <w:rFonts w:ascii="Verdana" w:hAnsi="Verdana"/>
          <w:sz w:val="20"/>
          <w:szCs w:val="20"/>
        </w:rPr>
        <w:t>considero que el hecho de que la Corte IDH</w:t>
      </w:r>
      <w:r w:rsidRPr="004E66B4">
        <w:rPr>
          <w:rFonts w:ascii="Verdana" w:hAnsi="Verdana"/>
          <w:sz w:val="20"/>
          <w:szCs w:val="20"/>
        </w:rPr>
        <w:t xml:space="preserve"> se pronuncie sobre la </w:t>
      </w:r>
      <w:proofErr w:type="spellStart"/>
      <w:r w:rsidRPr="004E66B4">
        <w:rPr>
          <w:rFonts w:ascii="Verdana" w:hAnsi="Verdana"/>
          <w:sz w:val="20"/>
          <w:szCs w:val="20"/>
        </w:rPr>
        <w:t>justiciabilidad</w:t>
      </w:r>
      <w:proofErr w:type="spellEnd"/>
      <w:r w:rsidRPr="004E66B4">
        <w:rPr>
          <w:rFonts w:ascii="Verdana" w:hAnsi="Verdana"/>
          <w:sz w:val="20"/>
          <w:szCs w:val="20"/>
        </w:rPr>
        <w:t xml:space="preserve"> de derechos no contemplados en el art. 19.6 del Protocolo de San Salvador</w:t>
      </w:r>
      <w:r>
        <w:rPr>
          <w:rFonts w:ascii="Verdana" w:hAnsi="Verdana"/>
          <w:sz w:val="20"/>
          <w:szCs w:val="20"/>
        </w:rPr>
        <w:t>,</w:t>
      </w:r>
      <w:r w:rsidRPr="004E66B4">
        <w:rPr>
          <w:rFonts w:ascii="Verdana" w:hAnsi="Verdana"/>
          <w:sz w:val="20"/>
          <w:szCs w:val="20"/>
        </w:rPr>
        <w:t xml:space="preserve"> mediante el artículo 26 de la Convención Americana</w:t>
      </w:r>
      <w:r>
        <w:rPr>
          <w:rFonts w:ascii="Verdana" w:hAnsi="Verdana"/>
          <w:sz w:val="20"/>
          <w:szCs w:val="20"/>
        </w:rPr>
        <w:t>,</w:t>
      </w:r>
      <w:r w:rsidRPr="004E66B4">
        <w:rPr>
          <w:rFonts w:ascii="Verdana" w:hAnsi="Verdana"/>
          <w:sz w:val="20"/>
          <w:szCs w:val="20"/>
        </w:rPr>
        <w:t xml:space="preserve"> cobra especial relevancia. En primer lugar, porque como fue expuesto, no todos los derechos sociales fueron contemplados en el Protocolo de San Salvador </w:t>
      </w:r>
      <w:r>
        <w:rPr>
          <w:rFonts w:ascii="Verdana" w:hAnsi="Verdana"/>
          <w:sz w:val="20"/>
          <w:szCs w:val="20"/>
        </w:rPr>
        <w:t xml:space="preserve">cuando fue redactado </w:t>
      </w:r>
      <w:r w:rsidRPr="004E66B4">
        <w:rPr>
          <w:rFonts w:ascii="Verdana" w:hAnsi="Verdana"/>
          <w:sz w:val="20"/>
          <w:szCs w:val="20"/>
        </w:rPr>
        <w:t>ni todas sus vert</w:t>
      </w:r>
      <w:r>
        <w:rPr>
          <w:rFonts w:ascii="Verdana" w:hAnsi="Verdana"/>
          <w:sz w:val="20"/>
          <w:szCs w:val="20"/>
        </w:rPr>
        <w:t>ientes. E</w:t>
      </w:r>
      <w:r w:rsidRPr="004E66B4">
        <w:rPr>
          <w:rFonts w:ascii="Verdana" w:hAnsi="Verdana"/>
          <w:sz w:val="20"/>
          <w:szCs w:val="20"/>
        </w:rPr>
        <w:t>n segundo lugar, porque se evitaría hacer distinciones de grados en cu</w:t>
      </w:r>
      <w:r>
        <w:rPr>
          <w:rFonts w:ascii="Verdana" w:hAnsi="Verdana"/>
          <w:sz w:val="20"/>
          <w:szCs w:val="20"/>
        </w:rPr>
        <w:t>anto a quiénes sí</w:t>
      </w:r>
      <w:r w:rsidRPr="004E66B4">
        <w:rPr>
          <w:rFonts w:ascii="Verdana" w:hAnsi="Verdana"/>
          <w:sz w:val="20"/>
          <w:szCs w:val="20"/>
        </w:rPr>
        <w:t xml:space="preserve"> se </w:t>
      </w:r>
      <w:r>
        <w:rPr>
          <w:rFonts w:ascii="Verdana" w:hAnsi="Verdana"/>
          <w:sz w:val="20"/>
          <w:szCs w:val="20"/>
        </w:rPr>
        <w:t xml:space="preserve">les </w:t>
      </w:r>
      <w:r w:rsidRPr="004E66B4">
        <w:rPr>
          <w:rFonts w:ascii="Verdana" w:hAnsi="Verdana"/>
          <w:sz w:val="20"/>
          <w:szCs w:val="20"/>
        </w:rPr>
        <w:t>puede, o no</w:t>
      </w:r>
      <w:r>
        <w:rPr>
          <w:rFonts w:ascii="Verdana" w:hAnsi="Verdana"/>
          <w:sz w:val="20"/>
          <w:szCs w:val="20"/>
        </w:rPr>
        <w:t xml:space="preserve">, </w:t>
      </w:r>
      <w:r w:rsidRPr="004E66B4">
        <w:rPr>
          <w:rFonts w:ascii="Verdana" w:hAnsi="Verdana"/>
          <w:sz w:val="20"/>
          <w:szCs w:val="20"/>
        </w:rPr>
        <w:t>proteger</w:t>
      </w:r>
      <w:r>
        <w:rPr>
          <w:rFonts w:ascii="Verdana" w:hAnsi="Verdana"/>
          <w:sz w:val="20"/>
          <w:szCs w:val="20"/>
        </w:rPr>
        <w:t xml:space="preserve"> el derecho</w:t>
      </w:r>
      <w:r w:rsidRPr="004E66B4">
        <w:rPr>
          <w:rFonts w:ascii="Verdana" w:hAnsi="Verdana"/>
          <w:sz w:val="20"/>
          <w:szCs w:val="20"/>
        </w:rPr>
        <w:t xml:space="preserve">, por la </w:t>
      </w:r>
      <w:r>
        <w:rPr>
          <w:rFonts w:ascii="Verdana" w:hAnsi="Verdana"/>
          <w:sz w:val="20"/>
          <w:szCs w:val="20"/>
        </w:rPr>
        <w:t xml:space="preserve">restricción que hace </w:t>
      </w:r>
      <w:r w:rsidRPr="004E66B4">
        <w:rPr>
          <w:rFonts w:ascii="Verdana" w:hAnsi="Verdana"/>
          <w:sz w:val="20"/>
          <w:szCs w:val="20"/>
        </w:rPr>
        <w:t xml:space="preserve"> del artículo 19.6 </w:t>
      </w:r>
      <w:r>
        <w:rPr>
          <w:rFonts w:ascii="Verdana" w:hAnsi="Verdana"/>
          <w:sz w:val="20"/>
          <w:szCs w:val="20"/>
        </w:rPr>
        <w:t xml:space="preserve">del Protocolo de San Salvador </w:t>
      </w:r>
      <w:r w:rsidRPr="004E66B4">
        <w:rPr>
          <w:rFonts w:ascii="Verdana" w:hAnsi="Verdana"/>
          <w:sz w:val="20"/>
          <w:szCs w:val="20"/>
        </w:rPr>
        <w:t>(en este caso sólo de las asociaciones sindicales y de sus representantes).</w:t>
      </w:r>
    </w:p>
    <w:p w14:paraId="6E5457EC" w14:textId="77777777" w:rsidR="00F83E8F" w:rsidRPr="005B6191" w:rsidRDefault="00F83E8F" w:rsidP="00F83E8F">
      <w:pPr>
        <w:widowControl w:val="0"/>
        <w:autoSpaceDE w:val="0"/>
        <w:autoSpaceDN w:val="0"/>
        <w:adjustRightInd w:val="0"/>
        <w:ind w:right="49"/>
        <w:jc w:val="both"/>
        <w:rPr>
          <w:rFonts w:ascii="Verdana" w:hAnsi="Verdana"/>
          <w:sz w:val="20"/>
          <w:szCs w:val="20"/>
        </w:rPr>
      </w:pPr>
    </w:p>
    <w:p w14:paraId="34BDFC16" w14:textId="77777777" w:rsidR="00F83E8F" w:rsidRPr="00ED5B40" w:rsidRDefault="00F83E8F" w:rsidP="00E70701">
      <w:pPr>
        <w:pStyle w:val="ListParagraph"/>
        <w:widowControl w:val="0"/>
        <w:numPr>
          <w:ilvl w:val="0"/>
          <w:numId w:val="28"/>
        </w:numPr>
        <w:autoSpaceDE w:val="0"/>
        <w:autoSpaceDN w:val="0"/>
        <w:adjustRightInd w:val="0"/>
        <w:ind w:left="0" w:right="49" w:firstLine="0"/>
        <w:jc w:val="both"/>
        <w:rPr>
          <w:rFonts w:ascii="Verdana" w:hAnsi="Verdana"/>
          <w:sz w:val="20"/>
          <w:szCs w:val="20"/>
        </w:rPr>
      </w:pPr>
      <w:r>
        <w:rPr>
          <w:rFonts w:ascii="Verdana" w:hAnsi="Verdana"/>
          <w:sz w:val="20"/>
          <w:szCs w:val="20"/>
        </w:rPr>
        <w:t xml:space="preserve">Sin detrimento de lo anterior, considero que el Tribunal Interamericano pudo haber utilizado, para dar mayor claridad a la violación del derecho de asociación laboral, el </w:t>
      </w:r>
      <w:r w:rsidRPr="00CE4E0E">
        <w:rPr>
          <w:rFonts w:ascii="Verdana" w:hAnsi="Verdana"/>
          <w:sz w:val="20"/>
          <w:szCs w:val="20"/>
        </w:rPr>
        <w:t xml:space="preserve">artículo 29 </w:t>
      </w:r>
      <w:r>
        <w:rPr>
          <w:rFonts w:ascii="Verdana" w:hAnsi="Verdana"/>
          <w:sz w:val="20"/>
          <w:szCs w:val="20"/>
        </w:rPr>
        <w:t xml:space="preserve">incisos </w:t>
      </w:r>
      <w:r w:rsidRPr="00CE4E0E">
        <w:rPr>
          <w:rFonts w:ascii="Verdana" w:hAnsi="Verdana"/>
          <w:sz w:val="20"/>
          <w:szCs w:val="20"/>
        </w:rPr>
        <w:t>b) y d) de la Convención Americana</w:t>
      </w:r>
      <w:r>
        <w:rPr>
          <w:rFonts w:ascii="Verdana" w:hAnsi="Verdana"/>
          <w:sz w:val="20"/>
          <w:szCs w:val="20"/>
        </w:rPr>
        <w:t>, como normas de interpretación en relación con el artículo 26 de la Convención Americana y el artículo 45 inciso c) de la Carta de la OEA; y no solo referirlo al artículo 16 del Pacto de San José. Lo anterior, debido a que se puede correr el riesgo de que el contenido del derecho de asociación laboral para la promoción y la defensa de los intereses de los trabajadores (</w:t>
      </w:r>
      <w:r w:rsidRPr="0047617E">
        <w:rPr>
          <w:rFonts w:ascii="Verdana" w:hAnsi="Verdana"/>
          <w:i/>
          <w:sz w:val="20"/>
          <w:szCs w:val="20"/>
        </w:rPr>
        <w:t>stricto sensu</w:t>
      </w:r>
      <w:r>
        <w:rPr>
          <w:rFonts w:ascii="Verdana" w:hAnsi="Verdana"/>
          <w:sz w:val="20"/>
          <w:szCs w:val="20"/>
        </w:rPr>
        <w:t>) se diluya en el contenido del derecho de asociación (</w:t>
      </w:r>
      <w:r w:rsidRPr="005B6191">
        <w:rPr>
          <w:rFonts w:ascii="Verdana" w:hAnsi="Verdana"/>
          <w:i/>
          <w:sz w:val="20"/>
          <w:szCs w:val="20"/>
        </w:rPr>
        <w:t>lato sensu</w:t>
      </w:r>
      <w:r w:rsidRPr="008D2569">
        <w:rPr>
          <w:rFonts w:ascii="Verdana" w:hAnsi="Verdana"/>
          <w:i/>
          <w:sz w:val="20"/>
          <w:szCs w:val="20"/>
        </w:rPr>
        <w:t>)</w:t>
      </w:r>
      <w:r w:rsidRPr="008D2569">
        <w:rPr>
          <w:rStyle w:val="FootnoteReference"/>
          <w:color w:val="FF0000"/>
          <w:szCs w:val="20"/>
        </w:rPr>
        <w:t xml:space="preserve"> </w:t>
      </w:r>
      <w:r w:rsidRPr="008D2569">
        <w:rPr>
          <w:rStyle w:val="FootnoteReference"/>
          <w:szCs w:val="20"/>
        </w:rPr>
        <w:footnoteReference w:id="356"/>
      </w:r>
      <w:r>
        <w:rPr>
          <w:rFonts w:ascii="Verdana" w:hAnsi="Verdana"/>
          <w:i/>
          <w:sz w:val="20"/>
          <w:szCs w:val="20"/>
        </w:rPr>
        <w:t xml:space="preserve">. </w:t>
      </w:r>
    </w:p>
    <w:p w14:paraId="777C9B80" w14:textId="77777777" w:rsidR="00F83E8F" w:rsidRPr="00AE10A0" w:rsidRDefault="00F83E8F" w:rsidP="00F83E8F">
      <w:pPr>
        <w:pStyle w:val="ListParagraph"/>
        <w:widowControl w:val="0"/>
        <w:autoSpaceDE w:val="0"/>
        <w:autoSpaceDN w:val="0"/>
        <w:adjustRightInd w:val="0"/>
        <w:ind w:left="0" w:right="49"/>
        <w:jc w:val="both"/>
        <w:rPr>
          <w:rFonts w:ascii="Verdana" w:hAnsi="Verdana"/>
          <w:sz w:val="20"/>
          <w:szCs w:val="20"/>
        </w:rPr>
      </w:pPr>
    </w:p>
    <w:p w14:paraId="02667098" w14:textId="77777777" w:rsidR="00F83E8F" w:rsidRDefault="00F83E8F" w:rsidP="00F83E8F">
      <w:pPr>
        <w:jc w:val="center"/>
        <w:rPr>
          <w:rFonts w:ascii="Verdana" w:hAnsi="Verdana"/>
          <w:sz w:val="20"/>
          <w:szCs w:val="20"/>
        </w:rPr>
      </w:pPr>
      <w:r w:rsidRPr="00E1438E">
        <w:rPr>
          <w:rFonts w:ascii="Verdana" w:hAnsi="Verdana"/>
          <w:sz w:val="20"/>
          <w:szCs w:val="20"/>
        </w:rPr>
        <w:t>IV.</w:t>
      </w:r>
      <w:r>
        <w:rPr>
          <w:rFonts w:ascii="Verdana" w:hAnsi="Verdana"/>
          <w:sz w:val="20"/>
          <w:szCs w:val="20"/>
        </w:rPr>
        <w:t xml:space="preserve"> </w:t>
      </w:r>
      <w:r w:rsidRPr="00E1438E">
        <w:rPr>
          <w:rFonts w:ascii="Verdana" w:hAnsi="Verdana"/>
          <w:sz w:val="20"/>
          <w:szCs w:val="20"/>
        </w:rPr>
        <w:t xml:space="preserve"> CONCLUSIONES </w:t>
      </w:r>
    </w:p>
    <w:p w14:paraId="2EFA2AB2" w14:textId="77777777" w:rsidR="00F83E8F" w:rsidRPr="00E1438E" w:rsidRDefault="00F83E8F" w:rsidP="00F83E8F">
      <w:pPr>
        <w:rPr>
          <w:rFonts w:ascii="Verdana" w:hAnsi="Verdana"/>
          <w:sz w:val="20"/>
          <w:szCs w:val="20"/>
        </w:rPr>
      </w:pPr>
    </w:p>
    <w:p w14:paraId="4E44C056" w14:textId="77777777" w:rsidR="00F83E8F" w:rsidRPr="001D0833" w:rsidRDefault="00F83E8F" w:rsidP="00E70701">
      <w:pPr>
        <w:pStyle w:val="ListParagraph"/>
        <w:numPr>
          <w:ilvl w:val="0"/>
          <w:numId w:val="28"/>
        </w:numPr>
        <w:ind w:left="0" w:firstLine="0"/>
        <w:jc w:val="both"/>
        <w:rPr>
          <w:rFonts w:ascii="Times" w:hAnsi="Times"/>
          <w:sz w:val="20"/>
          <w:szCs w:val="20"/>
        </w:rPr>
      </w:pPr>
      <w:r>
        <w:rPr>
          <w:rFonts w:ascii="Verdana" w:hAnsi="Verdana"/>
          <w:sz w:val="20"/>
          <w:szCs w:val="20"/>
        </w:rPr>
        <w:t>En muy</w:t>
      </w:r>
      <w:r w:rsidRPr="000E2881">
        <w:rPr>
          <w:rFonts w:ascii="Verdana" w:hAnsi="Verdana"/>
          <w:sz w:val="20"/>
          <w:szCs w:val="20"/>
        </w:rPr>
        <w:t xml:space="preserve"> pocos casos </w:t>
      </w:r>
      <w:r>
        <w:rPr>
          <w:rFonts w:ascii="Verdana" w:hAnsi="Verdana"/>
          <w:sz w:val="20"/>
          <w:szCs w:val="20"/>
        </w:rPr>
        <w:t xml:space="preserve">la Corte IDH </w:t>
      </w:r>
      <w:r w:rsidRPr="000E2881">
        <w:rPr>
          <w:rFonts w:ascii="Verdana" w:hAnsi="Verdana"/>
          <w:sz w:val="20"/>
          <w:szCs w:val="20"/>
        </w:rPr>
        <w:t>se había pronunciado sob</w:t>
      </w:r>
      <w:r>
        <w:rPr>
          <w:rFonts w:ascii="Verdana" w:hAnsi="Verdana"/>
          <w:sz w:val="20"/>
          <w:szCs w:val="20"/>
        </w:rPr>
        <w:t>re el contenido del artículo 26 de la Convención Americana. En</w:t>
      </w:r>
      <w:r w:rsidRPr="000E2881">
        <w:rPr>
          <w:rFonts w:ascii="Verdana" w:hAnsi="Verdana"/>
          <w:sz w:val="20"/>
          <w:szCs w:val="20"/>
        </w:rPr>
        <w:t xml:space="preserve"> </w:t>
      </w:r>
      <w:r>
        <w:rPr>
          <w:rFonts w:ascii="Verdana" w:hAnsi="Verdana"/>
          <w:sz w:val="20"/>
          <w:szCs w:val="20"/>
        </w:rPr>
        <w:t xml:space="preserve">solo </w:t>
      </w:r>
      <w:r w:rsidRPr="000E2881">
        <w:rPr>
          <w:rFonts w:ascii="Verdana" w:hAnsi="Verdana"/>
          <w:sz w:val="20"/>
          <w:szCs w:val="20"/>
        </w:rPr>
        <w:t xml:space="preserve">dos ocasiones </w:t>
      </w:r>
      <w:r>
        <w:rPr>
          <w:rFonts w:ascii="Verdana" w:hAnsi="Verdana"/>
          <w:sz w:val="20"/>
          <w:szCs w:val="20"/>
        </w:rPr>
        <w:t xml:space="preserve">había sido directamente alegado como vulnerado </w:t>
      </w:r>
      <w:r w:rsidRPr="000E2881">
        <w:rPr>
          <w:rFonts w:ascii="Verdana" w:hAnsi="Verdana"/>
          <w:sz w:val="20"/>
          <w:szCs w:val="20"/>
        </w:rPr>
        <w:t>por la Comisión Interamericana</w:t>
      </w:r>
      <w:r w:rsidRPr="004E66B4">
        <w:rPr>
          <w:rStyle w:val="FootnoteReference"/>
          <w:szCs w:val="20"/>
        </w:rPr>
        <w:footnoteReference w:id="357"/>
      </w:r>
      <w:r>
        <w:rPr>
          <w:rFonts w:ascii="Verdana" w:hAnsi="Verdana"/>
          <w:sz w:val="20"/>
          <w:szCs w:val="20"/>
        </w:rPr>
        <w:t xml:space="preserve"> y </w:t>
      </w:r>
      <w:r w:rsidRPr="000E2881">
        <w:rPr>
          <w:rFonts w:ascii="Verdana" w:hAnsi="Verdana"/>
          <w:sz w:val="20"/>
          <w:szCs w:val="20"/>
        </w:rPr>
        <w:t>en seis oportunidades por los representantes de las víctimas</w:t>
      </w:r>
      <w:r w:rsidRPr="004E66B4">
        <w:rPr>
          <w:rStyle w:val="FootnoteReference"/>
          <w:szCs w:val="20"/>
        </w:rPr>
        <w:footnoteReference w:id="358"/>
      </w:r>
      <w:r>
        <w:rPr>
          <w:rFonts w:ascii="Verdana" w:hAnsi="Verdana"/>
          <w:sz w:val="20"/>
          <w:szCs w:val="20"/>
        </w:rPr>
        <w:t>. Por ello, la gran relevancia de la presente Sentencia radica en que el Tribunal Interamericano, por primera ocasión en sus casi cuarenta años de existencia, declara la violación del artículo 26 del Pacto de San José.</w:t>
      </w:r>
    </w:p>
    <w:p w14:paraId="3E9393A3" w14:textId="77777777" w:rsidR="00F83E8F" w:rsidRPr="007D19F0" w:rsidRDefault="00F83E8F" w:rsidP="00F83E8F">
      <w:pPr>
        <w:pStyle w:val="ListParagraph"/>
        <w:ind w:left="0"/>
        <w:jc w:val="both"/>
        <w:rPr>
          <w:rFonts w:ascii="Times" w:hAnsi="Times"/>
          <w:sz w:val="20"/>
          <w:szCs w:val="20"/>
        </w:rPr>
      </w:pPr>
      <w:r w:rsidRPr="007D19F0">
        <w:rPr>
          <w:rFonts w:ascii="Times" w:hAnsi="Times"/>
          <w:sz w:val="20"/>
          <w:szCs w:val="20"/>
        </w:rPr>
        <w:t xml:space="preserve"> </w:t>
      </w:r>
    </w:p>
    <w:p w14:paraId="3E939960" w14:textId="77777777" w:rsidR="00F83E8F" w:rsidRPr="00AF4B30" w:rsidRDefault="00F83E8F" w:rsidP="00E70701">
      <w:pPr>
        <w:pStyle w:val="ListParagraph"/>
        <w:numPr>
          <w:ilvl w:val="0"/>
          <w:numId w:val="28"/>
        </w:numPr>
        <w:ind w:left="0" w:firstLine="0"/>
        <w:jc w:val="both"/>
        <w:rPr>
          <w:rFonts w:ascii="Verdana" w:hAnsi="Verdana"/>
          <w:sz w:val="20"/>
          <w:szCs w:val="20"/>
        </w:rPr>
      </w:pPr>
      <w:r w:rsidRPr="00AF4B30">
        <w:rPr>
          <w:rFonts w:ascii="Verdana" w:hAnsi="Verdana"/>
          <w:sz w:val="20"/>
          <w:szCs w:val="20"/>
        </w:rPr>
        <w:lastRenderedPageBreak/>
        <w:t xml:space="preserve">En este momento histórico </w:t>
      </w:r>
      <w:r>
        <w:rPr>
          <w:rFonts w:ascii="Verdana" w:hAnsi="Verdana"/>
          <w:sz w:val="20"/>
          <w:szCs w:val="20"/>
        </w:rPr>
        <w:t>de</w:t>
      </w:r>
      <w:r w:rsidRPr="00AF4B30">
        <w:rPr>
          <w:rFonts w:ascii="Verdana" w:hAnsi="Verdana"/>
          <w:sz w:val="20"/>
          <w:szCs w:val="20"/>
        </w:rPr>
        <w:t xml:space="preserve"> la jurisprudencia de la Corte IDH, resulta fundamental que las partes y la Comisión Interamericana hagan más visibles los DESCA que </w:t>
      </w:r>
      <w:r>
        <w:rPr>
          <w:rFonts w:ascii="Verdana" w:hAnsi="Verdana"/>
          <w:sz w:val="20"/>
          <w:szCs w:val="20"/>
        </w:rPr>
        <w:t>son susceptibles de</w:t>
      </w:r>
      <w:r w:rsidRPr="00AF4B30">
        <w:rPr>
          <w:rFonts w:ascii="Verdana" w:hAnsi="Verdana"/>
          <w:sz w:val="20"/>
          <w:szCs w:val="20"/>
        </w:rPr>
        <w:t xml:space="preserve"> proteger</w:t>
      </w:r>
      <w:r>
        <w:rPr>
          <w:rFonts w:ascii="Verdana" w:hAnsi="Verdana"/>
          <w:sz w:val="20"/>
          <w:szCs w:val="20"/>
        </w:rPr>
        <w:t>se</w:t>
      </w:r>
      <w:r w:rsidRPr="00AF4B30">
        <w:rPr>
          <w:rFonts w:ascii="Verdana" w:hAnsi="Verdana"/>
          <w:sz w:val="20"/>
          <w:szCs w:val="20"/>
        </w:rPr>
        <w:t xml:space="preserve"> ante el Sistema Interamericano</w:t>
      </w:r>
      <w:r>
        <w:rPr>
          <w:rFonts w:ascii="Verdana" w:hAnsi="Verdana"/>
          <w:sz w:val="20"/>
          <w:szCs w:val="20"/>
        </w:rPr>
        <w:t>, mediante</w:t>
      </w:r>
      <w:r w:rsidRPr="00AF4B30">
        <w:rPr>
          <w:rFonts w:ascii="Verdana" w:hAnsi="Verdana"/>
          <w:sz w:val="20"/>
          <w:szCs w:val="20"/>
        </w:rPr>
        <w:t xml:space="preserve"> alegatos específicos sobre la vulneración de los derechos sociales interamericanos contenidos en el artículo 26 del Pacto de San José. Hoy los derechos sociales han dejado de ser derechos de “buenas intenciones” plasmados en instrumentos internacionales, para pasar a ser exigibles ante las instancias competentes</w:t>
      </w:r>
      <w:r w:rsidRPr="007D19F0">
        <w:rPr>
          <w:rStyle w:val="FootnoteReference"/>
          <w:szCs w:val="20"/>
        </w:rPr>
        <w:footnoteReference w:id="359"/>
      </w:r>
      <w:r w:rsidRPr="00AF4B30">
        <w:rPr>
          <w:rFonts w:ascii="Verdana" w:hAnsi="Verdana"/>
          <w:sz w:val="20"/>
          <w:szCs w:val="20"/>
        </w:rPr>
        <w:t>. Lo anterior marca un nuevo rumbo para el Sistema Interamericano</w:t>
      </w:r>
      <w:r w:rsidRPr="00AF4B30">
        <w:rPr>
          <w:rStyle w:val="FootnoteReference"/>
          <w:szCs w:val="20"/>
        </w:rPr>
        <w:footnoteReference w:id="360"/>
      </w:r>
      <w:r w:rsidRPr="00AF4B30">
        <w:rPr>
          <w:rFonts w:ascii="Verdana" w:hAnsi="Verdana"/>
          <w:sz w:val="20"/>
          <w:szCs w:val="20"/>
        </w:rPr>
        <w:t xml:space="preserve">. </w:t>
      </w:r>
    </w:p>
    <w:p w14:paraId="3F6FC474" w14:textId="77777777" w:rsidR="00F83E8F" w:rsidRPr="00AF4B30" w:rsidRDefault="00F83E8F" w:rsidP="00F83E8F">
      <w:pPr>
        <w:pStyle w:val="ListParagraph"/>
        <w:ind w:left="0"/>
        <w:jc w:val="both"/>
        <w:rPr>
          <w:rFonts w:ascii="Verdana" w:hAnsi="Verdana"/>
          <w:sz w:val="20"/>
          <w:szCs w:val="20"/>
        </w:rPr>
      </w:pPr>
    </w:p>
    <w:p w14:paraId="3DD0620B" w14:textId="77777777" w:rsidR="00F83E8F" w:rsidRPr="00B05C28" w:rsidRDefault="00F83E8F" w:rsidP="00E70701">
      <w:pPr>
        <w:pStyle w:val="ListParagraph"/>
        <w:numPr>
          <w:ilvl w:val="0"/>
          <w:numId w:val="28"/>
        </w:numPr>
        <w:ind w:left="0" w:firstLine="0"/>
        <w:jc w:val="both"/>
        <w:rPr>
          <w:rFonts w:ascii="Calibri" w:hAnsi="Calibri" w:cs="Calibri"/>
          <w:sz w:val="32"/>
          <w:szCs w:val="32"/>
          <w:lang w:val="es-ES"/>
        </w:rPr>
      </w:pPr>
      <w:r>
        <w:rPr>
          <w:rFonts w:ascii="Verdana" w:hAnsi="Verdana"/>
          <w:sz w:val="20"/>
          <w:szCs w:val="20"/>
        </w:rPr>
        <w:t>De ahí que l</w:t>
      </w:r>
      <w:r w:rsidRPr="005F3074">
        <w:rPr>
          <w:rFonts w:ascii="Verdana" w:hAnsi="Verdana"/>
          <w:sz w:val="20"/>
          <w:szCs w:val="20"/>
        </w:rPr>
        <w:t xml:space="preserve">a intención del presente voto razonado es, por un lado, resaltar el importante avance jurisprudencial que se ha dado en el seno del Sistema Interamericano </w:t>
      </w:r>
      <w:r>
        <w:rPr>
          <w:rFonts w:ascii="Verdana" w:hAnsi="Verdana"/>
          <w:sz w:val="20"/>
          <w:szCs w:val="20"/>
        </w:rPr>
        <w:t xml:space="preserve">con esta Sentencia, al otorgar </w:t>
      </w:r>
      <w:proofErr w:type="spellStart"/>
      <w:r>
        <w:rPr>
          <w:rFonts w:ascii="Verdana" w:hAnsi="Verdana"/>
          <w:sz w:val="20"/>
          <w:szCs w:val="20"/>
        </w:rPr>
        <w:t>justiciabilidad</w:t>
      </w:r>
      <w:proofErr w:type="spellEnd"/>
      <w:r>
        <w:rPr>
          <w:rFonts w:ascii="Verdana" w:hAnsi="Verdana"/>
          <w:sz w:val="20"/>
          <w:szCs w:val="20"/>
        </w:rPr>
        <w:t xml:space="preserve"> directa a los DESCA; y, por otro, dejar en claro los alcances, </w:t>
      </w:r>
      <w:r w:rsidRPr="00911447">
        <w:rPr>
          <w:rFonts w:ascii="Verdana" w:hAnsi="Verdana"/>
          <w:sz w:val="20"/>
          <w:szCs w:val="20"/>
        </w:rPr>
        <w:t>diferencias</w:t>
      </w:r>
      <w:r>
        <w:rPr>
          <w:rFonts w:ascii="Verdana" w:hAnsi="Verdana"/>
          <w:sz w:val="20"/>
          <w:szCs w:val="20"/>
        </w:rPr>
        <w:t xml:space="preserve"> y la sinergia</w:t>
      </w:r>
      <w:r w:rsidRPr="00911447">
        <w:rPr>
          <w:rFonts w:ascii="Verdana" w:hAnsi="Verdana"/>
          <w:sz w:val="20"/>
          <w:szCs w:val="20"/>
        </w:rPr>
        <w:t xml:space="preserve"> entre el artículo 16 de la Convención Americana que protege el derecho de asociación (</w:t>
      </w:r>
      <w:r w:rsidRPr="00911447">
        <w:rPr>
          <w:rFonts w:ascii="Verdana" w:hAnsi="Verdana"/>
          <w:i/>
          <w:sz w:val="20"/>
          <w:szCs w:val="20"/>
        </w:rPr>
        <w:t>lato sensu</w:t>
      </w:r>
      <w:r w:rsidRPr="00911447">
        <w:rPr>
          <w:rFonts w:ascii="Verdana" w:hAnsi="Verdana"/>
          <w:sz w:val="20"/>
          <w:szCs w:val="20"/>
        </w:rPr>
        <w:t xml:space="preserve">) y el artículo 26 </w:t>
      </w:r>
      <w:r>
        <w:rPr>
          <w:rFonts w:ascii="Verdana" w:hAnsi="Verdana"/>
          <w:sz w:val="20"/>
          <w:szCs w:val="20"/>
        </w:rPr>
        <w:t xml:space="preserve">del mismo tratado, </w:t>
      </w:r>
      <w:r w:rsidRPr="00911447">
        <w:rPr>
          <w:rFonts w:ascii="Verdana" w:hAnsi="Verdana"/>
          <w:sz w:val="20"/>
          <w:szCs w:val="20"/>
        </w:rPr>
        <w:t>como disposición que protege el derecho de asociación en materia laboral</w:t>
      </w:r>
      <w:r>
        <w:rPr>
          <w:rFonts w:ascii="Verdana" w:hAnsi="Verdana"/>
          <w:sz w:val="20"/>
          <w:szCs w:val="20"/>
        </w:rPr>
        <w:t xml:space="preserve"> </w:t>
      </w:r>
      <w:r w:rsidRPr="00911447">
        <w:rPr>
          <w:rFonts w:ascii="Verdana" w:hAnsi="Verdana"/>
          <w:sz w:val="20"/>
          <w:szCs w:val="20"/>
        </w:rPr>
        <w:t>(</w:t>
      </w:r>
      <w:r w:rsidRPr="00911447">
        <w:rPr>
          <w:rFonts w:ascii="Verdana" w:hAnsi="Verdana"/>
          <w:i/>
          <w:sz w:val="20"/>
          <w:szCs w:val="20"/>
        </w:rPr>
        <w:t>stricto sensu</w:t>
      </w:r>
      <w:r>
        <w:rPr>
          <w:rFonts w:ascii="Verdana" w:hAnsi="Verdana"/>
          <w:sz w:val="20"/>
          <w:szCs w:val="20"/>
        </w:rPr>
        <w:t>), desde la norma que se encuentra consagrada</w:t>
      </w:r>
      <w:r w:rsidRPr="00911447">
        <w:rPr>
          <w:rFonts w:ascii="Verdana" w:hAnsi="Verdana"/>
          <w:sz w:val="20"/>
          <w:szCs w:val="20"/>
        </w:rPr>
        <w:t xml:space="preserve"> en el artículo 45 inciso c)</w:t>
      </w:r>
      <w:r>
        <w:rPr>
          <w:rFonts w:ascii="Verdana" w:hAnsi="Verdana"/>
          <w:sz w:val="20"/>
          <w:szCs w:val="20"/>
        </w:rPr>
        <w:t>,</w:t>
      </w:r>
      <w:r w:rsidRPr="00911447">
        <w:rPr>
          <w:rFonts w:ascii="Verdana" w:hAnsi="Verdana"/>
          <w:sz w:val="20"/>
          <w:szCs w:val="20"/>
        </w:rPr>
        <w:t xml:space="preserve"> de la Carta de la OEA</w:t>
      </w:r>
      <w:r>
        <w:rPr>
          <w:rFonts w:ascii="Verdana" w:hAnsi="Verdana"/>
          <w:sz w:val="20"/>
          <w:szCs w:val="20"/>
        </w:rPr>
        <w:t>.</w:t>
      </w:r>
      <w:r w:rsidRPr="00911447">
        <w:rPr>
          <w:rFonts w:ascii="Verdana" w:hAnsi="Verdana"/>
          <w:sz w:val="20"/>
          <w:szCs w:val="20"/>
        </w:rPr>
        <w:t xml:space="preserve"> </w:t>
      </w:r>
    </w:p>
    <w:p w14:paraId="7E4E19E8" w14:textId="77777777" w:rsidR="00F83E8F" w:rsidRPr="00B05C28" w:rsidRDefault="00F83E8F" w:rsidP="00F83E8F">
      <w:pPr>
        <w:pStyle w:val="ListParagraph"/>
        <w:ind w:left="0"/>
        <w:jc w:val="both"/>
        <w:rPr>
          <w:rFonts w:ascii="Vereda" w:hAnsi="Vereda" w:cs="Calibri"/>
          <w:sz w:val="20"/>
          <w:szCs w:val="20"/>
          <w:lang w:val="es-ES"/>
        </w:rPr>
      </w:pPr>
    </w:p>
    <w:p w14:paraId="1544D84A" w14:textId="77777777" w:rsidR="00F83E8F" w:rsidRPr="00DC30B4" w:rsidRDefault="00F83E8F" w:rsidP="00E70701">
      <w:pPr>
        <w:pStyle w:val="ListParagraph"/>
        <w:numPr>
          <w:ilvl w:val="0"/>
          <w:numId w:val="28"/>
        </w:numPr>
        <w:ind w:left="0" w:firstLine="0"/>
        <w:jc w:val="both"/>
        <w:rPr>
          <w:rFonts w:ascii="Calibri" w:hAnsi="Calibri" w:cs="Calibri"/>
          <w:sz w:val="32"/>
          <w:szCs w:val="32"/>
          <w:lang w:val="es-ES"/>
        </w:rPr>
      </w:pPr>
      <w:r w:rsidRPr="001A0F20">
        <w:rPr>
          <w:rFonts w:ascii="Verdana" w:hAnsi="Verdana"/>
          <w:sz w:val="20"/>
          <w:szCs w:val="20"/>
        </w:rPr>
        <w:t xml:space="preserve">Así, los avances realizados en el caso </w:t>
      </w:r>
      <w:r w:rsidRPr="001A0F20">
        <w:rPr>
          <w:rFonts w:ascii="Verdana" w:hAnsi="Verdana"/>
          <w:i/>
          <w:sz w:val="20"/>
          <w:szCs w:val="20"/>
        </w:rPr>
        <w:t xml:space="preserve">Lagos del Campo </w:t>
      </w:r>
      <w:r w:rsidRPr="001A0F20">
        <w:rPr>
          <w:rFonts w:ascii="Verdana" w:hAnsi="Verdana"/>
          <w:sz w:val="20"/>
          <w:szCs w:val="20"/>
        </w:rPr>
        <w:t>en materia del derecho al trabajo (estabilidad y asociación laboral), y en materia de la protección y garantía de los DESCA por la vía directa y mediante un análisis integral y conglobado de los derechos (económicos, sociales, culturales, ambientales, civiles y políticos), permiten dar un paso histórico hacia una nueva época de la jurisprudencia interamericana. En este sentido, la región interamericana se dirige hacia la misma dirección de lo que recientemente diversos países de Naciones Unidas acordaron mediante los Objetivos del Desarrollo Sostenible para el año 2030</w:t>
      </w:r>
      <w:r w:rsidRPr="001A0F20">
        <w:rPr>
          <w:rStyle w:val="FootnoteReference"/>
          <w:szCs w:val="20"/>
        </w:rPr>
        <w:footnoteReference w:id="361"/>
      </w:r>
      <w:r w:rsidRPr="001A0F20">
        <w:rPr>
          <w:rFonts w:ascii="Verdana" w:hAnsi="Verdana"/>
          <w:sz w:val="20"/>
          <w:szCs w:val="20"/>
        </w:rPr>
        <w:t xml:space="preserve"> (véase </w:t>
      </w:r>
      <w:r w:rsidRPr="001A0F20">
        <w:rPr>
          <w:rFonts w:ascii="Verdana" w:hAnsi="Verdana"/>
          <w:i/>
          <w:sz w:val="20"/>
          <w:szCs w:val="20"/>
        </w:rPr>
        <w:t>supra</w:t>
      </w:r>
      <w:r w:rsidRPr="001A0F20">
        <w:rPr>
          <w:rFonts w:ascii="Verdana" w:hAnsi="Verdana"/>
          <w:sz w:val="20"/>
          <w:szCs w:val="20"/>
        </w:rPr>
        <w:t xml:space="preserve">, párrafo 4, </w:t>
      </w:r>
      <w:r w:rsidRPr="001A0F20">
        <w:rPr>
          <w:rFonts w:ascii="Verdana" w:hAnsi="Verdana"/>
          <w:i/>
          <w:sz w:val="20"/>
          <w:szCs w:val="20"/>
        </w:rPr>
        <w:t xml:space="preserve">in </w:t>
      </w:r>
      <w:r w:rsidRPr="001A0F20">
        <w:rPr>
          <w:rFonts w:ascii="Verdana" w:hAnsi="Verdana"/>
          <w:i/>
          <w:sz w:val="20"/>
          <w:szCs w:val="20"/>
        </w:rPr>
        <w:lastRenderedPageBreak/>
        <w:t>fine</w:t>
      </w:r>
      <w:r w:rsidRPr="001A0F20">
        <w:rPr>
          <w:rFonts w:ascii="Verdana" w:hAnsi="Verdana"/>
          <w:sz w:val="20"/>
          <w:szCs w:val="20"/>
        </w:rPr>
        <w:t>, del presente voto)</w:t>
      </w:r>
      <w:r w:rsidRPr="001A0F20">
        <w:rPr>
          <w:rStyle w:val="FootnoteReference"/>
          <w:szCs w:val="20"/>
        </w:rPr>
        <w:footnoteReference w:id="362"/>
      </w:r>
      <w:r w:rsidRPr="001A0F20">
        <w:rPr>
          <w:rFonts w:ascii="Verdana" w:hAnsi="Verdana"/>
          <w:sz w:val="20"/>
          <w:szCs w:val="20"/>
        </w:rPr>
        <w:t xml:space="preserve">. No debe pasar inadvertido, como bien señala la Comisión Económica para América Latina y el Caribe (CEPAL), que actualmente la desigualdad social en nuestra región constituye un obstáculo para el desarrollo sostenible. </w:t>
      </w:r>
      <w:r w:rsidRPr="00DC30B4">
        <w:rPr>
          <w:rFonts w:ascii="Verdana" w:hAnsi="Verdana"/>
          <w:sz w:val="20"/>
          <w:szCs w:val="20"/>
        </w:rPr>
        <w:t>Y en ese sentido</w:t>
      </w:r>
      <w:r w:rsidRPr="00151A7C">
        <w:rPr>
          <w:rFonts w:ascii="Verdana" w:hAnsi="Verdana"/>
          <w:sz w:val="20"/>
          <w:szCs w:val="20"/>
        </w:rPr>
        <w:t xml:space="preserve"> </w:t>
      </w:r>
      <w:r>
        <w:rPr>
          <w:rFonts w:ascii="Verdana" w:hAnsi="Verdana"/>
          <w:sz w:val="20"/>
          <w:szCs w:val="20"/>
        </w:rPr>
        <w:t>—</w:t>
      </w:r>
      <w:r w:rsidRPr="00805C3A">
        <w:rPr>
          <w:rFonts w:ascii="Verdana" w:hAnsi="Verdana"/>
          <w:sz w:val="20"/>
          <w:szCs w:val="20"/>
        </w:rPr>
        <w:t>sostiene la CEPAL</w:t>
      </w:r>
      <w:r>
        <w:rPr>
          <w:rFonts w:ascii="Verdana" w:hAnsi="Verdana"/>
          <w:sz w:val="20"/>
          <w:szCs w:val="20"/>
        </w:rPr>
        <w:t>—</w:t>
      </w:r>
      <w:r w:rsidRPr="00805C3A">
        <w:rPr>
          <w:rFonts w:ascii="Verdana" w:hAnsi="Verdana"/>
          <w:sz w:val="20"/>
          <w:szCs w:val="20"/>
        </w:rPr>
        <w:t xml:space="preserve"> que </w:t>
      </w:r>
      <w:r w:rsidRPr="00DC30B4">
        <w:rPr>
          <w:rFonts w:ascii="Verdana" w:hAnsi="Verdana"/>
          <w:sz w:val="20"/>
          <w:szCs w:val="20"/>
        </w:rPr>
        <w:t>“</w:t>
      </w:r>
      <w:r w:rsidRPr="00BA6F15">
        <w:rPr>
          <w:rFonts w:ascii="Verdana" w:eastAsia="Times New Roman" w:hAnsi="Verdana"/>
          <w:sz w:val="20"/>
          <w:szCs w:val="20"/>
          <w:lang w:val="es-MX"/>
        </w:rPr>
        <w:t>la igualdad de derechos es el eje primordial de la igualdad”, entendida como la “plena titularidad" para el ejercicio de los derechos económicos, sociales, culturales y medioambientales</w:t>
      </w:r>
      <w:r w:rsidRPr="00DC30B4">
        <w:rPr>
          <w:rStyle w:val="FootnoteReference"/>
          <w:szCs w:val="20"/>
        </w:rPr>
        <w:footnoteReference w:id="363"/>
      </w:r>
      <w:r w:rsidRPr="00BA6F15">
        <w:rPr>
          <w:rFonts w:ascii="Verdana" w:eastAsia="Times New Roman" w:hAnsi="Verdana"/>
          <w:sz w:val="20"/>
          <w:szCs w:val="20"/>
          <w:lang w:val="es-MX"/>
        </w:rPr>
        <w:t>.</w:t>
      </w:r>
    </w:p>
    <w:p w14:paraId="0D2A3DDE" w14:textId="77777777" w:rsidR="00F83E8F" w:rsidRDefault="00F83E8F" w:rsidP="00F83E8F">
      <w:pPr>
        <w:pStyle w:val="ListParagraph"/>
        <w:ind w:left="0"/>
        <w:jc w:val="both"/>
        <w:rPr>
          <w:rFonts w:ascii="Times" w:hAnsi="Times"/>
          <w:sz w:val="20"/>
          <w:szCs w:val="20"/>
        </w:rPr>
      </w:pPr>
    </w:p>
    <w:p w14:paraId="28941CDB" w14:textId="77777777" w:rsidR="00F83E8F" w:rsidRPr="00D36B44" w:rsidRDefault="00F83E8F" w:rsidP="00F83E8F">
      <w:pPr>
        <w:pStyle w:val="ListParagraph"/>
        <w:ind w:left="0"/>
        <w:jc w:val="both"/>
        <w:rPr>
          <w:rFonts w:ascii="Times" w:hAnsi="Times"/>
          <w:sz w:val="20"/>
          <w:szCs w:val="20"/>
        </w:rPr>
      </w:pPr>
    </w:p>
    <w:p w14:paraId="5523C1AB" w14:textId="77777777" w:rsidR="00F83E8F" w:rsidRPr="00D36B44" w:rsidRDefault="00F83E8F" w:rsidP="00E70701">
      <w:pPr>
        <w:pStyle w:val="ListParagraph"/>
        <w:numPr>
          <w:ilvl w:val="0"/>
          <w:numId w:val="28"/>
        </w:numPr>
        <w:ind w:left="0" w:firstLine="0"/>
        <w:jc w:val="both"/>
        <w:rPr>
          <w:rFonts w:ascii="Times" w:hAnsi="Times"/>
          <w:sz w:val="20"/>
          <w:szCs w:val="20"/>
        </w:rPr>
      </w:pPr>
      <w:r w:rsidRPr="00D36B44">
        <w:rPr>
          <w:rFonts w:ascii="Verdana" w:hAnsi="Verdana"/>
          <w:sz w:val="20"/>
          <w:szCs w:val="20"/>
        </w:rPr>
        <w:t xml:space="preserve">Este caso muestra cómo la afectación a un derecho catalogado como social no conlleva necesariamente a la necesidad de evaluaciones sobre la progresividad o no regresividad, o sobre aspectos sobre la disponibilidad de recursos, o sobre la legislación o marcos regulatorios generales o políticas públicas. Pensar que los derechos sociales se reducen a este tipo de análisis es perpetuar los falsos mitos </w:t>
      </w:r>
      <w:r>
        <w:rPr>
          <w:rFonts w:ascii="Verdana" w:hAnsi="Verdana"/>
          <w:sz w:val="20"/>
          <w:szCs w:val="20"/>
        </w:rPr>
        <w:t>relativos a que los DESCA so</w:t>
      </w:r>
      <w:r w:rsidRPr="00D36B44">
        <w:rPr>
          <w:rFonts w:ascii="Verdana" w:hAnsi="Verdana"/>
          <w:sz w:val="20"/>
          <w:szCs w:val="20"/>
        </w:rPr>
        <w:t>lo dependen del paso d</w:t>
      </w:r>
      <w:r>
        <w:rPr>
          <w:rFonts w:ascii="Verdana" w:hAnsi="Verdana"/>
          <w:sz w:val="20"/>
          <w:szCs w:val="20"/>
        </w:rPr>
        <w:t>el tiempo para ser garantizados. Esta creencia no tiene en cuenta</w:t>
      </w:r>
      <w:r w:rsidRPr="00D36B44">
        <w:rPr>
          <w:rFonts w:ascii="Verdana" w:hAnsi="Verdana"/>
          <w:sz w:val="20"/>
          <w:szCs w:val="20"/>
        </w:rPr>
        <w:t xml:space="preserve"> que existen las obligaciones </w:t>
      </w:r>
      <w:r>
        <w:rPr>
          <w:rFonts w:ascii="Verdana" w:hAnsi="Verdana"/>
          <w:sz w:val="20"/>
          <w:szCs w:val="20"/>
        </w:rPr>
        <w:t xml:space="preserve">estatales </w:t>
      </w:r>
      <w:r w:rsidRPr="00D36B44">
        <w:rPr>
          <w:rFonts w:ascii="Verdana" w:hAnsi="Verdana"/>
          <w:sz w:val="20"/>
          <w:szCs w:val="20"/>
        </w:rPr>
        <w:t>de respeto y garantía, que son aplicabl</w:t>
      </w:r>
      <w:r>
        <w:rPr>
          <w:rFonts w:ascii="Verdana" w:hAnsi="Verdana"/>
          <w:sz w:val="20"/>
          <w:szCs w:val="20"/>
        </w:rPr>
        <w:t>es a todos los derechos humanos sin distinción.</w:t>
      </w:r>
      <w:r w:rsidRPr="00D36B44">
        <w:rPr>
          <w:rFonts w:ascii="Verdana" w:hAnsi="Verdana"/>
          <w:sz w:val="20"/>
          <w:szCs w:val="20"/>
        </w:rPr>
        <w:t xml:space="preserve"> </w:t>
      </w:r>
      <w:r>
        <w:rPr>
          <w:rFonts w:ascii="Verdana" w:hAnsi="Verdana"/>
          <w:sz w:val="20"/>
          <w:szCs w:val="20"/>
        </w:rPr>
        <w:t>No se pretende judicializar las políticas públicas sociales, sino de lograr la protección efectiva de los derechos humanos en un caso particular.</w:t>
      </w:r>
    </w:p>
    <w:p w14:paraId="57C99B3B" w14:textId="77777777" w:rsidR="00F83E8F" w:rsidRDefault="00F83E8F" w:rsidP="00F83E8F">
      <w:pPr>
        <w:pStyle w:val="ListParagraph"/>
        <w:ind w:left="0"/>
        <w:jc w:val="both"/>
        <w:rPr>
          <w:rFonts w:ascii="Times" w:hAnsi="Times"/>
          <w:sz w:val="20"/>
          <w:szCs w:val="20"/>
        </w:rPr>
      </w:pPr>
    </w:p>
    <w:p w14:paraId="6C5505AA" w14:textId="77777777" w:rsidR="00F83E8F" w:rsidRPr="00D36B44" w:rsidRDefault="00F83E8F" w:rsidP="00F83E8F">
      <w:pPr>
        <w:pStyle w:val="ListParagraph"/>
        <w:ind w:left="0"/>
        <w:jc w:val="both"/>
        <w:rPr>
          <w:rFonts w:ascii="Times" w:hAnsi="Times"/>
          <w:sz w:val="20"/>
          <w:szCs w:val="20"/>
        </w:rPr>
      </w:pPr>
    </w:p>
    <w:p w14:paraId="14C745CB" w14:textId="77777777" w:rsidR="00F83E8F" w:rsidRPr="009B48FD" w:rsidRDefault="00F83E8F" w:rsidP="00E70701">
      <w:pPr>
        <w:pStyle w:val="ListParagraph"/>
        <w:numPr>
          <w:ilvl w:val="0"/>
          <w:numId w:val="28"/>
        </w:numPr>
        <w:ind w:left="0" w:firstLine="0"/>
        <w:jc w:val="both"/>
        <w:rPr>
          <w:rFonts w:ascii="Times" w:hAnsi="Times"/>
          <w:sz w:val="20"/>
          <w:szCs w:val="20"/>
        </w:rPr>
      </w:pPr>
      <w:r>
        <w:rPr>
          <w:rFonts w:ascii="Verdana" w:hAnsi="Verdana"/>
          <w:sz w:val="20"/>
          <w:szCs w:val="20"/>
        </w:rPr>
        <w:t xml:space="preserve">A partir de ahora, el </w:t>
      </w:r>
      <w:r w:rsidRPr="004E66B4">
        <w:rPr>
          <w:rFonts w:ascii="Verdana" w:hAnsi="Verdana"/>
          <w:sz w:val="20"/>
          <w:szCs w:val="20"/>
        </w:rPr>
        <w:t>Tribunal Interamericano puede abordar las diversas problemáticas que se le presenten</w:t>
      </w:r>
      <w:r>
        <w:rPr>
          <w:rFonts w:ascii="Verdana" w:hAnsi="Verdana"/>
          <w:sz w:val="20"/>
          <w:szCs w:val="20"/>
        </w:rPr>
        <w:t>,</w:t>
      </w:r>
      <w:r w:rsidRPr="004E66B4">
        <w:rPr>
          <w:rFonts w:ascii="Verdana" w:hAnsi="Verdana"/>
          <w:sz w:val="20"/>
          <w:szCs w:val="20"/>
        </w:rPr>
        <w:t xml:space="preserve"> ya no </w:t>
      </w:r>
      <w:r>
        <w:rPr>
          <w:rFonts w:ascii="Verdana" w:hAnsi="Verdana"/>
          <w:sz w:val="20"/>
          <w:szCs w:val="20"/>
        </w:rPr>
        <w:t xml:space="preserve">a </w:t>
      </w:r>
      <w:r w:rsidRPr="004E66B4">
        <w:rPr>
          <w:rFonts w:ascii="Verdana" w:hAnsi="Verdana"/>
          <w:sz w:val="20"/>
          <w:szCs w:val="20"/>
        </w:rPr>
        <w:t xml:space="preserve">través de la conexidad </w:t>
      </w:r>
      <w:r>
        <w:rPr>
          <w:rFonts w:ascii="Verdana" w:hAnsi="Verdana"/>
          <w:sz w:val="20"/>
          <w:szCs w:val="20"/>
        </w:rPr>
        <w:t xml:space="preserve">o vía </w:t>
      </w:r>
      <w:r w:rsidRPr="004E66B4">
        <w:rPr>
          <w:rFonts w:ascii="Verdana" w:hAnsi="Verdana"/>
          <w:sz w:val="20"/>
          <w:szCs w:val="20"/>
        </w:rPr>
        <w:t>indirecta</w:t>
      </w:r>
      <w:r>
        <w:rPr>
          <w:rFonts w:ascii="Verdana" w:hAnsi="Verdana"/>
          <w:sz w:val="20"/>
          <w:szCs w:val="20"/>
        </w:rPr>
        <w:t xml:space="preserve">, </w:t>
      </w:r>
      <w:r w:rsidRPr="004E66B4">
        <w:rPr>
          <w:rFonts w:ascii="Verdana" w:hAnsi="Verdana"/>
          <w:sz w:val="20"/>
          <w:szCs w:val="20"/>
        </w:rPr>
        <w:t xml:space="preserve"> subsumiendo el contenido de los </w:t>
      </w:r>
      <w:r>
        <w:rPr>
          <w:rFonts w:ascii="Verdana" w:hAnsi="Verdana"/>
          <w:sz w:val="20"/>
          <w:szCs w:val="20"/>
        </w:rPr>
        <w:t>DESCA</w:t>
      </w:r>
      <w:r w:rsidRPr="004E66B4">
        <w:rPr>
          <w:rFonts w:ascii="Verdana" w:hAnsi="Verdana"/>
          <w:sz w:val="20"/>
          <w:szCs w:val="20"/>
        </w:rPr>
        <w:t xml:space="preserve"> en los derechos civiles y políticos</w:t>
      </w:r>
      <w:r>
        <w:rPr>
          <w:rFonts w:ascii="Verdana" w:hAnsi="Verdana"/>
          <w:sz w:val="20"/>
          <w:szCs w:val="20"/>
        </w:rPr>
        <w:t xml:space="preserve">; sino teniendo </w:t>
      </w:r>
      <w:r w:rsidRPr="004E66B4">
        <w:rPr>
          <w:rFonts w:ascii="Verdana" w:hAnsi="Verdana"/>
          <w:sz w:val="20"/>
          <w:szCs w:val="20"/>
        </w:rPr>
        <w:t xml:space="preserve">una visión </w:t>
      </w:r>
      <w:r>
        <w:rPr>
          <w:rFonts w:ascii="Verdana" w:hAnsi="Verdana"/>
          <w:sz w:val="20"/>
          <w:szCs w:val="20"/>
        </w:rPr>
        <w:t xml:space="preserve">social más </w:t>
      </w:r>
      <w:r w:rsidRPr="004E66B4">
        <w:rPr>
          <w:rFonts w:ascii="Verdana" w:hAnsi="Verdana"/>
          <w:sz w:val="20"/>
          <w:szCs w:val="20"/>
        </w:rPr>
        <w:t xml:space="preserve">amplia de las violaciones que se presenten en los futuros casos. Advierto que la cuestión reviste </w:t>
      </w:r>
      <w:r>
        <w:rPr>
          <w:rFonts w:ascii="Verdana" w:hAnsi="Verdana"/>
          <w:sz w:val="20"/>
          <w:szCs w:val="20"/>
        </w:rPr>
        <w:t xml:space="preserve">especial </w:t>
      </w:r>
      <w:r w:rsidRPr="004E66B4">
        <w:rPr>
          <w:rFonts w:ascii="Verdana" w:hAnsi="Verdana"/>
          <w:sz w:val="20"/>
          <w:szCs w:val="20"/>
        </w:rPr>
        <w:t>importancia</w:t>
      </w:r>
      <w:r>
        <w:rPr>
          <w:rFonts w:ascii="Verdana" w:hAnsi="Verdana"/>
          <w:sz w:val="20"/>
          <w:szCs w:val="20"/>
        </w:rPr>
        <w:t xml:space="preserve"> en la región latinoamericana</w:t>
      </w:r>
      <w:r w:rsidRPr="004E66B4">
        <w:rPr>
          <w:rFonts w:ascii="Verdana" w:hAnsi="Verdana"/>
          <w:sz w:val="20"/>
          <w:szCs w:val="20"/>
        </w:rPr>
        <w:t>,</w:t>
      </w:r>
      <w:r>
        <w:rPr>
          <w:rFonts w:ascii="Verdana" w:hAnsi="Verdana"/>
          <w:sz w:val="20"/>
          <w:szCs w:val="20"/>
        </w:rPr>
        <w:t xml:space="preserve"> que mantiene altos índices de inequidad, desigualdad, pobreza y exclusión social. Estoy convencido que esta nueva visión de los derechos sociales interamericanos, permitirá</w:t>
      </w:r>
      <w:r w:rsidRPr="004E66B4">
        <w:rPr>
          <w:rFonts w:ascii="Verdana" w:hAnsi="Verdana"/>
          <w:sz w:val="20"/>
          <w:szCs w:val="20"/>
        </w:rPr>
        <w:t xml:space="preserve"> el análisis más detallado y comprensivo de los derechos y obligaciones comprometidos</w:t>
      </w:r>
      <w:r>
        <w:rPr>
          <w:rFonts w:ascii="Verdana" w:hAnsi="Verdana"/>
          <w:sz w:val="20"/>
          <w:szCs w:val="20"/>
        </w:rPr>
        <w:t xml:space="preserve"> en un caso,</w:t>
      </w:r>
      <w:r w:rsidRPr="004E66B4">
        <w:rPr>
          <w:rFonts w:ascii="Verdana" w:hAnsi="Verdana"/>
          <w:sz w:val="20"/>
          <w:szCs w:val="20"/>
        </w:rPr>
        <w:t xml:space="preserve"> </w:t>
      </w:r>
      <w:r>
        <w:rPr>
          <w:rFonts w:ascii="Verdana" w:hAnsi="Verdana"/>
          <w:sz w:val="20"/>
          <w:szCs w:val="20"/>
        </w:rPr>
        <w:t>permitiendo</w:t>
      </w:r>
      <w:r w:rsidRPr="004E66B4">
        <w:rPr>
          <w:rFonts w:ascii="Verdana" w:hAnsi="Verdana"/>
          <w:sz w:val="20"/>
          <w:szCs w:val="20"/>
        </w:rPr>
        <w:t xml:space="preserve"> el desarrollo de criterios jurídicos </w:t>
      </w:r>
      <w:r>
        <w:rPr>
          <w:rFonts w:ascii="Verdana" w:hAnsi="Verdana"/>
          <w:sz w:val="20"/>
          <w:szCs w:val="20"/>
        </w:rPr>
        <w:t xml:space="preserve">y estándares, que aborden </w:t>
      </w:r>
      <w:r w:rsidRPr="004E66B4">
        <w:rPr>
          <w:rFonts w:ascii="Verdana" w:hAnsi="Verdana"/>
          <w:sz w:val="20"/>
          <w:szCs w:val="20"/>
        </w:rPr>
        <w:t>de modo más propio y punt</w:t>
      </w:r>
      <w:r>
        <w:rPr>
          <w:rFonts w:ascii="Verdana" w:hAnsi="Verdana"/>
          <w:sz w:val="20"/>
          <w:szCs w:val="20"/>
        </w:rPr>
        <w:t>u</w:t>
      </w:r>
      <w:r w:rsidRPr="004E66B4">
        <w:rPr>
          <w:rFonts w:ascii="Verdana" w:hAnsi="Verdana"/>
          <w:sz w:val="20"/>
          <w:szCs w:val="20"/>
        </w:rPr>
        <w:t>al asuntos de hondo impacto en la vigencia de los derechos humanos</w:t>
      </w:r>
      <w:r>
        <w:rPr>
          <w:rFonts w:ascii="Verdana" w:hAnsi="Verdana"/>
          <w:sz w:val="20"/>
          <w:szCs w:val="20"/>
        </w:rPr>
        <w:t xml:space="preserve"> en la región.</w:t>
      </w:r>
    </w:p>
    <w:p w14:paraId="3BCD39F7" w14:textId="77777777" w:rsidR="00F83E8F" w:rsidRPr="00FC4FC8" w:rsidRDefault="00F83E8F" w:rsidP="00F83E8F">
      <w:pPr>
        <w:pStyle w:val="ListParagraph"/>
        <w:ind w:left="0"/>
        <w:jc w:val="both"/>
        <w:rPr>
          <w:rFonts w:ascii="Verdana" w:hAnsi="Verdana"/>
          <w:sz w:val="20"/>
          <w:szCs w:val="20"/>
        </w:rPr>
      </w:pPr>
    </w:p>
    <w:p w14:paraId="3431A1E4" w14:textId="77777777" w:rsidR="00F83E8F" w:rsidRDefault="00F83E8F" w:rsidP="00F83E8F">
      <w:pPr>
        <w:pStyle w:val="ListParagraph"/>
        <w:ind w:left="0"/>
        <w:jc w:val="both"/>
        <w:rPr>
          <w:rFonts w:ascii="Verdana" w:hAnsi="Verdana"/>
          <w:sz w:val="20"/>
          <w:szCs w:val="20"/>
        </w:rPr>
      </w:pPr>
    </w:p>
    <w:p w14:paraId="5F80F1D9" w14:textId="77777777" w:rsidR="00F83E8F" w:rsidRDefault="00F83E8F" w:rsidP="00F83E8F">
      <w:pPr>
        <w:pStyle w:val="ListParagraph"/>
        <w:ind w:left="0"/>
        <w:jc w:val="both"/>
        <w:rPr>
          <w:rFonts w:ascii="Verdana" w:hAnsi="Verdana"/>
          <w:sz w:val="20"/>
          <w:szCs w:val="20"/>
        </w:rPr>
      </w:pPr>
    </w:p>
    <w:p w14:paraId="70CAE958" w14:textId="77777777" w:rsidR="00F83E8F" w:rsidRDefault="00F83E8F" w:rsidP="00F83E8F">
      <w:pPr>
        <w:pStyle w:val="ListParagraph"/>
        <w:ind w:left="0"/>
        <w:jc w:val="both"/>
        <w:rPr>
          <w:rFonts w:ascii="Verdana" w:hAnsi="Verdana"/>
          <w:sz w:val="20"/>
          <w:szCs w:val="20"/>
        </w:rPr>
      </w:pPr>
    </w:p>
    <w:p w14:paraId="3366DB2B" w14:textId="77777777" w:rsidR="00F83E8F" w:rsidRDefault="00F83E8F" w:rsidP="00F83E8F">
      <w:pPr>
        <w:pStyle w:val="ListParagraph"/>
        <w:ind w:left="0"/>
        <w:jc w:val="both"/>
        <w:rPr>
          <w:rFonts w:ascii="Verdana" w:hAnsi="Verdana"/>
          <w:sz w:val="20"/>
          <w:szCs w:val="20"/>
        </w:rPr>
      </w:pPr>
    </w:p>
    <w:p w14:paraId="671D3F92" w14:textId="77777777" w:rsidR="00F83E8F" w:rsidRDefault="00F83E8F" w:rsidP="00F83E8F">
      <w:pPr>
        <w:pStyle w:val="ListParagraph"/>
        <w:ind w:left="0"/>
        <w:jc w:val="both"/>
        <w:rPr>
          <w:rFonts w:ascii="Verdana" w:hAnsi="Verdana"/>
          <w:sz w:val="20"/>
          <w:szCs w:val="20"/>
        </w:rPr>
      </w:pPr>
    </w:p>
    <w:p w14:paraId="681CA96A" w14:textId="77777777" w:rsidR="00F83E8F" w:rsidRPr="00FC4FC8" w:rsidRDefault="00F83E8F" w:rsidP="00F83E8F">
      <w:pPr>
        <w:pStyle w:val="ListParagraph"/>
        <w:ind w:left="0"/>
        <w:jc w:val="both"/>
        <w:rPr>
          <w:rFonts w:ascii="Verdana" w:hAnsi="Verdana"/>
          <w:sz w:val="20"/>
          <w:szCs w:val="20"/>
        </w:rPr>
      </w:pPr>
    </w:p>
    <w:p w14:paraId="6F1C8928" w14:textId="77777777" w:rsidR="00F83E8F" w:rsidRPr="00FC4FC8" w:rsidRDefault="00F83E8F" w:rsidP="00F83E8F">
      <w:pPr>
        <w:pStyle w:val="ListParagraph"/>
        <w:ind w:left="0"/>
        <w:jc w:val="both"/>
        <w:rPr>
          <w:rFonts w:ascii="Verdana" w:hAnsi="Verdana"/>
          <w:sz w:val="20"/>
          <w:szCs w:val="20"/>
        </w:rPr>
      </w:pPr>
    </w:p>
    <w:p w14:paraId="34C6C1DD" w14:textId="77777777" w:rsidR="00F83E8F" w:rsidRPr="00FC4FC8" w:rsidRDefault="00F83E8F" w:rsidP="00F83E8F">
      <w:pPr>
        <w:pStyle w:val="ListParagraph"/>
        <w:ind w:left="0"/>
        <w:jc w:val="both"/>
        <w:rPr>
          <w:rFonts w:ascii="Verdana" w:hAnsi="Verdana"/>
          <w:sz w:val="20"/>
          <w:szCs w:val="20"/>
        </w:rPr>
      </w:pPr>
    </w:p>
    <w:p w14:paraId="4807F834" w14:textId="77777777" w:rsidR="00F83E8F" w:rsidRPr="00FC4FC8" w:rsidRDefault="00F83E8F" w:rsidP="00F83E8F">
      <w:pPr>
        <w:pStyle w:val="ListParagraph"/>
        <w:widowControl w:val="0"/>
        <w:autoSpaceDE w:val="0"/>
        <w:autoSpaceDN w:val="0"/>
        <w:adjustRightInd w:val="0"/>
        <w:ind w:left="0"/>
        <w:contextualSpacing w:val="0"/>
        <w:jc w:val="right"/>
        <w:rPr>
          <w:rFonts w:ascii="Verdana" w:hAnsi="Verdana"/>
          <w:sz w:val="20"/>
          <w:szCs w:val="20"/>
        </w:rPr>
      </w:pPr>
      <w:r w:rsidRPr="00FC4FC8">
        <w:rPr>
          <w:rFonts w:ascii="Verdana" w:hAnsi="Verdana"/>
          <w:sz w:val="20"/>
          <w:szCs w:val="20"/>
        </w:rPr>
        <w:t>Eduardo Ferrer Mac-Gregor Poisot</w:t>
      </w:r>
    </w:p>
    <w:p w14:paraId="74C9B037" w14:textId="77777777" w:rsidR="00F83E8F" w:rsidRPr="00FC4FC8" w:rsidRDefault="00F83E8F" w:rsidP="00F83E8F">
      <w:pPr>
        <w:pStyle w:val="ListParagraph"/>
        <w:widowControl w:val="0"/>
        <w:tabs>
          <w:tab w:val="left" w:pos="0"/>
        </w:tabs>
        <w:autoSpaceDE w:val="0"/>
        <w:autoSpaceDN w:val="0"/>
        <w:adjustRightInd w:val="0"/>
        <w:ind w:left="0" w:right="1638"/>
        <w:contextualSpacing w:val="0"/>
        <w:jc w:val="right"/>
        <w:rPr>
          <w:rFonts w:ascii="Verdana" w:hAnsi="Verdana"/>
          <w:sz w:val="20"/>
          <w:szCs w:val="20"/>
        </w:rPr>
      </w:pPr>
      <w:r w:rsidRPr="00FC4FC8">
        <w:rPr>
          <w:rFonts w:ascii="Verdana" w:hAnsi="Verdana"/>
          <w:sz w:val="20"/>
          <w:szCs w:val="20"/>
        </w:rPr>
        <w:t>Juez</w:t>
      </w:r>
    </w:p>
    <w:p w14:paraId="787A1933" w14:textId="77777777" w:rsidR="00F83E8F" w:rsidRPr="00FC4FC8"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7F25B707" w14:textId="77777777" w:rsidR="00F83E8F"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64EB9156" w14:textId="77777777" w:rsidR="00F83E8F"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3C336B95" w14:textId="77777777" w:rsidR="00F83E8F"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1BB2F6B7" w14:textId="77777777" w:rsidR="00F83E8F"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3BAF9E2D" w14:textId="77777777" w:rsidR="00F83E8F"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5B53FA10" w14:textId="77777777" w:rsidR="00F83E8F" w:rsidRPr="00FC4FC8"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3FAD3039" w14:textId="77777777" w:rsidR="00F83E8F" w:rsidRPr="00FC4FC8"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721FD092" w14:textId="77777777" w:rsidR="00F83E8F" w:rsidRPr="00FC4FC8"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49917763" w14:textId="77777777" w:rsidR="00F83E8F" w:rsidRPr="00FC4FC8"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p>
    <w:p w14:paraId="6C9DDEAA" w14:textId="77777777" w:rsidR="00F83E8F" w:rsidRPr="00FC4FC8" w:rsidRDefault="00F83E8F" w:rsidP="00F83E8F">
      <w:pPr>
        <w:pStyle w:val="ListParagraph"/>
        <w:widowControl w:val="0"/>
        <w:tabs>
          <w:tab w:val="left" w:pos="0"/>
        </w:tabs>
        <w:autoSpaceDE w:val="0"/>
        <w:autoSpaceDN w:val="0"/>
        <w:adjustRightInd w:val="0"/>
        <w:ind w:left="0"/>
        <w:contextualSpacing w:val="0"/>
        <w:rPr>
          <w:rFonts w:ascii="Verdana" w:hAnsi="Verdana"/>
          <w:sz w:val="20"/>
          <w:szCs w:val="20"/>
        </w:rPr>
      </w:pPr>
      <w:r w:rsidRPr="00FC4FC8">
        <w:rPr>
          <w:rFonts w:ascii="Verdana" w:hAnsi="Verdana"/>
          <w:sz w:val="20"/>
          <w:szCs w:val="20"/>
        </w:rPr>
        <w:t>Pablo Saavedra Alessandri</w:t>
      </w:r>
    </w:p>
    <w:p w14:paraId="7F740774" w14:textId="77777777" w:rsidR="00F83E8F" w:rsidRPr="00FC4FC8" w:rsidRDefault="00F83E8F" w:rsidP="00F83E8F">
      <w:pPr>
        <w:jc w:val="both"/>
        <w:rPr>
          <w:rFonts w:ascii="Verdana" w:hAnsi="Verdana"/>
          <w:sz w:val="20"/>
          <w:szCs w:val="20"/>
        </w:rPr>
      </w:pPr>
      <w:r w:rsidRPr="00FC4FC8">
        <w:rPr>
          <w:rFonts w:ascii="Verdana" w:hAnsi="Verdana"/>
          <w:sz w:val="20"/>
          <w:szCs w:val="20"/>
        </w:rPr>
        <w:t xml:space="preserve">           Secretario</w:t>
      </w:r>
    </w:p>
    <w:p w14:paraId="455BA2B1" w14:textId="688DE78C" w:rsidR="00F83E8F" w:rsidRPr="001932BE" w:rsidRDefault="00F83E8F">
      <w:pPr>
        <w:ind w:firstLine="720"/>
        <w:rPr>
          <w:rFonts w:cs="Arial"/>
          <w:szCs w:val="20"/>
        </w:rPr>
      </w:pPr>
    </w:p>
    <w:p w14:paraId="3B1652B2" w14:textId="77777777" w:rsidR="00F83E8F" w:rsidRDefault="00F83E8F" w:rsidP="0060277E">
      <w:pPr>
        <w:tabs>
          <w:tab w:val="left" w:pos="8640"/>
        </w:tabs>
        <w:ind w:left="720"/>
        <w:rPr>
          <w:rFonts w:ascii="Verdana" w:hAnsi="Verdana"/>
          <w:sz w:val="20"/>
        </w:rPr>
        <w:sectPr w:rsidR="00F83E8F" w:rsidSect="00F83E8F">
          <w:footnotePr>
            <w:numRestart w:val="eachSect"/>
          </w:footnotePr>
          <w:pgSz w:w="12240" w:h="15840" w:code="1"/>
          <w:pgMar w:top="1247" w:right="1247" w:bottom="1247" w:left="1247" w:header="709" w:footer="709" w:gutter="0"/>
          <w:pgNumType w:start="1"/>
          <w:cols w:space="708"/>
          <w:titlePg/>
          <w:docGrid w:linePitch="360"/>
        </w:sectPr>
      </w:pPr>
    </w:p>
    <w:p w14:paraId="385060DB" w14:textId="77777777" w:rsidR="00E70701" w:rsidRDefault="00E70701" w:rsidP="00C44F79">
      <w:pPr>
        <w:jc w:val="center"/>
        <w:rPr>
          <w:rFonts w:ascii="Verdana" w:hAnsi="Verdana"/>
          <w:b/>
          <w:sz w:val="20"/>
          <w:szCs w:val="20"/>
          <w:lang w:val="es-ES"/>
        </w:rPr>
      </w:pPr>
    </w:p>
    <w:p w14:paraId="7EA07597" w14:textId="77777777" w:rsidR="00E70701" w:rsidRDefault="00E70701" w:rsidP="00C44F79">
      <w:pPr>
        <w:jc w:val="center"/>
        <w:rPr>
          <w:rFonts w:ascii="Verdana" w:hAnsi="Verdana"/>
          <w:b/>
          <w:sz w:val="20"/>
          <w:szCs w:val="20"/>
          <w:lang w:val="es-ES"/>
        </w:rPr>
      </w:pPr>
    </w:p>
    <w:p w14:paraId="6CCC1F5C" w14:textId="77777777" w:rsidR="00E70701" w:rsidRDefault="00E70701" w:rsidP="00C44F79">
      <w:pPr>
        <w:jc w:val="center"/>
        <w:rPr>
          <w:rFonts w:ascii="Verdana" w:hAnsi="Verdana"/>
          <w:b/>
          <w:sz w:val="20"/>
          <w:szCs w:val="20"/>
          <w:lang w:val="es-ES"/>
        </w:rPr>
      </w:pPr>
    </w:p>
    <w:p w14:paraId="2B7A6B0F" w14:textId="77777777" w:rsidR="003C2143" w:rsidRDefault="003C2143" w:rsidP="003C2143">
      <w:pPr>
        <w:jc w:val="center"/>
        <w:rPr>
          <w:rFonts w:ascii="Verdana" w:hAnsi="Verdana"/>
          <w:b/>
          <w:sz w:val="20"/>
          <w:szCs w:val="20"/>
          <w:lang w:val="es-ES"/>
        </w:rPr>
      </w:pPr>
    </w:p>
    <w:p w14:paraId="1269E1AA" w14:textId="77777777" w:rsidR="003C2143" w:rsidRDefault="003C2143" w:rsidP="003C2143">
      <w:pPr>
        <w:jc w:val="center"/>
        <w:rPr>
          <w:rFonts w:ascii="Verdana" w:hAnsi="Verdana"/>
          <w:b/>
          <w:sz w:val="20"/>
          <w:szCs w:val="20"/>
          <w:lang w:val="es-ES"/>
        </w:rPr>
      </w:pPr>
    </w:p>
    <w:p w14:paraId="0302E79D" w14:textId="77777777" w:rsidR="003C2143" w:rsidRDefault="003C2143" w:rsidP="003C2143">
      <w:pPr>
        <w:jc w:val="center"/>
        <w:rPr>
          <w:rFonts w:ascii="Verdana" w:hAnsi="Verdana"/>
          <w:b/>
          <w:sz w:val="20"/>
          <w:szCs w:val="20"/>
          <w:lang w:val="es-ES"/>
        </w:rPr>
      </w:pPr>
    </w:p>
    <w:p w14:paraId="217C35FF" w14:textId="77777777" w:rsidR="003C2143" w:rsidRPr="00CF7FE6" w:rsidRDefault="003C2143" w:rsidP="003C2143">
      <w:pPr>
        <w:jc w:val="center"/>
        <w:rPr>
          <w:rFonts w:ascii="Verdana" w:hAnsi="Verdana"/>
          <w:b/>
          <w:sz w:val="20"/>
          <w:szCs w:val="20"/>
          <w:lang w:val="es-ES"/>
        </w:rPr>
      </w:pPr>
      <w:r w:rsidRPr="00CF7FE6">
        <w:rPr>
          <w:rFonts w:ascii="Verdana" w:hAnsi="Verdana"/>
          <w:b/>
          <w:sz w:val="20"/>
          <w:szCs w:val="20"/>
          <w:lang w:val="es-ES"/>
        </w:rPr>
        <w:t xml:space="preserve">VOTO PARCIALMENTE DISIDENTE DEL JUEZ </w:t>
      </w:r>
    </w:p>
    <w:p w14:paraId="353047D0" w14:textId="77777777" w:rsidR="003C2143" w:rsidRPr="00CF7FE6" w:rsidRDefault="003C2143" w:rsidP="003C2143">
      <w:pPr>
        <w:jc w:val="center"/>
        <w:rPr>
          <w:rFonts w:ascii="Verdana" w:hAnsi="Verdana"/>
          <w:b/>
          <w:sz w:val="20"/>
          <w:szCs w:val="20"/>
          <w:lang w:val="es-ES"/>
        </w:rPr>
      </w:pPr>
      <w:r w:rsidRPr="00CF7FE6">
        <w:rPr>
          <w:rFonts w:ascii="Verdana" w:hAnsi="Verdana"/>
          <w:b/>
          <w:sz w:val="20"/>
          <w:szCs w:val="20"/>
          <w:lang w:val="es-ES"/>
        </w:rPr>
        <w:t>EDUARDO VIO GROSSI,</w:t>
      </w:r>
    </w:p>
    <w:p w14:paraId="183FCEAE" w14:textId="77777777" w:rsidR="003C2143" w:rsidRPr="00CF7FE6" w:rsidRDefault="003C2143" w:rsidP="003C2143">
      <w:pPr>
        <w:jc w:val="center"/>
        <w:rPr>
          <w:rFonts w:ascii="Verdana" w:hAnsi="Verdana"/>
          <w:b/>
          <w:sz w:val="20"/>
          <w:szCs w:val="20"/>
          <w:lang w:val="es-ES"/>
        </w:rPr>
      </w:pPr>
      <w:r w:rsidRPr="00CF7FE6">
        <w:rPr>
          <w:rFonts w:ascii="Verdana" w:hAnsi="Verdana"/>
          <w:b/>
          <w:sz w:val="20"/>
          <w:szCs w:val="20"/>
          <w:lang w:val="es-ES"/>
        </w:rPr>
        <w:t>CORTE INTERAMERICANA DE DERECHOS HUMANOS,</w:t>
      </w:r>
    </w:p>
    <w:p w14:paraId="62E8B410" w14:textId="77777777" w:rsidR="003C2143" w:rsidRPr="00CF7FE6" w:rsidRDefault="003C2143" w:rsidP="003C2143">
      <w:pPr>
        <w:jc w:val="center"/>
        <w:rPr>
          <w:rFonts w:ascii="Verdana" w:hAnsi="Verdana"/>
          <w:b/>
          <w:sz w:val="20"/>
          <w:szCs w:val="20"/>
          <w:lang w:val="es-ES"/>
        </w:rPr>
      </w:pPr>
      <w:r w:rsidRPr="00CF7FE6">
        <w:rPr>
          <w:rFonts w:ascii="Verdana" w:hAnsi="Verdana"/>
          <w:b/>
          <w:sz w:val="20"/>
          <w:szCs w:val="20"/>
          <w:lang w:val="es-ES"/>
        </w:rPr>
        <w:t>CASO LAGOS DEL CAMPO VS. PERÚ,</w:t>
      </w:r>
    </w:p>
    <w:p w14:paraId="1450B543" w14:textId="77777777" w:rsidR="003C2143" w:rsidRPr="00CF7FE6" w:rsidRDefault="003C2143" w:rsidP="003C2143">
      <w:pPr>
        <w:jc w:val="center"/>
        <w:rPr>
          <w:rFonts w:ascii="Verdana" w:hAnsi="Verdana"/>
          <w:b/>
          <w:sz w:val="20"/>
          <w:szCs w:val="20"/>
          <w:lang w:val="es-ES"/>
        </w:rPr>
      </w:pPr>
      <w:r w:rsidRPr="00CF7FE6">
        <w:rPr>
          <w:rFonts w:ascii="Verdana" w:hAnsi="Verdana"/>
          <w:b/>
          <w:sz w:val="20"/>
          <w:szCs w:val="20"/>
          <w:lang w:val="es-ES"/>
        </w:rPr>
        <w:t>SENTENCIA DE 31 DE AGOSTO DE 2017,</w:t>
      </w:r>
    </w:p>
    <w:p w14:paraId="774690F2" w14:textId="77777777" w:rsidR="003C2143" w:rsidRPr="00CF7FE6" w:rsidRDefault="003C2143" w:rsidP="003C2143">
      <w:pPr>
        <w:jc w:val="center"/>
        <w:rPr>
          <w:rFonts w:ascii="Verdana" w:hAnsi="Verdana"/>
          <w:b/>
          <w:sz w:val="20"/>
          <w:szCs w:val="20"/>
          <w:lang w:val="es-ES"/>
        </w:rPr>
      </w:pPr>
      <w:r w:rsidRPr="00CF7FE6">
        <w:rPr>
          <w:rFonts w:ascii="Verdana" w:hAnsi="Verdana"/>
          <w:b/>
          <w:sz w:val="20"/>
          <w:szCs w:val="20"/>
          <w:lang w:val="es-ES"/>
        </w:rPr>
        <w:t>(Excepciones Preliminares, Fondo, Reparaciones y Costas)</w:t>
      </w:r>
    </w:p>
    <w:p w14:paraId="69338A4C" w14:textId="77777777" w:rsidR="003C2143" w:rsidRDefault="003C2143" w:rsidP="003C2143">
      <w:pPr>
        <w:jc w:val="both"/>
        <w:rPr>
          <w:rFonts w:ascii="Verdana" w:hAnsi="Verdana"/>
          <w:b/>
          <w:sz w:val="20"/>
          <w:szCs w:val="20"/>
          <w:lang w:val="es-ES"/>
        </w:rPr>
      </w:pPr>
    </w:p>
    <w:p w14:paraId="794D8582" w14:textId="77777777" w:rsidR="003C2143" w:rsidRPr="00CF7FE6" w:rsidRDefault="003C2143" w:rsidP="003C2143">
      <w:pPr>
        <w:jc w:val="both"/>
        <w:rPr>
          <w:rFonts w:ascii="Verdana" w:hAnsi="Verdana"/>
          <w:b/>
          <w:sz w:val="20"/>
          <w:szCs w:val="20"/>
          <w:lang w:val="es-ES"/>
        </w:rPr>
      </w:pPr>
    </w:p>
    <w:p w14:paraId="2E07CEC1" w14:textId="77777777" w:rsidR="003C2143" w:rsidRPr="00CF7FE6" w:rsidRDefault="003C2143" w:rsidP="003C2143">
      <w:pPr>
        <w:jc w:val="both"/>
        <w:rPr>
          <w:rFonts w:ascii="Verdana" w:hAnsi="Verdana"/>
          <w:b/>
          <w:sz w:val="20"/>
          <w:szCs w:val="20"/>
          <w:lang w:val="es-ES"/>
        </w:rPr>
      </w:pPr>
      <w:r w:rsidRPr="00CF7FE6">
        <w:rPr>
          <w:rFonts w:ascii="Verdana" w:hAnsi="Verdana"/>
          <w:b/>
          <w:sz w:val="20"/>
          <w:szCs w:val="20"/>
          <w:lang w:val="es-ES"/>
        </w:rPr>
        <w:t>INTRODUCCIÓN.</w:t>
      </w:r>
    </w:p>
    <w:p w14:paraId="7C93859F" w14:textId="77777777" w:rsidR="003C2143" w:rsidRDefault="003C2143" w:rsidP="003C2143">
      <w:pPr>
        <w:jc w:val="both"/>
        <w:rPr>
          <w:rFonts w:ascii="Verdana" w:hAnsi="Verdana"/>
          <w:sz w:val="20"/>
          <w:szCs w:val="20"/>
          <w:lang w:val="es-ES"/>
        </w:rPr>
      </w:pPr>
    </w:p>
    <w:p w14:paraId="427A17DA"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Se emite el presente voto parcialmente disidente</w:t>
      </w:r>
      <w:r w:rsidRPr="00CF7FE6">
        <w:rPr>
          <w:rStyle w:val="FootnoteReference"/>
          <w:szCs w:val="20"/>
          <w:lang w:val="es-ES"/>
        </w:rPr>
        <w:footnoteReference w:id="364"/>
      </w:r>
      <w:r w:rsidRPr="00CF7FE6">
        <w:rPr>
          <w:rFonts w:ascii="Verdana" w:hAnsi="Verdana"/>
          <w:sz w:val="20"/>
          <w:szCs w:val="20"/>
          <w:lang w:val="es-ES"/>
        </w:rPr>
        <w:t xml:space="preserve"> respecto de la Sentencia del epígrafe</w:t>
      </w:r>
      <w:r w:rsidRPr="00CF7FE6">
        <w:rPr>
          <w:rStyle w:val="FootnoteReference"/>
          <w:szCs w:val="20"/>
          <w:lang w:val="es-ES"/>
        </w:rPr>
        <w:footnoteReference w:id="365"/>
      </w:r>
      <w:r w:rsidRPr="00CF7FE6">
        <w:rPr>
          <w:rFonts w:ascii="Verdana" w:hAnsi="Verdana"/>
          <w:sz w:val="20"/>
          <w:szCs w:val="20"/>
          <w:lang w:val="es-ES"/>
        </w:rPr>
        <w:t>, por discrepar</w:t>
      </w:r>
      <w:r>
        <w:rPr>
          <w:rFonts w:ascii="Verdana" w:hAnsi="Verdana"/>
          <w:sz w:val="20"/>
          <w:szCs w:val="20"/>
          <w:lang w:val="es-ES"/>
        </w:rPr>
        <w:t xml:space="preserve"> respecto de la referencia</w:t>
      </w:r>
      <w:r w:rsidRPr="00CF7FE6">
        <w:rPr>
          <w:rFonts w:ascii="Verdana" w:hAnsi="Verdana"/>
          <w:sz w:val="20"/>
          <w:szCs w:val="20"/>
          <w:lang w:val="es-ES"/>
        </w:rPr>
        <w:t xml:space="preserve"> que hace al artículo 26</w:t>
      </w:r>
      <w:r w:rsidRPr="00CF7FE6">
        <w:rPr>
          <w:rStyle w:val="FootnoteReference"/>
          <w:szCs w:val="20"/>
          <w:lang w:val="es-ES"/>
        </w:rPr>
        <w:footnoteReference w:id="366"/>
      </w:r>
      <w:r w:rsidRPr="00CF7FE6">
        <w:rPr>
          <w:rFonts w:ascii="Verdana" w:hAnsi="Verdana"/>
          <w:sz w:val="20"/>
          <w:szCs w:val="20"/>
          <w:lang w:val="es-ES"/>
        </w:rPr>
        <w:t xml:space="preserve"> de la Convención Americana sobre Derechos Humanos</w:t>
      </w:r>
      <w:r w:rsidRPr="00CF7FE6">
        <w:rPr>
          <w:rStyle w:val="FootnoteReference"/>
          <w:szCs w:val="20"/>
          <w:lang w:val="es-ES"/>
        </w:rPr>
        <w:footnoteReference w:id="367"/>
      </w:r>
      <w:r w:rsidRPr="00CF7FE6">
        <w:rPr>
          <w:rFonts w:ascii="Verdana" w:hAnsi="Verdana"/>
          <w:sz w:val="20"/>
          <w:szCs w:val="20"/>
          <w:lang w:val="es-ES"/>
        </w:rPr>
        <w:t xml:space="preserve"> como fundamento de sus Resolutivos</w:t>
      </w:r>
      <w:r>
        <w:rPr>
          <w:rFonts w:ascii="Verdana" w:hAnsi="Verdana"/>
          <w:sz w:val="20"/>
          <w:szCs w:val="20"/>
          <w:lang w:val="es-ES"/>
        </w:rPr>
        <w:t xml:space="preserve"> N°</w:t>
      </w:r>
      <w:r w:rsidRPr="00CF7FE6">
        <w:rPr>
          <w:rFonts w:ascii="Verdana" w:hAnsi="Verdana"/>
          <w:sz w:val="20"/>
          <w:szCs w:val="20"/>
          <w:lang w:val="es-ES"/>
        </w:rPr>
        <w:t xml:space="preserve"> 5</w:t>
      </w:r>
      <w:r w:rsidRPr="00CF7FE6">
        <w:rPr>
          <w:rStyle w:val="FootnoteReference"/>
          <w:szCs w:val="20"/>
          <w:lang w:val="es-ES"/>
        </w:rPr>
        <w:footnoteReference w:id="368"/>
      </w:r>
      <w:r w:rsidRPr="00CF7FE6">
        <w:rPr>
          <w:rFonts w:ascii="Verdana" w:hAnsi="Verdana"/>
          <w:sz w:val="20"/>
          <w:szCs w:val="20"/>
          <w:lang w:val="es-ES"/>
        </w:rPr>
        <w:t xml:space="preserve"> y 6</w:t>
      </w:r>
      <w:r w:rsidRPr="00CF7FE6">
        <w:rPr>
          <w:rStyle w:val="FootnoteReference"/>
          <w:szCs w:val="20"/>
          <w:lang w:val="es-ES"/>
        </w:rPr>
        <w:footnoteReference w:id="369"/>
      </w:r>
      <w:r w:rsidRPr="00CF7FE6">
        <w:rPr>
          <w:rFonts w:ascii="Verdana" w:hAnsi="Verdana"/>
          <w:sz w:val="20"/>
          <w:szCs w:val="20"/>
          <w:lang w:val="es-ES"/>
        </w:rPr>
        <w:t xml:space="preserve">, por los que se declara que </w:t>
      </w:r>
      <w:r w:rsidRPr="00161813">
        <w:rPr>
          <w:rFonts w:ascii="Verdana" w:hAnsi="Verdana"/>
          <w:i/>
          <w:sz w:val="20"/>
          <w:szCs w:val="20"/>
          <w:lang w:val="es-ES"/>
        </w:rPr>
        <w:t>“[e]l</w:t>
      </w:r>
      <w:r w:rsidRPr="00CF7FE6">
        <w:rPr>
          <w:rFonts w:ascii="Verdana" w:hAnsi="Verdana"/>
          <w:i/>
          <w:sz w:val="20"/>
          <w:szCs w:val="20"/>
          <w:lang w:val="es-ES"/>
        </w:rPr>
        <w:t xml:space="preserve"> Estado es responsable por la violación al derecho a la estabilidad en el empleo</w:t>
      </w:r>
      <w:r w:rsidRPr="00CF7FE6">
        <w:rPr>
          <w:rFonts w:ascii="Verdana" w:hAnsi="Verdana"/>
          <w:sz w:val="20"/>
          <w:szCs w:val="20"/>
          <w:lang w:val="es-ES"/>
        </w:rPr>
        <w:t>” y “</w:t>
      </w:r>
      <w:r w:rsidRPr="00CF7FE6">
        <w:rPr>
          <w:rFonts w:ascii="Verdana" w:hAnsi="Verdana"/>
          <w:i/>
          <w:sz w:val="20"/>
          <w:szCs w:val="20"/>
          <w:lang w:val="es-ES"/>
        </w:rPr>
        <w:t>al derecho a la libertad de asociación”.</w:t>
      </w:r>
      <w:r w:rsidRPr="00CF7FE6">
        <w:rPr>
          <w:rFonts w:ascii="Verdana" w:hAnsi="Verdana"/>
          <w:sz w:val="20"/>
          <w:szCs w:val="20"/>
          <w:lang w:val="es-ES"/>
        </w:rPr>
        <w:t xml:space="preserve"> </w:t>
      </w:r>
    </w:p>
    <w:p w14:paraId="60F1E008" w14:textId="77777777" w:rsidR="003C2143" w:rsidRDefault="003C2143" w:rsidP="003C2143">
      <w:pPr>
        <w:jc w:val="both"/>
        <w:rPr>
          <w:rFonts w:ascii="Verdana" w:hAnsi="Verdana"/>
          <w:sz w:val="20"/>
          <w:szCs w:val="20"/>
          <w:lang w:val="es-ES"/>
        </w:rPr>
      </w:pPr>
    </w:p>
    <w:p w14:paraId="3A2C8AF1" w14:textId="77777777" w:rsidR="003C2143" w:rsidRDefault="003C2143" w:rsidP="003C2143">
      <w:pPr>
        <w:jc w:val="both"/>
        <w:rPr>
          <w:rFonts w:ascii="Verdana" w:hAnsi="Verdana"/>
          <w:sz w:val="20"/>
          <w:szCs w:val="20"/>
          <w:lang w:val="es-ES"/>
        </w:rPr>
      </w:pPr>
    </w:p>
    <w:p w14:paraId="59DB18F0" w14:textId="77777777" w:rsidR="003C2143" w:rsidRDefault="003C2143" w:rsidP="003C2143">
      <w:pPr>
        <w:jc w:val="both"/>
        <w:rPr>
          <w:rFonts w:ascii="Verdana" w:hAnsi="Verdana"/>
          <w:sz w:val="20"/>
          <w:szCs w:val="20"/>
          <w:lang w:val="es-ES"/>
        </w:rPr>
      </w:pPr>
    </w:p>
    <w:p w14:paraId="4558A3C7" w14:textId="77777777" w:rsidR="003C2143" w:rsidRDefault="003C2143" w:rsidP="003C2143">
      <w:pPr>
        <w:jc w:val="both"/>
        <w:rPr>
          <w:rFonts w:ascii="Verdana" w:hAnsi="Verdana"/>
          <w:sz w:val="20"/>
          <w:szCs w:val="20"/>
          <w:lang w:val="es-ES"/>
        </w:rPr>
      </w:pPr>
    </w:p>
    <w:p w14:paraId="3A263920" w14:textId="77777777" w:rsidR="003C2143" w:rsidRDefault="003C2143" w:rsidP="003C2143">
      <w:pPr>
        <w:jc w:val="both"/>
        <w:rPr>
          <w:rFonts w:ascii="Verdana" w:hAnsi="Verdana"/>
          <w:sz w:val="20"/>
          <w:szCs w:val="20"/>
          <w:lang w:val="es-ES"/>
        </w:rPr>
      </w:pPr>
    </w:p>
    <w:p w14:paraId="676A5524" w14:textId="77777777" w:rsidR="003C2143" w:rsidRPr="00273011" w:rsidRDefault="003C2143" w:rsidP="003C2143">
      <w:pPr>
        <w:pStyle w:val="ListParagraph"/>
        <w:numPr>
          <w:ilvl w:val="0"/>
          <w:numId w:val="33"/>
        </w:numPr>
        <w:jc w:val="both"/>
        <w:rPr>
          <w:rFonts w:ascii="Verdana" w:hAnsi="Verdana"/>
          <w:b/>
          <w:sz w:val="20"/>
          <w:szCs w:val="20"/>
          <w:lang w:val="es-ES"/>
        </w:rPr>
      </w:pPr>
      <w:r w:rsidRPr="00273011">
        <w:rPr>
          <w:rFonts w:ascii="Verdana" w:hAnsi="Verdana"/>
          <w:b/>
          <w:sz w:val="20"/>
          <w:szCs w:val="20"/>
          <w:lang w:val="es-ES"/>
        </w:rPr>
        <w:t>Observaciones preliminares.</w:t>
      </w:r>
    </w:p>
    <w:p w14:paraId="75514215" w14:textId="77777777" w:rsidR="003C2143" w:rsidRPr="00CF7FE6" w:rsidRDefault="003C2143" w:rsidP="003C2143">
      <w:pPr>
        <w:jc w:val="both"/>
        <w:rPr>
          <w:rFonts w:ascii="Verdana" w:hAnsi="Verdana"/>
          <w:b/>
          <w:sz w:val="20"/>
          <w:szCs w:val="20"/>
          <w:lang w:val="es-ES"/>
        </w:rPr>
      </w:pPr>
    </w:p>
    <w:p w14:paraId="49611112" w14:textId="77777777" w:rsidR="003C2143" w:rsidRDefault="003C2143" w:rsidP="003C2143">
      <w:pPr>
        <w:jc w:val="both"/>
        <w:rPr>
          <w:rFonts w:ascii="Verdana" w:hAnsi="Verdana"/>
          <w:sz w:val="20"/>
          <w:szCs w:val="20"/>
          <w:lang w:val="es-ES"/>
        </w:rPr>
      </w:pPr>
      <w:r w:rsidRPr="00CF7FE6">
        <w:rPr>
          <w:rFonts w:ascii="Verdana" w:hAnsi="Verdana"/>
          <w:sz w:val="20"/>
          <w:szCs w:val="20"/>
          <w:lang w:val="es-ES"/>
        </w:rPr>
        <w:t>Ciertamente, este parecer se formula con pleno y absoluto respeto de lo resuelto en autos por la Corte Interamericana de Derechos Humanos</w:t>
      </w:r>
      <w:r w:rsidRPr="00CF7FE6">
        <w:rPr>
          <w:rStyle w:val="FootnoteReference"/>
          <w:szCs w:val="20"/>
          <w:lang w:val="es-ES"/>
        </w:rPr>
        <w:footnoteReference w:id="370"/>
      </w:r>
      <w:r w:rsidRPr="00CF7FE6">
        <w:rPr>
          <w:rFonts w:ascii="Verdana" w:hAnsi="Verdana"/>
          <w:sz w:val="20"/>
          <w:szCs w:val="20"/>
          <w:lang w:val="es-ES"/>
        </w:rPr>
        <w:t xml:space="preserve"> y que, por ende, debe ser acatado. El presente escrito no puede, por tanto, ser interpretado, en modo alguno,</w:t>
      </w:r>
      <w:r>
        <w:rPr>
          <w:rFonts w:ascii="Verdana" w:hAnsi="Verdana"/>
          <w:sz w:val="20"/>
          <w:szCs w:val="20"/>
          <w:lang w:val="es-ES"/>
        </w:rPr>
        <w:t xml:space="preserve"> como restando</w:t>
      </w:r>
      <w:r w:rsidRPr="00CF7FE6">
        <w:rPr>
          <w:rFonts w:ascii="Verdana" w:hAnsi="Verdana"/>
          <w:sz w:val="20"/>
          <w:szCs w:val="20"/>
          <w:lang w:val="es-ES"/>
        </w:rPr>
        <w:t xml:space="preserve"> legitimidad a la decisión adoptada en la presente causa.</w:t>
      </w:r>
      <w:r>
        <w:rPr>
          <w:rFonts w:ascii="Verdana" w:hAnsi="Verdana"/>
          <w:sz w:val="20"/>
          <w:szCs w:val="20"/>
          <w:lang w:val="es-ES"/>
        </w:rPr>
        <w:t xml:space="preserve"> Y es que aquél no solo constituye el ejercicio de un derecho, sino también el cumplimiento de un deber, cual es, contribuir a la mejor comprensión de la función asignada a la Corte. </w:t>
      </w:r>
    </w:p>
    <w:p w14:paraId="2BD8B988" w14:textId="77777777" w:rsidR="003C2143" w:rsidRDefault="003C2143" w:rsidP="003C2143">
      <w:pPr>
        <w:jc w:val="both"/>
        <w:rPr>
          <w:rFonts w:ascii="Verdana" w:hAnsi="Verdana"/>
          <w:sz w:val="20"/>
          <w:szCs w:val="20"/>
          <w:lang w:val="es-ES"/>
        </w:rPr>
      </w:pPr>
    </w:p>
    <w:p w14:paraId="34524FA7"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 xml:space="preserve">En tal perspectiva, se debe </w:t>
      </w:r>
      <w:r w:rsidRPr="007D1A04">
        <w:rPr>
          <w:rFonts w:ascii="Verdana" w:hAnsi="Verdana"/>
          <w:sz w:val="20"/>
          <w:szCs w:val="20"/>
          <w:lang w:val="es-ES"/>
        </w:rPr>
        <w:t>resaltar que el presente voto, como los demás emitidos por los jueces en éste y otros procesos, son demo</w:t>
      </w:r>
      <w:r>
        <w:rPr>
          <w:rFonts w:ascii="Verdana" w:hAnsi="Verdana"/>
          <w:sz w:val="20"/>
          <w:szCs w:val="20"/>
          <w:lang w:val="es-ES"/>
        </w:rPr>
        <w:t xml:space="preserve">stración evidente del diálogo y </w:t>
      </w:r>
      <w:r w:rsidRPr="007D1A04">
        <w:rPr>
          <w:rFonts w:ascii="Verdana" w:hAnsi="Verdana"/>
          <w:sz w:val="20"/>
          <w:szCs w:val="20"/>
          <w:lang w:val="es-ES"/>
        </w:rPr>
        <w:t>de la diversidad de par</w:t>
      </w:r>
      <w:r>
        <w:rPr>
          <w:rFonts w:ascii="Verdana" w:hAnsi="Verdana"/>
          <w:sz w:val="20"/>
          <w:szCs w:val="20"/>
          <w:lang w:val="es-ES"/>
        </w:rPr>
        <w:t xml:space="preserve">eceres que existe en la Corte, así como de la deferente consideración </w:t>
      </w:r>
      <w:r w:rsidRPr="007D1A04">
        <w:rPr>
          <w:rFonts w:ascii="Verdana" w:hAnsi="Verdana"/>
          <w:sz w:val="20"/>
          <w:szCs w:val="20"/>
          <w:lang w:val="es-ES"/>
        </w:rPr>
        <w:t>que se brindan sus integrantes, todo lo cua</w:t>
      </w:r>
      <w:r>
        <w:rPr>
          <w:rFonts w:ascii="Verdana" w:hAnsi="Verdana"/>
          <w:sz w:val="20"/>
          <w:szCs w:val="20"/>
          <w:lang w:val="es-ES"/>
        </w:rPr>
        <w:t>l, sin duda, enriquece</w:t>
      </w:r>
      <w:r w:rsidRPr="007D1A04">
        <w:rPr>
          <w:rFonts w:ascii="Verdana" w:hAnsi="Verdana"/>
          <w:sz w:val="20"/>
          <w:szCs w:val="20"/>
          <w:lang w:val="es-ES"/>
        </w:rPr>
        <w:t xml:space="preserve"> la delicada y trascendental labor que les ha sido encomendada a aquella.</w:t>
      </w:r>
    </w:p>
    <w:p w14:paraId="54C68AD0" w14:textId="77777777" w:rsidR="003C2143" w:rsidRPr="00CF7FE6" w:rsidRDefault="003C2143" w:rsidP="003C2143">
      <w:pPr>
        <w:jc w:val="both"/>
        <w:rPr>
          <w:rFonts w:ascii="Verdana" w:hAnsi="Verdana"/>
          <w:sz w:val="20"/>
          <w:szCs w:val="20"/>
          <w:lang w:val="es-ES"/>
        </w:rPr>
      </w:pPr>
    </w:p>
    <w:p w14:paraId="5FC842E6"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Por otra parte, es de advertir que </w:t>
      </w:r>
      <w:r>
        <w:rPr>
          <w:rFonts w:ascii="Verdana" w:hAnsi="Verdana"/>
          <w:sz w:val="20"/>
          <w:szCs w:val="20"/>
          <w:lang w:val="es-ES"/>
        </w:rPr>
        <w:t>este escrito</w:t>
      </w:r>
      <w:r w:rsidRPr="00CF7FE6">
        <w:rPr>
          <w:rFonts w:ascii="Verdana" w:hAnsi="Verdana"/>
          <w:sz w:val="20"/>
          <w:szCs w:val="20"/>
          <w:lang w:val="es-ES"/>
        </w:rPr>
        <w:t xml:space="preserve"> se sustenta en la convicción de que lo que le corresponde a la Corte es aplicar e interpretar la Convención</w:t>
      </w:r>
      <w:r w:rsidRPr="00CF7FE6">
        <w:rPr>
          <w:rStyle w:val="FootnoteReference"/>
          <w:szCs w:val="20"/>
          <w:lang w:val="es-ES"/>
        </w:rPr>
        <w:footnoteReference w:id="371"/>
      </w:r>
      <w:r>
        <w:rPr>
          <w:rFonts w:ascii="Verdana" w:hAnsi="Verdana"/>
          <w:sz w:val="20"/>
          <w:szCs w:val="20"/>
          <w:lang w:val="es-ES"/>
        </w:rPr>
        <w:t xml:space="preserve">, vale decir, señalar el sentido y alcance de sus disposiciones que, por ser en alguna medida </w:t>
      </w:r>
      <w:proofErr w:type="gramStart"/>
      <w:r>
        <w:rPr>
          <w:rFonts w:ascii="Verdana" w:hAnsi="Verdana"/>
          <w:sz w:val="20"/>
          <w:szCs w:val="20"/>
          <w:lang w:val="es-ES"/>
        </w:rPr>
        <w:t>percibidas como oscuras o dudosas</w:t>
      </w:r>
      <w:proofErr w:type="gramEnd"/>
      <w:r>
        <w:rPr>
          <w:rFonts w:ascii="Verdana" w:hAnsi="Verdana"/>
          <w:sz w:val="20"/>
          <w:szCs w:val="20"/>
          <w:lang w:val="es-ES"/>
        </w:rPr>
        <w:t xml:space="preserve">, presenten varias posibilidades de aplicación. En este orden de ideas, no le compete a la Corte </w:t>
      </w:r>
      <w:r w:rsidRPr="00CF7FE6">
        <w:rPr>
          <w:rFonts w:ascii="Verdana" w:hAnsi="Verdana"/>
          <w:sz w:val="20"/>
          <w:szCs w:val="20"/>
          <w:lang w:val="es-ES"/>
        </w:rPr>
        <w:t>modificar</w:t>
      </w:r>
      <w:r>
        <w:rPr>
          <w:rFonts w:ascii="Verdana" w:hAnsi="Verdana"/>
          <w:sz w:val="20"/>
          <w:szCs w:val="20"/>
          <w:lang w:val="es-ES"/>
        </w:rPr>
        <w:t xml:space="preserve"> </w:t>
      </w:r>
      <w:r w:rsidRPr="00CF7FE6">
        <w:rPr>
          <w:rFonts w:ascii="Verdana" w:hAnsi="Verdana"/>
          <w:sz w:val="20"/>
          <w:szCs w:val="20"/>
          <w:lang w:val="es-ES"/>
        </w:rPr>
        <w:t>la</w:t>
      </w:r>
      <w:r>
        <w:rPr>
          <w:rFonts w:ascii="Verdana" w:hAnsi="Verdana"/>
          <w:sz w:val="20"/>
          <w:szCs w:val="20"/>
          <w:lang w:val="es-ES"/>
        </w:rPr>
        <w:t xml:space="preserve"> Convención sino únicamente </w:t>
      </w:r>
      <w:r w:rsidRPr="00CF7FE6">
        <w:rPr>
          <w:rFonts w:ascii="Verdana" w:hAnsi="Verdana"/>
          <w:sz w:val="20"/>
          <w:szCs w:val="20"/>
          <w:lang w:val="es-ES"/>
        </w:rPr>
        <w:t>señalar lo que ella efectivamente di</w:t>
      </w:r>
      <w:r>
        <w:rPr>
          <w:rFonts w:ascii="Verdana" w:hAnsi="Verdana"/>
          <w:sz w:val="20"/>
          <w:szCs w:val="20"/>
          <w:lang w:val="es-ES"/>
        </w:rPr>
        <w:t xml:space="preserve">spone y no lo que </w:t>
      </w:r>
      <w:r w:rsidRPr="00CF7FE6">
        <w:rPr>
          <w:rFonts w:ascii="Verdana" w:hAnsi="Verdana"/>
          <w:sz w:val="20"/>
          <w:szCs w:val="20"/>
          <w:lang w:val="es-ES"/>
        </w:rPr>
        <w:t>desea</w:t>
      </w:r>
      <w:r>
        <w:rPr>
          <w:rFonts w:ascii="Verdana" w:hAnsi="Verdana"/>
          <w:sz w:val="20"/>
          <w:szCs w:val="20"/>
          <w:lang w:val="es-ES"/>
        </w:rPr>
        <w:t>ría</w:t>
      </w:r>
      <w:r w:rsidRPr="00CF7FE6">
        <w:rPr>
          <w:rFonts w:ascii="Verdana" w:hAnsi="Verdana"/>
          <w:sz w:val="20"/>
          <w:szCs w:val="20"/>
          <w:lang w:val="es-ES"/>
        </w:rPr>
        <w:t xml:space="preserve"> que e</w:t>
      </w:r>
      <w:r>
        <w:rPr>
          <w:rFonts w:ascii="Verdana" w:hAnsi="Verdana"/>
          <w:sz w:val="20"/>
          <w:szCs w:val="20"/>
          <w:lang w:val="es-ES"/>
        </w:rPr>
        <w:t xml:space="preserve">stablezca. Su </w:t>
      </w:r>
      <w:r w:rsidRPr="00CF7FE6">
        <w:rPr>
          <w:rFonts w:ascii="Verdana" w:hAnsi="Verdana"/>
          <w:sz w:val="20"/>
          <w:szCs w:val="20"/>
          <w:lang w:val="es-ES"/>
        </w:rPr>
        <w:t xml:space="preserve">función </w:t>
      </w:r>
      <w:r>
        <w:rPr>
          <w:rFonts w:ascii="Verdana" w:hAnsi="Verdana"/>
          <w:sz w:val="20"/>
          <w:szCs w:val="20"/>
          <w:lang w:val="es-ES"/>
        </w:rPr>
        <w:t xml:space="preserve">es, por lo tanto, desentrañar la voluntad </w:t>
      </w:r>
      <w:r w:rsidRPr="00CF7FE6">
        <w:rPr>
          <w:rFonts w:ascii="Verdana" w:hAnsi="Verdana"/>
          <w:sz w:val="20"/>
          <w:szCs w:val="20"/>
          <w:lang w:val="es-ES"/>
        </w:rPr>
        <w:t>que los</w:t>
      </w:r>
      <w:r>
        <w:rPr>
          <w:rFonts w:ascii="Verdana" w:hAnsi="Verdana"/>
          <w:sz w:val="20"/>
          <w:szCs w:val="20"/>
          <w:lang w:val="es-ES"/>
        </w:rPr>
        <w:t xml:space="preserve"> </w:t>
      </w:r>
      <w:r w:rsidRPr="00CF7FE6">
        <w:rPr>
          <w:rFonts w:ascii="Verdana" w:hAnsi="Verdana"/>
          <w:sz w:val="20"/>
          <w:szCs w:val="20"/>
          <w:lang w:val="es-ES"/>
        </w:rPr>
        <w:t xml:space="preserve">Estados Partes de la Convención estamparon en ella al momento de suscribirla y, eventualmente, cómo debería ser entendida frente a nuevas situaciones. Y es en vista de determinar ese consentimiento que </w:t>
      </w:r>
      <w:r>
        <w:rPr>
          <w:rFonts w:ascii="Verdana" w:hAnsi="Verdana"/>
          <w:sz w:val="20"/>
          <w:szCs w:val="20"/>
          <w:lang w:val="es-ES"/>
        </w:rPr>
        <w:t xml:space="preserve">debe valerse de </w:t>
      </w:r>
      <w:r w:rsidRPr="00CF7FE6">
        <w:rPr>
          <w:rFonts w:ascii="Verdana" w:hAnsi="Verdana"/>
          <w:sz w:val="20"/>
          <w:szCs w:val="20"/>
          <w:lang w:val="es-ES"/>
        </w:rPr>
        <w:t xml:space="preserve">las reglas de interpretación de los tratados contenidas en la Convención de Viena sobre el Derecho de los Tratados y, en particular, </w:t>
      </w:r>
      <w:r>
        <w:rPr>
          <w:rFonts w:ascii="Verdana" w:hAnsi="Verdana"/>
          <w:sz w:val="20"/>
          <w:szCs w:val="20"/>
          <w:lang w:val="es-ES"/>
        </w:rPr>
        <w:t xml:space="preserve">de la prevista </w:t>
      </w:r>
      <w:r w:rsidRPr="00CF7FE6">
        <w:rPr>
          <w:rFonts w:ascii="Verdana" w:hAnsi="Verdana"/>
          <w:sz w:val="20"/>
          <w:szCs w:val="20"/>
          <w:lang w:val="es-ES"/>
        </w:rPr>
        <w:t>en su</w:t>
      </w:r>
      <w:r>
        <w:rPr>
          <w:rFonts w:ascii="Verdana" w:hAnsi="Verdana"/>
          <w:sz w:val="20"/>
          <w:szCs w:val="20"/>
          <w:lang w:val="es-ES"/>
        </w:rPr>
        <w:t xml:space="preserve"> artículo </w:t>
      </w:r>
      <w:r w:rsidRPr="00CF7FE6">
        <w:rPr>
          <w:rFonts w:ascii="Verdana" w:hAnsi="Verdana"/>
          <w:sz w:val="20"/>
          <w:szCs w:val="20"/>
          <w:lang w:val="es-ES"/>
        </w:rPr>
        <w:t>31</w:t>
      </w:r>
      <w:r w:rsidRPr="00CF7FE6">
        <w:rPr>
          <w:rStyle w:val="FootnoteReference"/>
          <w:szCs w:val="20"/>
          <w:lang w:val="es-ES"/>
        </w:rPr>
        <w:footnoteReference w:id="372"/>
      </w:r>
      <w:r>
        <w:rPr>
          <w:rFonts w:ascii="Verdana" w:hAnsi="Verdana"/>
          <w:sz w:val="20"/>
          <w:szCs w:val="20"/>
          <w:lang w:val="es-ES"/>
        </w:rPr>
        <w:t>, entendiendo que los cuatro elementos enunciados en él, deben aplicarse simultánea y armoniosamente</w:t>
      </w:r>
      <w:r w:rsidRPr="00CF7FE6">
        <w:rPr>
          <w:rFonts w:ascii="Verdana" w:hAnsi="Verdana"/>
          <w:sz w:val="20"/>
          <w:szCs w:val="20"/>
          <w:lang w:val="es-ES"/>
        </w:rPr>
        <w:t xml:space="preserve">. </w:t>
      </w:r>
    </w:p>
    <w:p w14:paraId="20BB5CA1" w14:textId="77777777" w:rsidR="003C2143" w:rsidRPr="00CF7FE6" w:rsidRDefault="003C2143" w:rsidP="003C2143">
      <w:pPr>
        <w:jc w:val="both"/>
        <w:rPr>
          <w:rFonts w:ascii="Verdana" w:hAnsi="Verdana"/>
          <w:sz w:val="20"/>
          <w:szCs w:val="20"/>
          <w:lang w:val="es-ES"/>
        </w:rPr>
      </w:pPr>
    </w:p>
    <w:p w14:paraId="4EDD559E"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Cabe agregar, en este mismo sentido, que la misión de la Corte es</w:t>
      </w:r>
      <w:r>
        <w:rPr>
          <w:rFonts w:ascii="Verdana" w:hAnsi="Verdana"/>
          <w:sz w:val="20"/>
          <w:szCs w:val="20"/>
          <w:lang w:val="es-ES"/>
        </w:rPr>
        <w:t xml:space="preserve"> </w:t>
      </w:r>
      <w:r w:rsidRPr="00CF7FE6">
        <w:rPr>
          <w:rFonts w:ascii="Verdana" w:hAnsi="Verdana"/>
          <w:sz w:val="20"/>
          <w:szCs w:val="20"/>
          <w:lang w:val="es-ES"/>
        </w:rPr>
        <w:t>impartir Justicia a través o por medio del Derecho</w:t>
      </w:r>
      <w:r>
        <w:rPr>
          <w:rStyle w:val="FootnoteReference"/>
          <w:szCs w:val="20"/>
          <w:lang w:val="es-ES"/>
        </w:rPr>
        <w:footnoteReference w:id="373"/>
      </w:r>
      <w:r w:rsidRPr="00CF7FE6">
        <w:rPr>
          <w:rFonts w:ascii="Verdana" w:hAnsi="Verdana"/>
          <w:sz w:val="20"/>
          <w:szCs w:val="20"/>
          <w:lang w:val="es-ES"/>
        </w:rPr>
        <w:t>. A ella no le corresponde promover los derechos humanos, función, por lo demás, asignada por la Convención a la Comisión Interamericana de Derechos Humanos</w:t>
      </w:r>
      <w:r w:rsidRPr="00CF7FE6">
        <w:rPr>
          <w:rStyle w:val="FootnoteReference"/>
          <w:szCs w:val="20"/>
          <w:lang w:val="es-ES"/>
        </w:rPr>
        <w:footnoteReference w:id="374"/>
      </w:r>
      <w:r w:rsidRPr="00CF7FE6">
        <w:rPr>
          <w:rFonts w:ascii="Verdana" w:hAnsi="Verdana"/>
          <w:sz w:val="20"/>
          <w:szCs w:val="20"/>
          <w:lang w:val="es-ES"/>
        </w:rPr>
        <w:t xml:space="preserve">. </w:t>
      </w:r>
      <w:r w:rsidRPr="00CF7FE6">
        <w:rPr>
          <w:rFonts w:ascii="Verdana" w:hAnsi="Verdana"/>
          <w:sz w:val="20"/>
          <w:szCs w:val="20"/>
          <w:lang w:val="es-ES"/>
        </w:rPr>
        <w:lastRenderedPageBreak/>
        <w:t xml:space="preserve">Consecuentemente, como órgano judicial, la Corte no cuenta con la facultad de juzgar al margen o con prescindencia de lo disponga el Derecho, expresado, a su respecto, en la Convención. </w:t>
      </w:r>
    </w:p>
    <w:p w14:paraId="1C2A7308" w14:textId="77777777" w:rsidR="003C2143" w:rsidRPr="00CF7FE6" w:rsidRDefault="003C2143" w:rsidP="003C2143">
      <w:pPr>
        <w:jc w:val="both"/>
        <w:rPr>
          <w:rFonts w:ascii="Verdana" w:hAnsi="Verdana"/>
          <w:sz w:val="20"/>
          <w:szCs w:val="20"/>
          <w:lang w:val="es-ES"/>
        </w:rPr>
      </w:pPr>
    </w:p>
    <w:p w14:paraId="238BAB36"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Esta divergencia</w:t>
      </w:r>
      <w:r w:rsidRPr="00CF7FE6">
        <w:rPr>
          <w:rFonts w:ascii="Verdana" w:hAnsi="Verdana"/>
          <w:sz w:val="20"/>
          <w:szCs w:val="20"/>
          <w:lang w:val="es-ES"/>
        </w:rPr>
        <w:t xml:space="preserve"> se formula, entonces, abrigando la ilusión</w:t>
      </w:r>
      <w:r>
        <w:rPr>
          <w:rFonts w:ascii="Verdana" w:hAnsi="Verdana"/>
          <w:sz w:val="20"/>
          <w:szCs w:val="20"/>
          <w:lang w:val="es-ES"/>
        </w:rPr>
        <w:t xml:space="preserve"> de que en el futuro se acoja, </w:t>
      </w:r>
      <w:r w:rsidRPr="00CF7FE6">
        <w:rPr>
          <w:rFonts w:ascii="Verdana" w:hAnsi="Verdana"/>
          <w:sz w:val="20"/>
          <w:szCs w:val="20"/>
          <w:lang w:val="es-ES"/>
        </w:rPr>
        <w:t>sea por la propia jurisprudencia sea por una nueva norma de Derecho Internacional. En cuanto a la primera, dado que</w:t>
      </w:r>
      <w:r>
        <w:rPr>
          <w:rFonts w:ascii="Verdana" w:hAnsi="Verdana"/>
          <w:sz w:val="20"/>
          <w:szCs w:val="20"/>
          <w:lang w:val="es-ES"/>
        </w:rPr>
        <w:t>,</w:t>
      </w:r>
      <w:r w:rsidRPr="00CF7FE6">
        <w:rPr>
          <w:rFonts w:ascii="Verdana" w:hAnsi="Verdana"/>
          <w:sz w:val="20"/>
          <w:szCs w:val="20"/>
          <w:lang w:val="es-ES"/>
        </w:rPr>
        <w:t xml:space="preserve"> siendo el fallo de la Corte obligatorio únicamente para el Estado Parte del caso en el que se pronuncia</w:t>
      </w:r>
      <w:r w:rsidRPr="00CF7FE6">
        <w:rPr>
          <w:rStyle w:val="FootnoteReference"/>
          <w:szCs w:val="20"/>
          <w:lang w:val="es-ES"/>
        </w:rPr>
        <w:footnoteReference w:id="375"/>
      </w:r>
      <w:r w:rsidRPr="00CF7FE6">
        <w:rPr>
          <w:rFonts w:ascii="Verdana" w:hAnsi="Verdana"/>
          <w:sz w:val="20"/>
          <w:szCs w:val="20"/>
          <w:lang w:val="es-ES"/>
        </w:rPr>
        <w:t>, ella, en tanto fuente auxiliar del Derecho Internacional y que, por ende, le corresponde “</w:t>
      </w:r>
      <w:r w:rsidRPr="00CF7FE6">
        <w:rPr>
          <w:rFonts w:ascii="Verdana" w:hAnsi="Verdana"/>
          <w:i/>
          <w:sz w:val="20"/>
          <w:szCs w:val="20"/>
          <w:lang w:val="es-ES"/>
        </w:rPr>
        <w:t>la determinación de las reglas de derecho</w:t>
      </w:r>
      <w:r w:rsidRPr="00CF7FE6">
        <w:rPr>
          <w:rFonts w:ascii="Verdana" w:hAnsi="Verdana"/>
          <w:sz w:val="20"/>
          <w:szCs w:val="20"/>
          <w:lang w:val="es-ES"/>
        </w:rPr>
        <w:t>” establecidas por una fuente autónoma del Derecho Internacional, es decir, tratado, costumbre, principio general de derecho o acto jurídico unilateral,</w:t>
      </w:r>
      <w:r w:rsidRPr="00CF7FE6">
        <w:rPr>
          <w:rStyle w:val="FootnoteReference"/>
          <w:szCs w:val="20"/>
          <w:lang w:val="es-ES"/>
        </w:rPr>
        <w:footnoteReference w:id="376"/>
      </w:r>
      <w:r w:rsidRPr="00CF7FE6">
        <w:rPr>
          <w:rFonts w:ascii="Verdana" w:hAnsi="Verdana"/>
          <w:sz w:val="20"/>
          <w:szCs w:val="20"/>
          <w:lang w:val="es-ES"/>
        </w:rPr>
        <w:t xml:space="preserve"> puede en el futuro variar al sentenciarse otro caso. Y respecto a la segunda, en razón de que a quienes les compete la función normativa internacional es a los Estados</w:t>
      </w:r>
      <w:r>
        <w:rPr>
          <w:rFonts w:ascii="Verdana" w:hAnsi="Verdana"/>
          <w:sz w:val="20"/>
          <w:szCs w:val="20"/>
          <w:lang w:val="es-ES"/>
        </w:rPr>
        <w:t xml:space="preserve"> y </w:t>
      </w:r>
      <w:r w:rsidRPr="00CF7FE6">
        <w:rPr>
          <w:rFonts w:ascii="Verdana" w:hAnsi="Verdana"/>
          <w:sz w:val="20"/>
          <w:szCs w:val="20"/>
          <w:lang w:val="es-ES"/>
        </w:rPr>
        <w:t>en el caso de la Convención</w:t>
      </w:r>
      <w:r>
        <w:rPr>
          <w:rFonts w:ascii="Verdana" w:hAnsi="Verdana"/>
          <w:sz w:val="20"/>
          <w:szCs w:val="20"/>
          <w:lang w:val="es-ES"/>
        </w:rPr>
        <w:t>,</w:t>
      </w:r>
      <w:r w:rsidRPr="00CF7FE6">
        <w:rPr>
          <w:rFonts w:ascii="Verdana" w:hAnsi="Verdana"/>
          <w:sz w:val="20"/>
          <w:szCs w:val="20"/>
          <w:lang w:val="es-ES"/>
        </w:rPr>
        <w:t xml:space="preserve"> a sus Estados Partes a través de enmiendas a esta última</w:t>
      </w:r>
      <w:r w:rsidRPr="00CF7FE6">
        <w:rPr>
          <w:rStyle w:val="FootnoteReference"/>
          <w:szCs w:val="20"/>
          <w:lang w:val="es-ES"/>
        </w:rPr>
        <w:footnoteReference w:id="377"/>
      </w:r>
      <w:r w:rsidRPr="00CF7FE6">
        <w:rPr>
          <w:rFonts w:ascii="Verdana" w:hAnsi="Verdana"/>
          <w:sz w:val="20"/>
          <w:szCs w:val="20"/>
          <w:lang w:val="es-ES"/>
        </w:rPr>
        <w:t>.</w:t>
      </w:r>
    </w:p>
    <w:p w14:paraId="4033FE06" w14:textId="77777777" w:rsidR="003C2143" w:rsidRPr="00CF7FE6" w:rsidRDefault="003C2143" w:rsidP="003C2143">
      <w:pPr>
        <w:jc w:val="both"/>
        <w:rPr>
          <w:rFonts w:ascii="Verdana" w:hAnsi="Verdana"/>
          <w:sz w:val="20"/>
          <w:szCs w:val="20"/>
          <w:lang w:val="es-ES"/>
        </w:rPr>
      </w:pPr>
    </w:p>
    <w:p w14:paraId="25A509FE"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lastRenderedPageBreak/>
        <w:t xml:space="preserve">Procede, asimismo, dejar expresa constancia </w:t>
      </w:r>
      <w:r>
        <w:rPr>
          <w:rFonts w:ascii="Verdana" w:hAnsi="Verdana"/>
          <w:sz w:val="20"/>
          <w:szCs w:val="20"/>
          <w:lang w:val="es-ES"/>
        </w:rPr>
        <w:t xml:space="preserve">de </w:t>
      </w:r>
      <w:r w:rsidRPr="00CF7FE6">
        <w:rPr>
          <w:rFonts w:ascii="Verdana" w:hAnsi="Verdana"/>
          <w:sz w:val="20"/>
          <w:szCs w:val="20"/>
          <w:lang w:val="es-ES"/>
        </w:rPr>
        <w:t xml:space="preserve">que, con lo que se sustenta en la presente opinión, no se persigue, bajo ninguna circunstancia, un debilitamiento o restricción de la vigencia de los derechos humanos, sino, precisamente, todo lo contrario. Efectivamente, lo que </w:t>
      </w:r>
      <w:r>
        <w:rPr>
          <w:rFonts w:ascii="Verdana" w:hAnsi="Verdana"/>
          <w:sz w:val="20"/>
          <w:szCs w:val="20"/>
          <w:lang w:val="es-ES"/>
        </w:rPr>
        <w:t xml:space="preserve">aquí </w:t>
      </w:r>
      <w:r w:rsidRPr="00CF7FE6">
        <w:rPr>
          <w:rFonts w:ascii="Verdana" w:hAnsi="Verdana"/>
          <w:sz w:val="20"/>
          <w:szCs w:val="20"/>
          <w:lang w:val="es-ES"/>
        </w:rPr>
        <w:t>se se</w:t>
      </w:r>
      <w:r>
        <w:rPr>
          <w:rFonts w:ascii="Verdana" w:hAnsi="Verdana"/>
          <w:sz w:val="20"/>
          <w:szCs w:val="20"/>
          <w:lang w:val="es-ES"/>
        </w:rPr>
        <w:t>ñala responde a la íntima certeza</w:t>
      </w:r>
      <w:r w:rsidRPr="00CF7FE6">
        <w:rPr>
          <w:rFonts w:ascii="Verdana" w:hAnsi="Verdana"/>
          <w:sz w:val="20"/>
          <w:szCs w:val="20"/>
          <w:lang w:val="es-ES"/>
        </w:rPr>
        <w:t xml:space="preserve"> de que se logra el efectivo respeto de los derechos humanos si lo que se les exige a los Estados Partes de la Convención es lo que realmente ellos libre y soberanamente se comprometieron a cumplir. La seguridad jurídica tiene, a este respecto, un rol fundamental y, por ende, no puede ser entendida como una limitación o restricción al desarrollo de los derechos humanos, sino que</w:t>
      </w:r>
      <w:r>
        <w:rPr>
          <w:rFonts w:ascii="Verdana" w:hAnsi="Verdana"/>
          <w:sz w:val="20"/>
          <w:szCs w:val="20"/>
          <w:lang w:val="es-ES"/>
        </w:rPr>
        <w:t xml:space="preserve"> más bien </w:t>
      </w:r>
      <w:r w:rsidRPr="00CF7FE6">
        <w:rPr>
          <w:rFonts w:ascii="Verdana" w:hAnsi="Verdana"/>
          <w:sz w:val="20"/>
          <w:szCs w:val="20"/>
          <w:lang w:val="es-ES"/>
        </w:rPr>
        <w:t>como el instrumento que mejor puede  garantizar su efectivo respeto o su pronto restablecimiento, si han sido trasgredidos.</w:t>
      </w:r>
    </w:p>
    <w:p w14:paraId="477D18A2"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 </w:t>
      </w:r>
    </w:p>
    <w:p w14:paraId="2526E402"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L</w:t>
      </w:r>
      <w:r w:rsidRPr="00CF7FE6">
        <w:rPr>
          <w:rFonts w:ascii="Verdana" w:hAnsi="Verdana"/>
          <w:sz w:val="20"/>
          <w:szCs w:val="20"/>
          <w:lang w:val="es-ES"/>
        </w:rPr>
        <w:t>o que está subyacente a lo que se expone</w:t>
      </w:r>
      <w:r>
        <w:rPr>
          <w:rFonts w:ascii="Verdana" w:hAnsi="Verdana"/>
          <w:sz w:val="20"/>
          <w:szCs w:val="20"/>
          <w:lang w:val="es-ES"/>
        </w:rPr>
        <w:t xml:space="preserve"> en estas líneas</w:t>
      </w:r>
      <w:r w:rsidRPr="00CF7FE6">
        <w:rPr>
          <w:rFonts w:ascii="Verdana" w:hAnsi="Verdana"/>
          <w:sz w:val="20"/>
          <w:szCs w:val="20"/>
          <w:lang w:val="es-ES"/>
        </w:rPr>
        <w:t xml:space="preserve"> es</w:t>
      </w:r>
      <w:r>
        <w:rPr>
          <w:rFonts w:ascii="Verdana" w:hAnsi="Verdana"/>
          <w:sz w:val="20"/>
          <w:szCs w:val="20"/>
          <w:lang w:val="es-ES"/>
        </w:rPr>
        <w:t>, pues,</w:t>
      </w:r>
      <w:r w:rsidRPr="00CF7FE6">
        <w:rPr>
          <w:rFonts w:ascii="Verdana" w:hAnsi="Verdana"/>
          <w:sz w:val="20"/>
          <w:szCs w:val="20"/>
          <w:lang w:val="es-ES"/>
        </w:rPr>
        <w:t xml:space="preserve"> que el Derecho es el medio para alcanzar la Justicia y ésta la paz y, por ende, dado que el Derecho Internacional de los Derechos Humanos forma parte del Derecho Internacional General, la interpretación y aplicación de aquél deben ser realiza</w:t>
      </w:r>
      <w:r>
        <w:rPr>
          <w:rFonts w:ascii="Verdana" w:hAnsi="Verdana"/>
          <w:sz w:val="20"/>
          <w:szCs w:val="20"/>
          <w:lang w:val="es-ES"/>
        </w:rPr>
        <w:t>das en armonía con lo prescrito en éste</w:t>
      </w:r>
      <w:r w:rsidRPr="00CF7FE6">
        <w:rPr>
          <w:rStyle w:val="FootnoteReference"/>
          <w:szCs w:val="20"/>
          <w:lang w:val="es-ES"/>
        </w:rPr>
        <w:footnoteReference w:id="378"/>
      </w:r>
      <w:r w:rsidRPr="00CF7FE6">
        <w:rPr>
          <w:rFonts w:ascii="Verdana" w:hAnsi="Verdana"/>
          <w:sz w:val="20"/>
          <w:szCs w:val="20"/>
          <w:lang w:val="es-ES"/>
        </w:rPr>
        <w:t xml:space="preserve">. </w:t>
      </w:r>
    </w:p>
    <w:p w14:paraId="6005DC71" w14:textId="77777777" w:rsidR="003C2143" w:rsidRPr="00CF7FE6" w:rsidRDefault="003C2143" w:rsidP="003C2143">
      <w:pPr>
        <w:jc w:val="both"/>
        <w:rPr>
          <w:rFonts w:ascii="Verdana" w:hAnsi="Verdana"/>
          <w:sz w:val="20"/>
          <w:szCs w:val="20"/>
          <w:lang w:val="es-ES"/>
        </w:rPr>
      </w:pPr>
    </w:p>
    <w:p w14:paraId="5BE6D256"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Por otra parte, es procedente indicar </w:t>
      </w:r>
      <w:r>
        <w:rPr>
          <w:rFonts w:ascii="Verdana" w:hAnsi="Verdana"/>
          <w:sz w:val="20"/>
          <w:szCs w:val="20"/>
          <w:lang w:val="es-ES"/>
        </w:rPr>
        <w:t>que este texto</w:t>
      </w:r>
      <w:r w:rsidRPr="00CF7FE6">
        <w:rPr>
          <w:rFonts w:ascii="Verdana" w:hAnsi="Verdana"/>
          <w:sz w:val="20"/>
          <w:szCs w:val="20"/>
          <w:lang w:val="es-ES"/>
        </w:rPr>
        <w:t xml:space="preserve"> responde igualmente a la circunstancia de que la Corte, en tanto órgano judicial, goza de la más amplia autonomía</w:t>
      </w:r>
      <w:r>
        <w:rPr>
          <w:rFonts w:ascii="Verdana" w:hAnsi="Verdana"/>
          <w:sz w:val="20"/>
          <w:szCs w:val="20"/>
          <w:lang w:val="es-ES"/>
        </w:rPr>
        <w:t xml:space="preserve"> en su quehacer</w:t>
      </w:r>
      <w:r w:rsidRPr="00CF7FE6">
        <w:rPr>
          <w:rFonts w:ascii="Verdana" w:hAnsi="Verdana"/>
          <w:sz w:val="20"/>
          <w:szCs w:val="20"/>
          <w:lang w:val="es-ES"/>
        </w:rPr>
        <w:t xml:space="preserve">, no existiendo entidad superior que pueda controlar su proceder, característica que le impone el imperativo de ser ella misma muy rigurosa en el ejercicio de su competencia, a los efectos de no desnaturalizarla y, consecuentemente, debilitar el sistema de protección interamericano de derechos humanos. En tal orden de ideas, lo que se argumenta seguidamente persigue el más amplio reconocimiento de la Corte por parte de todos los que comparecen ante ella y así fortalecerla en su condición de órgano judicial y, consecuentemente, como la entidad de alcance continental más acabada que se ha logrado en resguardo de los derechos humanos, por lo que, por tanto, </w:t>
      </w:r>
      <w:r>
        <w:rPr>
          <w:rFonts w:ascii="Verdana" w:hAnsi="Verdana"/>
          <w:sz w:val="20"/>
          <w:szCs w:val="20"/>
          <w:lang w:val="es-ES"/>
        </w:rPr>
        <w:t xml:space="preserve">es menester persistir en su consolidación y perfeccionamiento, sin someterla </w:t>
      </w:r>
      <w:r w:rsidRPr="00CF7FE6">
        <w:rPr>
          <w:rFonts w:ascii="Verdana" w:hAnsi="Verdana"/>
          <w:sz w:val="20"/>
          <w:szCs w:val="20"/>
          <w:lang w:val="es-ES"/>
        </w:rPr>
        <w:t>a riesgos</w:t>
      </w:r>
      <w:r>
        <w:rPr>
          <w:rFonts w:ascii="Verdana" w:hAnsi="Verdana"/>
          <w:sz w:val="20"/>
          <w:szCs w:val="20"/>
          <w:lang w:val="es-ES"/>
        </w:rPr>
        <w:t xml:space="preserve"> que puedan afectar negativamente dicho esfuerzo</w:t>
      </w:r>
      <w:r w:rsidRPr="00CF7FE6">
        <w:rPr>
          <w:rFonts w:ascii="Verdana" w:hAnsi="Verdana"/>
          <w:sz w:val="20"/>
          <w:szCs w:val="20"/>
          <w:lang w:val="es-ES"/>
        </w:rPr>
        <w:t xml:space="preserve">. </w:t>
      </w:r>
    </w:p>
    <w:p w14:paraId="41200DAD" w14:textId="77777777" w:rsidR="003C2143" w:rsidRPr="00CF7FE6" w:rsidRDefault="003C2143" w:rsidP="003C2143">
      <w:pPr>
        <w:jc w:val="both"/>
        <w:rPr>
          <w:rFonts w:ascii="Verdana" w:hAnsi="Verdana"/>
          <w:sz w:val="20"/>
          <w:szCs w:val="20"/>
          <w:lang w:val="es-ES"/>
        </w:rPr>
      </w:pPr>
    </w:p>
    <w:p w14:paraId="05B976ED" w14:textId="77777777" w:rsidR="003C2143" w:rsidRPr="00273011" w:rsidRDefault="003C2143" w:rsidP="003C2143">
      <w:pPr>
        <w:pStyle w:val="ListParagraph"/>
        <w:numPr>
          <w:ilvl w:val="0"/>
          <w:numId w:val="33"/>
        </w:numPr>
        <w:jc w:val="both"/>
        <w:rPr>
          <w:rFonts w:ascii="Verdana" w:hAnsi="Verdana"/>
          <w:b/>
          <w:sz w:val="20"/>
          <w:szCs w:val="20"/>
          <w:lang w:val="es-ES"/>
        </w:rPr>
      </w:pPr>
      <w:r w:rsidRPr="00273011">
        <w:rPr>
          <w:rFonts w:ascii="Verdana" w:hAnsi="Verdana"/>
          <w:b/>
          <w:sz w:val="20"/>
          <w:szCs w:val="20"/>
          <w:lang w:val="es-ES"/>
        </w:rPr>
        <w:t>La disidencia.</w:t>
      </w:r>
    </w:p>
    <w:p w14:paraId="371403BE" w14:textId="77777777" w:rsidR="003C2143" w:rsidRPr="00CF7FE6" w:rsidRDefault="003C2143" w:rsidP="003C2143">
      <w:pPr>
        <w:jc w:val="both"/>
        <w:rPr>
          <w:rFonts w:ascii="Verdana" w:hAnsi="Verdana"/>
          <w:b/>
          <w:sz w:val="20"/>
          <w:szCs w:val="20"/>
          <w:lang w:val="es-ES"/>
        </w:rPr>
      </w:pPr>
    </w:p>
    <w:p w14:paraId="15E058DB"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La desavenencia</w:t>
      </w:r>
      <w:r w:rsidRPr="00CF7FE6">
        <w:rPr>
          <w:rFonts w:ascii="Verdana" w:hAnsi="Verdana"/>
          <w:sz w:val="20"/>
          <w:szCs w:val="20"/>
          <w:lang w:val="es-ES"/>
        </w:rPr>
        <w:t xml:space="preserve"> parcial que se plantea </w:t>
      </w:r>
      <w:r>
        <w:rPr>
          <w:rFonts w:ascii="Verdana" w:hAnsi="Verdana"/>
          <w:sz w:val="20"/>
          <w:szCs w:val="20"/>
          <w:lang w:val="es-ES"/>
        </w:rPr>
        <w:t xml:space="preserve">en este escrito </w:t>
      </w:r>
      <w:r w:rsidRPr="00CF7FE6">
        <w:rPr>
          <w:rFonts w:ascii="Verdana" w:hAnsi="Verdana"/>
          <w:sz w:val="20"/>
          <w:szCs w:val="20"/>
          <w:lang w:val="es-ES"/>
        </w:rPr>
        <w:t>se refiere, como se ha señalado, a la violación de dos derechos, al derecho a la estabilidad en el empleo y al derecho de asociación.</w:t>
      </w:r>
    </w:p>
    <w:p w14:paraId="5ABD9250" w14:textId="77777777" w:rsidR="003C2143" w:rsidRPr="00CF7FE6" w:rsidRDefault="003C2143" w:rsidP="003C2143">
      <w:pPr>
        <w:jc w:val="both"/>
        <w:rPr>
          <w:rFonts w:ascii="Verdana" w:hAnsi="Verdana"/>
          <w:sz w:val="20"/>
          <w:szCs w:val="20"/>
          <w:lang w:val="es-ES"/>
        </w:rPr>
      </w:pPr>
    </w:p>
    <w:p w14:paraId="35A2EF37" w14:textId="77777777" w:rsidR="003C2143" w:rsidRPr="00CF7FE6" w:rsidRDefault="003C2143" w:rsidP="003C2143">
      <w:pPr>
        <w:pStyle w:val="ListParagraph"/>
        <w:numPr>
          <w:ilvl w:val="0"/>
          <w:numId w:val="34"/>
        </w:numPr>
        <w:jc w:val="both"/>
        <w:rPr>
          <w:rFonts w:ascii="Verdana" w:hAnsi="Verdana"/>
          <w:sz w:val="20"/>
          <w:szCs w:val="20"/>
          <w:lang w:val="es-ES"/>
        </w:rPr>
      </w:pPr>
      <w:r w:rsidRPr="00CF7FE6">
        <w:rPr>
          <w:rFonts w:ascii="Verdana" w:hAnsi="Verdana"/>
          <w:b/>
          <w:sz w:val="20"/>
          <w:szCs w:val="20"/>
          <w:lang w:val="es-ES"/>
        </w:rPr>
        <w:t>Derecho a la estabilidad en el empleo</w:t>
      </w:r>
      <w:r w:rsidRPr="00CF7FE6">
        <w:rPr>
          <w:rFonts w:ascii="Verdana" w:hAnsi="Verdana"/>
          <w:sz w:val="20"/>
          <w:szCs w:val="20"/>
          <w:lang w:val="es-ES"/>
        </w:rPr>
        <w:t xml:space="preserve">. </w:t>
      </w:r>
    </w:p>
    <w:p w14:paraId="46BFD6E3" w14:textId="77777777" w:rsidR="003C2143" w:rsidRPr="00CF7FE6" w:rsidRDefault="003C2143" w:rsidP="003C2143">
      <w:pPr>
        <w:pStyle w:val="ListParagraph"/>
        <w:ind w:left="0"/>
        <w:jc w:val="both"/>
        <w:rPr>
          <w:rFonts w:ascii="Verdana" w:hAnsi="Verdana"/>
          <w:sz w:val="20"/>
          <w:szCs w:val="20"/>
          <w:lang w:val="es-ES"/>
        </w:rPr>
      </w:pPr>
    </w:p>
    <w:p w14:paraId="48A3AE5D" w14:textId="77777777" w:rsidR="003C2143" w:rsidRPr="00CF7FE6" w:rsidRDefault="003C2143" w:rsidP="003C2143">
      <w:pPr>
        <w:jc w:val="both"/>
        <w:rPr>
          <w:rFonts w:ascii="Verdana" w:hAnsi="Verdana"/>
          <w:i/>
          <w:sz w:val="20"/>
          <w:szCs w:val="20"/>
          <w:lang w:val="es-ES"/>
        </w:rPr>
      </w:pPr>
      <w:r w:rsidRPr="00CF7FE6">
        <w:rPr>
          <w:rFonts w:ascii="Verdana" w:hAnsi="Verdana"/>
          <w:sz w:val="20"/>
          <w:szCs w:val="20"/>
          <w:lang w:val="es-ES"/>
        </w:rPr>
        <w:t xml:space="preserve">En lo concerniente al derecho a la estabilidad en el empleo, es indispensable señalar </w:t>
      </w:r>
      <w:r>
        <w:rPr>
          <w:rFonts w:ascii="Verdana" w:hAnsi="Verdana"/>
          <w:sz w:val="20"/>
          <w:szCs w:val="20"/>
          <w:lang w:val="es-ES"/>
        </w:rPr>
        <w:t xml:space="preserve">que la disidencia en cuestión </w:t>
      </w:r>
      <w:r w:rsidRPr="00CF7FE6">
        <w:rPr>
          <w:rFonts w:ascii="Verdana" w:hAnsi="Verdana"/>
          <w:sz w:val="20"/>
          <w:szCs w:val="20"/>
          <w:lang w:val="es-ES"/>
        </w:rPr>
        <w:t xml:space="preserve">no se refiere a la existencia de dicho derecho, ni tampoco a la de los demás derechos económicos, sociales y culturales. Ello no se pone en duda, pues es evidente que se encuentran consagrados en el Derecho Internacional aplicable a los Estados americanos y, en lo concerniente particularmente al derecho al trabajo, en el </w:t>
      </w:r>
      <w:r w:rsidRPr="00CF7FE6">
        <w:rPr>
          <w:rFonts w:ascii="Verdana" w:hAnsi="Verdana"/>
          <w:i/>
          <w:sz w:val="20"/>
          <w:szCs w:val="20"/>
          <w:lang w:val="es-ES"/>
        </w:rPr>
        <w:t xml:space="preserve">Protocolo Adicional a la Convención Americana sobre Derechos Humanos en Materia de Derechos Económicos, Sociales y Culturales, Protocolo de San Salvador”. </w:t>
      </w:r>
    </w:p>
    <w:p w14:paraId="4A64EED7" w14:textId="77777777" w:rsidR="003C2143" w:rsidRPr="00CF7FE6" w:rsidRDefault="003C2143" w:rsidP="003C2143">
      <w:pPr>
        <w:jc w:val="both"/>
        <w:rPr>
          <w:rFonts w:ascii="Verdana" w:hAnsi="Verdana"/>
          <w:sz w:val="20"/>
          <w:szCs w:val="20"/>
          <w:lang w:val="es-ES"/>
        </w:rPr>
      </w:pPr>
    </w:p>
    <w:p w14:paraId="1D2B8BC5"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D</w:t>
      </w:r>
      <w:r>
        <w:rPr>
          <w:rFonts w:ascii="Verdana" w:hAnsi="Verdana"/>
          <w:sz w:val="20"/>
          <w:szCs w:val="20"/>
          <w:lang w:val="es-ES"/>
        </w:rPr>
        <w:t xml:space="preserve">e lo </w:t>
      </w:r>
      <w:r w:rsidRPr="00CF7FE6">
        <w:rPr>
          <w:rFonts w:ascii="Verdana" w:hAnsi="Verdana"/>
          <w:sz w:val="20"/>
          <w:szCs w:val="20"/>
          <w:lang w:val="es-ES"/>
        </w:rPr>
        <w:t>da</w:t>
      </w:r>
      <w:r>
        <w:rPr>
          <w:rFonts w:ascii="Verdana" w:hAnsi="Verdana"/>
          <w:sz w:val="20"/>
          <w:szCs w:val="20"/>
          <w:lang w:val="es-ES"/>
        </w:rPr>
        <w:t xml:space="preserve"> cuenta este documento</w:t>
      </w:r>
      <w:r w:rsidRPr="00CF7FE6">
        <w:rPr>
          <w:rFonts w:ascii="Verdana" w:hAnsi="Verdana"/>
          <w:sz w:val="20"/>
          <w:szCs w:val="20"/>
          <w:lang w:val="es-ES"/>
        </w:rPr>
        <w:t xml:space="preserve"> dice relación más bien con que en autos no se trataba de determinar la existencia del derecho a la estabilidad en el empleo, como lo hace la Sentencia</w:t>
      </w:r>
      <w:r w:rsidRPr="00CF7FE6">
        <w:rPr>
          <w:rStyle w:val="FootnoteReference"/>
          <w:szCs w:val="20"/>
          <w:lang w:val="es-ES"/>
        </w:rPr>
        <w:footnoteReference w:id="379"/>
      </w:r>
      <w:r w:rsidRPr="00CF7FE6">
        <w:rPr>
          <w:rFonts w:ascii="Verdana" w:hAnsi="Verdana"/>
          <w:sz w:val="20"/>
          <w:szCs w:val="20"/>
          <w:lang w:val="es-ES"/>
        </w:rPr>
        <w:t xml:space="preserve">, sino si su eventual violación por el Estado podía ser sometida al conocimiento y resolución de la </w:t>
      </w:r>
      <w:r w:rsidRPr="00CF7FE6">
        <w:rPr>
          <w:rFonts w:ascii="Verdana" w:hAnsi="Verdana"/>
          <w:sz w:val="20"/>
          <w:szCs w:val="20"/>
          <w:lang w:val="es-ES"/>
        </w:rPr>
        <w:lastRenderedPageBreak/>
        <w:t>Corte.  La cuestión controvertida era, entonces, respecto a si lo relativo al derecho a la estabilidad en el empleo es susceptible de ser enjuiciado por la Corte, es decir, si ésta tiene, al amparo de lo contemplado en el artículo 26 de la Convención, competencia para</w:t>
      </w:r>
      <w:r>
        <w:rPr>
          <w:rFonts w:ascii="Verdana" w:hAnsi="Verdana"/>
          <w:sz w:val="20"/>
          <w:szCs w:val="20"/>
          <w:lang w:val="es-ES"/>
        </w:rPr>
        <w:t xml:space="preserve"> </w:t>
      </w:r>
      <w:r w:rsidRPr="00CF7FE6">
        <w:rPr>
          <w:rFonts w:ascii="Verdana" w:hAnsi="Verdana"/>
          <w:sz w:val="20"/>
          <w:szCs w:val="20"/>
          <w:lang w:val="es-ES"/>
        </w:rPr>
        <w:t xml:space="preserve">pronunciarse acerca de la eventual violación de dicho derecho. </w:t>
      </w:r>
    </w:p>
    <w:p w14:paraId="2A9DB9FE" w14:textId="77777777" w:rsidR="003C2143" w:rsidRPr="00CF7FE6" w:rsidRDefault="003C2143" w:rsidP="003C2143">
      <w:pPr>
        <w:jc w:val="both"/>
        <w:rPr>
          <w:rFonts w:ascii="Verdana" w:hAnsi="Verdana"/>
          <w:sz w:val="20"/>
          <w:szCs w:val="20"/>
          <w:lang w:val="es-ES"/>
        </w:rPr>
      </w:pPr>
    </w:p>
    <w:p w14:paraId="7FF50C4D"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Lo que se sostiene en el presente escrito se fundamenta en que la Corte carece de dicha competencia, es decir, se afirma, </w:t>
      </w:r>
      <w:proofErr w:type="spellStart"/>
      <w:r w:rsidRPr="00CF7FE6">
        <w:rPr>
          <w:rFonts w:ascii="Verdana" w:hAnsi="Verdana"/>
          <w:sz w:val="20"/>
          <w:szCs w:val="20"/>
          <w:lang w:val="es-ES"/>
        </w:rPr>
        <w:t>a</w:t>
      </w:r>
      <w:proofErr w:type="spellEnd"/>
      <w:r w:rsidRPr="00CF7FE6">
        <w:rPr>
          <w:rFonts w:ascii="Verdana" w:hAnsi="Verdana"/>
          <w:sz w:val="20"/>
          <w:szCs w:val="20"/>
          <w:lang w:val="es-ES"/>
        </w:rPr>
        <w:t xml:space="preserve"> contrario de lo indicado en la Sentencia, que el derecho a la estabilidad en el empleo no es susceptible de ser judicializado internacionalmente ante aquella. Y ello por las razones que se esgrimen más adelante, agrupadas en torno a lo que dispone la Convención, lo que establece, en especial, su artículo 26 y, finalmente, otras consideraciones de la Sentencia.</w:t>
      </w:r>
    </w:p>
    <w:p w14:paraId="76E5EDAA" w14:textId="77777777" w:rsidR="003C2143" w:rsidRPr="00CF7FE6" w:rsidRDefault="003C2143" w:rsidP="003C2143">
      <w:pPr>
        <w:jc w:val="both"/>
        <w:rPr>
          <w:rFonts w:ascii="Verdana" w:hAnsi="Verdana"/>
          <w:sz w:val="20"/>
          <w:szCs w:val="20"/>
          <w:lang w:val="es-ES"/>
        </w:rPr>
      </w:pPr>
    </w:p>
    <w:p w14:paraId="6DDB9129" w14:textId="77777777" w:rsidR="003C2143" w:rsidRPr="00CF7FE6" w:rsidRDefault="003C2143" w:rsidP="003C2143">
      <w:pPr>
        <w:pStyle w:val="ListParagraph"/>
        <w:numPr>
          <w:ilvl w:val="0"/>
          <w:numId w:val="34"/>
        </w:numPr>
        <w:jc w:val="both"/>
        <w:rPr>
          <w:rFonts w:ascii="Verdana" w:hAnsi="Verdana"/>
          <w:b/>
          <w:sz w:val="20"/>
          <w:szCs w:val="20"/>
          <w:lang w:val="es-ES"/>
        </w:rPr>
      </w:pPr>
      <w:r w:rsidRPr="00CF7FE6">
        <w:rPr>
          <w:rFonts w:ascii="Verdana" w:hAnsi="Verdana"/>
          <w:b/>
          <w:sz w:val="20"/>
          <w:szCs w:val="20"/>
          <w:lang w:val="es-ES"/>
        </w:rPr>
        <w:t>Derecho a la libertad de asociación.</w:t>
      </w:r>
    </w:p>
    <w:p w14:paraId="1B5CBC38" w14:textId="77777777" w:rsidR="003C2143" w:rsidRPr="00CF7FE6" w:rsidRDefault="003C2143" w:rsidP="003C2143">
      <w:pPr>
        <w:pStyle w:val="ListParagraph"/>
        <w:ind w:left="0"/>
        <w:jc w:val="both"/>
        <w:rPr>
          <w:rFonts w:ascii="Verdana" w:hAnsi="Verdana"/>
          <w:b/>
          <w:sz w:val="20"/>
          <w:szCs w:val="20"/>
          <w:lang w:val="es-ES"/>
        </w:rPr>
      </w:pPr>
    </w:p>
    <w:p w14:paraId="4FAD8097"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En cuanto al derecho a la libertad de asociación, bas</w:t>
      </w:r>
      <w:r>
        <w:rPr>
          <w:rFonts w:ascii="Verdana" w:hAnsi="Verdana"/>
          <w:sz w:val="20"/>
          <w:szCs w:val="20"/>
          <w:lang w:val="es-ES"/>
        </w:rPr>
        <w:t>te con señalar que la mención</w:t>
      </w:r>
      <w:r w:rsidRPr="00CF7FE6">
        <w:rPr>
          <w:rFonts w:ascii="Verdana" w:hAnsi="Verdana"/>
          <w:sz w:val="20"/>
          <w:szCs w:val="20"/>
          <w:lang w:val="es-ES"/>
        </w:rPr>
        <w:t xml:space="preserve"> que la Sentencia </w:t>
      </w:r>
      <w:r>
        <w:rPr>
          <w:rFonts w:ascii="Verdana" w:hAnsi="Verdana"/>
          <w:sz w:val="20"/>
          <w:szCs w:val="20"/>
          <w:lang w:val="es-ES"/>
        </w:rPr>
        <w:t xml:space="preserve">al efecto </w:t>
      </w:r>
      <w:r w:rsidRPr="00CF7FE6">
        <w:rPr>
          <w:rFonts w:ascii="Verdana" w:hAnsi="Verdana"/>
          <w:sz w:val="20"/>
          <w:szCs w:val="20"/>
          <w:lang w:val="es-ES"/>
        </w:rPr>
        <w:t>hace al artículo 26 de la Convención</w:t>
      </w:r>
      <w:r>
        <w:rPr>
          <w:rFonts w:ascii="Verdana" w:hAnsi="Verdana"/>
          <w:sz w:val="20"/>
          <w:szCs w:val="20"/>
          <w:lang w:val="es-ES"/>
        </w:rPr>
        <w:t>,</w:t>
      </w:r>
      <w:r w:rsidRPr="00CF7FE6">
        <w:rPr>
          <w:rFonts w:ascii="Verdana" w:hAnsi="Verdana"/>
          <w:sz w:val="20"/>
          <w:szCs w:val="20"/>
          <w:lang w:val="es-ES"/>
        </w:rPr>
        <w:t xml:space="preserve"> parece innecesaria, dado que dicho derecho, por una parte, se encuentra expresamente previsto en el artículo 16.1 de la Convención</w:t>
      </w:r>
      <w:r w:rsidRPr="00CF7FE6">
        <w:rPr>
          <w:rStyle w:val="FootnoteReference"/>
          <w:szCs w:val="20"/>
          <w:lang w:val="es-ES"/>
        </w:rPr>
        <w:footnoteReference w:id="380"/>
      </w:r>
      <w:r w:rsidRPr="00CF7FE6">
        <w:rPr>
          <w:rFonts w:ascii="Verdana" w:hAnsi="Verdana"/>
          <w:sz w:val="20"/>
          <w:szCs w:val="20"/>
          <w:lang w:val="es-ES"/>
        </w:rPr>
        <w:t xml:space="preserve"> y por la otra, su sentido y alcance es ampliamente reiterado en la propia Sentencia</w:t>
      </w:r>
      <w:r w:rsidRPr="00CF7FE6">
        <w:rPr>
          <w:rStyle w:val="FootnoteReference"/>
          <w:szCs w:val="20"/>
          <w:lang w:val="es-ES"/>
        </w:rPr>
        <w:footnoteReference w:id="381"/>
      </w:r>
      <w:r>
        <w:rPr>
          <w:rFonts w:ascii="Verdana" w:hAnsi="Verdana"/>
          <w:sz w:val="20"/>
          <w:szCs w:val="20"/>
          <w:lang w:val="es-ES"/>
        </w:rPr>
        <w:t xml:space="preserve">. De ello </w:t>
      </w:r>
      <w:r w:rsidRPr="00CF7FE6">
        <w:rPr>
          <w:rFonts w:ascii="Verdana" w:hAnsi="Verdana"/>
          <w:sz w:val="20"/>
          <w:szCs w:val="20"/>
          <w:lang w:val="es-ES"/>
        </w:rPr>
        <w:t>se deduce que dicho derecho es susceptible de ser judicializado ante la Corte en mérito de esos antecedentes y no de lo previsto en el referido artículo 26, el que, por lo demás, es aludido</w:t>
      </w:r>
      <w:r>
        <w:rPr>
          <w:rFonts w:ascii="Verdana" w:hAnsi="Verdana"/>
          <w:sz w:val="20"/>
          <w:szCs w:val="20"/>
          <w:lang w:val="es-ES"/>
        </w:rPr>
        <w:t>, en cuanto a la libertad de asociación,</w:t>
      </w:r>
      <w:r w:rsidRPr="00CF7FE6">
        <w:rPr>
          <w:rFonts w:ascii="Verdana" w:hAnsi="Verdana"/>
          <w:sz w:val="20"/>
          <w:szCs w:val="20"/>
          <w:lang w:val="es-ES"/>
        </w:rPr>
        <w:t xml:space="preserve"> muy marginal o tangencialmente en el fallo, al mismo nivel que la Carta Democrática Interamericana</w:t>
      </w:r>
      <w:r>
        <w:rPr>
          <w:rStyle w:val="FootnoteReference"/>
          <w:szCs w:val="20"/>
          <w:lang w:val="es-ES"/>
        </w:rPr>
        <w:footnoteReference w:id="382"/>
      </w:r>
      <w:r w:rsidRPr="00CF7FE6">
        <w:rPr>
          <w:rFonts w:ascii="Verdana" w:hAnsi="Verdana"/>
          <w:sz w:val="20"/>
          <w:szCs w:val="20"/>
          <w:lang w:val="es-ES"/>
        </w:rPr>
        <w:t xml:space="preserve"> y el Convenio sobre los representantes de los trabajadores</w:t>
      </w:r>
      <w:r w:rsidRPr="00CF7FE6">
        <w:rPr>
          <w:rStyle w:val="FootnoteReference"/>
          <w:szCs w:val="20"/>
          <w:lang w:val="es-ES"/>
        </w:rPr>
        <w:t xml:space="preserve"> </w:t>
      </w:r>
      <w:r w:rsidRPr="00CF7FE6">
        <w:rPr>
          <w:rFonts w:ascii="Verdana" w:hAnsi="Verdana"/>
          <w:sz w:val="20"/>
          <w:szCs w:val="20"/>
          <w:lang w:val="es-ES"/>
        </w:rPr>
        <w:t>de la OIT</w:t>
      </w:r>
      <w:r w:rsidRPr="00CF7FE6">
        <w:rPr>
          <w:rStyle w:val="FootnoteReference"/>
          <w:szCs w:val="20"/>
          <w:lang w:val="es-ES"/>
        </w:rPr>
        <w:footnoteReference w:id="383"/>
      </w:r>
      <w:r w:rsidRPr="00CF7FE6">
        <w:rPr>
          <w:rFonts w:ascii="Verdana" w:hAnsi="Verdana"/>
          <w:sz w:val="20"/>
          <w:szCs w:val="20"/>
          <w:lang w:val="es-ES"/>
        </w:rPr>
        <w:t xml:space="preserve">, esto es, </w:t>
      </w:r>
      <w:r>
        <w:rPr>
          <w:rFonts w:ascii="Verdana" w:hAnsi="Verdana"/>
          <w:sz w:val="20"/>
          <w:szCs w:val="20"/>
          <w:lang w:val="es-ES"/>
        </w:rPr>
        <w:t xml:space="preserve">es abordado </w:t>
      </w:r>
      <w:r w:rsidRPr="00CF7FE6">
        <w:rPr>
          <w:rFonts w:ascii="Verdana" w:hAnsi="Verdana"/>
          <w:sz w:val="20"/>
          <w:szCs w:val="20"/>
          <w:lang w:val="es-ES"/>
        </w:rPr>
        <w:t>más propiamente como medio de interpretación</w:t>
      </w:r>
      <w:r w:rsidRPr="00BE3D78">
        <w:rPr>
          <w:lang w:val="es-ES"/>
        </w:rPr>
        <w:t xml:space="preserve"> </w:t>
      </w:r>
      <w:r w:rsidRPr="00BE3D78">
        <w:rPr>
          <w:rFonts w:ascii="Verdana" w:hAnsi="Verdana"/>
          <w:sz w:val="20"/>
          <w:szCs w:val="20"/>
          <w:lang w:val="es-ES"/>
        </w:rPr>
        <w:t>de lo previsto en ella</w:t>
      </w:r>
      <w:r w:rsidRPr="00CF7FE6">
        <w:rPr>
          <w:rFonts w:ascii="Verdana" w:hAnsi="Verdana"/>
          <w:sz w:val="20"/>
          <w:szCs w:val="20"/>
          <w:lang w:val="es-ES"/>
        </w:rPr>
        <w:t>, juntamente con el contexto de los términos de la Convención</w:t>
      </w:r>
      <w:r w:rsidRPr="00CF7FE6">
        <w:rPr>
          <w:rStyle w:val="FootnoteReference"/>
          <w:szCs w:val="20"/>
          <w:lang w:val="es-ES"/>
        </w:rPr>
        <w:footnoteReference w:id="384"/>
      </w:r>
      <w:r w:rsidRPr="00CF7FE6">
        <w:rPr>
          <w:rFonts w:ascii="Verdana" w:hAnsi="Verdana"/>
          <w:sz w:val="20"/>
          <w:szCs w:val="20"/>
          <w:lang w:val="es-ES"/>
        </w:rPr>
        <w:t xml:space="preserve">, </w:t>
      </w:r>
      <w:r>
        <w:rPr>
          <w:rFonts w:ascii="Verdana" w:hAnsi="Verdana"/>
          <w:sz w:val="20"/>
          <w:szCs w:val="20"/>
          <w:lang w:val="es-ES"/>
        </w:rPr>
        <w:t xml:space="preserve">en lo concerniente a la existencia del derecho a la libertad de asociación, más no </w:t>
      </w:r>
      <w:r w:rsidRPr="00CF7FE6">
        <w:rPr>
          <w:rFonts w:ascii="Verdana" w:hAnsi="Verdana"/>
          <w:sz w:val="20"/>
          <w:szCs w:val="20"/>
          <w:lang w:val="es-ES"/>
        </w:rPr>
        <w:t>como sustento de la competencia de la Corte para pronunciarse al respecto.</w:t>
      </w:r>
    </w:p>
    <w:p w14:paraId="4E2B0F4D" w14:textId="77777777" w:rsidR="003C2143" w:rsidRPr="00CF7FE6" w:rsidRDefault="003C2143" w:rsidP="003C2143">
      <w:pPr>
        <w:jc w:val="both"/>
        <w:rPr>
          <w:rFonts w:ascii="Verdana" w:hAnsi="Verdana"/>
          <w:sz w:val="20"/>
          <w:szCs w:val="20"/>
          <w:lang w:val="es-ES"/>
        </w:rPr>
      </w:pPr>
    </w:p>
    <w:p w14:paraId="64F6CCC5" w14:textId="77777777" w:rsidR="003C2143" w:rsidRPr="00273011" w:rsidRDefault="003C2143" w:rsidP="003C2143">
      <w:pPr>
        <w:pStyle w:val="ListParagraph"/>
        <w:numPr>
          <w:ilvl w:val="0"/>
          <w:numId w:val="33"/>
        </w:numPr>
        <w:jc w:val="both"/>
        <w:rPr>
          <w:rFonts w:ascii="Verdana" w:hAnsi="Verdana"/>
          <w:b/>
          <w:sz w:val="20"/>
          <w:szCs w:val="20"/>
          <w:lang w:val="es-ES"/>
        </w:rPr>
      </w:pPr>
      <w:r>
        <w:rPr>
          <w:rFonts w:ascii="Verdana" w:hAnsi="Verdana"/>
          <w:b/>
          <w:sz w:val="20"/>
          <w:szCs w:val="20"/>
          <w:lang w:val="es-ES"/>
        </w:rPr>
        <w:t xml:space="preserve">Alcance </w:t>
      </w:r>
      <w:r w:rsidRPr="00273011">
        <w:rPr>
          <w:rFonts w:ascii="Verdana" w:hAnsi="Verdana"/>
          <w:b/>
          <w:sz w:val="20"/>
          <w:szCs w:val="20"/>
          <w:lang w:val="es-ES"/>
        </w:rPr>
        <w:t>del presente texto.</w:t>
      </w:r>
    </w:p>
    <w:p w14:paraId="6B1A8C90" w14:textId="77777777" w:rsidR="003C2143" w:rsidRDefault="003C2143" w:rsidP="003C2143">
      <w:pPr>
        <w:ind w:left="360"/>
        <w:jc w:val="both"/>
        <w:rPr>
          <w:rFonts w:ascii="Verdana" w:hAnsi="Verdana"/>
          <w:sz w:val="20"/>
          <w:szCs w:val="20"/>
          <w:lang w:val="es-ES"/>
        </w:rPr>
      </w:pPr>
    </w:p>
    <w:p w14:paraId="748F58D6" w14:textId="77777777" w:rsidR="003C2143" w:rsidRPr="00273011" w:rsidRDefault="003C2143" w:rsidP="003C2143">
      <w:pPr>
        <w:ind w:left="360"/>
        <w:jc w:val="both"/>
        <w:rPr>
          <w:rFonts w:ascii="Verdana" w:hAnsi="Verdana"/>
          <w:sz w:val="20"/>
          <w:szCs w:val="20"/>
          <w:lang w:val="es-ES"/>
        </w:rPr>
      </w:pPr>
      <w:r w:rsidRPr="00273011">
        <w:rPr>
          <w:rFonts w:ascii="Verdana" w:hAnsi="Verdana"/>
          <w:sz w:val="20"/>
          <w:szCs w:val="20"/>
          <w:lang w:val="es-ES"/>
        </w:rPr>
        <w:t xml:space="preserve">Es por lo anterior, que lo que se expresa en este voto se restringe a lo concerniente al derecho a la estabilidad del empleo, aunque lo que se afirma puede asimismo ser estimado procedente en cuanto a la relación que la Sentencia hace del artículo 26 de la Convención con el derecho a la libertad de asociación.  </w:t>
      </w:r>
    </w:p>
    <w:p w14:paraId="3A4FF291" w14:textId="77777777" w:rsidR="003C2143" w:rsidRPr="00CF7FE6" w:rsidRDefault="003C2143" w:rsidP="003C2143">
      <w:pPr>
        <w:jc w:val="both"/>
        <w:rPr>
          <w:rFonts w:ascii="Verdana" w:hAnsi="Verdana"/>
          <w:sz w:val="20"/>
          <w:szCs w:val="20"/>
          <w:lang w:val="es-ES"/>
        </w:rPr>
      </w:pPr>
    </w:p>
    <w:p w14:paraId="28198303" w14:textId="77777777" w:rsidR="003C2143" w:rsidRPr="00273011" w:rsidRDefault="003C2143" w:rsidP="003C2143">
      <w:pPr>
        <w:pStyle w:val="ListParagraph"/>
        <w:numPr>
          <w:ilvl w:val="0"/>
          <w:numId w:val="35"/>
        </w:numPr>
        <w:jc w:val="both"/>
        <w:rPr>
          <w:rFonts w:ascii="Verdana" w:hAnsi="Verdana"/>
          <w:b/>
          <w:sz w:val="20"/>
          <w:szCs w:val="20"/>
          <w:lang w:val="es-ES"/>
        </w:rPr>
      </w:pPr>
      <w:r>
        <w:rPr>
          <w:rFonts w:ascii="Verdana" w:hAnsi="Verdana"/>
          <w:b/>
          <w:sz w:val="20"/>
          <w:szCs w:val="20"/>
          <w:lang w:val="es-ES"/>
        </w:rPr>
        <w:t xml:space="preserve">LO </w:t>
      </w:r>
      <w:r w:rsidRPr="00273011">
        <w:rPr>
          <w:rFonts w:ascii="Verdana" w:hAnsi="Verdana"/>
          <w:b/>
          <w:sz w:val="20"/>
          <w:szCs w:val="20"/>
          <w:lang w:val="es-ES"/>
        </w:rPr>
        <w:t>QUE ESTABLECE LA CONVENCIÓN.</w:t>
      </w:r>
    </w:p>
    <w:p w14:paraId="75C3D7DD" w14:textId="77777777" w:rsidR="003C2143" w:rsidRPr="00CF7FE6" w:rsidRDefault="003C2143" w:rsidP="003C2143">
      <w:pPr>
        <w:jc w:val="both"/>
        <w:rPr>
          <w:rFonts w:ascii="Verdana" w:hAnsi="Verdana"/>
          <w:b/>
          <w:sz w:val="20"/>
          <w:szCs w:val="20"/>
          <w:lang w:val="es-ES"/>
        </w:rPr>
      </w:pPr>
    </w:p>
    <w:p w14:paraId="753D27F4"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En cuanto a lo que dice</w:t>
      </w:r>
      <w:r>
        <w:rPr>
          <w:rFonts w:ascii="Verdana" w:hAnsi="Verdana"/>
          <w:sz w:val="20"/>
          <w:szCs w:val="20"/>
          <w:lang w:val="es-ES"/>
        </w:rPr>
        <w:t xml:space="preserve"> relación con lo que se discrepa</w:t>
      </w:r>
      <w:r w:rsidRPr="00CF7FE6">
        <w:rPr>
          <w:rFonts w:ascii="Verdana" w:hAnsi="Verdana"/>
          <w:sz w:val="20"/>
          <w:szCs w:val="20"/>
          <w:lang w:val="es-ES"/>
        </w:rPr>
        <w:t xml:space="preserve"> de lo expuesto en la Sentencia, se exponen cinco consideraciones. Una, sobre los derechos “</w:t>
      </w:r>
      <w:r w:rsidRPr="00CF7FE6">
        <w:rPr>
          <w:rFonts w:ascii="Verdana" w:hAnsi="Verdana"/>
          <w:i/>
          <w:sz w:val="20"/>
          <w:szCs w:val="20"/>
          <w:lang w:val="es-ES"/>
        </w:rPr>
        <w:t>reconocidos</w:t>
      </w:r>
      <w:r>
        <w:rPr>
          <w:rFonts w:ascii="Verdana" w:hAnsi="Verdana"/>
          <w:sz w:val="20"/>
          <w:szCs w:val="20"/>
          <w:lang w:val="es-ES"/>
        </w:rPr>
        <w:t>” en la Convención</w:t>
      </w:r>
      <w:r w:rsidRPr="00CF7FE6">
        <w:rPr>
          <w:rFonts w:ascii="Verdana" w:hAnsi="Verdana"/>
          <w:sz w:val="20"/>
          <w:szCs w:val="20"/>
          <w:lang w:val="es-ES"/>
        </w:rPr>
        <w:t>. Otra, sobre la existencia de otros</w:t>
      </w:r>
      <w:r>
        <w:rPr>
          <w:rFonts w:ascii="Verdana" w:hAnsi="Verdana"/>
          <w:sz w:val="20"/>
          <w:szCs w:val="20"/>
          <w:lang w:val="es-ES"/>
        </w:rPr>
        <w:t xml:space="preserve"> derechos. La tercera, sobre el </w:t>
      </w:r>
      <w:r w:rsidRPr="00CF7FE6">
        <w:rPr>
          <w:rFonts w:ascii="Verdana" w:hAnsi="Verdana"/>
          <w:sz w:val="20"/>
          <w:szCs w:val="20"/>
          <w:lang w:val="es-ES"/>
        </w:rPr>
        <w:t>sistema de protección</w:t>
      </w:r>
      <w:r>
        <w:rPr>
          <w:rFonts w:ascii="Verdana" w:hAnsi="Verdana"/>
          <w:sz w:val="20"/>
          <w:szCs w:val="20"/>
          <w:lang w:val="es-ES"/>
        </w:rPr>
        <w:t xml:space="preserve"> consagrado en </w:t>
      </w:r>
      <w:r>
        <w:rPr>
          <w:rFonts w:ascii="Verdana" w:hAnsi="Verdana"/>
          <w:sz w:val="20"/>
          <w:szCs w:val="20"/>
          <w:lang w:val="es-ES"/>
        </w:rPr>
        <w:lastRenderedPageBreak/>
        <w:t>aquella</w:t>
      </w:r>
      <w:r w:rsidRPr="00CF7FE6">
        <w:rPr>
          <w:rFonts w:ascii="Verdana" w:hAnsi="Verdana"/>
          <w:sz w:val="20"/>
          <w:szCs w:val="20"/>
          <w:lang w:val="es-ES"/>
        </w:rPr>
        <w:t>. La cuarta, sobre la ampliación de éste a otros derechos. Y, por último, acerca del Protocolo de San Salvador.</w:t>
      </w:r>
    </w:p>
    <w:p w14:paraId="4632A06B" w14:textId="77777777" w:rsidR="003C2143" w:rsidRPr="00CF7FE6" w:rsidRDefault="003C2143" w:rsidP="003C2143">
      <w:pPr>
        <w:jc w:val="both"/>
        <w:rPr>
          <w:rFonts w:ascii="Verdana" w:hAnsi="Verdana"/>
          <w:b/>
          <w:sz w:val="20"/>
          <w:szCs w:val="20"/>
          <w:lang w:val="es-ES"/>
        </w:rPr>
      </w:pPr>
    </w:p>
    <w:p w14:paraId="1F410E8D" w14:textId="77777777" w:rsidR="003C2143" w:rsidRPr="003B2532" w:rsidRDefault="003C2143" w:rsidP="003C2143">
      <w:pPr>
        <w:pStyle w:val="ListParagraph"/>
        <w:numPr>
          <w:ilvl w:val="0"/>
          <w:numId w:val="32"/>
        </w:numPr>
        <w:jc w:val="both"/>
        <w:rPr>
          <w:rFonts w:ascii="Verdana" w:hAnsi="Verdana"/>
          <w:b/>
          <w:sz w:val="20"/>
          <w:szCs w:val="20"/>
          <w:lang w:val="es-ES"/>
        </w:rPr>
      </w:pPr>
      <w:r w:rsidRPr="003B2532">
        <w:rPr>
          <w:rFonts w:ascii="Verdana" w:hAnsi="Verdana"/>
          <w:b/>
          <w:sz w:val="20"/>
          <w:szCs w:val="20"/>
          <w:lang w:val="es-ES"/>
        </w:rPr>
        <w:t xml:space="preserve">Derechos “reconocidos” </w:t>
      </w:r>
      <w:r>
        <w:rPr>
          <w:rFonts w:ascii="Verdana" w:hAnsi="Verdana"/>
          <w:b/>
          <w:sz w:val="20"/>
          <w:szCs w:val="20"/>
          <w:lang w:val="es-ES"/>
        </w:rPr>
        <w:t>en</w:t>
      </w:r>
      <w:r w:rsidRPr="003B2532">
        <w:rPr>
          <w:rFonts w:ascii="Verdana" w:hAnsi="Verdana"/>
          <w:b/>
          <w:sz w:val="20"/>
          <w:szCs w:val="20"/>
          <w:lang w:val="es-ES"/>
        </w:rPr>
        <w:t xml:space="preserve"> la Convención.</w:t>
      </w:r>
    </w:p>
    <w:p w14:paraId="1DD7FD5C" w14:textId="77777777" w:rsidR="003C2143" w:rsidRPr="00CF7FE6" w:rsidRDefault="003C2143" w:rsidP="003C2143">
      <w:pPr>
        <w:jc w:val="both"/>
        <w:rPr>
          <w:rFonts w:ascii="Verdana" w:hAnsi="Verdana"/>
          <w:sz w:val="20"/>
          <w:szCs w:val="20"/>
          <w:lang w:val="es-ES"/>
        </w:rPr>
      </w:pPr>
    </w:p>
    <w:p w14:paraId="021F6680"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El artículo 1.1 de la Convención dispone que sus Estado Partes se </w:t>
      </w:r>
      <w:proofErr w:type="gramStart"/>
      <w:r w:rsidRPr="00CF7FE6">
        <w:rPr>
          <w:rFonts w:ascii="Verdana" w:hAnsi="Verdana"/>
          <w:sz w:val="20"/>
          <w:szCs w:val="20"/>
          <w:lang w:val="es-ES"/>
        </w:rPr>
        <w:t>comprometen</w:t>
      </w:r>
      <w:proofErr w:type="gramEnd"/>
      <w:r w:rsidRPr="00CF7FE6">
        <w:rPr>
          <w:rFonts w:ascii="Verdana" w:hAnsi="Verdana"/>
          <w:sz w:val="20"/>
          <w:szCs w:val="20"/>
          <w:lang w:val="es-ES"/>
        </w:rPr>
        <w:t xml:space="preserve"> a respetar y a garantizar el libre ejercicio de  los derechos “</w:t>
      </w:r>
      <w:r w:rsidRPr="00CF7FE6">
        <w:rPr>
          <w:rFonts w:ascii="Verdana" w:hAnsi="Verdana"/>
          <w:i/>
          <w:sz w:val="20"/>
          <w:szCs w:val="20"/>
          <w:lang w:val="es-ES"/>
        </w:rPr>
        <w:t>reconocidos en ella</w:t>
      </w:r>
      <w:r w:rsidRPr="00CF7FE6">
        <w:rPr>
          <w:rFonts w:ascii="Verdana" w:hAnsi="Verdana"/>
          <w:sz w:val="20"/>
          <w:szCs w:val="20"/>
          <w:lang w:val="es-ES"/>
        </w:rPr>
        <w:t>”</w:t>
      </w:r>
      <w:r w:rsidRPr="00CF7FE6">
        <w:rPr>
          <w:rStyle w:val="FootnoteReference"/>
          <w:szCs w:val="20"/>
          <w:lang w:val="es-ES"/>
        </w:rPr>
        <w:footnoteReference w:id="385"/>
      </w:r>
      <w:r w:rsidRPr="00CF7FE6">
        <w:rPr>
          <w:rFonts w:ascii="Verdana" w:hAnsi="Verdana"/>
          <w:sz w:val="20"/>
          <w:szCs w:val="20"/>
          <w:lang w:val="es-ES"/>
        </w:rPr>
        <w:t>. Por su parte, el artículo 29</w:t>
      </w:r>
      <w:r>
        <w:rPr>
          <w:rFonts w:ascii="Verdana" w:hAnsi="Verdana"/>
          <w:sz w:val="20"/>
          <w:szCs w:val="20"/>
          <w:lang w:val="es-ES"/>
        </w:rPr>
        <w:t>.a) de del mismo texto, relativo</w:t>
      </w:r>
      <w:r w:rsidRPr="00CF7FE6">
        <w:rPr>
          <w:rFonts w:ascii="Verdana" w:hAnsi="Verdana"/>
          <w:sz w:val="20"/>
          <w:szCs w:val="20"/>
          <w:lang w:val="es-ES"/>
        </w:rPr>
        <w:t xml:space="preserve"> al principio </w:t>
      </w:r>
      <w:r w:rsidRPr="00CF7FE6">
        <w:rPr>
          <w:rFonts w:ascii="Verdana" w:hAnsi="Verdana"/>
          <w:i/>
          <w:sz w:val="20"/>
          <w:szCs w:val="20"/>
          <w:lang w:val="es-ES"/>
        </w:rPr>
        <w:t xml:space="preserve">pro </w:t>
      </w:r>
      <w:proofErr w:type="spellStart"/>
      <w:r w:rsidRPr="00CF7FE6">
        <w:rPr>
          <w:rFonts w:ascii="Verdana" w:hAnsi="Verdana"/>
          <w:i/>
          <w:sz w:val="20"/>
          <w:szCs w:val="20"/>
          <w:lang w:val="es-ES"/>
        </w:rPr>
        <w:t>personae</w:t>
      </w:r>
      <w:proofErr w:type="spellEnd"/>
      <w:r w:rsidRPr="00CF7FE6">
        <w:rPr>
          <w:rFonts w:ascii="Verdana" w:hAnsi="Verdana"/>
          <w:sz w:val="20"/>
          <w:szCs w:val="20"/>
          <w:lang w:val="es-ES"/>
        </w:rPr>
        <w:t>, emplea la misma fórmula.</w:t>
      </w:r>
      <w:r w:rsidRPr="00CF7FE6">
        <w:rPr>
          <w:rStyle w:val="FootnoteReference"/>
          <w:szCs w:val="20"/>
          <w:lang w:val="es-ES"/>
        </w:rPr>
        <w:footnoteReference w:id="386"/>
      </w:r>
      <w:r w:rsidRPr="00CF7FE6">
        <w:rPr>
          <w:rFonts w:ascii="Verdana" w:hAnsi="Verdana"/>
          <w:sz w:val="20"/>
          <w:szCs w:val="20"/>
          <w:lang w:val="es-ES"/>
        </w:rPr>
        <w:t xml:space="preserve"> </w:t>
      </w:r>
    </w:p>
    <w:p w14:paraId="09ABF932" w14:textId="77777777" w:rsidR="003C2143" w:rsidRPr="00CF7FE6" w:rsidRDefault="003C2143" w:rsidP="003C2143">
      <w:pPr>
        <w:jc w:val="both"/>
        <w:rPr>
          <w:rFonts w:ascii="Verdana" w:hAnsi="Verdana"/>
          <w:sz w:val="20"/>
          <w:szCs w:val="20"/>
          <w:lang w:val="es-ES"/>
        </w:rPr>
      </w:pPr>
    </w:p>
    <w:p w14:paraId="2583AB97"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Es menester indicar también que en otras disposiciones, la Convención se refiere a “</w:t>
      </w:r>
      <w:r w:rsidRPr="00CF7FE6">
        <w:rPr>
          <w:rFonts w:ascii="Verdana" w:hAnsi="Verdana"/>
          <w:i/>
          <w:sz w:val="20"/>
          <w:szCs w:val="20"/>
          <w:lang w:val="es-ES"/>
        </w:rPr>
        <w:t>los derechos establecidos</w:t>
      </w:r>
      <w:r w:rsidRPr="00CF7FE6">
        <w:rPr>
          <w:rFonts w:ascii="Verdana" w:hAnsi="Verdana"/>
          <w:sz w:val="20"/>
          <w:szCs w:val="20"/>
          <w:lang w:val="es-ES"/>
        </w:rPr>
        <w:t>”</w:t>
      </w:r>
      <w:r w:rsidRPr="00CF7FE6">
        <w:rPr>
          <w:rStyle w:val="FootnoteReference"/>
          <w:szCs w:val="20"/>
          <w:lang w:val="es-ES"/>
        </w:rPr>
        <w:footnoteReference w:id="387"/>
      </w:r>
      <w:r w:rsidRPr="00CF7FE6">
        <w:rPr>
          <w:rFonts w:ascii="Verdana" w:hAnsi="Verdana"/>
          <w:sz w:val="20"/>
          <w:szCs w:val="20"/>
          <w:lang w:val="es-ES"/>
        </w:rPr>
        <w:t>, “</w:t>
      </w:r>
      <w:r w:rsidRPr="00CF7FE6">
        <w:rPr>
          <w:rFonts w:ascii="Verdana" w:hAnsi="Verdana"/>
          <w:i/>
          <w:sz w:val="20"/>
          <w:szCs w:val="20"/>
          <w:lang w:val="es-ES"/>
        </w:rPr>
        <w:t>garantizados</w:t>
      </w:r>
      <w:r w:rsidRPr="00CF7FE6">
        <w:rPr>
          <w:rFonts w:ascii="Verdana" w:hAnsi="Verdana"/>
          <w:sz w:val="20"/>
          <w:szCs w:val="20"/>
          <w:lang w:val="es-ES"/>
        </w:rPr>
        <w:t>”</w:t>
      </w:r>
      <w:r w:rsidRPr="00CF7FE6">
        <w:rPr>
          <w:rStyle w:val="FootnoteReference"/>
          <w:szCs w:val="20"/>
          <w:lang w:val="es-ES"/>
        </w:rPr>
        <w:footnoteReference w:id="388"/>
      </w:r>
      <w:r w:rsidRPr="00CF7FE6">
        <w:rPr>
          <w:rFonts w:ascii="Verdana" w:hAnsi="Verdana"/>
          <w:sz w:val="20"/>
          <w:szCs w:val="20"/>
          <w:lang w:val="es-ES"/>
        </w:rPr>
        <w:t>, “</w:t>
      </w:r>
      <w:r w:rsidRPr="00CF7FE6">
        <w:rPr>
          <w:rFonts w:ascii="Verdana" w:hAnsi="Verdana"/>
          <w:i/>
          <w:sz w:val="20"/>
          <w:szCs w:val="20"/>
          <w:lang w:val="es-ES"/>
        </w:rPr>
        <w:t>consagrados</w:t>
      </w:r>
      <w:r w:rsidRPr="00CF7FE6">
        <w:rPr>
          <w:rFonts w:ascii="Verdana" w:hAnsi="Verdana"/>
          <w:sz w:val="20"/>
          <w:szCs w:val="20"/>
          <w:lang w:val="es-ES"/>
        </w:rPr>
        <w:t>”</w:t>
      </w:r>
      <w:r w:rsidRPr="00CF7FE6">
        <w:rPr>
          <w:rStyle w:val="FootnoteReference"/>
          <w:szCs w:val="20"/>
          <w:lang w:val="es-ES"/>
        </w:rPr>
        <w:footnoteReference w:id="389"/>
      </w:r>
      <w:r w:rsidRPr="00CF7FE6">
        <w:rPr>
          <w:rFonts w:ascii="Verdana" w:hAnsi="Verdana"/>
          <w:sz w:val="20"/>
          <w:szCs w:val="20"/>
          <w:lang w:val="es-ES"/>
        </w:rPr>
        <w:t xml:space="preserve"> o “</w:t>
      </w:r>
      <w:r w:rsidRPr="00CF7FE6">
        <w:rPr>
          <w:rFonts w:ascii="Verdana" w:hAnsi="Verdana"/>
          <w:i/>
          <w:sz w:val="20"/>
          <w:szCs w:val="20"/>
          <w:lang w:val="es-ES"/>
        </w:rPr>
        <w:t>protegidos</w:t>
      </w:r>
      <w:r w:rsidRPr="00CF7FE6">
        <w:rPr>
          <w:rFonts w:ascii="Verdana" w:hAnsi="Verdana"/>
          <w:sz w:val="20"/>
          <w:szCs w:val="20"/>
          <w:lang w:val="es-ES"/>
        </w:rPr>
        <w:t>”</w:t>
      </w:r>
      <w:r w:rsidRPr="00CF7FE6">
        <w:rPr>
          <w:rStyle w:val="FootnoteReference"/>
          <w:szCs w:val="20"/>
          <w:lang w:val="es-ES"/>
        </w:rPr>
        <w:footnoteReference w:id="390"/>
      </w:r>
      <w:r>
        <w:rPr>
          <w:rFonts w:ascii="Verdana" w:hAnsi="Verdana"/>
          <w:sz w:val="20"/>
          <w:szCs w:val="20"/>
          <w:lang w:val="es-ES"/>
        </w:rPr>
        <w:t xml:space="preserve"> en</w:t>
      </w:r>
      <w:r w:rsidRPr="00CF7FE6">
        <w:rPr>
          <w:rFonts w:ascii="Verdana" w:hAnsi="Verdana"/>
          <w:sz w:val="20"/>
          <w:szCs w:val="20"/>
          <w:lang w:val="es-ES"/>
        </w:rPr>
        <w:t xml:space="preserve"> ella, por lo que, lógicamente, se debe entender que se trata de los derechos </w:t>
      </w:r>
      <w:r>
        <w:rPr>
          <w:rFonts w:ascii="Verdana" w:hAnsi="Verdana"/>
          <w:sz w:val="20"/>
          <w:szCs w:val="20"/>
          <w:lang w:val="es-ES"/>
        </w:rPr>
        <w:t xml:space="preserve">que han sido  </w:t>
      </w:r>
      <w:r w:rsidRPr="00CF7FE6">
        <w:rPr>
          <w:rFonts w:ascii="Verdana" w:hAnsi="Verdana"/>
          <w:sz w:val="20"/>
          <w:szCs w:val="20"/>
          <w:lang w:val="es-ES"/>
        </w:rPr>
        <w:t>“</w:t>
      </w:r>
      <w:r>
        <w:rPr>
          <w:rFonts w:ascii="Verdana" w:hAnsi="Verdana"/>
          <w:i/>
          <w:sz w:val="20"/>
          <w:szCs w:val="20"/>
          <w:lang w:val="es-ES"/>
        </w:rPr>
        <w:t xml:space="preserve">reconocidos” </w:t>
      </w:r>
      <w:r>
        <w:rPr>
          <w:rFonts w:ascii="Verdana" w:hAnsi="Verdana"/>
          <w:sz w:val="20"/>
          <w:szCs w:val="20"/>
          <w:lang w:val="es-ES"/>
        </w:rPr>
        <w:t>en tal tratado</w:t>
      </w:r>
      <w:r w:rsidRPr="00CF7FE6">
        <w:rPr>
          <w:rStyle w:val="FootnoteReference"/>
          <w:szCs w:val="20"/>
          <w:lang w:val="es-ES"/>
        </w:rPr>
        <w:footnoteReference w:id="391"/>
      </w:r>
      <w:r w:rsidRPr="00CF7FE6">
        <w:rPr>
          <w:rFonts w:ascii="Verdana" w:hAnsi="Verdana"/>
          <w:sz w:val="20"/>
          <w:szCs w:val="20"/>
          <w:lang w:val="es-ES"/>
        </w:rPr>
        <w:t>.</w:t>
      </w:r>
    </w:p>
    <w:p w14:paraId="475A81B5" w14:textId="77777777" w:rsidR="003C2143" w:rsidRPr="00CF7FE6" w:rsidRDefault="003C2143" w:rsidP="003C2143">
      <w:pPr>
        <w:jc w:val="both"/>
        <w:rPr>
          <w:rFonts w:ascii="Verdana" w:hAnsi="Verdana"/>
          <w:sz w:val="20"/>
          <w:szCs w:val="20"/>
          <w:lang w:val="es-ES"/>
        </w:rPr>
      </w:pPr>
    </w:p>
    <w:p w14:paraId="762EE0BE"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Ahora bien, los derechos “</w:t>
      </w:r>
      <w:r w:rsidRPr="00CF7FE6">
        <w:rPr>
          <w:rFonts w:ascii="Verdana" w:hAnsi="Verdana"/>
          <w:i/>
          <w:sz w:val="20"/>
          <w:szCs w:val="20"/>
          <w:lang w:val="es-ES"/>
        </w:rPr>
        <w:t>reconocid</w:t>
      </w:r>
      <w:r w:rsidRPr="00CF7FE6">
        <w:rPr>
          <w:rFonts w:ascii="Verdana" w:hAnsi="Verdana"/>
          <w:sz w:val="20"/>
          <w:szCs w:val="20"/>
          <w:lang w:val="es-ES"/>
        </w:rPr>
        <w:t>os” en la Convención son los “</w:t>
      </w:r>
      <w:r w:rsidRPr="00CF7FE6">
        <w:rPr>
          <w:rFonts w:ascii="Verdana" w:hAnsi="Verdana"/>
          <w:i/>
          <w:sz w:val="20"/>
          <w:szCs w:val="20"/>
          <w:lang w:val="es-ES"/>
        </w:rPr>
        <w:t>Derechos Civiles y políticos</w:t>
      </w:r>
      <w:r w:rsidRPr="00CF7FE6">
        <w:rPr>
          <w:rFonts w:ascii="Verdana" w:hAnsi="Verdana"/>
          <w:sz w:val="20"/>
          <w:szCs w:val="20"/>
          <w:lang w:val="es-ES"/>
        </w:rPr>
        <w:t>” (Capítulo II), es decir, derecho al reconocimiento de la personalidad jurídica (art.3), derecho a la vida (art.4), derecho a la integridad personal (art5), prohibición de la esclavitud y la servidumbre (art.6), derecho a la libertad personal (art.7), garantías judiciales (art.8), principio de legalidad y retroactividad (art.9), derecho a indemnización (art.10), protección de la honra y la dignidad (art.11), libertad de conciencia y de religión (art.12), libertad de pensamiento y de expresión (art.13), derecho de rectificación o respuesta (art.14), derecho de reunión (art.15), libertad de asociación (art.16), protección a la familia (art.17), derecho al nombre (art.18), derechos del niño (art.19), derecho a la nacionalidad (art.20</w:t>
      </w:r>
      <w:r>
        <w:rPr>
          <w:rFonts w:ascii="Verdana" w:hAnsi="Verdana"/>
          <w:sz w:val="20"/>
          <w:szCs w:val="20"/>
          <w:lang w:val="es-ES"/>
        </w:rPr>
        <w:t>)</w:t>
      </w:r>
      <w:r w:rsidRPr="00CF7FE6">
        <w:rPr>
          <w:rFonts w:ascii="Verdana" w:hAnsi="Verdana"/>
          <w:sz w:val="20"/>
          <w:szCs w:val="20"/>
          <w:lang w:val="es-ES"/>
        </w:rPr>
        <w:t>, derecho a la propiedad privada (art.21), derecho de circulación y de residencia (art.22), derechos políticos (art.23), igualdad ante la ley (art.24) y protección judicial (art.25).</w:t>
      </w:r>
    </w:p>
    <w:p w14:paraId="7F70D567" w14:textId="77777777" w:rsidR="003C2143" w:rsidRPr="00CF7FE6" w:rsidRDefault="003C2143" w:rsidP="003C2143">
      <w:pPr>
        <w:jc w:val="both"/>
        <w:rPr>
          <w:rFonts w:ascii="Verdana" w:hAnsi="Verdana"/>
          <w:sz w:val="20"/>
          <w:szCs w:val="20"/>
          <w:lang w:val="es-ES"/>
        </w:rPr>
      </w:pPr>
    </w:p>
    <w:p w14:paraId="26B7BE57"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lastRenderedPageBreak/>
        <w:t>De conformidad a estas disposiciones, los derechos objeto de la Convención y que, consecuentemente, sus Estados Partes “</w:t>
      </w:r>
      <w:r w:rsidRPr="00CF7FE6">
        <w:rPr>
          <w:rFonts w:ascii="Verdana" w:hAnsi="Verdana"/>
          <w:i/>
          <w:sz w:val="20"/>
          <w:szCs w:val="20"/>
          <w:lang w:val="es-ES"/>
        </w:rPr>
        <w:t>se comprometen a respetar y a garantizar su libre y pleno ejercicio a toda persona que esté sujeta a su jurisdicción</w:t>
      </w:r>
      <w:r w:rsidRPr="00CF7FE6">
        <w:rPr>
          <w:rFonts w:ascii="Verdana" w:hAnsi="Verdana"/>
          <w:sz w:val="20"/>
          <w:szCs w:val="20"/>
          <w:lang w:val="es-ES"/>
        </w:rPr>
        <w:t xml:space="preserve">” y a interpretarlos de conformidad al principio </w:t>
      </w:r>
      <w:r w:rsidRPr="00CF7FE6">
        <w:rPr>
          <w:rFonts w:ascii="Verdana" w:hAnsi="Verdana"/>
          <w:i/>
          <w:sz w:val="20"/>
          <w:szCs w:val="20"/>
          <w:lang w:val="es-ES"/>
        </w:rPr>
        <w:t xml:space="preserve">pro </w:t>
      </w:r>
      <w:proofErr w:type="spellStart"/>
      <w:r w:rsidRPr="00CF7FE6">
        <w:rPr>
          <w:rFonts w:ascii="Verdana" w:hAnsi="Verdana"/>
          <w:i/>
          <w:sz w:val="20"/>
          <w:szCs w:val="20"/>
          <w:lang w:val="es-ES"/>
        </w:rPr>
        <w:t>personae</w:t>
      </w:r>
      <w:proofErr w:type="spellEnd"/>
      <w:r w:rsidRPr="00CF7FE6">
        <w:rPr>
          <w:rFonts w:ascii="Verdana" w:hAnsi="Verdana"/>
          <w:sz w:val="20"/>
          <w:szCs w:val="20"/>
          <w:lang w:val="es-ES"/>
        </w:rPr>
        <w:t>, son, por lo tanto, solamente los mencionados, entre los que no se encuentra el derecho al trabajo ni el derecho a la estabilidad en el empleo.</w:t>
      </w:r>
    </w:p>
    <w:p w14:paraId="720DD510" w14:textId="77777777" w:rsidR="003C2143" w:rsidRPr="00CF7FE6" w:rsidRDefault="003C2143" w:rsidP="003C2143">
      <w:pPr>
        <w:jc w:val="both"/>
        <w:rPr>
          <w:rFonts w:ascii="Verdana" w:hAnsi="Verdana"/>
          <w:sz w:val="20"/>
          <w:szCs w:val="20"/>
          <w:lang w:val="es-ES"/>
        </w:rPr>
      </w:pPr>
    </w:p>
    <w:p w14:paraId="17B3AF44" w14:textId="77777777" w:rsidR="003C2143" w:rsidRPr="003B2532" w:rsidRDefault="003C2143" w:rsidP="003C2143">
      <w:pPr>
        <w:pStyle w:val="ListParagraph"/>
        <w:numPr>
          <w:ilvl w:val="0"/>
          <w:numId w:val="32"/>
        </w:numPr>
        <w:jc w:val="both"/>
        <w:rPr>
          <w:rFonts w:ascii="Verdana" w:hAnsi="Verdana"/>
          <w:b/>
          <w:sz w:val="20"/>
          <w:szCs w:val="20"/>
          <w:lang w:val="es-ES"/>
        </w:rPr>
      </w:pPr>
      <w:r w:rsidRPr="003B2532">
        <w:rPr>
          <w:rFonts w:ascii="Verdana" w:hAnsi="Verdana"/>
          <w:b/>
          <w:sz w:val="20"/>
          <w:szCs w:val="20"/>
          <w:lang w:val="es-ES"/>
        </w:rPr>
        <w:t>La existencia de otros derechos humanos.</w:t>
      </w:r>
    </w:p>
    <w:p w14:paraId="63577F1F" w14:textId="77777777" w:rsidR="003C2143" w:rsidRPr="00CF7FE6" w:rsidRDefault="003C2143" w:rsidP="003C2143">
      <w:pPr>
        <w:jc w:val="both"/>
        <w:rPr>
          <w:rFonts w:ascii="Verdana" w:hAnsi="Verdana"/>
          <w:b/>
          <w:sz w:val="20"/>
          <w:szCs w:val="20"/>
          <w:lang w:val="es-ES"/>
        </w:rPr>
      </w:pPr>
    </w:p>
    <w:p w14:paraId="2EB4A3AD"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Empero, lo indicado no significa que no existan otros derechos humanos. Por el contrario, la propia Convención alude </w:t>
      </w:r>
      <w:r>
        <w:rPr>
          <w:rFonts w:ascii="Verdana" w:hAnsi="Verdana"/>
          <w:sz w:val="20"/>
          <w:szCs w:val="20"/>
          <w:lang w:val="es-ES"/>
        </w:rPr>
        <w:t xml:space="preserve">a </w:t>
      </w:r>
      <w:r w:rsidRPr="00CF7FE6">
        <w:rPr>
          <w:rFonts w:ascii="Verdana" w:hAnsi="Verdana"/>
          <w:sz w:val="20"/>
          <w:szCs w:val="20"/>
          <w:lang w:val="es-ES"/>
        </w:rPr>
        <w:t>otros derechos o a diversos tipos o categorías de derechos humanos o que tienen distintas fuentes del Derechos Internacional</w:t>
      </w:r>
      <w:r>
        <w:rPr>
          <w:rStyle w:val="FootnoteReference"/>
          <w:szCs w:val="20"/>
          <w:lang w:val="es-ES"/>
        </w:rPr>
        <w:footnoteReference w:id="392"/>
      </w:r>
      <w:r w:rsidRPr="00CF7FE6">
        <w:rPr>
          <w:rFonts w:ascii="Verdana" w:hAnsi="Verdana"/>
          <w:sz w:val="20"/>
          <w:szCs w:val="20"/>
          <w:lang w:val="es-ES"/>
        </w:rPr>
        <w:t>. Así, además de los “r</w:t>
      </w:r>
      <w:r w:rsidRPr="00CF7FE6">
        <w:rPr>
          <w:rFonts w:ascii="Verdana" w:hAnsi="Verdana"/>
          <w:i/>
          <w:sz w:val="20"/>
          <w:szCs w:val="20"/>
          <w:lang w:val="es-ES"/>
        </w:rPr>
        <w:t>econocidos”</w:t>
      </w:r>
      <w:r w:rsidRPr="00CF7FE6">
        <w:rPr>
          <w:rFonts w:ascii="Verdana" w:hAnsi="Verdana"/>
          <w:sz w:val="20"/>
          <w:szCs w:val="20"/>
          <w:lang w:val="es-ES"/>
        </w:rPr>
        <w:t xml:space="preserve"> en ella</w:t>
      </w:r>
      <w:r>
        <w:rPr>
          <w:rFonts w:ascii="Verdana" w:hAnsi="Verdana"/>
          <w:sz w:val="20"/>
          <w:szCs w:val="20"/>
          <w:lang w:val="es-ES"/>
        </w:rPr>
        <w:t>,</w:t>
      </w:r>
      <w:r w:rsidRPr="00CF7FE6">
        <w:rPr>
          <w:rFonts w:ascii="Verdana" w:hAnsi="Verdana"/>
          <w:sz w:val="20"/>
          <w:szCs w:val="20"/>
          <w:lang w:val="es-ES"/>
        </w:rPr>
        <w:t xml:space="preserve"> se mencionan los “</w:t>
      </w:r>
      <w:r>
        <w:rPr>
          <w:rFonts w:ascii="Verdana" w:hAnsi="Verdana"/>
          <w:i/>
          <w:sz w:val="20"/>
          <w:szCs w:val="20"/>
          <w:lang w:val="es-ES"/>
        </w:rPr>
        <w:t>derechos económicos,</w:t>
      </w:r>
      <w:r w:rsidRPr="00CF7FE6">
        <w:rPr>
          <w:rFonts w:ascii="Verdana" w:hAnsi="Verdana"/>
          <w:i/>
          <w:sz w:val="20"/>
          <w:szCs w:val="20"/>
          <w:lang w:val="es-ES"/>
        </w:rPr>
        <w:t xml:space="preserve"> sociales y culturales</w:t>
      </w:r>
      <w:r w:rsidRPr="00CF7FE6">
        <w:rPr>
          <w:rFonts w:ascii="Verdana" w:hAnsi="Verdana"/>
          <w:sz w:val="20"/>
          <w:szCs w:val="20"/>
          <w:lang w:val="es-ES"/>
        </w:rPr>
        <w:t>”</w:t>
      </w:r>
      <w:r w:rsidRPr="00CF7FE6">
        <w:rPr>
          <w:rStyle w:val="FootnoteReference"/>
          <w:szCs w:val="20"/>
          <w:lang w:val="es-ES"/>
        </w:rPr>
        <w:footnoteReference w:id="393"/>
      </w:r>
      <w:r w:rsidRPr="00CF7FE6">
        <w:rPr>
          <w:rFonts w:ascii="Verdana" w:hAnsi="Verdana"/>
          <w:sz w:val="20"/>
          <w:szCs w:val="20"/>
          <w:lang w:val="es-ES"/>
        </w:rPr>
        <w:t>; los que “</w:t>
      </w:r>
      <w:r w:rsidRPr="00CF7FE6">
        <w:rPr>
          <w:rFonts w:ascii="Verdana" w:hAnsi="Verdana"/>
          <w:i/>
          <w:sz w:val="20"/>
          <w:szCs w:val="20"/>
          <w:lang w:val="es-ES"/>
        </w:rPr>
        <w:t>derivan</w:t>
      </w:r>
      <w:r w:rsidRPr="00CF7FE6">
        <w:rPr>
          <w:rFonts w:ascii="Verdana" w:hAnsi="Verdana"/>
          <w:sz w:val="20"/>
          <w:szCs w:val="20"/>
          <w:lang w:val="es-ES"/>
        </w:rPr>
        <w:t>” de normas de la Carta de la Organización de los Estados Americanos</w:t>
      </w:r>
      <w:r w:rsidRPr="00CF7FE6">
        <w:rPr>
          <w:rStyle w:val="FootnoteReference"/>
          <w:szCs w:val="20"/>
          <w:lang w:val="es-ES"/>
        </w:rPr>
        <w:footnoteReference w:id="394"/>
      </w:r>
      <w:r w:rsidRPr="00CF7FE6">
        <w:rPr>
          <w:rFonts w:ascii="Verdana" w:hAnsi="Verdana"/>
          <w:sz w:val="20"/>
          <w:szCs w:val="20"/>
          <w:lang w:val="es-ES"/>
        </w:rPr>
        <w:t>; los “</w:t>
      </w:r>
      <w:r w:rsidRPr="00CF7FE6">
        <w:rPr>
          <w:rFonts w:ascii="Verdana" w:hAnsi="Verdana"/>
          <w:i/>
          <w:sz w:val="20"/>
          <w:szCs w:val="20"/>
          <w:lang w:val="es-ES"/>
        </w:rPr>
        <w:t>reconocidos</w:t>
      </w:r>
      <w:r w:rsidRPr="00CF7FE6">
        <w:rPr>
          <w:rFonts w:ascii="Verdana" w:hAnsi="Verdana"/>
          <w:sz w:val="20"/>
          <w:szCs w:val="20"/>
          <w:lang w:val="es-ES"/>
        </w:rPr>
        <w:t>” por leyes de los Estados u otras convenciones</w:t>
      </w:r>
      <w:r>
        <w:rPr>
          <w:rStyle w:val="FootnoteReference"/>
          <w:szCs w:val="20"/>
          <w:lang w:val="es-ES"/>
        </w:rPr>
        <w:footnoteReference w:id="395"/>
      </w:r>
      <w:r w:rsidRPr="00CF7FE6">
        <w:rPr>
          <w:rFonts w:ascii="Verdana" w:hAnsi="Verdana"/>
          <w:sz w:val="20"/>
          <w:szCs w:val="20"/>
          <w:lang w:val="es-ES"/>
        </w:rPr>
        <w:t xml:space="preserve"> y los “</w:t>
      </w:r>
      <w:r w:rsidRPr="00CF7FE6">
        <w:rPr>
          <w:rFonts w:ascii="Verdana" w:hAnsi="Verdana"/>
          <w:i/>
          <w:sz w:val="20"/>
          <w:szCs w:val="20"/>
          <w:lang w:val="es-ES"/>
        </w:rPr>
        <w:t>inherentes al ser humano o que se derivan de la forma democrática representativa de gobierno</w:t>
      </w:r>
      <w:r w:rsidRPr="00CF7FE6">
        <w:rPr>
          <w:rFonts w:ascii="Verdana" w:hAnsi="Verdana"/>
          <w:sz w:val="20"/>
          <w:szCs w:val="20"/>
          <w:lang w:val="es-ES"/>
        </w:rPr>
        <w:t>”</w:t>
      </w:r>
      <w:r w:rsidRPr="00CF7FE6">
        <w:rPr>
          <w:rStyle w:val="FootnoteReference"/>
          <w:szCs w:val="20"/>
          <w:lang w:val="es-ES"/>
        </w:rPr>
        <w:footnoteReference w:id="396"/>
      </w:r>
      <w:r w:rsidRPr="00CF7FE6">
        <w:rPr>
          <w:rFonts w:ascii="Verdana" w:hAnsi="Verdana"/>
          <w:sz w:val="20"/>
          <w:szCs w:val="20"/>
          <w:lang w:val="es-ES"/>
        </w:rPr>
        <w:t xml:space="preserve">. </w:t>
      </w:r>
    </w:p>
    <w:p w14:paraId="62F7EE66" w14:textId="77777777" w:rsidR="003C2143" w:rsidRPr="00CF7FE6" w:rsidRDefault="003C2143" w:rsidP="003C2143">
      <w:pPr>
        <w:jc w:val="both"/>
        <w:rPr>
          <w:rFonts w:ascii="Verdana" w:hAnsi="Verdana"/>
          <w:sz w:val="20"/>
          <w:szCs w:val="20"/>
          <w:lang w:val="es-ES"/>
        </w:rPr>
      </w:pPr>
    </w:p>
    <w:p w14:paraId="5C81B4FE"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Es evidente, por </w:t>
      </w:r>
      <w:r>
        <w:rPr>
          <w:rFonts w:ascii="Verdana" w:hAnsi="Verdana"/>
          <w:sz w:val="20"/>
          <w:szCs w:val="20"/>
          <w:lang w:val="es-ES"/>
        </w:rPr>
        <w:t>lo tanto y como lo afirma</w:t>
      </w:r>
      <w:r w:rsidRPr="00CF7FE6">
        <w:rPr>
          <w:rFonts w:ascii="Verdana" w:hAnsi="Verdana"/>
          <w:sz w:val="20"/>
          <w:szCs w:val="20"/>
          <w:lang w:val="es-ES"/>
        </w:rPr>
        <w:t xml:space="preserve"> la misma Sentencia al invocar el artículo 26 de la Convención para declarar la violación del derecho a la estabilidad en el empleo, que éste integra el grupo de “</w:t>
      </w:r>
      <w:r w:rsidRPr="00CF7FE6">
        <w:rPr>
          <w:rFonts w:ascii="Verdana" w:hAnsi="Verdana"/>
          <w:i/>
          <w:sz w:val="20"/>
          <w:szCs w:val="20"/>
          <w:lang w:val="es-ES"/>
        </w:rPr>
        <w:t>derechos económicos y sociales y culturales”</w:t>
      </w:r>
      <w:r w:rsidRPr="00CF7FE6">
        <w:rPr>
          <w:rStyle w:val="FootnoteReference"/>
          <w:i/>
          <w:szCs w:val="20"/>
          <w:lang w:val="es-ES"/>
        </w:rPr>
        <w:footnoteReference w:id="397"/>
      </w:r>
      <w:r w:rsidRPr="00CF7FE6">
        <w:rPr>
          <w:rFonts w:ascii="Verdana" w:hAnsi="Verdana"/>
          <w:sz w:val="20"/>
          <w:szCs w:val="20"/>
          <w:lang w:val="es-ES"/>
        </w:rPr>
        <w:t xml:space="preserve">. De ello igualmente se deduce  </w:t>
      </w:r>
      <w:r>
        <w:rPr>
          <w:rFonts w:ascii="Verdana" w:hAnsi="Verdana"/>
          <w:sz w:val="20"/>
          <w:szCs w:val="20"/>
          <w:lang w:val="es-ES"/>
        </w:rPr>
        <w:t>que, por derivar éstos</w:t>
      </w:r>
      <w:r w:rsidRPr="00CF7FE6">
        <w:rPr>
          <w:rFonts w:ascii="Verdana" w:hAnsi="Verdana"/>
          <w:sz w:val="20"/>
          <w:szCs w:val="20"/>
          <w:lang w:val="es-ES"/>
        </w:rPr>
        <w:t xml:space="preserve"> de normas de la Carta de la OEA, aquél no forma parte de los derechos “</w:t>
      </w:r>
      <w:r w:rsidRPr="00CF7FE6">
        <w:rPr>
          <w:rFonts w:ascii="Verdana" w:hAnsi="Verdana"/>
          <w:i/>
          <w:sz w:val="20"/>
          <w:szCs w:val="20"/>
          <w:lang w:val="es-ES"/>
        </w:rPr>
        <w:t xml:space="preserve">reconocidos” </w:t>
      </w:r>
      <w:r>
        <w:rPr>
          <w:rFonts w:ascii="Verdana" w:hAnsi="Verdana"/>
          <w:sz w:val="20"/>
          <w:szCs w:val="20"/>
          <w:lang w:val="es-ES"/>
        </w:rPr>
        <w:t>en</w:t>
      </w:r>
      <w:r w:rsidRPr="00CF7FE6">
        <w:rPr>
          <w:rFonts w:ascii="Verdana" w:hAnsi="Verdana"/>
          <w:sz w:val="20"/>
          <w:szCs w:val="20"/>
          <w:lang w:val="es-ES"/>
        </w:rPr>
        <w:t xml:space="preserve"> la Convención.</w:t>
      </w:r>
    </w:p>
    <w:p w14:paraId="77094A5D" w14:textId="77777777" w:rsidR="003C2143" w:rsidRPr="00CF7FE6" w:rsidRDefault="003C2143" w:rsidP="003C2143">
      <w:pPr>
        <w:jc w:val="both"/>
        <w:rPr>
          <w:rFonts w:ascii="Verdana" w:hAnsi="Verdana"/>
          <w:sz w:val="20"/>
          <w:szCs w:val="20"/>
          <w:lang w:val="es-ES"/>
        </w:rPr>
      </w:pPr>
    </w:p>
    <w:p w14:paraId="3A76C6AD" w14:textId="77777777" w:rsidR="003C2143" w:rsidRPr="003B2532" w:rsidRDefault="003C2143" w:rsidP="003C2143">
      <w:pPr>
        <w:pStyle w:val="ListParagraph"/>
        <w:numPr>
          <w:ilvl w:val="0"/>
          <w:numId w:val="32"/>
        </w:numPr>
        <w:jc w:val="both"/>
        <w:rPr>
          <w:rFonts w:ascii="Verdana" w:hAnsi="Verdana"/>
          <w:b/>
          <w:sz w:val="20"/>
          <w:szCs w:val="20"/>
          <w:lang w:val="es-ES"/>
        </w:rPr>
      </w:pPr>
      <w:r w:rsidRPr="003B2532">
        <w:rPr>
          <w:rFonts w:ascii="Verdana" w:hAnsi="Verdana"/>
          <w:b/>
          <w:sz w:val="20"/>
          <w:szCs w:val="20"/>
          <w:lang w:val="es-ES"/>
        </w:rPr>
        <w:t>El sistema de protección de la Convención.</w:t>
      </w:r>
    </w:p>
    <w:p w14:paraId="79B09C1B" w14:textId="77777777" w:rsidR="003C2143" w:rsidRPr="00CF7FE6" w:rsidRDefault="003C2143" w:rsidP="003C2143">
      <w:pPr>
        <w:jc w:val="both"/>
        <w:rPr>
          <w:rFonts w:ascii="Verdana" w:hAnsi="Verdana"/>
          <w:b/>
          <w:sz w:val="20"/>
          <w:szCs w:val="20"/>
          <w:lang w:val="es-ES"/>
        </w:rPr>
      </w:pPr>
    </w:p>
    <w:p w14:paraId="0761C008" w14:textId="77777777" w:rsidR="003C2143" w:rsidRDefault="003C2143" w:rsidP="003C2143">
      <w:pPr>
        <w:jc w:val="both"/>
        <w:rPr>
          <w:rFonts w:ascii="Verdana" w:hAnsi="Verdana"/>
          <w:sz w:val="20"/>
          <w:szCs w:val="20"/>
          <w:lang w:val="es-ES"/>
        </w:rPr>
      </w:pPr>
      <w:r>
        <w:rPr>
          <w:rFonts w:ascii="Verdana" w:hAnsi="Verdana"/>
          <w:sz w:val="20"/>
          <w:szCs w:val="20"/>
          <w:lang w:val="es-ES"/>
        </w:rPr>
        <w:t>Pues bien, considerando lo precedente, es preciso referirse a</w:t>
      </w:r>
      <w:r w:rsidRPr="00CF7FE6">
        <w:rPr>
          <w:rFonts w:ascii="Verdana" w:hAnsi="Verdana"/>
          <w:sz w:val="20"/>
          <w:szCs w:val="20"/>
          <w:lang w:val="es-ES"/>
        </w:rPr>
        <w:t xml:space="preserve">l sistema de protección contemplado en la Convención, </w:t>
      </w:r>
      <w:r>
        <w:rPr>
          <w:rFonts w:ascii="Verdana" w:hAnsi="Verdana"/>
          <w:sz w:val="20"/>
          <w:szCs w:val="20"/>
          <w:lang w:val="es-ES"/>
        </w:rPr>
        <w:t xml:space="preserve">que </w:t>
      </w:r>
      <w:r w:rsidRPr="00CF7FE6">
        <w:rPr>
          <w:rFonts w:ascii="Verdana" w:hAnsi="Verdana"/>
          <w:sz w:val="20"/>
          <w:szCs w:val="20"/>
          <w:lang w:val="es-ES"/>
        </w:rPr>
        <w:t>está previsto en su Parte II, que titula como “</w:t>
      </w:r>
      <w:r w:rsidRPr="00CF7FE6">
        <w:rPr>
          <w:rFonts w:ascii="Verdana" w:hAnsi="Verdana"/>
          <w:i/>
          <w:sz w:val="20"/>
          <w:szCs w:val="20"/>
          <w:lang w:val="es-ES"/>
        </w:rPr>
        <w:t>Medios de la Protección</w:t>
      </w:r>
      <w:r w:rsidRPr="00CF7FE6">
        <w:rPr>
          <w:rFonts w:ascii="Verdana" w:hAnsi="Verdana"/>
          <w:sz w:val="20"/>
          <w:szCs w:val="20"/>
          <w:lang w:val="es-ES"/>
        </w:rPr>
        <w:t>” y está formado por dos órganos, a saber, la Comisión y la Corte</w:t>
      </w:r>
      <w:r w:rsidRPr="00CF7FE6">
        <w:rPr>
          <w:rStyle w:val="FootnoteReference"/>
          <w:szCs w:val="20"/>
          <w:lang w:val="es-ES"/>
        </w:rPr>
        <w:footnoteReference w:id="398"/>
      </w:r>
      <w:r w:rsidRPr="00CF7FE6">
        <w:rPr>
          <w:rFonts w:ascii="Verdana" w:hAnsi="Verdana"/>
          <w:sz w:val="20"/>
          <w:szCs w:val="20"/>
          <w:lang w:val="es-ES"/>
        </w:rPr>
        <w:t xml:space="preserve">. En lo que </w:t>
      </w:r>
      <w:r w:rsidRPr="00CF7FE6">
        <w:rPr>
          <w:rFonts w:ascii="Verdana" w:hAnsi="Verdana"/>
          <w:sz w:val="20"/>
          <w:szCs w:val="20"/>
          <w:lang w:val="es-ES"/>
        </w:rPr>
        <w:lastRenderedPageBreak/>
        <w:t>concierne a la Corte, la interpretación armónica de los ya citados artículos 1, 29.a), 33, 45.1, 47.b), 48.1, 62.3, y 63.1</w:t>
      </w:r>
      <w:r>
        <w:rPr>
          <w:rFonts w:ascii="Verdana" w:hAnsi="Verdana"/>
          <w:sz w:val="20"/>
          <w:szCs w:val="20"/>
          <w:lang w:val="es-ES"/>
        </w:rPr>
        <w:t xml:space="preserve">, </w:t>
      </w:r>
      <w:r w:rsidRPr="00CF7FE6">
        <w:rPr>
          <w:rFonts w:ascii="Verdana" w:hAnsi="Verdana"/>
          <w:sz w:val="20"/>
          <w:szCs w:val="20"/>
          <w:lang w:val="es-ES"/>
        </w:rPr>
        <w:t>conduce a concluir que los derechos susceptibles a ser invocados ante aquella a los efectos de qu</w:t>
      </w:r>
      <w:r>
        <w:rPr>
          <w:rFonts w:ascii="Verdana" w:hAnsi="Verdana"/>
          <w:sz w:val="20"/>
          <w:szCs w:val="20"/>
          <w:lang w:val="es-ES"/>
        </w:rPr>
        <w:t xml:space="preserve">e se pronuncie sobre su alegada </w:t>
      </w:r>
      <w:r w:rsidRPr="00CF7FE6">
        <w:rPr>
          <w:rFonts w:ascii="Verdana" w:hAnsi="Verdana"/>
          <w:sz w:val="20"/>
          <w:szCs w:val="20"/>
          <w:lang w:val="es-ES"/>
        </w:rPr>
        <w:t>violación, son los que “</w:t>
      </w:r>
      <w:r w:rsidRPr="00CF7FE6">
        <w:rPr>
          <w:rFonts w:ascii="Verdana" w:hAnsi="Verdana"/>
          <w:i/>
          <w:sz w:val="20"/>
          <w:szCs w:val="20"/>
          <w:lang w:val="es-ES"/>
        </w:rPr>
        <w:t>reconocidos</w:t>
      </w:r>
      <w:r w:rsidRPr="00CF7FE6">
        <w:rPr>
          <w:rFonts w:ascii="Verdana" w:hAnsi="Verdana"/>
          <w:sz w:val="20"/>
          <w:szCs w:val="20"/>
          <w:lang w:val="es-ES"/>
        </w:rPr>
        <w:t>”, “</w:t>
      </w:r>
      <w:r w:rsidRPr="00CF7FE6">
        <w:rPr>
          <w:rFonts w:ascii="Verdana" w:hAnsi="Verdana"/>
          <w:i/>
          <w:sz w:val="20"/>
          <w:szCs w:val="20"/>
          <w:lang w:val="es-ES"/>
        </w:rPr>
        <w:t>establecidos</w:t>
      </w:r>
      <w:r w:rsidRPr="00CF7FE6">
        <w:rPr>
          <w:rFonts w:ascii="Verdana" w:hAnsi="Verdana"/>
          <w:sz w:val="20"/>
          <w:szCs w:val="20"/>
          <w:lang w:val="es-ES"/>
        </w:rPr>
        <w:t>”, “</w:t>
      </w:r>
      <w:r w:rsidRPr="00CF7FE6">
        <w:rPr>
          <w:rFonts w:ascii="Verdana" w:hAnsi="Verdana"/>
          <w:i/>
          <w:sz w:val="20"/>
          <w:szCs w:val="20"/>
          <w:lang w:val="es-ES"/>
        </w:rPr>
        <w:t>garantizados</w:t>
      </w:r>
      <w:r>
        <w:rPr>
          <w:rFonts w:ascii="Verdana" w:hAnsi="Verdana"/>
          <w:sz w:val="20"/>
          <w:szCs w:val="20"/>
          <w:lang w:val="es-ES"/>
        </w:rPr>
        <w:t>”</w:t>
      </w:r>
      <w:r w:rsidRPr="00CF7FE6">
        <w:rPr>
          <w:rFonts w:ascii="Verdana" w:hAnsi="Verdana"/>
          <w:sz w:val="20"/>
          <w:szCs w:val="20"/>
          <w:lang w:val="es-ES"/>
        </w:rPr>
        <w:t>, “</w:t>
      </w:r>
      <w:r w:rsidRPr="00CF7FE6">
        <w:rPr>
          <w:rFonts w:ascii="Verdana" w:hAnsi="Verdana"/>
          <w:i/>
          <w:sz w:val="20"/>
          <w:szCs w:val="20"/>
          <w:lang w:val="es-ES"/>
        </w:rPr>
        <w:t>consagrados</w:t>
      </w:r>
      <w:r w:rsidRPr="00CF7FE6">
        <w:rPr>
          <w:rFonts w:ascii="Verdana" w:hAnsi="Verdana"/>
          <w:sz w:val="20"/>
          <w:szCs w:val="20"/>
          <w:lang w:val="es-ES"/>
        </w:rPr>
        <w:t>”  o “</w:t>
      </w:r>
      <w:r w:rsidRPr="00CF7FE6">
        <w:rPr>
          <w:rFonts w:ascii="Verdana" w:hAnsi="Verdana"/>
          <w:i/>
          <w:sz w:val="20"/>
          <w:szCs w:val="20"/>
          <w:lang w:val="es-ES"/>
        </w:rPr>
        <w:t>protegidos</w:t>
      </w:r>
      <w:r>
        <w:rPr>
          <w:rFonts w:ascii="Verdana" w:hAnsi="Verdana"/>
          <w:sz w:val="20"/>
          <w:szCs w:val="20"/>
          <w:lang w:val="es-ES"/>
        </w:rPr>
        <w:t>”  en</w:t>
      </w:r>
      <w:r w:rsidRPr="00CF7FE6">
        <w:rPr>
          <w:rFonts w:ascii="Verdana" w:hAnsi="Verdana"/>
          <w:sz w:val="20"/>
          <w:szCs w:val="20"/>
          <w:lang w:val="es-ES"/>
        </w:rPr>
        <w:t xml:space="preserve"> la Convención, esto es, los “</w:t>
      </w:r>
      <w:r w:rsidRPr="00CF7FE6">
        <w:rPr>
          <w:rFonts w:ascii="Verdana" w:hAnsi="Verdana"/>
          <w:i/>
          <w:sz w:val="20"/>
          <w:szCs w:val="20"/>
          <w:lang w:val="es-ES"/>
        </w:rPr>
        <w:t xml:space="preserve">Derechos Civiles y </w:t>
      </w:r>
      <w:r>
        <w:rPr>
          <w:rFonts w:ascii="Verdana" w:hAnsi="Verdana"/>
          <w:i/>
          <w:sz w:val="20"/>
          <w:szCs w:val="20"/>
          <w:lang w:val="es-ES"/>
        </w:rPr>
        <w:t>P</w:t>
      </w:r>
      <w:r w:rsidRPr="00CF7FE6">
        <w:rPr>
          <w:rFonts w:ascii="Verdana" w:hAnsi="Verdana"/>
          <w:i/>
          <w:sz w:val="20"/>
          <w:szCs w:val="20"/>
          <w:lang w:val="es-ES"/>
        </w:rPr>
        <w:t>olíticos</w:t>
      </w:r>
      <w:r w:rsidRPr="00CF7FE6">
        <w:rPr>
          <w:rFonts w:ascii="Verdana" w:hAnsi="Verdana"/>
          <w:sz w:val="20"/>
          <w:szCs w:val="20"/>
          <w:lang w:val="es-ES"/>
        </w:rPr>
        <w:t xml:space="preserve">”, </w:t>
      </w:r>
      <w:r>
        <w:rPr>
          <w:rFonts w:ascii="Verdana" w:hAnsi="Verdana"/>
          <w:sz w:val="20"/>
          <w:szCs w:val="20"/>
          <w:lang w:val="es-ES"/>
        </w:rPr>
        <w:t>por lo que se deben excluir</w:t>
      </w:r>
      <w:r w:rsidRPr="00CF7FE6">
        <w:rPr>
          <w:rFonts w:ascii="Verdana" w:hAnsi="Verdana"/>
          <w:sz w:val="20"/>
          <w:szCs w:val="20"/>
          <w:lang w:val="es-ES"/>
        </w:rPr>
        <w:t xml:space="preserve"> de</w:t>
      </w:r>
      <w:r>
        <w:rPr>
          <w:rFonts w:ascii="Verdana" w:hAnsi="Verdana"/>
          <w:sz w:val="20"/>
          <w:szCs w:val="20"/>
          <w:lang w:val="es-ES"/>
        </w:rPr>
        <w:t xml:space="preserve"> dicha judicialización </w:t>
      </w:r>
      <w:r w:rsidRPr="00CF7FE6">
        <w:rPr>
          <w:rFonts w:ascii="Verdana" w:hAnsi="Verdana"/>
          <w:sz w:val="20"/>
          <w:szCs w:val="20"/>
          <w:lang w:val="es-ES"/>
        </w:rPr>
        <w:t>a los “</w:t>
      </w:r>
      <w:r w:rsidRPr="00CF7FE6">
        <w:rPr>
          <w:rFonts w:ascii="Verdana" w:hAnsi="Verdana"/>
          <w:i/>
          <w:sz w:val="20"/>
          <w:szCs w:val="20"/>
          <w:lang w:val="es-ES"/>
        </w:rPr>
        <w:t xml:space="preserve">derechos económicos. sociales y culturales”, </w:t>
      </w:r>
      <w:r w:rsidRPr="00CF7FE6">
        <w:rPr>
          <w:rFonts w:ascii="Verdana" w:hAnsi="Verdana"/>
          <w:sz w:val="20"/>
          <w:szCs w:val="20"/>
          <w:lang w:val="es-ES"/>
        </w:rPr>
        <w:t xml:space="preserve">a los que </w:t>
      </w:r>
      <w:r w:rsidRPr="00CF7FE6">
        <w:rPr>
          <w:rFonts w:ascii="Verdana" w:hAnsi="Verdana"/>
          <w:i/>
          <w:sz w:val="20"/>
          <w:szCs w:val="20"/>
          <w:lang w:val="es-ES"/>
        </w:rPr>
        <w:t xml:space="preserve">“derivan” </w:t>
      </w:r>
      <w:r w:rsidRPr="00CF7FE6">
        <w:rPr>
          <w:rFonts w:ascii="Verdana" w:hAnsi="Verdana"/>
          <w:sz w:val="20"/>
          <w:szCs w:val="20"/>
          <w:lang w:val="es-ES"/>
        </w:rPr>
        <w:t>de normas de la Carta de la Organización de los Estados Americanos, a los “</w:t>
      </w:r>
      <w:r w:rsidRPr="00CF7FE6">
        <w:rPr>
          <w:rFonts w:ascii="Verdana" w:hAnsi="Verdana"/>
          <w:i/>
          <w:sz w:val="20"/>
          <w:szCs w:val="20"/>
          <w:lang w:val="es-ES"/>
        </w:rPr>
        <w:t>reconocidos</w:t>
      </w:r>
      <w:r w:rsidRPr="00CF7FE6">
        <w:rPr>
          <w:rFonts w:ascii="Verdana" w:hAnsi="Verdana"/>
          <w:sz w:val="20"/>
          <w:szCs w:val="20"/>
          <w:lang w:val="es-ES"/>
        </w:rPr>
        <w:t>” por leyes de los Estados u otras convenciones y a otros “</w:t>
      </w:r>
      <w:r w:rsidRPr="00CF7FE6">
        <w:rPr>
          <w:rFonts w:ascii="Verdana" w:hAnsi="Verdana"/>
          <w:i/>
          <w:sz w:val="20"/>
          <w:szCs w:val="20"/>
          <w:lang w:val="es-ES"/>
        </w:rPr>
        <w:t>inherentes al ser humano o que se derivan de la forma democrática representativa de gobierno</w:t>
      </w:r>
      <w:r w:rsidRPr="00CF7FE6">
        <w:rPr>
          <w:rFonts w:ascii="Verdana" w:hAnsi="Verdana"/>
          <w:sz w:val="20"/>
          <w:szCs w:val="20"/>
          <w:lang w:val="es-ES"/>
        </w:rPr>
        <w:t>”. Evidentemente, d</w:t>
      </w:r>
      <w:r>
        <w:rPr>
          <w:rFonts w:ascii="Verdana" w:hAnsi="Verdana"/>
          <w:sz w:val="20"/>
          <w:szCs w:val="20"/>
          <w:lang w:val="es-ES"/>
        </w:rPr>
        <w:t xml:space="preserve">ichos derechos quedan descartados </w:t>
      </w:r>
      <w:r w:rsidRPr="00CF7FE6">
        <w:rPr>
          <w:rFonts w:ascii="Verdana" w:hAnsi="Verdana"/>
          <w:sz w:val="20"/>
          <w:szCs w:val="20"/>
          <w:lang w:val="es-ES"/>
        </w:rPr>
        <w:t xml:space="preserve">de la judicialización ante la Corte en razón de que tienen como fuente otro tratado u otra fuente de Derecho Internacional distinta a la Convención. </w:t>
      </w:r>
      <w:r>
        <w:rPr>
          <w:rFonts w:ascii="Verdana" w:hAnsi="Verdana"/>
          <w:sz w:val="20"/>
          <w:szCs w:val="20"/>
          <w:lang w:val="es-ES"/>
        </w:rPr>
        <w:t xml:space="preserve"> </w:t>
      </w:r>
      <w:r w:rsidRPr="00CF7FE6">
        <w:rPr>
          <w:rFonts w:ascii="Verdana" w:hAnsi="Verdana"/>
          <w:sz w:val="20"/>
          <w:szCs w:val="20"/>
          <w:lang w:val="es-ES"/>
        </w:rPr>
        <w:t xml:space="preserve">Al no integrar, pues, la categoría de derechos </w:t>
      </w:r>
      <w:r w:rsidRPr="00CF7FE6">
        <w:rPr>
          <w:rFonts w:ascii="Verdana" w:hAnsi="Verdana"/>
          <w:i/>
          <w:sz w:val="20"/>
          <w:szCs w:val="20"/>
          <w:lang w:val="es-ES"/>
        </w:rPr>
        <w:t xml:space="preserve">“reconocidos” </w:t>
      </w:r>
      <w:r>
        <w:rPr>
          <w:rFonts w:ascii="Verdana" w:hAnsi="Verdana"/>
          <w:sz w:val="20"/>
          <w:szCs w:val="20"/>
          <w:lang w:val="es-ES"/>
        </w:rPr>
        <w:t>en</w:t>
      </w:r>
      <w:r w:rsidRPr="00CF7FE6">
        <w:rPr>
          <w:rFonts w:ascii="Verdana" w:hAnsi="Verdana"/>
          <w:sz w:val="20"/>
          <w:szCs w:val="20"/>
          <w:lang w:val="es-ES"/>
        </w:rPr>
        <w:t xml:space="preserve"> la Convención, el derecho al trabajo y el derecho a la estabilidad en el empleo no son susceptibles de judicializar ante la Corte, salvo, en lo que respecta al primero, </w:t>
      </w:r>
      <w:r>
        <w:rPr>
          <w:rFonts w:ascii="Verdana" w:hAnsi="Verdana"/>
          <w:sz w:val="20"/>
          <w:szCs w:val="20"/>
          <w:lang w:val="es-ES"/>
        </w:rPr>
        <w:t xml:space="preserve">más únicamente </w:t>
      </w:r>
      <w:r w:rsidRPr="00CF7FE6">
        <w:rPr>
          <w:rFonts w:ascii="Verdana" w:hAnsi="Verdana"/>
          <w:sz w:val="20"/>
          <w:szCs w:val="20"/>
          <w:lang w:val="es-ES"/>
        </w:rPr>
        <w:t>en</w:t>
      </w:r>
      <w:r>
        <w:rPr>
          <w:rFonts w:ascii="Verdana" w:hAnsi="Verdana"/>
          <w:sz w:val="20"/>
          <w:szCs w:val="20"/>
          <w:lang w:val="es-ES"/>
        </w:rPr>
        <w:t xml:space="preserve"> lo pertinente a</w:t>
      </w:r>
      <w:r w:rsidRPr="00CF7FE6">
        <w:rPr>
          <w:rFonts w:ascii="Verdana" w:hAnsi="Verdana"/>
          <w:sz w:val="20"/>
          <w:szCs w:val="20"/>
          <w:lang w:val="es-ES"/>
        </w:rPr>
        <w:t xml:space="preserve"> las </w:t>
      </w:r>
      <w:r>
        <w:rPr>
          <w:rFonts w:ascii="Verdana" w:hAnsi="Verdana"/>
          <w:sz w:val="20"/>
          <w:szCs w:val="20"/>
          <w:lang w:val="es-ES"/>
        </w:rPr>
        <w:t xml:space="preserve">específicas </w:t>
      </w:r>
      <w:r w:rsidRPr="00CF7FE6">
        <w:rPr>
          <w:rFonts w:ascii="Verdana" w:hAnsi="Verdana"/>
          <w:sz w:val="20"/>
          <w:szCs w:val="20"/>
          <w:lang w:val="es-ES"/>
        </w:rPr>
        <w:t>materias</w:t>
      </w:r>
      <w:r>
        <w:rPr>
          <w:rFonts w:ascii="Verdana" w:hAnsi="Verdana"/>
          <w:sz w:val="20"/>
          <w:szCs w:val="20"/>
          <w:lang w:val="es-ES"/>
        </w:rPr>
        <w:t xml:space="preserve"> que </w:t>
      </w:r>
      <w:r w:rsidRPr="00CF7FE6">
        <w:rPr>
          <w:rFonts w:ascii="Verdana" w:hAnsi="Verdana"/>
          <w:sz w:val="20"/>
          <w:szCs w:val="20"/>
          <w:lang w:val="es-ES"/>
        </w:rPr>
        <w:t>dispone el Protocolo de San Salvador.</w:t>
      </w:r>
    </w:p>
    <w:p w14:paraId="4C10AEEC" w14:textId="77777777" w:rsidR="003C2143" w:rsidRDefault="003C2143" w:rsidP="003C2143">
      <w:pPr>
        <w:jc w:val="both"/>
        <w:rPr>
          <w:rFonts w:ascii="Verdana" w:hAnsi="Verdana"/>
          <w:sz w:val="20"/>
          <w:szCs w:val="20"/>
          <w:lang w:val="es-ES"/>
        </w:rPr>
      </w:pPr>
    </w:p>
    <w:p w14:paraId="37138088" w14:textId="77777777" w:rsidR="003C2143" w:rsidRPr="003B2532" w:rsidRDefault="003C2143" w:rsidP="003C2143">
      <w:pPr>
        <w:pStyle w:val="ListParagraph"/>
        <w:numPr>
          <w:ilvl w:val="0"/>
          <w:numId w:val="32"/>
        </w:numPr>
        <w:jc w:val="both"/>
        <w:rPr>
          <w:rFonts w:ascii="Verdana" w:hAnsi="Verdana"/>
          <w:sz w:val="20"/>
          <w:szCs w:val="20"/>
          <w:lang w:val="es-ES"/>
        </w:rPr>
      </w:pPr>
      <w:r w:rsidRPr="003B2532">
        <w:rPr>
          <w:rFonts w:ascii="Verdana" w:hAnsi="Verdana"/>
          <w:b/>
          <w:sz w:val="20"/>
          <w:szCs w:val="20"/>
          <w:lang w:val="es-ES"/>
        </w:rPr>
        <w:t xml:space="preserve">Ampliación del sistema de protección a otros derechos. </w:t>
      </w:r>
      <w:r w:rsidRPr="003B2532">
        <w:rPr>
          <w:rFonts w:ascii="Verdana" w:hAnsi="Verdana"/>
          <w:sz w:val="20"/>
          <w:szCs w:val="20"/>
          <w:lang w:val="es-ES"/>
        </w:rPr>
        <w:t xml:space="preserve"> </w:t>
      </w:r>
    </w:p>
    <w:p w14:paraId="0236B15C" w14:textId="77777777" w:rsidR="003C2143" w:rsidRPr="00CF7FE6" w:rsidRDefault="003C2143" w:rsidP="003C2143">
      <w:pPr>
        <w:jc w:val="both"/>
        <w:rPr>
          <w:rFonts w:ascii="Verdana" w:hAnsi="Verdana"/>
          <w:sz w:val="20"/>
          <w:szCs w:val="20"/>
          <w:lang w:val="es-ES"/>
        </w:rPr>
      </w:pPr>
    </w:p>
    <w:p w14:paraId="073EC2A2"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Sin embargo</w:t>
      </w:r>
      <w:r w:rsidRPr="00CF7FE6">
        <w:rPr>
          <w:rFonts w:ascii="Verdana" w:hAnsi="Verdana"/>
          <w:sz w:val="20"/>
          <w:szCs w:val="20"/>
          <w:lang w:val="es-ES"/>
        </w:rPr>
        <w:t>, la circunstancia de que un derecho no sea “</w:t>
      </w:r>
      <w:r w:rsidRPr="00CF7FE6">
        <w:rPr>
          <w:rFonts w:ascii="Verdana" w:hAnsi="Verdana"/>
          <w:i/>
          <w:sz w:val="20"/>
          <w:szCs w:val="20"/>
          <w:lang w:val="es-ES"/>
        </w:rPr>
        <w:t>reconocido</w:t>
      </w:r>
      <w:r>
        <w:rPr>
          <w:rFonts w:ascii="Verdana" w:hAnsi="Verdana"/>
          <w:sz w:val="20"/>
          <w:szCs w:val="20"/>
          <w:lang w:val="es-ES"/>
        </w:rPr>
        <w:t>” en</w:t>
      </w:r>
      <w:r w:rsidRPr="00CF7FE6">
        <w:rPr>
          <w:rFonts w:ascii="Verdana" w:hAnsi="Verdana"/>
          <w:sz w:val="20"/>
          <w:szCs w:val="20"/>
          <w:lang w:val="es-ES"/>
        </w:rPr>
        <w:t xml:space="preserve"> la Convención no impide que pueda en ser incluido entre los derechos que podrían ser invocados ante la Corte. Para ello se requiere adoptar un protocolo que lo contemple en tal sentido</w:t>
      </w:r>
      <w:r w:rsidRPr="00CF7FE6">
        <w:rPr>
          <w:rStyle w:val="FootnoteReference"/>
          <w:szCs w:val="20"/>
          <w:lang w:val="es-ES"/>
        </w:rPr>
        <w:footnoteReference w:id="399"/>
      </w:r>
      <w:r w:rsidRPr="00CF7FE6">
        <w:rPr>
          <w:rFonts w:ascii="Verdana" w:hAnsi="Verdana"/>
          <w:sz w:val="20"/>
          <w:szCs w:val="20"/>
          <w:lang w:val="es-ES"/>
        </w:rPr>
        <w:t>.</w:t>
      </w:r>
    </w:p>
    <w:p w14:paraId="0DBD7AC7" w14:textId="77777777" w:rsidR="003C2143" w:rsidRPr="00CF7FE6" w:rsidRDefault="003C2143" w:rsidP="003C2143">
      <w:pPr>
        <w:jc w:val="both"/>
        <w:rPr>
          <w:rFonts w:ascii="Verdana" w:hAnsi="Verdana"/>
          <w:sz w:val="20"/>
          <w:szCs w:val="20"/>
          <w:lang w:val="es-ES"/>
        </w:rPr>
      </w:pPr>
    </w:p>
    <w:p w14:paraId="391BD80F"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Efectivamente, el artículo 31 de la Convención, en concordancia con los artículos 76.1 y 77.1</w:t>
      </w:r>
      <w:r w:rsidRPr="00CF7FE6">
        <w:rPr>
          <w:rStyle w:val="FootnoteReference"/>
          <w:szCs w:val="20"/>
          <w:lang w:val="es-ES"/>
        </w:rPr>
        <w:footnoteReference w:id="400"/>
      </w:r>
      <w:r w:rsidRPr="00CF7FE6">
        <w:rPr>
          <w:rFonts w:ascii="Verdana" w:hAnsi="Verdana"/>
          <w:sz w:val="20"/>
          <w:szCs w:val="20"/>
          <w:lang w:val="es-ES"/>
        </w:rPr>
        <w:t xml:space="preserve"> de la misma, expresamente disponen que la función normativa relativa a la Convención y muy especialmente a los efectos de “</w:t>
      </w:r>
      <w:r w:rsidRPr="00CF7FE6">
        <w:rPr>
          <w:rFonts w:ascii="Verdana" w:hAnsi="Verdana"/>
          <w:i/>
          <w:sz w:val="20"/>
          <w:szCs w:val="20"/>
          <w:lang w:val="es-ES"/>
        </w:rPr>
        <w:t>incluir progresivamente en el régimen de protección de la misma otros derechos</w:t>
      </w:r>
      <w:r w:rsidRPr="00CF7FE6">
        <w:rPr>
          <w:rFonts w:ascii="Verdana" w:hAnsi="Verdana"/>
          <w:sz w:val="20"/>
          <w:szCs w:val="20"/>
          <w:lang w:val="es-ES"/>
        </w:rPr>
        <w:t>”, la ejercerán sus Estados Partes, por lo que esa área está implícitamente vedada a la Corte, la que, por tanto, no puede incluir al derecho a la estabilidad en el empleo entre los derechos susceptibles de judicializar ante ella. Si lo hace, evidentemente, se extralimita en su competencia. Efectivamente y a contrario de lo que parece desprenderse de la Sentencia</w:t>
      </w:r>
      <w:r w:rsidRPr="00CF7FE6">
        <w:rPr>
          <w:rStyle w:val="FootnoteReference"/>
          <w:szCs w:val="20"/>
          <w:lang w:val="es-ES"/>
        </w:rPr>
        <w:footnoteReference w:id="401"/>
      </w:r>
      <w:r w:rsidRPr="00CF7FE6">
        <w:rPr>
          <w:rFonts w:ascii="Verdana" w:hAnsi="Verdana"/>
          <w:sz w:val="20"/>
          <w:szCs w:val="20"/>
          <w:lang w:val="es-ES"/>
        </w:rPr>
        <w:t>, la facultad de determinar su propia competencia, acorde al principio de la competencia de la competencia</w:t>
      </w:r>
      <w:proofErr w:type="gramStart"/>
      <w:r w:rsidRPr="00CF7FE6">
        <w:rPr>
          <w:rFonts w:ascii="Verdana" w:hAnsi="Verdana"/>
          <w:sz w:val="20"/>
          <w:szCs w:val="20"/>
          <w:lang w:val="es-ES"/>
        </w:rPr>
        <w:t>,“</w:t>
      </w:r>
      <w:proofErr w:type="spellStart"/>
      <w:proofErr w:type="gramEnd"/>
      <w:r w:rsidRPr="00CF7FE6">
        <w:rPr>
          <w:rFonts w:ascii="Verdana" w:hAnsi="Verdana"/>
          <w:i/>
          <w:sz w:val="20"/>
          <w:szCs w:val="20"/>
          <w:lang w:val="es-ES"/>
        </w:rPr>
        <w:t>kompetenz-kompetenz</w:t>
      </w:r>
      <w:proofErr w:type="spellEnd"/>
      <w:r w:rsidRPr="00CF7FE6">
        <w:rPr>
          <w:rFonts w:ascii="Verdana" w:hAnsi="Verdana"/>
          <w:sz w:val="20"/>
          <w:szCs w:val="20"/>
          <w:lang w:val="es-ES"/>
        </w:rPr>
        <w:t xml:space="preserve">”, no la habilita para vulnerar el principio de derecho público de que solo se puede hacer lo que la norma permite o prescribe. </w:t>
      </w:r>
    </w:p>
    <w:p w14:paraId="7C3C95BE" w14:textId="77777777" w:rsidR="003C2143" w:rsidRPr="00CF7FE6" w:rsidRDefault="003C2143" w:rsidP="003C2143">
      <w:pPr>
        <w:jc w:val="both"/>
        <w:rPr>
          <w:rFonts w:ascii="Verdana" w:hAnsi="Verdana"/>
          <w:sz w:val="20"/>
          <w:szCs w:val="20"/>
          <w:lang w:val="es-ES"/>
        </w:rPr>
      </w:pPr>
    </w:p>
    <w:p w14:paraId="3B499DE6" w14:textId="77777777" w:rsidR="003C2143" w:rsidRPr="003B2532" w:rsidRDefault="003C2143" w:rsidP="003C2143">
      <w:pPr>
        <w:pStyle w:val="ListParagraph"/>
        <w:numPr>
          <w:ilvl w:val="0"/>
          <w:numId w:val="32"/>
        </w:numPr>
        <w:jc w:val="both"/>
        <w:rPr>
          <w:rFonts w:ascii="Verdana" w:hAnsi="Verdana"/>
          <w:b/>
          <w:sz w:val="20"/>
          <w:szCs w:val="20"/>
          <w:lang w:val="es-ES"/>
        </w:rPr>
      </w:pPr>
      <w:r w:rsidRPr="003B2532">
        <w:rPr>
          <w:rFonts w:ascii="Verdana" w:hAnsi="Verdana"/>
          <w:b/>
          <w:sz w:val="20"/>
          <w:szCs w:val="20"/>
          <w:lang w:val="es-ES"/>
        </w:rPr>
        <w:t>El Protocolo de San Salvador.</w:t>
      </w:r>
    </w:p>
    <w:p w14:paraId="123B4E69" w14:textId="77777777" w:rsidR="003C2143" w:rsidRPr="00CF7FE6" w:rsidRDefault="003C2143" w:rsidP="003C2143">
      <w:pPr>
        <w:jc w:val="both"/>
        <w:rPr>
          <w:rFonts w:ascii="Verdana" w:hAnsi="Verdana"/>
          <w:b/>
          <w:sz w:val="20"/>
          <w:szCs w:val="20"/>
          <w:lang w:val="es-ES"/>
        </w:rPr>
      </w:pPr>
    </w:p>
    <w:p w14:paraId="083BBB0F"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Como ya se advirtió, l</w:t>
      </w:r>
      <w:r w:rsidRPr="00CF7FE6">
        <w:rPr>
          <w:rFonts w:ascii="Verdana" w:hAnsi="Verdana"/>
          <w:sz w:val="20"/>
          <w:szCs w:val="20"/>
          <w:lang w:val="es-ES"/>
        </w:rPr>
        <w:t>a judicialización, aunque parcial, del derecho al trabajo ha tenido lugar, precisamente, con el “</w:t>
      </w:r>
      <w:r w:rsidRPr="00CF7FE6">
        <w:rPr>
          <w:rFonts w:ascii="Verdana" w:hAnsi="Verdana"/>
          <w:i/>
          <w:sz w:val="20"/>
          <w:szCs w:val="20"/>
          <w:lang w:val="es-ES"/>
        </w:rPr>
        <w:t>Protocolo Adicional a la Convención Americana sobre Derechos Humanos en materia de Derechos Económicos, Sociales y Culturales, Protocolo de San Salvador</w:t>
      </w:r>
      <w:r w:rsidRPr="00CF7FE6">
        <w:rPr>
          <w:rFonts w:ascii="Verdana" w:hAnsi="Verdana"/>
          <w:sz w:val="20"/>
          <w:szCs w:val="20"/>
          <w:lang w:val="es-ES"/>
        </w:rPr>
        <w:t xml:space="preserve">” de 1988, el que fue adoptado al amparo de  lo previsto en los artículos 76.1 y 77.1 de la Convención, </w:t>
      </w:r>
      <w:r w:rsidRPr="00CF7FE6">
        <w:rPr>
          <w:rFonts w:ascii="Verdana" w:hAnsi="Verdana"/>
          <w:sz w:val="20"/>
          <w:szCs w:val="20"/>
          <w:lang w:val="es-ES"/>
        </w:rPr>
        <w:lastRenderedPageBreak/>
        <w:t>esto es, “</w:t>
      </w:r>
      <w:r w:rsidRPr="00CF7FE6">
        <w:rPr>
          <w:rFonts w:ascii="Verdana" w:hAnsi="Verdana"/>
          <w:i/>
          <w:sz w:val="20"/>
          <w:szCs w:val="20"/>
          <w:lang w:val="es-ES"/>
        </w:rPr>
        <w:t>con la finalidad de incluir progresivamente en el régimen de protección de la misma otros derechos y libertades</w:t>
      </w:r>
      <w:r w:rsidRPr="00CF7FE6">
        <w:rPr>
          <w:rFonts w:ascii="Verdana" w:hAnsi="Verdana"/>
          <w:sz w:val="20"/>
          <w:szCs w:val="20"/>
          <w:lang w:val="es-ES"/>
        </w:rPr>
        <w:t>”, como expresamente se indica en su Preámbulo.</w:t>
      </w:r>
      <w:r w:rsidRPr="00CF7FE6">
        <w:rPr>
          <w:rStyle w:val="FootnoteReference"/>
          <w:szCs w:val="20"/>
          <w:lang w:val="es-ES"/>
        </w:rPr>
        <w:footnoteReference w:id="402"/>
      </w:r>
    </w:p>
    <w:p w14:paraId="7683E8AA" w14:textId="77777777" w:rsidR="003C2143" w:rsidRPr="00CF7FE6" w:rsidRDefault="003C2143" w:rsidP="003C2143">
      <w:pPr>
        <w:jc w:val="both"/>
        <w:rPr>
          <w:rFonts w:ascii="Verdana" w:hAnsi="Verdana"/>
          <w:sz w:val="20"/>
          <w:szCs w:val="20"/>
          <w:lang w:val="es-ES"/>
        </w:rPr>
      </w:pPr>
    </w:p>
    <w:p w14:paraId="3D81C721"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Dicho Protocolo </w:t>
      </w:r>
      <w:r>
        <w:rPr>
          <w:rFonts w:ascii="Verdana" w:hAnsi="Verdana"/>
          <w:sz w:val="20"/>
          <w:szCs w:val="20"/>
          <w:lang w:val="es-ES"/>
        </w:rPr>
        <w:t>“</w:t>
      </w:r>
      <w:r w:rsidRPr="000528BE">
        <w:rPr>
          <w:rFonts w:ascii="Verdana" w:hAnsi="Verdana"/>
          <w:i/>
          <w:sz w:val="20"/>
          <w:szCs w:val="20"/>
          <w:lang w:val="es-ES"/>
        </w:rPr>
        <w:t>reconoce</w:t>
      </w:r>
      <w:r>
        <w:rPr>
          <w:rFonts w:ascii="Verdana" w:hAnsi="Verdana"/>
          <w:sz w:val="20"/>
          <w:szCs w:val="20"/>
          <w:lang w:val="es-ES"/>
        </w:rPr>
        <w:t>”</w:t>
      </w:r>
      <w:r w:rsidRPr="00CF7FE6">
        <w:rPr>
          <w:rStyle w:val="FootnoteReference"/>
          <w:szCs w:val="20"/>
          <w:lang w:val="es-ES"/>
        </w:rPr>
        <w:footnoteReference w:id="403"/>
      </w:r>
      <w:r w:rsidRPr="00CF7FE6">
        <w:rPr>
          <w:rFonts w:ascii="Verdana" w:hAnsi="Verdana"/>
          <w:sz w:val="20"/>
          <w:szCs w:val="20"/>
          <w:lang w:val="es-ES"/>
        </w:rPr>
        <w:t xml:space="preserve"> el derecho al trabajo (art.</w:t>
      </w:r>
      <w:r>
        <w:rPr>
          <w:rFonts w:ascii="Verdana" w:hAnsi="Verdana"/>
          <w:sz w:val="20"/>
          <w:szCs w:val="20"/>
          <w:lang w:val="es-ES"/>
        </w:rPr>
        <w:t xml:space="preserve">6), el derecho a </w:t>
      </w:r>
      <w:r w:rsidRPr="00CF7FE6">
        <w:rPr>
          <w:rFonts w:ascii="Verdana" w:hAnsi="Verdana"/>
          <w:sz w:val="20"/>
          <w:szCs w:val="20"/>
          <w:lang w:val="es-ES"/>
        </w:rPr>
        <w:t xml:space="preserve">condiciones justas, equitativas y satisfactorias de trabajo (art.7), los derechos sindicales (art.8), el derecho a la seguridad social (art.9), el derecho a la  salud (art.10), el derecho a </w:t>
      </w:r>
      <w:r>
        <w:rPr>
          <w:rFonts w:ascii="Verdana" w:hAnsi="Verdana"/>
          <w:sz w:val="20"/>
          <w:szCs w:val="20"/>
          <w:lang w:val="es-ES"/>
        </w:rPr>
        <w:t>un medio ambiente sano (art.11)</w:t>
      </w:r>
      <w:r w:rsidRPr="00CF7FE6">
        <w:rPr>
          <w:rFonts w:ascii="Verdana" w:hAnsi="Verdana"/>
          <w:sz w:val="20"/>
          <w:szCs w:val="20"/>
          <w:lang w:val="es-ES"/>
        </w:rPr>
        <w:t>, el derecho a la alimentación (art.12), el derecho a la educación (art.13), el derecho a  los beneficios de la cultura (art. 14), el derecho a la constitución y protección de la familia (art.15), el derecho de la niñez (art.16), la protección de los ancianos (art.17) y la protección de los minusválidos (art. 18).</w:t>
      </w:r>
    </w:p>
    <w:p w14:paraId="36C1231E" w14:textId="77777777" w:rsidR="003C2143" w:rsidRPr="00CF7FE6" w:rsidRDefault="003C2143" w:rsidP="003C2143">
      <w:pPr>
        <w:jc w:val="both"/>
        <w:rPr>
          <w:rFonts w:ascii="Verdana" w:hAnsi="Verdana"/>
          <w:sz w:val="20"/>
          <w:szCs w:val="20"/>
          <w:lang w:val="es-ES"/>
        </w:rPr>
      </w:pPr>
    </w:p>
    <w:p w14:paraId="2A6CFF7B"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Empero, dicho Protocolo ha previsto que únicamente la violación de algunos </w:t>
      </w:r>
      <w:r>
        <w:rPr>
          <w:rFonts w:ascii="Verdana" w:hAnsi="Verdana"/>
          <w:sz w:val="20"/>
          <w:szCs w:val="20"/>
          <w:lang w:val="es-ES"/>
        </w:rPr>
        <w:t xml:space="preserve">de esos </w:t>
      </w:r>
      <w:r w:rsidRPr="00CF7FE6">
        <w:rPr>
          <w:rFonts w:ascii="Verdana" w:hAnsi="Verdana"/>
          <w:sz w:val="20"/>
          <w:szCs w:val="20"/>
          <w:lang w:val="es-ES"/>
        </w:rPr>
        <w:t>derechos pueden ser llevados ante la Corte</w:t>
      </w:r>
      <w:r w:rsidRPr="00CF7FE6">
        <w:rPr>
          <w:rStyle w:val="FootnoteReference"/>
          <w:szCs w:val="20"/>
          <w:lang w:val="es-ES"/>
        </w:rPr>
        <w:footnoteReference w:id="404"/>
      </w:r>
      <w:r w:rsidRPr="00CF7FE6">
        <w:rPr>
          <w:rFonts w:ascii="Verdana" w:hAnsi="Verdana"/>
          <w:sz w:val="20"/>
          <w:szCs w:val="20"/>
          <w:lang w:val="es-ES"/>
        </w:rPr>
        <w:t xml:space="preserve"> y ellos son los relativos al derecho de organizar sindicatos y a afiliarse en ellos</w:t>
      </w:r>
      <w:r w:rsidRPr="00CF7FE6">
        <w:rPr>
          <w:rStyle w:val="FootnoteReference"/>
          <w:szCs w:val="20"/>
          <w:lang w:val="es-ES"/>
        </w:rPr>
        <w:footnoteReference w:id="405"/>
      </w:r>
      <w:r w:rsidRPr="00CF7FE6">
        <w:rPr>
          <w:rFonts w:ascii="Verdana" w:hAnsi="Verdana"/>
          <w:sz w:val="20"/>
          <w:szCs w:val="20"/>
          <w:lang w:val="es-ES"/>
        </w:rPr>
        <w:t xml:space="preserve"> y el derecho a la educación</w:t>
      </w:r>
      <w:r w:rsidRPr="00CF7FE6">
        <w:rPr>
          <w:rStyle w:val="FootnoteReference"/>
          <w:szCs w:val="20"/>
          <w:lang w:val="es-ES"/>
        </w:rPr>
        <w:footnoteReference w:id="406"/>
      </w:r>
      <w:r w:rsidRPr="00CF7FE6">
        <w:rPr>
          <w:rFonts w:ascii="Verdana" w:hAnsi="Verdana"/>
          <w:sz w:val="20"/>
          <w:szCs w:val="20"/>
          <w:lang w:val="es-ES"/>
        </w:rPr>
        <w:t xml:space="preserve">. En lo pertinente al Derecho al Trabajo, </w:t>
      </w:r>
      <w:r>
        <w:rPr>
          <w:rFonts w:ascii="Verdana" w:hAnsi="Verdana"/>
          <w:sz w:val="20"/>
          <w:szCs w:val="20"/>
          <w:lang w:val="es-ES"/>
        </w:rPr>
        <w:t xml:space="preserve">si </w:t>
      </w:r>
      <w:r>
        <w:rPr>
          <w:rFonts w:ascii="Verdana" w:hAnsi="Verdana"/>
          <w:sz w:val="20"/>
          <w:szCs w:val="20"/>
          <w:lang w:val="es-ES"/>
        </w:rPr>
        <w:lastRenderedPageBreak/>
        <w:t>bien</w:t>
      </w:r>
      <w:r w:rsidRPr="00CF7FE6">
        <w:rPr>
          <w:rFonts w:ascii="Verdana" w:hAnsi="Verdana"/>
          <w:sz w:val="20"/>
          <w:szCs w:val="20"/>
          <w:lang w:val="es-ES"/>
        </w:rPr>
        <w:t>, en consecuencia, lo ha reconocido e incluso judicializado, lo ha hecho solo parcialmente, es decir, en lo atingente al derecho a organizar sindicados y a afiliarse en ellos. Nada más. El resto de las materias que involucra, incluyendo la eventual violación del derecho a la estabilidad en el empleo, el que, por lo demás no se menciona en el citado Protocolo, quedan, por ende, excluida</w:t>
      </w:r>
      <w:r>
        <w:rPr>
          <w:rFonts w:ascii="Verdana" w:hAnsi="Verdana"/>
          <w:sz w:val="20"/>
          <w:szCs w:val="20"/>
          <w:lang w:val="es-ES"/>
        </w:rPr>
        <w:t>s</w:t>
      </w:r>
      <w:r w:rsidRPr="00CF7FE6">
        <w:rPr>
          <w:rFonts w:ascii="Verdana" w:hAnsi="Verdana"/>
          <w:sz w:val="20"/>
          <w:szCs w:val="20"/>
          <w:lang w:val="es-ES"/>
        </w:rPr>
        <w:t xml:space="preserve"> de ser elevada</w:t>
      </w:r>
      <w:r>
        <w:rPr>
          <w:rFonts w:ascii="Verdana" w:hAnsi="Verdana"/>
          <w:sz w:val="20"/>
          <w:szCs w:val="20"/>
          <w:lang w:val="es-ES"/>
        </w:rPr>
        <w:t>s</w:t>
      </w:r>
      <w:r w:rsidRPr="00CF7FE6">
        <w:rPr>
          <w:rFonts w:ascii="Verdana" w:hAnsi="Verdana"/>
          <w:sz w:val="20"/>
          <w:szCs w:val="20"/>
          <w:lang w:val="es-ES"/>
        </w:rPr>
        <w:t xml:space="preserve"> a conocimiento y resolución de la Corte. Si se admitiera la posibilidad de que las violaciones al derecho al trabajo y al derecho a la estabilidad en el empleo pudiesen ser sometidas, conocidas y resueltas por la Corte en razón de lo previsto en el artículo 26 de la Convención, lo dispuesto en el Protocolo de San Salvador no tendría sentido alguno.  </w:t>
      </w:r>
    </w:p>
    <w:p w14:paraId="3291D366" w14:textId="77777777" w:rsidR="003C2143" w:rsidRPr="00CF7FE6" w:rsidRDefault="003C2143" w:rsidP="003C2143">
      <w:pPr>
        <w:jc w:val="both"/>
        <w:rPr>
          <w:rFonts w:ascii="Verdana" w:hAnsi="Verdana"/>
          <w:sz w:val="20"/>
          <w:szCs w:val="20"/>
          <w:lang w:val="es-ES"/>
        </w:rPr>
      </w:pPr>
    </w:p>
    <w:p w14:paraId="1F67AEFF" w14:textId="77777777" w:rsidR="003C2143" w:rsidRPr="00CF7FE6" w:rsidRDefault="003C2143" w:rsidP="003C2143">
      <w:pPr>
        <w:jc w:val="both"/>
        <w:rPr>
          <w:rFonts w:ascii="Verdana" w:hAnsi="Verdana"/>
          <w:b/>
          <w:sz w:val="20"/>
          <w:szCs w:val="20"/>
          <w:lang w:val="es-ES"/>
        </w:rPr>
      </w:pPr>
      <w:r w:rsidRPr="00CF7FE6">
        <w:rPr>
          <w:rFonts w:ascii="Verdana" w:hAnsi="Verdana"/>
          <w:b/>
          <w:sz w:val="20"/>
          <w:szCs w:val="20"/>
          <w:lang w:val="es-ES"/>
        </w:rPr>
        <w:t xml:space="preserve">II.- </w:t>
      </w:r>
      <w:r>
        <w:rPr>
          <w:rFonts w:ascii="Verdana" w:hAnsi="Verdana"/>
          <w:b/>
          <w:sz w:val="20"/>
          <w:szCs w:val="20"/>
          <w:lang w:val="es-ES"/>
        </w:rPr>
        <w:t xml:space="preserve">LA </w:t>
      </w:r>
      <w:r w:rsidRPr="00CF7FE6">
        <w:rPr>
          <w:rFonts w:ascii="Verdana" w:hAnsi="Verdana"/>
          <w:b/>
          <w:sz w:val="20"/>
          <w:szCs w:val="20"/>
          <w:lang w:val="es-ES"/>
        </w:rPr>
        <w:t>INTERPRETACIÓN DEL ARTÍCULO 26.</w:t>
      </w:r>
    </w:p>
    <w:p w14:paraId="67B1364A" w14:textId="77777777" w:rsidR="003C2143" w:rsidRPr="00CF7FE6" w:rsidRDefault="003C2143" w:rsidP="003C2143">
      <w:pPr>
        <w:jc w:val="both"/>
        <w:rPr>
          <w:rFonts w:ascii="Verdana" w:hAnsi="Verdana"/>
          <w:b/>
          <w:sz w:val="20"/>
          <w:szCs w:val="20"/>
          <w:lang w:val="es-ES"/>
        </w:rPr>
      </w:pPr>
    </w:p>
    <w:p w14:paraId="147CA3EE"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 xml:space="preserve">Expuesto todo lo anterior y habida cuenta </w:t>
      </w:r>
      <w:r w:rsidRPr="00CF7FE6">
        <w:rPr>
          <w:rFonts w:ascii="Verdana" w:hAnsi="Verdana"/>
          <w:sz w:val="20"/>
          <w:szCs w:val="20"/>
          <w:lang w:val="es-ES"/>
        </w:rPr>
        <w:t>que la Sentencia fundamenta lo que resuelve en su Dispositivo Nº 5</w:t>
      </w:r>
      <w:r w:rsidRPr="00CF7FE6">
        <w:rPr>
          <w:rStyle w:val="FootnoteReference"/>
          <w:szCs w:val="20"/>
          <w:lang w:val="es-ES"/>
        </w:rPr>
        <w:footnoteReference w:id="407"/>
      </w:r>
      <w:r w:rsidRPr="00CF7FE6">
        <w:rPr>
          <w:rFonts w:ascii="Verdana" w:hAnsi="Verdana"/>
          <w:sz w:val="20"/>
          <w:szCs w:val="20"/>
          <w:lang w:val="es-ES"/>
        </w:rPr>
        <w:t xml:space="preserve"> en el artículo 26 de la Convención</w:t>
      </w:r>
      <w:r w:rsidRPr="00CF7FE6">
        <w:rPr>
          <w:rStyle w:val="FootnoteReference"/>
          <w:szCs w:val="20"/>
          <w:lang w:val="es-ES"/>
        </w:rPr>
        <w:footnoteReference w:id="408"/>
      </w:r>
      <w:r w:rsidRPr="00CF7FE6">
        <w:rPr>
          <w:rFonts w:ascii="Verdana" w:hAnsi="Verdana"/>
          <w:sz w:val="20"/>
          <w:szCs w:val="20"/>
          <w:lang w:val="es-ES"/>
        </w:rPr>
        <w:t xml:space="preserve">, procede </w:t>
      </w:r>
      <w:r>
        <w:rPr>
          <w:rFonts w:ascii="Verdana" w:hAnsi="Verdana"/>
          <w:sz w:val="20"/>
          <w:szCs w:val="20"/>
          <w:lang w:val="es-ES"/>
        </w:rPr>
        <w:t xml:space="preserve">interpretar esta norma, referirse a los trabajos preparatorios que demandó, analizar </w:t>
      </w:r>
      <w:r w:rsidRPr="00CF7FE6">
        <w:rPr>
          <w:rFonts w:ascii="Verdana" w:hAnsi="Verdana"/>
          <w:sz w:val="20"/>
          <w:szCs w:val="20"/>
          <w:lang w:val="es-ES"/>
        </w:rPr>
        <w:t xml:space="preserve">los derechos a que se refiere y </w:t>
      </w:r>
      <w:r>
        <w:rPr>
          <w:rFonts w:ascii="Verdana" w:hAnsi="Verdana"/>
          <w:sz w:val="20"/>
          <w:szCs w:val="20"/>
          <w:lang w:val="es-ES"/>
        </w:rPr>
        <w:t xml:space="preserve">derivar </w:t>
      </w:r>
      <w:r w:rsidRPr="00CF7FE6">
        <w:rPr>
          <w:rFonts w:ascii="Verdana" w:hAnsi="Verdana"/>
          <w:sz w:val="20"/>
          <w:szCs w:val="20"/>
          <w:lang w:val="es-ES"/>
        </w:rPr>
        <w:t xml:space="preserve">las </w:t>
      </w:r>
      <w:r>
        <w:rPr>
          <w:rFonts w:ascii="Verdana" w:hAnsi="Verdana"/>
          <w:sz w:val="20"/>
          <w:szCs w:val="20"/>
          <w:lang w:val="es-ES"/>
        </w:rPr>
        <w:t xml:space="preserve">consecuencias de lo decidido al respecto en </w:t>
      </w:r>
      <w:r w:rsidRPr="00CF7FE6">
        <w:rPr>
          <w:rFonts w:ascii="Verdana" w:hAnsi="Verdana"/>
          <w:sz w:val="20"/>
          <w:szCs w:val="20"/>
          <w:lang w:val="es-ES"/>
        </w:rPr>
        <w:t>la Sentencia.</w:t>
      </w:r>
    </w:p>
    <w:p w14:paraId="0CA99C48" w14:textId="77777777" w:rsidR="003C2143" w:rsidRPr="00CF7FE6" w:rsidRDefault="003C2143" w:rsidP="003C2143">
      <w:pPr>
        <w:jc w:val="both"/>
        <w:rPr>
          <w:rFonts w:ascii="Verdana" w:hAnsi="Verdana"/>
          <w:sz w:val="20"/>
          <w:szCs w:val="20"/>
          <w:lang w:val="es-ES"/>
        </w:rPr>
      </w:pPr>
    </w:p>
    <w:p w14:paraId="61DD402F" w14:textId="77777777" w:rsidR="003C2143" w:rsidRPr="006364FF" w:rsidRDefault="003C2143" w:rsidP="003C2143">
      <w:pPr>
        <w:pStyle w:val="ListParagraph"/>
        <w:numPr>
          <w:ilvl w:val="0"/>
          <w:numId w:val="31"/>
        </w:numPr>
        <w:jc w:val="both"/>
        <w:rPr>
          <w:rFonts w:ascii="Verdana" w:hAnsi="Verdana"/>
          <w:b/>
          <w:sz w:val="20"/>
          <w:szCs w:val="20"/>
          <w:lang w:val="es-ES"/>
        </w:rPr>
      </w:pPr>
      <w:r w:rsidRPr="006364FF">
        <w:rPr>
          <w:rFonts w:ascii="Verdana" w:hAnsi="Verdana"/>
          <w:b/>
          <w:sz w:val="20"/>
          <w:szCs w:val="20"/>
          <w:lang w:val="es-ES"/>
        </w:rPr>
        <w:t>La norma.</w:t>
      </w:r>
    </w:p>
    <w:p w14:paraId="7FF43698" w14:textId="77777777" w:rsidR="003C2143" w:rsidRPr="00CF7FE6" w:rsidRDefault="003C2143" w:rsidP="003C2143">
      <w:pPr>
        <w:jc w:val="both"/>
        <w:rPr>
          <w:rFonts w:ascii="Verdana" w:hAnsi="Verdana"/>
          <w:sz w:val="20"/>
          <w:szCs w:val="20"/>
          <w:lang w:val="es-ES"/>
        </w:rPr>
      </w:pPr>
    </w:p>
    <w:p w14:paraId="56DF5828"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La citada disposición, tal como se indicó</w:t>
      </w:r>
      <w:r w:rsidRPr="00CF7FE6">
        <w:rPr>
          <w:rStyle w:val="FootnoteReference"/>
          <w:szCs w:val="20"/>
          <w:lang w:val="es-ES"/>
        </w:rPr>
        <w:footnoteReference w:id="409"/>
      </w:r>
      <w:r w:rsidRPr="00CF7FE6">
        <w:rPr>
          <w:rFonts w:ascii="Verdana" w:hAnsi="Verdana"/>
          <w:sz w:val="20"/>
          <w:szCs w:val="20"/>
          <w:lang w:val="es-ES"/>
        </w:rPr>
        <w:t>, establece:</w:t>
      </w:r>
    </w:p>
    <w:p w14:paraId="5145E8CC" w14:textId="77777777" w:rsidR="003C2143" w:rsidRPr="00CF7FE6" w:rsidRDefault="003C2143" w:rsidP="003C2143">
      <w:pPr>
        <w:jc w:val="both"/>
        <w:rPr>
          <w:rFonts w:ascii="Verdana" w:hAnsi="Verdana"/>
          <w:sz w:val="20"/>
          <w:szCs w:val="20"/>
          <w:lang w:val="es-ES"/>
        </w:rPr>
      </w:pPr>
    </w:p>
    <w:p w14:paraId="0200B407" w14:textId="77777777" w:rsidR="003C2143" w:rsidRPr="00D76949" w:rsidRDefault="003C2143" w:rsidP="003C2143">
      <w:pPr>
        <w:ind w:left="720" w:right="738"/>
        <w:jc w:val="both"/>
        <w:rPr>
          <w:rFonts w:ascii="Verdana" w:hAnsi="Verdana"/>
          <w:i/>
          <w:sz w:val="18"/>
          <w:szCs w:val="18"/>
          <w:lang w:val="es-ES"/>
        </w:rPr>
      </w:pPr>
      <w:r w:rsidRPr="00D76949">
        <w:rPr>
          <w:rFonts w:ascii="Verdana" w:hAnsi="Verdana"/>
          <w:sz w:val="18"/>
          <w:szCs w:val="18"/>
          <w:lang w:val="es-ES"/>
        </w:rPr>
        <w:t>“</w:t>
      </w:r>
      <w:r w:rsidRPr="00D76949">
        <w:rPr>
          <w:rFonts w:ascii="Verdana" w:hAnsi="Verdana"/>
          <w:i/>
          <w:sz w:val="18"/>
          <w:szCs w:val="18"/>
          <w:lang w:val="es-ES"/>
        </w:rPr>
        <w:t>Desarrollo Progresivo.</w:t>
      </w:r>
      <w:r w:rsidRPr="00D76949">
        <w:rPr>
          <w:rFonts w:ascii="Verdana" w:hAnsi="Verdana"/>
          <w:sz w:val="18"/>
          <w:szCs w:val="18"/>
          <w:lang w:val="es-ES"/>
        </w:rPr>
        <w:t xml:space="preserve"> </w:t>
      </w:r>
      <w:r w:rsidRPr="00D76949">
        <w:rPr>
          <w:rFonts w:ascii="Verdana" w:hAnsi="Verdana"/>
          <w:i/>
          <w:sz w:val="18"/>
          <w:szCs w:val="18"/>
          <w:lang w:val="es-ES"/>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700722D1" w14:textId="77777777" w:rsidR="003C2143" w:rsidRPr="00CF7FE6" w:rsidRDefault="003C2143" w:rsidP="003C2143">
      <w:pPr>
        <w:ind w:left="567"/>
        <w:jc w:val="both"/>
        <w:rPr>
          <w:rFonts w:ascii="Verdana" w:hAnsi="Verdana"/>
          <w:i/>
          <w:sz w:val="20"/>
          <w:szCs w:val="20"/>
          <w:lang w:val="es-ES"/>
        </w:rPr>
      </w:pPr>
    </w:p>
    <w:p w14:paraId="5CCFA78F"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Al efecto, se debe llamar la atención acerca de que:</w:t>
      </w:r>
    </w:p>
    <w:p w14:paraId="255BFE7B" w14:textId="77777777" w:rsidR="003C2143" w:rsidRPr="00CF7FE6" w:rsidRDefault="003C2143" w:rsidP="003C2143">
      <w:pPr>
        <w:jc w:val="both"/>
        <w:rPr>
          <w:rFonts w:ascii="Verdana" w:hAnsi="Verdana"/>
          <w:sz w:val="20"/>
          <w:szCs w:val="20"/>
          <w:lang w:val="es-ES"/>
        </w:rPr>
      </w:pPr>
    </w:p>
    <w:p w14:paraId="553E6CE1"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a.- Por de pronto, tal disposición contempla una obligación de hacer de los Estados, no de resultado, cual es, la de “</w:t>
      </w:r>
      <w:r w:rsidRPr="00CF7FE6">
        <w:rPr>
          <w:rFonts w:ascii="Verdana" w:hAnsi="Verdana"/>
          <w:i/>
          <w:sz w:val="20"/>
          <w:szCs w:val="20"/>
          <w:lang w:val="es-ES"/>
        </w:rPr>
        <w:t>adoptar providencias, tanto a nivel interno como mediante la cooperación internacional, especialmente económica y técnica, para lograr progresivamente la plena efectividad de los derechos”</w:t>
      </w:r>
      <w:r>
        <w:rPr>
          <w:rFonts w:ascii="Verdana" w:hAnsi="Verdana"/>
          <w:sz w:val="20"/>
          <w:szCs w:val="20"/>
          <w:lang w:val="es-ES"/>
        </w:rPr>
        <w:t xml:space="preserve"> que menciona</w:t>
      </w:r>
      <w:r w:rsidRPr="00CF7FE6">
        <w:rPr>
          <w:rFonts w:ascii="Verdana" w:hAnsi="Verdana"/>
          <w:sz w:val="20"/>
          <w:szCs w:val="20"/>
          <w:lang w:val="es-ES"/>
        </w:rPr>
        <w:t>. Ella, entonces, no “</w:t>
      </w:r>
      <w:r w:rsidRPr="00CF7FE6">
        <w:rPr>
          <w:rFonts w:ascii="Verdana" w:hAnsi="Verdana"/>
          <w:i/>
          <w:sz w:val="20"/>
          <w:szCs w:val="20"/>
          <w:lang w:val="es-ES"/>
        </w:rPr>
        <w:t>reconoce</w:t>
      </w:r>
      <w:r w:rsidRPr="00CF7FE6">
        <w:rPr>
          <w:rFonts w:ascii="Verdana" w:hAnsi="Verdana"/>
          <w:sz w:val="20"/>
          <w:szCs w:val="20"/>
          <w:lang w:val="es-ES"/>
        </w:rPr>
        <w:t xml:space="preserve">” derechos, sino que dispone la obligación de los Estados de desarrollar progresivamente </w:t>
      </w:r>
      <w:r>
        <w:rPr>
          <w:rFonts w:ascii="Verdana" w:hAnsi="Verdana"/>
          <w:sz w:val="20"/>
          <w:szCs w:val="20"/>
          <w:lang w:val="es-ES"/>
        </w:rPr>
        <w:t xml:space="preserve">ciertos </w:t>
      </w:r>
      <w:r w:rsidRPr="00CF7FE6">
        <w:rPr>
          <w:rFonts w:ascii="Verdana" w:hAnsi="Verdana"/>
          <w:sz w:val="20"/>
          <w:szCs w:val="20"/>
          <w:lang w:val="es-ES"/>
        </w:rPr>
        <w:t>derechos</w:t>
      </w:r>
      <w:r>
        <w:rPr>
          <w:rFonts w:ascii="Verdana" w:hAnsi="Verdana"/>
          <w:sz w:val="20"/>
          <w:szCs w:val="20"/>
          <w:lang w:val="es-ES"/>
        </w:rPr>
        <w:t xml:space="preserve">, precisamente por no ser </w:t>
      </w:r>
      <w:r w:rsidRPr="00CF7FE6">
        <w:rPr>
          <w:rFonts w:ascii="Verdana" w:hAnsi="Verdana"/>
          <w:sz w:val="20"/>
          <w:szCs w:val="20"/>
          <w:lang w:val="es-ES"/>
        </w:rPr>
        <w:t xml:space="preserve">plenamente efectivos. </w:t>
      </w:r>
    </w:p>
    <w:p w14:paraId="56E3D66B" w14:textId="77777777" w:rsidR="003C2143" w:rsidRPr="00CF7FE6" w:rsidRDefault="003C2143" w:rsidP="003C2143">
      <w:pPr>
        <w:jc w:val="both"/>
        <w:rPr>
          <w:rFonts w:ascii="Verdana" w:hAnsi="Verdana"/>
          <w:sz w:val="20"/>
          <w:szCs w:val="20"/>
          <w:lang w:val="es-ES"/>
        </w:rPr>
      </w:pPr>
    </w:p>
    <w:p w14:paraId="7DA5A92C"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b.- En se</w:t>
      </w:r>
      <w:r>
        <w:rPr>
          <w:rFonts w:ascii="Verdana" w:hAnsi="Verdana"/>
          <w:sz w:val="20"/>
          <w:szCs w:val="20"/>
          <w:lang w:val="es-ES"/>
        </w:rPr>
        <w:t>gundo término</w:t>
      </w:r>
      <w:r w:rsidRPr="00CF7FE6">
        <w:rPr>
          <w:rFonts w:ascii="Verdana" w:hAnsi="Verdana"/>
          <w:sz w:val="20"/>
          <w:szCs w:val="20"/>
          <w:lang w:val="es-ES"/>
        </w:rPr>
        <w:t>, dicha disposición se refiere a “</w:t>
      </w:r>
      <w:r w:rsidRPr="00CF7FE6">
        <w:rPr>
          <w:rFonts w:ascii="Verdana" w:hAnsi="Verdana"/>
          <w:i/>
          <w:sz w:val="20"/>
          <w:szCs w:val="20"/>
          <w:lang w:val="es-ES"/>
        </w:rPr>
        <w:t>derechos que se derivan de las normas económicas, sociales y sobre educación, ciencia y cultura, contenidas en la Carta de la</w:t>
      </w:r>
      <w:r w:rsidRPr="00CF7FE6">
        <w:rPr>
          <w:rFonts w:ascii="Verdana" w:hAnsi="Verdana"/>
          <w:sz w:val="20"/>
          <w:szCs w:val="20"/>
          <w:lang w:val="es-ES"/>
        </w:rPr>
        <w:t>”</w:t>
      </w:r>
      <w:r>
        <w:rPr>
          <w:rFonts w:ascii="Verdana" w:hAnsi="Verdana"/>
          <w:sz w:val="20"/>
          <w:szCs w:val="20"/>
          <w:lang w:val="es-ES"/>
        </w:rPr>
        <w:t xml:space="preserve"> OEA, vale decir, a derechos que se desprenden o se pueden inferir de </w:t>
      </w:r>
      <w:r w:rsidRPr="00CF7FE6">
        <w:rPr>
          <w:rFonts w:ascii="Verdana" w:hAnsi="Verdana"/>
          <w:sz w:val="20"/>
          <w:szCs w:val="20"/>
          <w:lang w:val="es-ES"/>
        </w:rPr>
        <w:t>disposiciones de esta última</w:t>
      </w:r>
      <w:r>
        <w:rPr>
          <w:rFonts w:ascii="Verdana" w:hAnsi="Verdana"/>
          <w:sz w:val="20"/>
          <w:szCs w:val="20"/>
          <w:lang w:val="es-ES"/>
        </w:rPr>
        <w:t xml:space="preserve"> y no que ella los consagre o reconozca</w:t>
      </w:r>
      <w:r w:rsidRPr="00CF7FE6">
        <w:rPr>
          <w:rFonts w:ascii="Verdana" w:hAnsi="Verdana"/>
          <w:sz w:val="20"/>
          <w:szCs w:val="20"/>
          <w:lang w:val="es-ES"/>
        </w:rPr>
        <w:t xml:space="preserve">. </w:t>
      </w:r>
    </w:p>
    <w:p w14:paraId="5758092D" w14:textId="77777777" w:rsidR="003C2143" w:rsidRPr="00CF7FE6" w:rsidRDefault="003C2143" w:rsidP="003C2143">
      <w:pPr>
        <w:jc w:val="both"/>
        <w:rPr>
          <w:rFonts w:ascii="Verdana" w:hAnsi="Verdana"/>
          <w:sz w:val="20"/>
          <w:szCs w:val="20"/>
          <w:lang w:val="es-ES"/>
        </w:rPr>
      </w:pPr>
    </w:p>
    <w:p w14:paraId="6764D77D"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c.- En tercer término, la norma en comento condiciona el cumplimiento de la mencionada obligación de hacer a “</w:t>
      </w:r>
      <w:r w:rsidRPr="00CF7FE6">
        <w:rPr>
          <w:rFonts w:ascii="Verdana" w:hAnsi="Verdana"/>
          <w:i/>
          <w:sz w:val="20"/>
          <w:szCs w:val="20"/>
          <w:lang w:val="es-ES"/>
        </w:rPr>
        <w:t>la medida de los recursos disponibles</w:t>
      </w:r>
      <w:r w:rsidRPr="00CF7FE6">
        <w:rPr>
          <w:rFonts w:ascii="Verdana" w:hAnsi="Verdana"/>
          <w:sz w:val="20"/>
          <w:szCs w:val="20"/>
          <w:lang w:val="es-ES"/>
        </w:rPr>
        <w:t xml:space="preserve">”, lo que refuerza la idea de que no se trata de una obligación de resultado. </w:t>
      </w:r>
    </w:p>
    <w:p w14:paraId="22ABD5F1" w14:textId="77777777" w:rsidR="003C2143" w:rsidRPr="00CF7FE6" w:rsidRDefault="003C2143" w:rsidP="003C2143">
      <w:pPr>
        <w:jc w:val="both"/>
        <w:rPr>
          <w:rFonts w:ascii="Verdana" w:hAnsi="Verdana"/>
          <w:sz w:val="20"/>
          <w:szCs w:val="20"/>
          <w:lang w:val="es-ES"/>
        </w:rPr>
      </w:pPr>
    </w:p>
    <w:p w14:paraId="353B37DF" w14:textId="77777777" w:rsidR="003C2143" w:rsidRDefault="003C2143" w:rsidP="003C2143">
      <w:pPr>
        <w:jc w:val="both"/>
        <w:rPr>
          <w:rFonts w:ascii="Verdana" w:hAnsi="Verdana"/>
          <w:sz w:val="20"/>
          <w:szCs w:val="20"/>
          <w:lang w:val="es-ES"/>
        </w:rPr>
      </w:pPr>
      <w:r w:rsidRPr="00CF7FE6">
        <w:rPr>
          <w:rFonts w:ascii="Verdana" w:hAnsi="Verdana"/>
          <w:sz w:val="20"/>
          <w:szCs w:val="20"/>
          <w:lang w:val="es-ES"/>
        </w:rPr>
        <w:lastRenderedPageBreak/>
        <w:t>d.- Y, finalmente, el citado artículo 26 indica el o los medios para cumplir la obligación de comportamiento que establece, a saber, “</w:t>
      </w:r>
      <w:r w:rsidRPr="00CF7FE6">
        <w:rPr>
          <w:rFonts w:ascii="Verdana" w:hAnsi="Verdana"/>
          <w:i/>
          <w:sz w:val="20"/>
          <w:szCs w:val="20"/>
          <w:lang w:val="es-ES"/>
        </w:rPr>
        <w:t>por vía legislativa u otros medios apropi</w:t>
      </w:r>
      <w:r w:rsidRPr="00CF7FE6">
        <w:rPr>
          <w:rFonts w:ascii="Verdana" w:hAnsi="Verdana"/>
          <w:sz w:val="20"/>
          <w:szCs w:val="20"/>
          <w:lang w:val="es-ES"/>
        </w:rPr>
        <w:t>ados”. Dicho artículo se refiere, por lo tanto y tal como lo señala su título, al “</w:t>
      </w:r>
      <w:r w:rsidRPr="00CF7FE6">
        <w:rPr>
          <w:rFonts w:ascii="Verdana" w:hAnsi="Verdana"/>
          <w:i/>
          <w:sz w:val="20"/>
          <w:szCs w:val="20"/>
          <w:lang w:val="es-ES"/>
        </w:rPr>
        <w:t>Desarrollo Progresivo</w:t>
      </w:r>
      <w:r w:rsidRPr="00CF7FE6">
        <w:rPr>
          <w:rFonts w:ascii="Verdana" w:hAnsi="Verdana"/>
          <w:sz w:val="20"/>
          <w:szCs w:val="20"/>
          <w:lang w:val="es-ES"/>
        </w:rPr>
        <w:t xml:space="preserve">” </w:t>
      </w:r>
      <w:r>
        <w:rPr>
          <w:rFonts w:ascii="Verdana" w:hAnsi="Verdana"/>
          <w:sz w:val="20"/>
          <w:szCs w:val="20"/>
          <w:lang w:val="es-ES"/>
        </w:rPr>
        <w:t>de los mencionados derechos, lo que, evidentemente, si bien concuerda con la obligación prevista en el artículo 2 de la Convención</w:t>
      </w:r>
      <w:r>
        <w:rPr>
          <w:rStyle w:val="FootnoteReference"/>
          <w:szCs w:val="20"/>
          <w:lang w:val="es-ES"/>
        </w:rPr>
        <w:footnoteReference w:id="410"/>
      </w:r>
      <w:r>
        <w:rPr>
          <w:rFonts w:ascii="Verdana" w:hAnsi="Verdana"/>
          <w:sz w:val="20"/>
          <w:szCs w:val="20"/>
          <w:lang w:val="es-ES"/>
        </w:rPr>
        <w:t xml:space="preserve">, no constituye, bajo ningún respecto, fundamento para sostener que se puede someter a la Corte un caso atingente a la presunta violación de alguno de los derechos a que se remite.  </w:t>
      </w:r>
      <w:r w:rsidRPr="00CF7FE6">
        <w:rPr>
          <w:rFonts w:ascii="Verdana" w:hAnsi="Verdana"/>
          <w:sz w:val="20"/>
          <w:szCs w:val="20"/>
          <w:lang w:val="es-ES"/>
        </w:rPr>
        <w:t xml:space="preserve"> </w:t>
      </w:r>
    </w:p>
    <w:p w14:paraId="3BDB3E21" w14:textId="77777777" w:rsidR="003C2143" w:rsidRPr="00CF7FE6" w:rsidRDefault="003C2143" w:rsidP="003C2143">
      <w:pPr>
        <w:jc w:val="both"/>
        <w:rPr>
          <w:rFonts w:ascii="Verdana" w:hAnsi="Verdana"/>
          <w:sz w:val="20"/>
          <w:szCs w:val="20"/>
          <w:lang w:val="es-ES"/>
        </w:rPr>
      </w:pPr>
    </w:p>
    <w:p w14:paraId="64EB42D7"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Es obvio, en consecuencia</w:t>
      </w:r>
      <w:r w:rsidRPr="00CF7FE6">
        <w:rPr>
          <w:rFonts w:ascii="Verdana" w:hAnsi="Verdana"/>
          <w:sz w:val="20"/>
          <w:szCs w:val="20"/>
          <w:lang w:val="es-ES"/>
        </w:rPr>
        <w:t>, que los citados derechos s</w:t>
      </w:r>
      <w:r>
        <w:rPr>
          <w:rFonts w:ascii="Verdana" w:hAnsi="Verdana"/>
          <w:sz w:val="20"/>
          <w:szCs w:val="20"/>
          <w:lang w:val="es-ES"/>
        </w:rPr>
        <w:t xml:space="preserve">on distintos a los que la </w:t>
      </w:r>
      <w:r w:rsidRPr="00CF7FE6">
        <w:rPr>
          <w:rFonts w:ascii="Verdana" w:hAnsi="Verdana"/>
          <w:sz w:val="20"/>
          <w:szCs w:val="20"/>
          <w:lang w:val="es-ES"/>
        </w:rPr>
        <w:t xml:space="preserve"> Convención regula en sus artículos</w:t>
      </w:r>
      <w:r>
        <w:rPr>
          <w:rFonts w:ascii="Verdana" w:hAnsi="Verdana"/>
          <w:sz w:val="20"/>
          <w:szCs w:val="20"/>
          <w:lang w:val="es-ES"/>
        </w:rPr>
        <w:t xml:space="preserve"> 3 a 25</w:t>
      </w:r>
      <w:r w:rsidRPr="00CF7FE6">
        <w:rPr>
          <w:rFonts w:ascii="Verdana" w:hAnsi="Verdana"/>
          <w:sz w:val="20"/>
          <w:szCs w:val="20"/>
          <w:lang w:val="es-ES"/>
        </w:rPr>
        <w:t xml:space="preserve"> ya citados, esto es, a los “</w:t>
      </w:r>
      <w:r w:rsidRPr="00CF7FE6">
        <w:rPr>
          <w:rFonts w:ascii="Verdana" w:hAnsi="Verdana"/>
          <w:i/>
          <w:sz w:val="20"/>
          <w:szCs w:val="20"/>
          <w:lang w:val="es-ES"/>
        </w:rPr>
        <w:t>Derechos Civiles y políticos</w:t>
      </w:r>
      <w:r w:rsidRPr="00CF7FE6">
        <w:rPr>
          <w:rFonts w:ascii="Verdana" w:hAnsi="Verdana"/>
          <w:sz w:val="20"/>
          <w:szCs w:val="20"/>
          <w:lang w:val="es-ES"/>
        </w:rPr>
        <w:t>” y sujetos, entonces, a un régimen de protección diferente.</w:t>
      </w:r>
    </w:p>
    <w:p w14:paraId="30701D8E" w14:textId="77777777" w:rsidR="003C2143" w:rsidRPr="00CF7FE6" w:rsidRDefault="003C2143" w:rsidP="003C2143">
      <w:pPr>
        <w:jc w:val="both"/>
        <w:rPr>
          <w:rFonts w:ascii="Verdana" w:hAnsi="Verdana"/>
          <w:sz w:val="20"/>
          <w:szCs w:val="20"/>
          <w:lang w:val="es-ES"/>
        </w:rPr>
      </w:pPr>
    </w:p>
    <w:p w14:paraId="582A9631" w14:textId="77777777" w:rsidR="003C2143" w:rsidRPr="00432286" w:rsidRDefault="003C2143" w:rsidP="003C2143">
      <w:pPr>
        <w:pStyle w:val="ListParagraph"/>
        <w:numPr>
          <w:ilvl w:val="0"/>
          <w:numId w:val="31"/>
        </w:numPr>
        <w:jc w:val="both"/>
        <w:rPr>
          <w:rFonts w:ascii="Verdana" w:hAnsi="Verdana"/>
          <w:b/>
          <w:sz w:val="20"/>
          <w:szCs w:val="20"/>
          <w:lang w:val="es-ES"/>
        </w:rPr>
      </w:pPr>
      <w:r>
        <w:rPr>
          <w:rFonts w:ascii="Verdana" w:hAnsi="Verdana"/>
          <w:b/>
          <w:sz w:val="20"/>
          <w:szCs w:val="20"/>
          <w:lang w:val="es-ES"/>
        </w:rPr>
        <w:t>Trabajos preparatorios</w:t>
      </w:r>
      <w:r>
        <w:rPr>
          <w:rStyle w:val="FootnoteReference"/>
          <w:b/>
          <w:szCs w:val="20"/>
          <w:lang w:val="es-ES"/>
        </w:rPr>
        <w:footnoteReference w:id="411"/>
      </w:r>
      <w:r>
        <w:rPr>
          <w:rFonts w:ascii="Verdana" w:hAnsi="Verdana"/>
          <w:b/>
          <w:sz w:val="20"/>
          <w:szCs w:val="20"/>
          <w:lang w:val="es-ES"/>
        </w:rPr>
        <w:t>.</w:t>
      </w:r>
    </w:p>
    <w:p w14:paraId="74D0CC2F" w14:textId="77777777" w:rsidR="003C2143" w:rsidRDefault="003C2143" w:rsidP="003C2143">
      <w:pPr>
        <w:jc w:val="both"/>
        <w:rPr>
          <w:rFonts w:ascii="Verdana" w:hAnsi="Verdana"/>
          <w:b/>
          <w:sz w:val="20"/>
          <w:szCs w:val="20"/>
          <w:lang w:val="es-ES"/>
        </w:rPr>
      </w:pPr>
    </w:p>
    <w:p w14:paraId="093626FB" w14:textId="77777777" w:rsidR="003C2143" w:rsidRDefault="003C2143" w:rsidP="003C2143">
      <w:pPr>
        <w:jc w:val="both"/>
        <w:rPr>
          <w:rFonts w:ascii="Verdana" w:hAnsi="Verdana"/>
          <w:sz w:val="20"/>
          <w:szCs w:val="20"/>
          <w:lang w:val="es-ES"/>
        </w:rPr>
      </w:pPr>
      <w:r w:rsidRPr="00CF7FE6">
        <w:rPr>
          <w:rFonts w:ascii="Verdana" w:hAnsi="Verdana"/>
          <w:sz w:val="20"/>
          <w:szCs w:val="20"/>
          <w:lang w:val="es-ES"/>
        </w:rPr>
        <w:t>Cabe advertir que en la Conferencia Especializada Interamericana sobre Derechos Humanos, en la que se adoptó el texto definitivo de la Convención</w:t>
      </w:r>
      <w:r w:rsidRPr="00CF7FE6">
        <w:rPr>
          <w:rFonts w:ascii="Verdana" w:hAnsi="Verdana"/>
          <w:i/>
          <w:sz w:val="20"/>
          <w:szCs w:val="20"/>
          <w:lang w:val="es-ES"/>
        </w:rPr>
        <w:t>,</w:t>
      </w:r>
      <w:r>
        <w:rPr>
          <w:rFonts w:ascii="Verdana" w:hAnsi="Verdana"/>
          <w:i/>
          <w:sz w:val="20"/>
          <w:szCs w:val="20"/>
          <w:lang w:val="es-ES"/>
        </w:rPr>
        <w:t xml:space="preserve"> </w:t>
      </w:r>
      <w:r w:rsidRPr="00CF7FE6">
        <w:rPr>
          <w:rFonts w:ascii="Verdana" w:hAnsi="Verdana"/>
          <w:i/>
          <w:sz w:val="20"/>
          <w:szCs w:val="20"/>
          <w:lang w:val="es-ES"/>
        </w:rPr>
        <w:t>“(l</w:t>
      </w:r>
      <w:proofErr w:type="gramStart"/>
      <w:r w:rsidRPr="00CF7FE6">
        <w:rPr>
          <w:rFonts w:ascii="Verdana" w:hAnsi="Verdana"/>
          <w:i/>
          <w:sz w:val="20"/>
          <w:szCs w:val="20"/>
          <w:lang w:val="es-ES"/>
        </w:rPr>
        <w:t>)</w:t>
      </w:r>
      <w:proofErr w:type="spellStart"/>
      <w:r w:rsidRPr="00CF7FE6">
        <w:rPr>
          <w:rFonts w:ascii="Verdana" w:hAnsi="Verdana"/>
          <w:i/>
          <w:sz w:val="20"/>
          <w:szCs w:val="20"/>
          <w:lang w:val="es-ES"/>
        </w:rPr>
        <w:t>uego</w:t>
      </w:r>
      <w:proofErr w:type="spellEnd"/>
      <w:proofErr w:type="gramEnd"/>
      <w:r w:rsidRPr="00CF7FE6">
        <w:rPr>
          <w:rFonts w:ascii="Verdana" w:hAnsi="Verdana"/>
          <w:i/>
          <w:sz w:val="20"/>
          <w:szCs w:val="20"/>
          <w:lang w:val="es-ES"/>
        </w:rPr>
        <w:t xml:space="preserve"> de algunos debates en los que se reiteraron algunas posiciones anteriores sin llegar a un consenso, y en ninguno de los cuales se propuso incluir a los derechos económicos, sociales y culturales en el régimen de protección previsto para los derechos civiles y políticos, se redactó un capítulo con dos artículos</w:t>
      </w:r>
      <w:r w:rsidRPr="00CF7FE6">
        <w:rPr>
          <w:rFonts w:ascii="Verdana" w:hAnsi="Verdana"/>
          <w:sz w:val="20"/>
          <w:szCs w:val="20"/>
          <w:lang w:val="es-ES"/>
        </w:rPr>
        <w:t>”</w:t>
      </w:r>
      <w:r w:rsidRPr="00CF7FE6">
        <w:rPr>
          <w:rStyle w:val="FootnoteReference"/>
          <w:szCs w:val="20"/>
          <w:lang w:val="es-ES"/>
        </w:rPr>
        <w:footnoteReference w:id="412"/>
      </w:r>
      <w:r w:rsidRPr="00CF7FE6">
        <w:rPr>
          <w:rFonts w:ascii="Verdana" w:hAnsi="Verdana"/>
          <w:sz w:val="20"/>
          <w:szCs w:val="20"/>
          <w:lang w:val="es-ES"/>
        </w:rPr>
        <w:t>. En la correspondiente votación, el primero fue incluido en el texto definitivo de la Convención, como artículo 26. El segundo, que era el artículo 27, establecía: “</w:t>
      </w:r>
      <w:r w:rsidRPr="00CF7FE6">
        <w:rPr>
          <w:rFonts w:ascii="Verdana" w:hAnsi="Verdana"/>
          <w:i/>
          <w:sz w:val="20"/>
          <w:szCs w:val="20"/>
          <w:lang w:val="es-ES"/>
        </w:rPr>
        <w:t>Control del Cumplimiento de las Obligaciones. 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aquélla verifique si se están cumpliendo las obligaciones antes determinadas, que son la sustentación indispensable para el ejercicio de los otros derechos consagrados en esta Convención.</w:t>
      </w:r>
      <w:r w:rsidRPr="00CF7FE6">
        <w:rPr>
          <w:rFonts w:ascii="Verdana" w:hAnsi="Verdana"/>
          <w:sz w:val="20"/>
          <w:szCs w:val="20"/>
          <w:lang w:val="es-ES"/>
        </w:rPr>
        <w:t xml:space="preserve">” </w:t>
      </w:r>
    </w:p>
    <w:p w14:paraId="7D82210E" w14:textId="77777777" w:rsidR="003C2143" w:rsidRDefault="003C2143" w:rsidP="003C2143">
      <w:pPr>
        <w:jc w:val="both"/>
        <w:rPr>
          <w:rFonts w:ascii="Verdana" w:hAnsi="Verdana"/>
          <w:sz w:val="20"/>
          <w:szCs w:val="20"/>
          <w:lang w:val="es-ES"/>
        </w:rPr>
      </w:pPr>
    </w:p>
    <w:p w14:paraId="043B06EF"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Nótese</w:t>
      </w:r>
      <w:r w:rsidRPr="00CF7FE6">
        <w:rPr>
          <w:rFonts w:ascii="Verdana" w:hAnsi="Verdana"/>
          <w:sz w:val="20"/>
          <w:szCs w:val="20"/>
          <w:lang w:val="es-ES"/>
        </w:rPr>
        <w:t>,</w:t>
      </w:r>
      <w:r>
        <w:rPr>
          <w:rFonts w:ascii="Verdana" w:hAnsi="Verdana"/>
          <w:sz w:val="20"/>
          <w:szCs w:val="20"/>
          <w:lang w:val="es-ES"/>
        </w:rPr>
        <w:t xml:space="preserve"> al efecto, que la </w:t>
      </w:r>
      <w:r w:rsidRPr="00CF7FE6">
        <w:rPr>
          <w:rFonts w:ascii="Verdana" w:hAnsi="Verdana"/>
          <w:sz w:val="20"/>
          <w:szCs w:val="20"/>
          <w:lang w:val="es-ES"/>
        </w:rPr>
        <w:t xml:space="preserve">proposición </w:t>
      </w:r>
      <w:r>
        <w:rPr>
          <w:rFonts w:ascii="Verdana" w:hAnsi="Verdana"/>
          <w:sz w:val="20"/>
          <w:szCs w:val="20"/>
          <w:lang w:val="es-ES"/>
        </w:rPr>
        <w:t xml:space="preserve">relativa al mencionado artículo 27 </w:t>
      </w:r>
      <w:r w:rsidRPr="00CF7FE6">
        <w:rPr>
          <w:rFonts w:ascii="Verdana" w:hAnsi="Verdana"/>
          <w:sz w:val="20"/>
          <w:szCs w:val="20"/>
          <w:lang w:val="es-ES"/>
        </w:rPr>
        <w:t>distinguía entre “</w:t>
      </w:r>
      <w:r w:rsidRPr="00CF7FE6">
        <w:rPr>
          <w:rFonts w:ascii="Verdana" w:hAnsi="Verdana"/>
          <w:i/>
          <w:sz w:val="20"/>
          <w:szCs w:val="20"/>
          <w:lang w:val="es-ES"/>
        </w:rPr>
        <w:t>las obligaciones antes determinadas</w:t>
      </w:r>
      <w:r w:rsidRPr="00CF7FE6">
        <w:rPr>
          <w:rFonts w:ascii="Verdana" w:hAnsi="Verdana"/>
          <w:sz w:val="20"/>
          <w:szCs w:val="20"/>
          <w:lang w:val="es-ES"/>
        </w:rPr>
        <w:t>”, obviamente en el artículo 26, y “</w:t>
      </w:r>
      <w:r w:rsidRPr="00CF7FE6">
        <w:rPr>
          <w:rFonts w:ascii="Verdana" w:hAnsi="Verdana"/>
          <w:i/>
          <w:sz w:val="20"/>
          <w:szCs w:val="20"/>
          <w:lang w:val="es-ES"/>
        </w:rPr>
        <w:t>los otros derechos consagrados en esta Convención</w:t>
      </w:r>
      <w:r w:rsidRPr="00CF7FE6">
        <w:rPr>
          <w:rFonts w:ascii="Verdana" w:hAnsi="Verdana"/>
          <w:sz w:val="20"/>
          <w:szCs w:val="20"/>
          <w:lang w:val="es-ES"/>
        </w:rPr>
        <w:t xml:space="preserve">”. </w:t>
      </w:r>
      <w:r>
        <w:rPr>
          <w:rFonts w:ascii="Verdana" w:hAnsi="Verdana"/>
          <w:sz w:val="20"/>
          <w:szCs w:val="20"/>
          <w:lang w:val="es-ES"/>
        </w:rPr>
        <w:t xml:space="preserve">Téngase presente, además, que dicho </w:t>
      </w:r>
      <w:r w:rsidRPr="00CF7FE6">
        <w:rPr>
          <w:rFonts w:ascii="Verdana" w:hAnsi="Verdana"/>
          <w:sz w:val="20"/>
          <w:szCs w:val="20"/>
          <w:lang w:val="es-ES"/>
        </w:rPr>
        <w:t xml:space="preserve">artículo fue, empero, suprimido, de </w:t>
      </w:r>
      <w:r>
        <w:rPr>
          <w:rFonts w:ascii="Verdana" w:hAnsi="Verdana"/>
          <w:sz w:val="20"/>
          <w:szCs w:val="20"/>
          <w:lang w:val="es-ES"/>
        </w:rPr>
        <w:t>todo lo cual</w:t>
      </w:r>
      <w:r w:rsidRPr="00CF7FE6">
        <w:rPr>
          <w:rFonts w:ascii="Verdana" w:hAnsi="Verdana"/>
          <w:sz w:val="20"/>
          <w:szCs w:val="20"/>
          <w:lang w:val="es-ES"/>
        </w:rPr>
        <w:t xml:space="preserve"> se concluye que en momento alguno se incluyó a los derechos económicos, sociales y culturales que se “</w:t>
      </w:r>
      <w:r w:rsidRPr="00CF7FE6">
        <w:rPr>
          <w:rFonts w:ascii="Verdana" w:hAnsi="Verdana"/>
          <w:i/>
          <w:sz w:val="20"/>
          <w:szCs w:val="20"/>
          <w:lang w:val="es-ES"/>
        </w:rPr>
        <w:t>derivan</w:t>
      </w:r>
      <w:r w:rsidRPr="00CF7FE6">
        <w:rPr>
          <w:rFonts w:ascii="Verdana" w:hAnsi="Verdana"/>
          <w:sz w:val="20"/>
          <w:szCs w:val="20"/>
          <w:lang w:val="es-ES"/>
        </w:rPr>
        <w:t>” de las normas de la Carta de la OEA, entre ellos, el derecho a la estabilidad en el empleo, en el régimen de protección de los derechos civiles y políticos “</w:t>
      </w:r>
      <w:r w:rsidRPr="00CF7FE6">
        <w:rPr>
          <w:rFonts w:ascii="Verdana" w:hAnsi="Verdana"/>
          <w:i/>
          <w:sz w:val="20"/>
          <w:szCs w:val="20"/>
          <w:lang w:val="es-ES"/>
        </w:rPr>
        <w:t xml:space="preserve">reconocidos” </w:t>
      </w:r>
      <w:r>
        <w:rPr>
          <w:rFonts w:ascii="Verdana" w:hAnsi="Verdana"/>
          <w:sz w:val="20"/>
          <w:szCs w:val="20"/>
          <w:lang w:val="es-ES"/>
        </w:rPr>
        <w:t>en</w:t>
      </w:r>
      <w:r w:rsidRPr="00CF7FE6">
        <w:rPr>
          <w:rFonts w:ascii="Verdana" w:hAnsi="Verdana"/>
          <w:sz w:val="20"/>
          <w:szCs w:val="20"/>
          <w:lang w:val="es-ES"/>
        </w:rPr>
        <w:t xml:space="preserve"> la Convención. </w:t>
      </w:r>
    </w:p>
    <w:p w14:paraId="6785A110" w14:textId="77777777" w:rsidR="003C2143" w:rsidRPr="00CF7FE6" w:rsidRDefault="003C2143" w:rsidP="003C2143">
      <w:pPr>
        <w:jc w:val="both"/>
        <w:rPr>
          <w:rFonts w:ascii="Verdana" w:hAnsi="Verdana"/>
          <w:sz w:val="20"/>
          <w:szCs w:val="20"/>
          <w:lang w:val="es-ES"/>
        </w:rPr>
      </w:pPr>
    </w:p>
    <w:p w14:paraId="0C80E365" w14:textId="77777777" w:rsidR="003C2143" w:rsidRPr="00292A5F" w:rsidRDefault="003C2143" w:rsidP="003C2143">
      <w:pPr>
        <w:pStyle w:val="ListParagraph"/>
        <w:numPr>
          <w:ilvl w:val="0"/>
          <w:numId w:val="31"/>
        </w:numPr>
        <w:jc w:val="both"/>
        <w:rPr>
          <w:rFonts w:ascii="Verdana" w:hAnsi="Verdana"/>
          <w:b/>
          <w:sz w:val="20"/>
          <w:szCs w:val="20"/>
          <w:lang w:val="es-ES"/>
        </w:rPr>
      </w:pPr>
      <w:r w:rsidRPr="00292A5F">
        <w:rPr>
          <w:rFonts w:ascii="Verdana" w:hAnsi="Verdana"/>
          <w:b/>
          <w:sz w:val="20"/>
          <w:szCs w:val="20"/>
          <w:lang w:val="es-ES"/>
        </w:rPr>
        <w:t>Los derechos que se derivan de las normas económicas, sociales y sobre educación, ciencia y cultura, contenidas en la Carta de la OEA.</w:t>
      </w:r>
    </w:p>
    <w:p w14:paraId="47A0417A" w14:textId="77777777" w:rsidR="003C2143" w:rsidRPr="00CF7FE6" w:rsidRDefault="003C2143" w:rsidP="003C2143">
      <w:pPr>
        <w:jc w:val="both"/>
        <w:rPr>
          <w:rFonts w:ascii="Verdana" w:hAnsi="Verdana"/>
          <w:b/>
          <w:sz w:val="20"/>
          <w:szCs w:val="20"/>
          <w:lang w:val="es-ES"/>
        </w:rPr>
      </w:pPr>
    </w:p>
    <w:p w14:paraId="69FCD077"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La Sentencia ha evocado a los artículos 45.b y c</w:t>
      </w:r>
      <w:r w:rsidRPr="00CF7FE6">
        <w:rPr>
          <w:rStyle w:val="FootnoteReference"/>
          <w:szCs w:val="20"/>
          <w:lang w:val="es-ES"/>
        </w:rPr>
        <w:footnoteReference w:id="413"/>
      </w:r>
      <w:r w:rsidRPr="00CF7FE6">
        <w:rPr>
          <w:rFonts w:ascii="Verdana" w:hAnsi="Verdana"/>
          <w:sz w:val="20"/>
          <w:szCs w:val="20"/>
          <w:lang w:val="es-ES"/>
        </w:rPr>
        <w:t>. 46</w:t>
      </w:r>
      <w:r w:rsidRPr="00CF7FE6">
        <w:rPr>
          <w:rStyle w:val="FootnoteReference"/>
          <w:szCs w:val="20"/>
          <w:lang w:val="es-ES"/>
        </w:rPr>
        <w:footnoteReference w:id="414"/>
      </w:r>
      <w:r w:rsidRPr="00CF7FE6">
        <w:rPr>
          <w:rFonts w:ascii="Verdana" w:hAnsi="Verdana"/>
          <w:sz w:val="20"/>
          <w:szCs w:val="20"/>
          <w:lang w:val="es-ES"/>
        </w:rPr>
        <w:t xml:space="preserve">  y 34.g</w:t>
      </w:r>
      <w:r w:rsidRPr="00CF7FE6">
        <w:rPr>
          <w:rStyle w:val="FootnoteReference"/>
          <w:szCs w:val="20"/>
          <w:lang w:val="es-ES"/>
        </w:rPr>
        <w:footnoteReference w:id="415"/>
      </w:r>
      <w:r w:rsidRPr="00CF7FE6">
        <w:rPr>
          <w:rFonts w:ascii="Verdana" w:hAnsi="Verdana"/>
          <w:sz w:val="20"/>
          <w:szCs w:val="20"/>
          <w:lang w:val="es-ES"/>
        </w:rPr>
        <w:t xml:space="preserve">  de la Carta de la OEA para pronunciarse respecto del derecho del trabajo y más específicamente</w:t>
      </w:r>
      <w:r>
        <w:rPr>
          <w:rFonts w:ascii="Verdana" w:hAnsi="Verdana"/>
          <w:sz w:val="20"/>
          <w:szCs w:val="20"/>
          <w:lang w:val="es-ES"/>
        </w:rPr>
        <w:t>,</w:t>
      </w:r>
      <w:r w:rsidRPr="00CF7FE6">
        <w:rPr>
          <w:rFonts w:ascii="Verdana" w:hAnsi="Verdana"/>
          <w:sz w:val="20"/>
          <w:szCs w:val="20"/>
          <w:lang w:val="es-ES"/>
        </w:rPr>
        <w:t xml:space="preserve"> del derecho a la estabilid</w:t>
      </w:r>
      <w:r>
        <w:rPr>
          <w:rFonts w:ascii="Verdana" w:hAnsi="Verdana"/>
          <w:sz w:val="20"/>
          <w:szCs w:val="20"/>
          <w:lang w:val="es-ES"/>
        </w:rPr>
        <w:t>ad en el empleo.  Tales disposiciones</w:t>
      </w:r>
      <w:r w:rsidRPr="00CF7FE6">
        <w:rPr>
          <w:rFonts w:ascii="Verdana" w:hAnsi="Verdana"/>
          <w:sz w:val="20"/>
          <w:szCs w:val="20"/>
          <w:lang w:val="es-ES"/>
        </w:rPr>
        <w:t xml:space="preserve">, sin embargo, </w:t>
      </w:r>
      <w:r>
        <w:rPr>
          <w:rFonts w:ascii="Verdana" w:hAnsi="Verdana"/>
          <w:sz w:val="20"/>
          <w:szCs w:val="20"/>
          <w:lang w:val="es-ES"/>
        </w:rPr>
        <w:t xml:space="preserve">disponen sea </w:t>
      </w:r>
      <w:r w:rsidRPr="00CF7FE6">
        <w:rPr>
          <w:rFonts w:ascii="Verdana" w:hAnsi="Verdana"/>
          <w:sz w:val="20"/>
          <w:szCs w:val="20"/>
          <w:lang w:val="es-ES"/>
        </w:rPr>
        <w:t>un “</w:t>
      </w:r>
      <w:r w:rsidRPr="00CF7FE6">
        <w:rPr>
          <w:rFonts w:ascii="Verdana" w:hAnsi="Verdana"/>
          <w:i/>
          <w:sz w:val="20"/>
          <w:szCs w:val="20"/>
          <w:lang w:val="es-ES"/>
        </w:rPr>
        <w:t>principio y mecani</w:t>
      </w:r>
      <w:r w:rsidRPr="00CF7FE6">
        <w:rPr>
          <w:rFonts w:ascii="Verdana" w:hAnsi="Verdana"/>
          <w:sz w:val="20"/>
          <w:szCs w:val="20"/>
          <w:lang w:val="es-ES"/>
        </w:rPr>
        <w:t>smo” para “</w:t>
      </w:r>
      <w:r w:rsidRPr="00CF7FE6">
        <w:rPr>
          <w:rFonts w:ascii="Verdana" w:hAnsi="Verdana"/>
          <w:i/>
          <w:sz w:val="20"/>
          <w:szCs w:val="20"/>
          <w:lang w:val="es-ES"/>
        </w:rPr>
        <w:t>alcanzar la plena realización de sus aspiraciones dentro de un orden social justo, acompañado de desarrollo económico y verdadera paz</w:t>
      </w:r>
      <w:r w:rsidRPr="00CF7FE6">
        <w:rPr>
          <w:rFonts w:ascii="Verdana" w:hAnsi="Verdana"/>
          <w:sz w:val="20"/>
          <w:szCs w:val="20"/>
          <w:lang w:val="es-ES"/>
        </w:rPr>
        <w:t>”</w:t>
      </w:r>
      <w:r>
        <w:rPr>
          <w:rFonts w:ascii="Verdana" w:hAnsi="Verdana"/>
          <w:sz w:val="20"/>
          <w:szCs w:val="20"/>
          <w:lang w:val="es-ES"/>
        </w:rPr>
        <w:t xml:space="preserve">, sea </w:t>
      </w:r>
      <w:r w:rsidRPr="00CF7FE6">
        <w:rPr>
          <w:rFonts w:ascii="Verdana" w:hAnsi="Verdana"/>
          <w:sz w:val="20"/>
          <w:szCs w:val="20"/>
          <w:lang w:val="es-ES"/>
        </w:rPr>
        <w:t>una “</w:t>
      </w:r>
      <w:r w:rsidRPr="00CF7FE6">
        <w:rPr>
          <w:rFonts w:ascii="Verdana" w:hAnsi="Verdana"/>
          <w:i/>
          <w:sz w:val="20"/>
          <w:szCs w:val="20"/>
          <w:lang w:val="es-ES"/>
        </w:rPr>
        <w:t>finalidad</w:t>
      </w:r>
      <w:r w:rsidRPr="00CF7FE6">
        <w:rPr>
          <w:rFonts w:ascii="Verdana" w:hAnsi="Verdana"/>
          <w:sz w:val="20"/>
          <w:szCs w:val="20"/>
          <w:lang w:val="es-ES"/>
        </w:rPr>
        <w:t>” a fin de facilitar el proceso de integración regional latinoamericana</w:t>
      </w:r>
      <w:r>
        <w:rPr>
          <w:rFonts w:ascii="Verdana" w:hAnsi="Verdana"/>
          <w:sz w:val="20"/>
          <w:szCs w:val="20"/>
          <w:lang w:val="es-ES"/>
        </w:rPr>
        <w:t xml:space="preserve">, sea </w:t>
      </w:r>
      <w:r w:rsidRPr="00CF7FE6">
        <w:rPr>
          <w:rFonts w:ascii="Verdana" w:hAnsi="Verdana"/>
          <w:sz w:val="20"/>
          <w:szCs w:val="20"/>
          <w:lang w:val="es-ES"/>
        </w:rPr>
        <w:t>una “</w:t>
      </w:r>
      <w:r w:rsidRPr="00CF7FE6">
        <w:rPr>
          <w:rFonts w:ascii="Verdana" w:hAnsi="Verdana"/>
          <w:i/>
          <w:sz w:val="20"/>
          <w:szCs w:val="20"/>
          <w:lang w:val="es-ES"/>
        </w:rPr>
        <w:t>meta</w:t>
      </w:r>
      <w:r>
        <w:rPr>
          <w:rFonts w:ascii="Verdana" w:hAnsi="Verdana"/>
          <w:i/>
          <w:sz w:val="20"/>
          <w:szCs w:val="20"/>
          <w:lang w:val="es-ES"/>
        </w:rPr>
        <w:t xml:space="preserve"> básica</w:t>
      </w:r>
      <w:r w:rsidRPr="00CF7FE6">
        <w:rPr>
          <w:rFonts w:ascii="Verdana" w:hAnsi="Verdana"/>
          <w:sz w:val="20"/>
          <w:szCs w:val="20"/>
          <w:lang w:val="es-ES"/>
        </w:rPr>
        <w:t>” para alcanzar “</w:t>
      </w:r>
      <w:r w:rsidRPr="00CF7FE6">
        <w:rPr>
          <w:rFonts w:ascii="Verdana" w:hAnsi="Verdana"/>
          <w:i/>
          <w:sz w:val="20"/>
          <w:szCs w:val="20"/>
          <w:lang w:val="es-ES"/>
        </w:rPr>
        <w:t>objetivos básicos del desarrollo integra</w:t>
      </w:r>
      <w:r w:rsidRPr="00CF7FE6">
        <w:rPr>
          <w:rFonts w:ascii="Verdana" w:hAnsi="Verdana"/>
          <w:sz w:val="20"/>
          <w:szCs w:val="20"/>
          <w:lang w:val="es-ES"/>
        </w:rPr>
        <w:t xml:space="preserve">l” </w:t>
      </w:r>
      <w:r>
        <w:rPr>
          <w:rFonts w:ascii="Verdana" w:hAnsi="Verdana"/>
          <w:sz w:val="20"/>
          <w:szCs w:val="20"/>
          <w:lang w:val="es-ES"/>
        </w:rPr>
        <w:t xml:space="preserve">y en todas esas hipótesis, disponen </w:t>
      </w:r>
      <w:r w:rsidRPr="00CF7FE6">
        <w:rPr>
          <w:rFonts w:ascii="Verdana" w:hAnsi="Verdana"/>
          <w:sz w:val="20"/>
          <w:szCs w:val="20"/>
          <w:lang w:val="es-ES"/>
        </w:rPr>
        <w:t>una obligación de comportamiento que se expresa en la dedicación de los “</w:t>
      </w:r>
      <w:r w:rsidRPr="00CF7FE6">
        <w:rPr>
          <w:rFonts w:ascii="Verdana" w:hAnsi="Verdana"/>
          <w:i/>
          <w:sz w:val="20"/>
          <w:szCs w:val="20"/>
          <w:lang w:val="es-ES"/>
        </w:rPr>
        <w:t>máximos esfuerzos</w:t>
      </w:r>
      <w:r w:rsidRPr="00CF7FE6">
        <w:rPr>
          <w:rFonts w:ascii="Verdana" w:hAnsi="Verdana"/>
          <w:sz w:val="20"/>
          <w:szCs w:val="20"/>
          <w:lang w:val="es-ES"/>
        </w:rPr>
        <w:t>” para alcanzar los objetivos indicados.</w:t>
      </w:r>
    </w:p>
    <w:p w14:paraId="22D65BB2" w14:textId="77777777" w:rsidR="003C2143" w:rsidRPr="00CF7FE6" w:rsidRDefault="003C2143" w:rsidP="003C2143">
      <w:pPr>
        <w:jc w:val="both"/>
        <w:rPr>
          <w:rFonts w:ascii="Verdana" w:hAnsi="Verdana"/>
          <w:sz w:val="20"/>
          <w:szCs w:val="20"/>
          <w:lang w:val="es-ES"/>
        </w:rPr>
      </w:pPr>
    </w:p>
    <w:p w14:paraId="148875D0" w14:textId="77777777" w:rsidR="003C2143" w:rsidRDefault="003C2143" w:rsidP="003C2143">
      <w:pPr>
        <w:jc w:val="both"/>
        <w:rPr>
          <w:rFonts w:ascii="Verdana" w:hAnsi="Verdana"/>
          <w:sz w:val="20"/>
          <w:szCs w:val="20"/>
          <w:lang w:val="es-ES"/>
        </w:rPr>
      </w:pPr>
      <w:r>
        <w:rPr>
          <w:rFonts w:ascii="Verdana" w:hAnsi="Verdana"/>
          <w:sz w:val="20"/>
          <w:szCs w:val="20"/>
          <w:lang w:val="es-ES"/>
        </w:rPr>
        <w:t>Esto es, t</w:t>
      </w:r>
      <w:r w:rsidRPr="00CF7FE6">
        <w:rPr>
          <w:rFonts w:ascii="Verdana" w:hAnsi="Verdana"/>
          <w:sz w:val="20"/>
          <w:szCs w:val="20"/>
          <w:lang w:val="es-ES"/>
        </w:rPr>
        <w:t>ales disposiciones, en rigor, no establecen derechos sino la obligación del correspondiente Estado de realizar los “</w:t>
      </w:r>
      <w:r w:rsidRPr="00CF7FE6">
        <w:rPr>
          <w:rFonts w:ascii="Verdana" w:hAnsi="Verdana"/>
          <w:i/>
          <w:sz w:val="20"/>
          <w:szCs w:val="20"/>
          <w:lang w:val="es-ES"/>
        </w:rPr>
        <w:t>máximos esfuerzos</w:t>
      </w:r>
      <w:r>
        <w:rPr>
          <w:rFonts w:ascii="Verdana" w:hAnsi="Verdana"/>
          <w:sz w:val="20"/>
          <w:szCs w:val="20"/>
          <w:lang w:val="es-ES"/>
        </w:rPr>
        <w:t xml:space="preserve">” para lograr, como objetivo, </w:t>
      </w:r>
      <w:r w:rsidRPr="00CF7FE6">
        <w:rPr>
          <w:rFonts w:ascii="Verdana" w:hAnsi="Verdana"/>
          <w:sz w:val="20"/>
          <w:szCs w:val="20"/>
          <w:lang w:val="es-ES"/>
        </w:rPr>
        <w:t>el desarrollo económico y la paz, la integración latinoamericana o el desarrollo integral, según corresponda.</w:t>
      </w:r>
      <w:r>
        <w:rPr>
          <w:rFonts w:ascii="Verdana" w:hAnsi="Verdana"/>
          <w:sz w:val="20"/>
          <w:szCs w:val="20"/>
          <w:lang w:val="es-ES"/>
        </w:rPr>
        <w:t xml:space="preserve"> Por ende y</w:t>
      </w:r>
      <w:r w:rsidRPr="00CF7FE6">
        <w:rPr>
          <w:rFonts w:ascii="Verdana" w:hAnsi="Verdana"/>
          <w:sz w:val="20"/>
          <w:szCs w:val="20"/>
          <w:lang w:val="es-ES"/>
        </w:rPr>
        <w:t>, además, atendidas las fórmulas tan genéricas empleadas por la Carta de la OEA para referirse a las materias que aborda en las referidas dis</w:t>
      </w:r>
      <w:r>
        <w:rPr>
          <w:rFonts w:ascii="Verdana" w:hAnsi="Verdana"/>
          <w:sz w:val="20"/>
          <w:szCs w:val="20"/>
          <w:lang w:val="es-ES"/>
        </w:rPr>
        <w:t>posiciones, se puede</w:t>
      </w:r>
      <w:r w:rsidRPr="00CF7FE6">
        <w:rPr>
          <w:rFonts w:ascii="Verdana" w:hAnsi="Verdana"/>
          <w:sz w:val="20"/>
          <w:szCs w:val="20"/>
          <w:lang w:val="es-ES"/>
        </w:rPr>
        <w:t xml:space="preserve"> concluir que aquellas, como se expresó, son consideradas por ella más bien como “</w:t>
      </w:r>
      <w:r w:rsidRPr="00CF7FE6">
        <w:rPr>
          <w:rFonts w:ascii="Verdana" w:hAnsi="Verdana"/>
          <w:i/>
          <w:sz w:val="20"/>
          <w:szCs w:val="20"/>
          <w:lang w:val="es-ES"/>
        </w:rPr>
        <w:t>metas</w:t>
      </w:r>
      <w:r>
        <w:rPr>
          <w:rFonts w:ascii="Verdana" w:hAnsi="Verdana"/>
          <w:sz w:val="20"/>
          <w:szCs w:val="20"/>
          <w:lang w:val="es-ES"/>
        </w:rPr>
        <w:t xml:space="preserve">” o </w:t>
      </w:r>
      <w:r w:rsidRPr="00CF7FE6">
        <w:rPr>
          <w:rFonts w:ascii="Verdana" w:hAnsi="Verdana"/>
          <w:sz w:val="20"/>
          <w:szCs w:val="20"/>
          <w:lang w:val="es-ES"/>
        </w:rPr>
        <w:t>“</w:t>
      </w:r>
      <w:r w:rsidRPr="00CF7FE6">
        <w:rPr>
          <w:rFonts w:ascii="Verdana" w:hAnsi="Verdana"/>
          <w:i/>
          <w:sz w:val="20"/>
          <w:szCs w:val="20"/>
          <w:lang w:val="es-ES"/>
        </w:rPr>
        <w:t>finalidades”</w:t>
      </w:r>
      <w:r>
        <w:rPr>
          <w:rFonts w:ascii="Verdana" w:hAnsi="Verdana"/>
          <w:i/>
          <w:sz w:val="20"/>
          <w:szCs w:val="20"/>
          <w:lang w:val="es-ES"/>
        </w:rPr>
        <w:t xml:space="preserve"> </w:t>
      </w:r>
      <w:r w:rsidRPr="00CF7FE6">
        <w:rPr>
          <w:rFonts w:ascii="Verdana" w:hAnsi="Verdana"/>
          <w:sz w:val="20"/>
          <w:szCs w:val="20"/>
          <w:lang w:val="es-ES"/>
        </w:rPr>
        <w:t xml:space="preserve">a alcanzar </w:t>
      </w:r>
      <w:r>
        <w:rPr>
          <w:rFonts w:ascii="Verdana" w:hAnsi="Verdana"/>
          <w:sz w:val="20"/>
          <w:szCs w:val="20"/>
          <w:lang w:val="es-ES"/>
        </w:rPr>
        <w:t xml:space="preserve">o como </w:t>
      </w:r>
      <w:r w:rsidRPr="002F2B90">
        <w:rPr>
          <w:rFonts w:ascii="Verdana" w:hAnsi="Verdana"/>
          <w:sz w:val="20"/>
          <w:szCs w:val="20"/>
          <w:lang w:val="es-ES"/>
        </w:rPr>
        <w:t>“</w:t>
      </w:r>
      <w:r w:rsidRPr="002F2B90">
        <w:rPr>
          <w:rFonts w:ascii="Verdana" w:hAnsi="Verdana"/>
          <w:i/>
          <w:sz w:val="20"/>
          <w:szCs w:val="20"/>
          <w:lang w:val="es-ES"/>
        </w:rPr>
        <w:t>principios y mecanismos</w:t>
      </w:r>
      <w:r w:rsidRPr="002F2B90">
        <w:rPr>
          <w:rFonts w:ascii="Verdana" w:hAnsi="Verdana"/>
          <w:sz w:val="20"/>
          <w:szCs w:val="20"/>
          <w:lang w:val="es-ES"/>
        </w:rPr>
        <w:t>”</w:t>
      </w:r>
      <w:r>
        <w:rPr>
          <w:rFonts w:ascii="Verdana" w:hAnsi="Verdana"/>
          <w:sz w:val="20"/>
          <w:szCs w:val="20"/>
          <w:lang w:val="es-ES"/>
        </w:rPr>
        <w:t xml:space="preserve"> a seguir </w:t>
      </w:r>
      <w:r w:rsidRPr="00CF7FE6">
        <w:rPr>
          <w:rFonts w:ascii="Verdana" w:hAnsi="Verdana"/>
          <w:sz w:val="20"/>
          <w:szCs w:val="20"/>
          <w:lang w:val="es-ES"/>
        </w:rPr>
        <w:t xml:space="preserve">que derechos susceptibles de judicializar internacionalmente por las personas o seres humanos. </w:t>
      </w:r>
    </w:p>
    <w:p w14:paraId="521C5E3D" w14:textId="77777777" w:rsidR="003C2143" w:rsidRPr="00CF7FE6" w:rsidRDefault="003C2143" w:rsidP="003C2143">
      <w:pPr>
        <w:jc w:val="both"/>
        <w:rPr>
          <w:rFonts w:ascii="Verdana" w:hAnsi="Verdana"/>
          <w:i/>
          <w:sz w:val="20"/>
          <w:szCs w:val="20"/>
          <w:lang w:val="es-ES"/>
        </w:rPr>
      </w:pPr>
    </w:p>
    <w:p w14:paraId="25583469"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A mayor abundamiento</w:t>
      </w:r>
      <w:r w:rsidRPr="00CF7FE6">
        <w:rPr>
          <w:rFonts w:ascii="Verdana" w:hAnsi="Verdana"/>
          <w:sz w:val="20"/>
          <w:szCs w:val="20"/>
          <w:lang w:val="es-ES"/>
        </w:rPr>
        <w:t>, cabe resaltar la circunstancia de que las normas de la Carta de l</w:t>
      </w:r>
      <w:r>
        <w:rPr>
          <w:rFonts w:ascii="Verdana" w:hAnsi="Verdana"/>
          <w:sz w:val="20"/>
          <w:szCs w:val="20"/>
          <w:lang w:val="es-ES"/>
        </w:rPr>
        <w:t xml:space="preserve">a OEA citadas por la Sentencia, </w:t>
      </w:r>
      <w:r w:rsidRPr="00CF7FE6">
        <w:rPr>
          <w:rFonts w:ascii="Verdana" w:hAnsi="Verdana"/>
          <w:sz w:val="20"/>
          <w:szCs w:val="20"/>
          <w:lang w:val="es-ES"/>
        </w:rPr>
        <w:t>se u</w:t>
      </w:r>
      <w:r>
        <w:rPr>
          <w:rFonts w:ascii="Verdana" w:hAnsi="Verdana"/>
          <w:sz w:val="20"/>
          <w:szCs w:val="20"/>
          <w:lang w:val="es-ES"/>
        </w:rPr>
        <w:t>bican en el Capítulo VII de dicho instrumento jurídico internacional</w:t>
      </w:r>
      <w:r w:rsidRPr="00CF7FE6">
        <w:rPr>
          <w:rFonts w:ascii="Verdana" w:hAnsi="Verdana"/>
          <w:sz w:val="20"/>
          <w:szCs w:val="20"/>
          <w:lang w:val="es-ES"/>
        </w:rPr>
        <w:t>, denominado  “</w:t>
      </w:r>
      <w:r w:rsidRPr="00CF7FE6">
        <w:rPr>
          <w:rFonts w:ascii="Verdana" w:hAnsi="Verdana"/>
          <w:i/>
          <w:sz w:val="20"/>
          <w:szCs w:val="20"/>
          <w:lang w:val="es-ES"/>
        </w:rPr>
        <w:t>Desarrollo Integral</w:t>
      </w:r>
      <w:r>
        <w:rPr>
          <w:rFonts w:ascii="Verdana" w:hAnsi="Verdana"/>
          <w:sz w:val="20"/>
          <w:szCs w:val="20"/>
          <w:lang w:val="es-ES"/>
        </w:rPr>
        <w:t xml:space="preserve">”, y que el </w:t>
      </w:r>
      <w:r w:rsidRPr="00CF7FE6">
        <w:rPr>
          <w:rFonts w:ascii="Verdana" w:hAnsi="Verdana"/>
          <w:sz w:val="20"/>
          <w:szCs w:val="20"/>
          <w:lang w:val="es-ES"/>
        </w:rPr>
        <w:t>artículo 30</w:t>
      </w:r>
      <w:r>
        <w:rPr>
          <w:rStyle w:val="FootnoteReference"/>
          <w:szCs w:val="20"/>
          <w:lang w:val="es-ES"/>
        </w:rPr>
        <w:footnoteReference w:id="416"/>
      </w:r>
      <w:r w:rsidRPr="00CF7FE6">
        <w:rPr>
          <w:rFonts w:ascii="Verdana" w:hAnsi="Verdana"/>
          <w:sz w:val="20"/>
          <w:szCs w:val="20"/>
          <w:lang w:val="es-ES"/>
        </w:rPr>
        <w:t>, el primero del mismo, considera a dicho desarrollo como el objetivo a lograr por medio del cumplimiento de las normas que le sigue</w:t>
      </w:r>
      <w:r>
        <w:rPr>
          <w:rFonts w:ascii="Verdana" w:hAnsi="Verdana"/>
          <w:sz w:val="20"/>
          <w:szCs w:val="20"/>
          <w:lang w:val="es-ES"/>
        </w:rPr>
        <w:t>n</w:t>
      </w:r>
      <w:r w:rsidRPr="00CF7FE6">
        <w:rPr>
          <w:rFonts w:ascii="Verdana" w:hAnsi="Verdana"/>
          <w:sz w:val="20"/>
          <w:szCs w:val="20"/>
          <w:lang w:val="es-ES"/>
        </w:rPr>
        <w:t>. Igualmente, debe señalarse que las demás disposiciones del referido Capítulo, reafirman la concepc</w:t>
      </w:r>
      <w:r>
        <w:rPr>
          <w:rFonts w:ascii="Verdana" w:hAnsi="Verdana"/>
          <w:sz w:val="20"/>
          <w:szCs w:val="20"/>
          <w:lang w:val="es-ES"/>
        </w:rPr>
        <w:t>ión de que se trata de “</w:t>
      </w:r>
      <w:r w:rsidRPr="00524B78">
        <w:rPr>
          <w:rFonts w:ascii="Verdana" w:hAnsi="Verdana"/>
          <w:i/>
          <w:sz w:val="20"/>
          <w:szCs w:val="20"/>
          <w:lang w:val="es-ES"/>
        </w:rPr>
        <w:t>propósitos</w:t>
      </w:r>
      <w:r>
        <w:rPr>
          <w:rFonts w:ascii="Verdana" w:hAnsi="Verdana"/>
          <w:sz w:val="20"/>
          <w:szCs w:val="20"/>
          <w:lang w:val="es-ES"/>
        </w:rPr>
        <w:t>”</w:t>
      </w:r>
      <w:r w:rsidRPr="00CF7FE6">
        <w:rPr>
          <w:rFonts w:ascii="Verdana" w:hAnsi="Verdana"/>
          <w:sz w:val="20"/>
          <w:szCs w:val="20"/>
          <w:lang w:val="es-ES"/>
        </w:rPr>
        <w:t xml:space="preserve"> que los Est</w:t>
      </w:r>
      <w:r>
        <w:rPr>
          <w:rFonts w:ascii="Verdana" w:hAnsi="Verdana"/>
          <w:sz w:val="20"/>
          <w:szCs w:val="20"/>
          <w:lang w:val="es-ES"/>
        </w:rPr>
        <w:t xml:space="preserve">ados se comprometen </w:t>
      </w:r>
      <w:r w:rsidRPr="00CF7FE6">
        <w:rPr>
          <w:rFonts w:ascii="Verdana" w:hAnsi="Verdana"/>
          <w:sz w:val="20"/>
          <w:szCs w:val="20"/>
          <w:lang w:val="es-ES"/>
        </w:rPr>
        <w:t>a alcanzar y no de derechos susceptibles de judicializar int</w:t>
      </w:r>
      <w:r>
        <w:rPr>
          <w:rFonts w:ascii="Verdana" w:hAnsi="Verdana"/>
          <w:sz w:val="20"/>
          <w:szCs w:val="20"/>
          <w:lang w:val="es-ES"/>
        </w:rPr>
        <w:t>ernacionalmente</w:t>
      </w:r>
      <w:r w:rsidRPr="00CF7FE6">
        <w:rPr>
          <w:rFonts w:ascii="Verdana" w:hAnsi="Verdana"/>
          <w:sz w:val="20"/>
          <w:szCs w:val="20"/>
          <w:lang w:val="es-ES"/>
        </w:rPr>
        <w:t>.</w:t>
      </w:r>
    </w:p>
    <w:p w14:paraId="43DF6959" w14:textId="77777777" w:rsidR="003C2143" w:rsidRPr="00CF7FE6" w:rsidRDefault="003C2143" w:rsidP="003C2143">
      <w:pPr>
        <w:jc w:val="both"/>
        <w:rPr>
          <w:rFonts w:ascii="Verdana" w:hAnsi="Verdana"/>
          <w:sz w:val="20"/>
          <w:szCs w:val="20"/>
          <w:lang w:val="es-ES"/>
        </w:rPr>
      </w:pPr>
    </w:p>
    <w:p w14:paraId="6CD966ED" w14:textId="77777777" w:rsidR="003C2143" w:rsidRPr="004714BF" w:rsidRDefault="003C2143" w:rsidP="003C2143">
      <w:pPr>
        <w:jc w:val="both"/>
        <w:rPr>
          <w:rFonts w:ascii="Verdana" w:hAnsi="Verdana"/>
          <w:sz w:val="20"/>
          <w:szCs w:val="20"/>
          <w:lang w:val="es-ES"/>
        </w:rPr>
      </w:pPr>
      <w:r w:rsidRPr="00CF7FE6">
        <w:rPr>
          <w:rFonts w:ascii="Verdana" w:hAnsi="Verdana"/>
          <w:sz w:val="20"/>
          <w:szCs w:val="20"/>
          <w:lang w:val="es-ES"/>
        </w:rPr>
        <w:t>Es decir, result</w:t>
      </w:r>
      <w:r>
        <w:rPr>
          <w:rFonts w:ascii="Verdana" w:hAnsi="Verdana"/>
          <w:sz w:val="20"/>
          <w:szCs w:val="20"/>
          <w:lang w:val="es-ES"/>
        </w:rPr>
        <w:t>a a todas luces evidente que, aplicando la regla de interpretación armónica prevista en el artículo 31 de la Convención de Viena sobre el Derecho de los Tratados</w:t>
      </w:r>
      <w:r>
        <w:rPr>
          <w:rStyle w:val="FootnoteReference"/>
          <w:szCs w:val="20"/>
          <w:lang w:val="es-ES"/>
        </w:rPr>
        <w:footnoteReference w:id="417"/>
      </w:r>
      <w:r>
        <w:rPr>
          <w:rFonts w:ascii="Verdana" w:hAnsi="Verdana"/>
          <w:sz w:val="20"/>
          <w:szCs w:val="20"/>
          <w:lang w:val="es-ES"/>
        </w:rPr>
        <w:t>,</w:t>
      </w:r>
      <w:r w:rsidRPr="00CF7FE6">
        <w:rPr>
          <w:rFonts w:ascii="Verdana" w:hAnsi="Verdana"/>
          <w:sz w:val="20"/>
          <w:szCs w:val="20"/>
          <w:lang w:val="es-ES"/>
        </w:rPr>
        <w:t xml:space="preserve"> </w:t>
      </w:r>
      <w:r>
        <w:rPr>
          <w:rFonts w:ascii="Verdana" w:hAnsi="Verdana"/>
          <w:sz w:val="20"/>
          <w:szCs w:val="20"/>
          <w:lang w:val="es-ES"/>
        </w:rPr>
        <w:t xml:space="preserve">no se puede inferir que las normas contempladas en el mencionado Capítulo VII, </w:t>
      </w:r>
      <w:r w:rsidRPr="00CF7FE6">
        <w:rPr>
          <w:rFonts w:ascii="Verdana" w:hAnsi="Verdana"/>
          <w:sz w:val="20"/>
          <w:szCs w:val="20"/>
          <w:lang w:val="es-ES"/>
        </w:rPr>
        <w:t>fueron convenidas en tanto establecían derechos de los seres humanos, sino obligaciones de comportamiento de los Estados en cuanto a la formulación y</w:t>
      </w:r>
      <w:r>
        <w:rPr>
          <w:rFonts w:ascii="Verdana" w:hAnsi="Verdana"/>
          <w:sz w:val="20"/>
          <w:szCs w:val="20"/>
          <w:lang w:val="es-ES"/>
        </w:rPr>
        <w:t xml:space="preserve"> aplicación de sus respectivas </w:t>
      </w:r>
      <w:r w:rsidRPr="00CF7FE6">
        <w:rPr>
          <w:rFonts w:ascii="Verdana" w:hAnsi="Verdana"/>
          <w:sz w:val="20"/>
          <w:szCs w:val="20"/>
          <w:lang w:val="es-ES"/>
        </w:rPr>
        <w:t xml:space="preserve">políticas públicas en beneficio de quienes se encuentran bajo sus respectivas jurisdicciones. El objeto y fin de tales </w:t>
      </w:r>
      <w:r>
        <w:rPr>
          <w:rFonts w:ascii="Verdana" w:hAnsi="Verdana"/>
          <w:sz w:val="20"/>
          <w:szCs w:val="20"/>
          <w:lang w:val="es-ES"/>
        </w:rPr>
        <w:t xml:space="preserve">normas </w:t>
      </w:r>
      <w:r w:rsidRPr="00CF7FE6">
        <w:rPr>
          <w:rFonts w:ascii="Verdana" w:hAnsi="Verdana"/>
          <w:sz w:val="20"/>
          <w:szCs w:val="20"/>
          <w:lang w:val="es-ES"/>
        </w:rPr>
        <w:t>no dicen relación, entonces, con los derechos humanos sino con el desarrollo integral de los pueblos</w:t>
      </w:r>
      <w:r w:rsidRPr="004714BF">
        <w:rPr>
          <w:rFonts w:ascii="Verdana" w:hAnsi="Verdana"/>
          <w:sz w:val="20"/>
          <w:szCs w:val="20"/>
          <w:lang w:val="es-ES"/>
        </w:rPr>
        <w:t>.</w:t>
      </w:r>
    </w:p>
    <w:p w14:paraId="6B4E8C01" w14:textId="77777777" w:rsidR="003C2143" w:rsidRPr="00CF7FE6" w:rsidRDefault="003C2143" w:rsidP="003C2143">
      <w:pPr>
        <w:jc w:val="both"/>
        <w:rPr>
          <w:rFonts w:ascii="Verdana" w:hAnsi="Verdana"/>
          <w:b/>
          <w:sz w:val="20"/>
          <w:szCs w:val="20"/>
          <w:lang w:val="es-ES"/>
        </w:rPr>
      </w:pPr>
    </w:p>
    <w:p w14:paraId="3F5DF095" w14:textId="77777777" w:rsidR="003C2143" w:rsidRPr="003B2532" w:rsidRDefault="003C2143" w:rsidP="003C2143">
      <w:pPr>
        <w:pStyle w:val="ListParagraph"/>
        <w:numPr>
          <w:ilvl w:val="0"/>
          <w:numId w:val="31"/>
        </w:numPr>
        <w:jc w:val="both"/>
        <w:rPr>
          <w:rFonts w:ascii="Verdana" w:hAnsi="Verdana"/>
          <w:b/>
          <w:sz w:val="20"/>
          <w:szCs w:val="20"/>
          <w:lang w:val="es-ES"/>
        </w:rPr>
      </w:pPr>
      <w:r w:rsidRPr="003B2532">
        <w:rPr>
          <w:rFonts w:ascii="Verdana" w:hAnsi="Verdana"/>
          <w:b/>
          <w:sz w:val="20"/>
          <w:szCs w:val="20"/>
          <w:lang w:val="es-ES"/>
        </w:rPr>
        <w:t>Consecuencias.</w:t>
      </w:r>
    </w:p>
    <w:p w14:paraId="11E36577" w14:textId="77777777" w:rsidR="003C2143" w:rsidRPr="00CF7FE6" w:rsidRDefault="003C2143" w:rsidP="003C2143">
      <w:pPr>
        <w:jc w:val="both"/>
        <w:rPr>
          <w:rFonts w:ascii="Verdana" w:hAnsi="Verdana"/>
          <w:b/>
          <w:sz w:val="20"/>
          <w:szCs w:val="20"/>
          <w:lang w:val="es-ES"/>
        </w:rPr>
      </w:pPr>
    </w:p>
    <w:p w14:paraId="5BB837D5"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Con relación a la interpretación que hace la Sentencia en cuanto a que los derechos aludidos en el artículo 26 de la Convención </w:t>
      </w:r>
      <w:r w:rsidRPr="00B42968">
        <w:rPr>
          <w:rFonts w:ascii="Verdana" w:hAnsi="Verdana"/>
          <w:sz w:val="20"/>
          <w:szCs w:val="20"/>
          <w:lang w:val="es-ES"/>
        </w:rPr>
        <w:t>serían también “</w:t>
      </w:r>
      <w:r w:rsidRPr="00F336C5">
        <w:rPr>
          <w:rFonts w:ascii="Verdana" w:hAnsi="Verdana"/>
          <w:i/>
          <w:sz w:val="20"/>
          <w:szCs w:val="20"/>
          <w:lang w:val="es-ES"/>
        </w:rPr>
        <w:t>exigibles en todos los casos ante aquellas autoridades que resulten competentes para ello</w:t>
      </w:r>
      <w:r w:rsidRPr="00B42968">
        <w:rPr>
          <w:rFonts w:ascii="Verdana" w:hAnsi="Verdana"/>
          <w:sz w:val="20"/>
          <w:szCs w:val="20"/>
          <w:lang w:val="es-ES"/>
        </w:rPr>
        <w:t>”</w:t>
      </w:r>
      <w:r>
        <w:rPr>
          <w:rStyle w:val="FootnoteReference"/>
          <w:szCs w:val="20"/>
          <w:lang w:val="es-ES"/>
        </w:rPr>
        <w:footnoteReference w:id="418"/>
      </w:r>
      <w:r w:rsidRPr="00CF7FE6">
        <w:rPr>
          <w:rFonts w:ascii="Verdana" w:hAnsi="Verdana"/>
          <w:sz w:val="20"/>
          <w:szCs w:val="20"/>
          <w:lang w:val="es-ES"/>
        </w:rPr>
        <w:t>, cabe</w:t>
      </w:r>
      <w:r>
        <w:rPr>
          <w:rFonts w:ascii="Verdana" w:hAnsi="Verdana"/>
          <w:sz w:val="20"/>
          <w:szCs w:val="20"/>
          <w:lang w:val="es-ES"/>
        </w:rPr>
        <w:t xml:space="preserve"> complementariamente</w:t>
      </w:r>
      <w:r w:rsidRPr="00CF7FE6">
        <w:rPr>
          <w:rFonts w:ascii="Verdana" w:hAnsi="Verdana"/>
          <w:sz w:val="20"/>
          <w:szCs w:val="20"/>
          <w:lang w:val="es-ES"/>
        </w:rPr>
        <w:t xml:space="preserve"> interrogarse</w:t>
      </w:r>
      <w:r>
        <w:rPr>
          <w:rFonts w:ascii="Verdana" w:hAnsi="Verdana"/>
          <w:sz w:val="20"/>
          <w:szCs w:val="20"/>
          <w:lang w:val="es-ES"/>
        </w:rPr>
        <w:t>, entonces,</w:t>
      </w:r>
      <w:r w:rsidRPr="00CF7FE6">
        <w:rPr>
          <w:rFonts w:ascii="Verdana" w:hAnsi="Verdana"/>
          <w:sz w:val="20"/>
          <w:szCs w:val="20"/>
          <w:lang w:val="es-ES"/>
        </w:rPr>
        <w:t xml:space="preserve"> </w:t>
      </w:r>
      <w:r>
        <w:rPr>
          <w:rFonts w:ascii="Verdana" w:hAnsi="Verdana"/>
          <w:sz w:val="20"/>
          <w:szCs w:val="20"/>
          <w:lang w:val="es-ES"/>
        </w:rPr>
        <w:t xml:space="preserve">acerca de </w:t>
      </w:r>
      <w:r w:rsidRPr="00CF7FE6">
        <w:rPr>
          <w:rFonts w:ascii="Verdana" w:hAnsi="Verdana"/>
          <w:sz w:val="20"/>
          <w:szCs w:val="20"/>
          <w:lang w:val="es-ES"/>
        </w:rPr>
        <w:t>la razón por la que</w:t>
      </w:r>
      <w:r>
        <w:rPr>
          <w:rFonts w:ascii="Verdana" w:hAnsi="Verdana"/>
          <w:sz w:val="20"/>
          <w:szCs w:val="20"/>
          <w:lang w:val="es-ES"/>
        </w:rPr>
        <w:t xml:space="preserve"> tales derechos no se incluyeron</w:t>
      </w:r>
      <w:r w:rsidRPr="00CF7FE6">
        <w:rPr>
          <w:rFonts w:ascii="Verdana" w:hAnsi="Verdana"/>
          <w:sz w:val="20"/>
          <w:szCs w:val="20"/>
          <w:lang w:val="es-ES"/>
        </w:rPr>
        <w:t xml:space="preserve"> directamente en el articulado de la Convención, como se hizo expresamente con los </w:t>
      </w:r>
      <w:r w:rsidRPr="00CF7FE6">
        <w:rPr>
          <w:rFonts w:ascii="Verdana" w:hAnsi="Verdana"/>
          <w:i/>
          <w:sz w:val="20"/>
          <w:szCs w:val="20"/>
          <w:lang w:val="es-ES"/>
        </w:rPr>
        <w:t>Derechos Civiles y Políticos</w:t>
      </w:r>
      <w:r w:rsidRPr="00CF7FE6">
        <w:rPr>
          <w:rFonts w:ascii="Verdana" w:hAnsi="Verdana"/>
          <w:sz w:val="20"/>
          <w:szCs w:val="20"/>
          <w:lang w:val="es-ES"/>
        </w:rPr>
        <w:t xml:space="preserve">, y se optó, en cambio, por hacer un enunciado general en la citada disposición, ubicada, además, en un capítulo especial, el III de la Parte I, denominado </w:t>
      </w:r>
      <w:r w:rsidRPr="00CF7FE6">
        <w:rPr>
          <w:rFonts w:ascii="Verdana" w:hAnsi="Verdana"/>
          <w:i/>
          <w:sz w:val="20"/>
          <w:szCs w:val="20"/>
          <w:lang w:val="es-ES"/>
        </w:rPr>
        <w:t>Derechos Económicos, Sociales y Culturales</w:t>
      </w:r>
      <w:r w:rsidRPr="00CF7FE6">
        <w:rPr>
          <w:rFonts w:ascii="Verdana" w:hAnsi="Verdana"/>
          <w:sz w:val="20"/>
          <w:szCs w:val="20"/>
          <w:lang w:val="es-ES"/>
        </w:rPr>
        <w:t xml:space="preserve">. </w:t>
      </w:r>
      <w:r>
        <w:rPr>
          <w:rFonts w:ascii="Verdana" w:hAnsi="Verdana"/>
          <w:sz w:val="20"/>
          <w:szCs w:val="20"/>
          <w:lang w:val="es-ES"/>
        </w:rPr>
        <w:t>El asunto es, pues, determinar la razón de la existencia de la norma en comento y, consecuentemente, de la regulación de estos últimos derechos.</w:t>
      </w:r>
      <w:r w:rsidRPr="00E71D42">
        <w:rPr>
          <w:rFonts w:ascii="Verdana" w:hAnsi="Verdana"/>
          <w:sz w:val="20"/>
          <w:szCs w:val="20"/>
          <w:lang w:val="es-ES"/>
        </w:rPr>
        <w:t xml:space="preserve"> </w:t>
      </w:r>
      <w:r>
        <w:rPr>
          <w:rFonts w:ascii="Verdana" w:hAnsi="Verdana"/>
          <w:sz w:val="20"/>
          <w:szCs w:val="20"/>
          <w:lang w:val="es-ES"/>
        </w:rPr>
        <w:t xml:space="preserve">La respuesta parece, empero, </w:t>
      </w:r>
      <w:r w:rsidRPr="00CF7FE6">
        <w:rPr>
          <w:rFonts w:ascii="Verdana" w:hAnsi="Verdana"/>
          <w:sz w:val="20"/>
          <w:szCs w:val="20"/>
          <w:lang w:val="es-ES"/>
        </w:rPr>
        <w:t xml:space="preserve">evidente, a saber, que </w:t>
      </w:r>
      <w:r>
        <w:rPr>
          <w:rFonts w:ascii="Verdana" w:hAnsi="Verdana"/>
          <w:sz w:val="20"/>
          <w:szCs w:val="20"/>
          <w:lang w:val="es-ES"/>
        </w:rPr>
        <w:t xml:space="preserve">los </w:t>
      </w:r>
      <w:r>
        <w:rPr>
          <w:rFonts w:ascii="Verdana" w:hAnsi="Verdana"/>
          <w:i/>
          <w:sz w:val="20"/>
          <w:szCs w:val="20"/>
          <w:lang w:val="es-ES"/>
        </w:rPr>
        <w:t xml:space="preserve">Derechos Económicos, Sociales y Culturales </w:t>
      </w:r>
      <w:r w:rsidRPr="00CF7FE6">
        <w:rPr>
          <w:rFonts w:ascii="Verdana" w:hAnsi="Verdana"/>
          <w:sz w:val="20"/>
          <w:szCs w:val="20"/>
          <w:lang w:val="es-ES"/>
        </w:rPr>
        <w:t xml:space="preserve">no son objeto del mismo régimen de protección que los </w:t>
      </w:r>
      <w:r w:rsidRPr="00CF7FE6">
        <w:rPr>
          <w:rFonts w:ascii="Verdana" w:hAnsi="Verdana"/>
          <w:i/>
          <w:sz w:val="20"/>
          <w:szCs w:val="20"/>
          <w:lang w:val="es-ES"/>
        </w:rPr>
        <w:t>Derechos Civiles y Políticos</w:t>
      </w:r>
      <w:r w:rsidRPr="00CF7FE6">
        <w:rPr>
          <w:rFonts w:ascii="Verdana" w:hAnsi="Verdana"/>
          <w:sz w:val="20"/>
          <w:szCs w:val="20"/>
          <w:lang w:val="es-ES"/>
        </w:rPr>
        <w:t>, precisados en el Capítulo II.</w:t>
      </w:r>
      <w:r w:rsidRPr="00F167BE">
        <w:rPr>
          <w:lang w:val="es-ES"/>
        </w:rPr>
        <w:t xml:space="preserve"> </w:t>
      </w:r>
      <w:r w:rsidRPr="00F167BE">
        <w:rPr>
          <w:rFonts w:ascii="Verdana" w:hAnsi="Verdana"/>
          <w:sz w:val="20"/>
          <w:szCs w:val="20"/>
          <w:lang w:val="es-ES"/>
        </w:rPr>
        <w:t xml:space="preserve">Es decir, </w:t>
      </w:r>
      <w:r>
        <w:rPr>
          <w:rFonts w:ascii="Verdana" w:hAnsi="Verdana"/>
          <w:sz w:val="20"/>
          <w:szCs w:val="20"/>
          <w:lang w:val="es-ES"/>
        </w:rPr>
        <w:t xml:space="preserve">que </w:t>
      </w:r>
      <w:r w:rsidRPr="00F167BE">
        <w:rPr>
          <w:rFonts w:ascii="Verdana" w:hAnsi="Verdana"/>
          <w:sz w:val="20"/>
          <w:szCs w:val="20"/>
          <w:lang w:val="es-ES"/>
        </w:rPr>
        <w:t>si bien es cierto que existe una estrecha vinculación entre ambos tipos de derechos, no es menos cierto que la Convención les proporciona un tratamiento diferenciado y que se expresa precisamente en el artículo 26.</w:t>
      </w:r>
    </w:p>
    <w:p w14:paraId="4542C9A9" w14:textId="77777777" w:rsidR="003C2143" w:rsidRPr="00CF7FE6" w:rsidRDefault="003C2143" w:rsidP="003C2143">
      <w:pPr>
        <w:jc w:val="both"/>
        <w:rPr>
          <w:rFonts w:ascii="Verdana" w:hAnsi="Verdana"/>
          <w:sz w:val="20"/>
          <w:szCs w:val="20"/>
          <w:lang w:val="es-ES"/>
        </w:rPr>
      </w:pPr>
    </w:p>
    <w:p w14:paraId="2E3F25B9"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Por otra parte, de aceptarse lo señalado en la Sentencia en lo que dice relación con el citado artículo 26, haría innecesario e inútil lo previsto en los artículos 31, 76.1 y 77.1</w:t>
      </w:r>
      <w:r w:rsidRPr="00CF7FE6">
        <w:rPr>
          <w:rStyle w:val="FootnoteReference"/>
          <w:szCs w:val="20"/>
          <w:lang w:val="es-ES"/>
        </w:rPr>
        <w:footnoteReference w:id="419"/>
      </w:r>
      <w:r w:rsidRPr="00CF7FE6">
        <w:rPr>
          <w:rFonts w:ascii="Verdana" w:hAnsi="Verdana"/>
          <w:sz w:val="20"/>
          <w:szCs w:val="20"/>
          <w:lang w:val="es-ES"/>
        </w:rPr>
        <w:t xml:space="preserve"> de la Convención, esto es, la suscripción de protocolos adicionales a fin de reconocer otros derechos diferentes a los que lo son en la Convención e incluirlos en el régimen de protección que contempla, dado que para ello bastaría la aplicación del primero de los </w:t>
      </w:r>
      <w:r>
        <w:rPr>
          <w:rFonts w:ascii="Verdana" w:hAnsi="Verdana"/>
          <w:sz w:val="20"/>
          <w:szCs w:val="20"/>
          <w:lang w:val="es-ES"/>
        </w:rPr>
        <w:t xml:space="preserve">artículos </w:t>
      </w:r>
      <w:r w:rsidRPr="00CF7FE6">
        <w:rPr>
          <w:rFonts w:ascii="Verdana" w:hAnsi="Verdana"/>
          <w:sz w:val="20"/>
          <w:szCs w:val="20"/>
          <w:lang w:val="es-ES"/>
        </w:rPr>
        <w:t>mencionados. En este sentido, incluso, como ya se indicó, el “</w:t>
      </w:r>
      <w:r w:rsidRPr="00CF7FE6">
        <w:rPr>
          <w:rFonts w:ascii="Verdana" w:hAnsi="Verdana"/>
          <w:i/>
          <w:sz w:val="20"/>
          <w:szCs w:val="20"/>
          <w:lang w:val="es-ES"/>
        </w:rPr>
        <w:t>Protocolo de San Salvador</w:t>
      </w:r>
      <w:r w:rsidRPr="00CF7FE6">
        <w:rPr>
          <w:rFonts w:ascii="Verdana" w:hAnsi="Verdana"/>
          <w:sz w:val="20"/>
          <w:szCs w:val="20"/>
          <w:lang w:val="es-ES"/>
        </w:rPr>
        <w:t>” y, muy especialmente, sus artículos relativos al derecho de organizar sindicatos y a afiliarse en ellos y el derecho a la educación</w:t>
      </w:r>
      <w:r w:rsidRPr="00CF7FE6">
        <w:rPr>
          <w:rStyle w:val="FootnoteReference"/>
          <w:szCs w:val="20"/>
          <w:lang w:val="es-ES"/>
        </w:rPr>
        <w:footnoteReference w:id="420"/>
      </w:r>
      <w:r w:rsidRPr="00CF7FE6">
        <w:rPr>
          <w:rFonts w:ascii="Verdana" w:hAnsi="Verdana"/>
          <w:sz w:val="20"/>
          <w:szCs w:val="20"/>
          <w:lang w:val="es-ES"/>
        </w:rPr>
        <w:t>, no serían necesarios para reclamar la violación de estos derechos ante la Corte, pues para ello bastaría solo el artículo 26 citado.</w:t>
      </w:r>
    </w:p>
    <w:p w14:paraId="4796EF11" w14:textId="77777777" w:rsidR="003C2143" w:rsidRPr="00CF7FE6" w:rsidRDefault="003C2143" w:rsidP="003C2143">
      <w:pPr>
        <w:jc w:val="both"/>
        <w:rPr>
          <w:rFonts w:ascii="Verdana" w:hAnsi="Verdana"/>
          <w:sz w:val="20"/>
          <w:szCs w:val="20"/>
          <w:lang w:val="es-ES"/>
        </w:rPr>
      </w:pPr>
    </w:p>
    <w:p w14:paraId="045E363F" w14:textId="77777777" w:rsidR="003C2143" w:rsidRDefault="003C2143" w:rsidP="003C2143">
      <w:pPr>
        <w:jc w:val="both"/>
        <w:rPr>
          <w:rFonts w:ascii="Verdana" w:hAnsi="Verdana"/>
          <w:sz w:val="20"/>
          <w:szCs w:val="20"/>
          <w:lang w:val="es-ES"/>
        </w:rPr>
      </w:pPr>
      <w:r w:rsidRPr="00CF7FE6">
        <w:rPr>
          <w:rFonts w:ascii="Verdana" w:hAnsi="Verdana"/>
          <w:sz w:val="20"/>
          <w:szCs w:val="20"/>
          <w:lang w:val="es-ES"/>
        </w:rPr>
        <w:t>En otras palabras, sobre la base del principio de que "</w:t>
      </w:r>
      <w:r w:rsidRPr="00CF7FE6">
        <w:rPr>
          <w:rFonts w:ascii="Verdana" w:hAnsi="Verdana"/>
          <w:i/>
          <w:sz w:val="20"/>
          <w:szCs w:val="20"/>
          <w:lang w:val="es-ES"/>
        </w:rPr>
        <w:t>donde hay la misma razón legal debe existir igual disposición de derecho"</w:t>
      </w:r>
      <w:r w:rsidRPr="00CF7FE6">
        <w:rPr>
          <w:rFonts w:ascii="Verdana" w:hAnsi="Verdana"/>
          <w:sz w:val="20"/>
          <w:szCs w:val="20"/>
          <w:lang w:val="es-ES"/>
        </w:rPr>
        <w:t xml:space="preserve"> o “</w:t>
      </w:r>
      <w:r w:rsidRPr="00CF7FE6">
        <w:rPr>
          <w:rFonts w:ascii="Verdana" w:hAnsi="Verdana"/>
          <w:i/>
          <w:sz w:val="20"/>
          <w:szCs w:val="20"/>
          <w:lang w:val="es-ES"/>
        </w:rPr>
        <w:t>donde existe la misma razón debe existir la misma disposición</w:t>
      </w:r>
      <w:r w:rsidRPr="00CF7FE6">
        <w:rPr>
          <w:rFonts w:ascii="Verdana" w:hAnsi="Verdana"/>
          <w:sz w:val="20"/>
          <w:szCs w:val="20"/>
          <w:lang w:val="es-ES"/>
        </w:rPr>
        <w:t>”, de seguirse el criterio adoptado por la Sentencia</w:t>
      </w:r>
      <w:r>
        <w:rPr>
          <w:rFonts w:ascii="Verdana" w:hAnsi="Verdana"/>
          <w:sz w:val="20"/>
          <w:szCs w:val="20"/>
          <w:lang w:val="es-ES"/>
        </w:rPr>
        <w:t xml:space="preserve"> y llevándolo a su extremo</w:t>
      </w:r>
      <w:r w:rsidRPr="00CF7FE6">
        <w:rPr>
          <w:rFonts w:ascii="Verdana" w:hAnsi="Verdana"/>
          <w:sz w:val="20"/>
          <w:szCs w:val="20"/>
          <w:lang w:val="es-ES"/>
        </w:rPr>
        <w:t>, no se vislumbraría el motivo por el que no podrían ser también invocad</w:t>
      </w:r>
      <w:r>
        <w:rPr>
          <w:rFonts w:ascii="Verdana" w:hAnsi="Verdana"/>
          <w:sz w:val="20"/>
          <w:szCs w:val="20"/>
          <w:lang w:val="es-ES"/>
        </w:rPr>
        <w:t>os ante la Corte las presuntas violaciones a los</w:t>
      </w:r>
      <w:r w:rsidRPr="00CF7FE6">
        <w:rPr>
          <w:rFonts w:ascii="Verdana" w:hAnsi="Verdana"/>
          <w:sz w:val="20"/>
          <w:szCs w:val="20"/>
          <w:lang w:val="es-ES"/>
        </w:rPr>
        <w:t xml:space="preserve"> derechos humanos que las normas de todo el Capítulo VII de la Carta de la OEA implicarían</w:t>
      </w:r>
      <w:r>
        <w:rPr>
          <w:rStyle w:val="FootnoteReference"/>
          <w:szCs w:val="20"/>
          <w:lang w:val="es-ES"/>
        </w:rPr>
        <w:footnoteReference w:id="421"/>
      </w:r>
      <w:r w:rsidRPr="00CF7FE6">
        <w:rPr>
          <w:rFonts w:ascii="Verdana" w:hAnsi="Verdana"/>
          <w:sz w:val="20"/>
          <w:szCs w:val="20"/>
          <w:lang w:val="es-ES"/>
        </w:rPr>
        <w:t xml:space="preserve">. </w:t>
      </w:r>
    </w:p>
    <w:p w14:paraId="2D53C4E9" w14:textId="77777777" w:rsidR="003C2143" w:rsidRPr="00CF7FE6" w:rsidRDefault="003C2143" w:rsidP="003C2143">
      <w:pPr>
        <w:jc w:val="both"/>
        <w:rPr>
          <w:rFonts w:ascii="Verdana" w:hAnsi="Verdana"/>
          <w:sz w:val="20"/>
          <w:szCs w:val="20"/>
          <w:lang w:val="es-ES"/>
        </w:rPr>
      </w:pPr>
    </w:p>
    <w:p w14:paraId="01B5F710"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Empero, </w:t>
      </w:r>
      <w:r>
        <w:rPr>
          <w:rFonts w:ascii="Verdana" w:hAnsi="Verdana"/>
          <w:sz w:val="20"/>
          <w:szCs w:val="20"/>
          <w:lang w:val="es-ES"/>
        </w:rPr>
        <w:t>d</w:t>
      </w:r>
      <w:r w:rsidRPr="00652B77">
        <w:rPr>
          <w:rFonts w:ascii="Verdana" w:hAnsi="Verdana"/>
          <w:sz w:val="20"/>
          <w:szCs w:val="20"/>
          <w:lang w:val="es-ES"/>
        </w:rPr>
        <w:t xml:space="preserve">e aceptarse, pues, </w:t>
      </w:r>
      <w:r>
        <w:rPr>
          <w:rFonts w:ascii="Verdana" w:hAnsi="Verdana"/>
          <w:sz w:val="20"/>
          <w:szCs w:val="20"/>
          <w:lang w:val="es-ES"/>
        </w:rPr>
        <w:t>esta conclusión extrema, importaría</w:t>
      </w:r>
      <w:r w:rsidRPr="00652B77">
        <w:rPr>
          <w:rFonts w:ascii="Verdana" w:hAnsi="Verdana"/>
          <w:sz w:val="20"/>
          <w:szCs w:val="20"/>
          <w:lang w:val="es-ES"/>
        </w:rPr>
        <w:t xml:space="preserve"> que todos los Estados Partes de la Convención y que han aceptado su jurisdicción, </w:t>
      </w:r>
      <w:r>
        <w:rPr>
          <w:rFonts w:ascii="Verdana" w:hAnsi="Verdana"/>
          <w:sz w:val="20"/>
          <w:szCs w:val="20"/>
          <w:lang w:val="es-ES"/>
        </w:rPr>
        <w:t xml:space="preserve">eventualmente </w:t>
      </w:r>
      <w:r w:rsidRPr="00652B77">
        <w:rPr>
          <w:rFonts w:ascii="Verdana" w:hAnsi="Verdana"/>
          <w:sz w:val="20"/>
          <w:szCs w:val="20"/>
          <w:lang w:val="es-ES"/>
        </w:rPr>
        <w:t>podrían ser llevados ante la Corte por ser subdesarrollados o en vías de desarrollo, es decir, por no alcanzar plenamente el desarrollo integral o algunas de sus facetas, lo que a todas luces parece alejado de lo que ellos deseaban al firmar la Convención o</w:t>
      </w:r>
      <w:r>
        <w:rPr>
          <w:rFonts w:ascii="Verdana" w:hAnsi="Verdana"/>
          <w:sz w:val="20"/>
          <w:szCs w:val="20"/>
          <w:lang w:val="es-ES"/>
        </w:rPr>
        <w:t>, al menos, de la lógica implícita en ella, en especial, por la forma en que está redactado el mencionado Capítulo VII.</w:t>
      </w:r>
      <w:r w:rsidRPr="00CF7FE6">
        <w:rPr>
          <w:rFonts w:ascii="Verdana" w:hAnsi="Verdana"/>
          <w:sz w:val="20"/>
          <w:szCs w:val="20"/>
          <w:lang w:val="es-ES"/>
        </w:rPr>
        <w:t xml:space="preserve"> </w:t>
      </w:r>
    </w:p>
    <w:p w14:paraId="3CD3E12D" w14:textId="77777777" w:rsidR="003C2143" w:rsidRDefault="003C2143" w:rsidP="003C2143">
      <w:pPr>
        <w:jc w:val="both"/>
        <w:rPr>
          <w:rFonts w:ascii="Verdana" w:hAnsi="Verdana"/>
          <w:sz w:val="20"/>
          <w:szCs w:val="20"/>
          <w:lang w:val="es-ES"/>
        </w:rPr>
      </w:pPr>
    </w:p>
    <w:p w14:paraId="27725651"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Finalmente, </w:t>
      </w:r>
      <w:r>
        <w:rPr>
          <w:rFonts w:ascii="Verdana" w:hAnsi="Verdana"/>
          <w:sz w:val="20"/>
          <w:szCs w:val="20"/>
          <w:lang w:val="es-ES"/>
        </w:rPr>
        <w:t xml:space="preserve">en tanto acotación suplementaria a lo sostenido en el presente voto, </w:t>
      </w:r>
      <w:r w:rsidRPr="00CF7FE6">
        <w:rPr>
          <w:rFonts w:ascii="Verdana" w:hAnsi="Verdana"/>
          <w:sz w:val="20"/>
          <w:szCs w:val="20"/>
          <w:lang w:val="es-ES"/>
        </w:rPr>
        <w:t xml:space="preserve">habría que recordar que </w:t>
      </w:r>
      <w:r>
        <w:rPr>
          <w:rFonts w:ascii="Verdana" w:hAnsi="Verdana"/>
          <w:sz w:val="20"/>
          <w:szCs w:val="20"/>
          <w:lang w:val="es-ES"/>
        </w:rPr>
        <w:t xml:space="preserve">en otras sentencias </w:t>
      </w:r>
      <w:r w:rsidRPr="00CF7FE6">
        <w:rPr>
          <w:rFonts w:ascii="Verdana" w:hAnsi="Verdana"/>
          <w:sz w:val="20"/>
          <w:szCs w:val="20"/>
          <w:lang w:val="es-ES"/>
        </w:rPr>
        <w:t>de la Corte</w:t>
      </w:r>
      <w:r>
        <w:rPr>
          <w:rFonts w:ascii="Verdana" w:hAnsi="Verdana"/>
          <w:sz w:val="20"/>
          <w:szCs w:val="20"/>
          <w:lang w:val="es-ES"/>
        </w:rPr>
        <w:t xml:space="preserve"> se alcanzó </w:t>
      </w:r>
      <w:r w:rsidRPr="00CF7FE6">
        <w:rPr>
          <w:rFonts w:ascii="Verdana" w:hAnsi="Verdana"/>
          <w:sz w:val="20"/>
          <w:szCs w:val="20"/>
          <w:lang w:val="es-ES"/>
        </w:rPr>
        <w:t>un resultado análogo al que se pretende en autos, aplicando únicamente disposiciones de la Convención referentes a derechos que ésta reconoce, como las que protegen el derecho a la integridad personal, a la propiedad o a las garantías judiciales y la protección judicial, sin haber tenido necesidad de recurrir al mencionado artículo 26</w:t>
      </w:r>
      <w:r w:rsidRPr="00CF7FE6">
        <w:rPr>
          <w:rStyle w:val="FootnoteReference"/>
          <w:szCs w:val="20"/>
          <w:lang w:val="es-ES"/>
        </w:rPr>
        <w:footnoteReference w:id="422"/>
      </w:r>
      <w:r w:rsidRPr="00CF7FE6">
        <w:rPr>
          <w:rFonts w:ascii="Verdana" w:hAnsi="Verdana"/>
          <w:sz w:val="20"/>
          <w:szCs w:val="20"/>
          <w:lang w:val="es-ES"/>
        </w:rPr>
        <w:t>.</w:t>
      </w:r>
    </w:p>
    <w:p w14:paraId="6866192C" w14:textId="77777777" w:rsidR="003C2143" w:rsidRPr="00CF7FE6" w:rsidRDefault="003C2143" w:rsidP="003C2143">
      <w:pPr>
        <w:jc w:val="both"/>
        <w:rPr>
          <w:rFonts w:ascii="Verdana" w:hAnsi="Verdana"/>
          <w:sz w:val="20"/>
          <w:szCs w:val="20"/>
          <w:lang w:val="es-ES"/>
        </w:rPr>
      </w:pPr>
    </w:p>
    <w:p w14:paraId="2FE08C38" w14:textId="77777777" w:rsidR="003C2143" w:rsidRPr="00CF7FE6" w:rsidRDefault="003C2143" w:rsidP="003C2143">
      <w:pPr>
        <w:jc w:val="both"/>
        <w:rPr>
          <w:rFonts w:ascii="Verdana" w:hAnsi="Verdana"/>
          <w:sz w:val="20"/>
          <w:szCs w:val="20"/>
          <w:lang w:val="es-ES"/>
        </w:rPr>
      </w:pPr>
      <w:r w:rsidRPr="00CF7FE6">
        <w:rPr>
          <w:rFonts w:ascii="Verdana" w:hAnsi="Verdana"/>
          <w:b/>
          <w:sz w:val="20"/>
          <w:szCs w:val="20"/>
          <w:lang w:val="es-ES"/>
        </w:rPr>
        <w:t>III.- OTRAS ARGUMENTACIONES ESBOZADAS EN LA SENTENCIA.</w:t>
      </w:r>
      <w:r w:rsidRPr="00CF7FE6">
        <w:rPr>
          <w:rFonts w:ascii="Verdana" w:hAnsi="Verdana"/>
          <w:sz w:val="20"/>
          <w:szCs w:val="20"/>
          <w:lang w:val="es-ES"/>
        </w:rPr>
        <w:t xml:space="preserve"> </w:t>
      </w:r>
    </w:p>
    <w:p w14:paraId="54701503" w14:textId="77777777" w:rsidR="003C2143" w:rsidRPr="00CF7FE6" w:rsidRDefault="003C2143" w:rsidP="003C2143">
      <w:pPr>
        <w:jc w:val="both"/>
        <w:rPr>
          <w:rFonts w:ascii="Verdana" w:hAnsi="Verdana"/>
          <w:sz w:val="20"/>
          <w:szCs w:val="20"/>
          <w:lang w:val="es-ES"/>
        </w:rPr>
      </w:pPr>
    </w:p>
    <w:p w14:paraId="6AE2F7AB"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 xml:space="preserve">A </w:t>
      </w:r>
      <w:r w:rsidRPr="00247B4A">
        <w:rPr>
          <w:rFonts w:ascii="Verdana" w:hAnsi="Verdana"/>
          <w:sz w:val="20"/>
          <w:szCs w:val="20"/>
          <w:lang w:val="es-ES"/>
        </w:rPr>
        <w:t>los efectos de reforzar l</w:t>
      </w:r>
      <w:r>
        <w:rPr>
          <w:rFonts w:ascii="Verdana" w:hAnsi="Verdana"/>
          <w:sz w:val="20"/>
          <w:szCs w:val="20"/>
          <w:lang w:val="es-ES"/>
        </w:rPr>
        <w:t>a tesis sostenida en este texto, p</w:t>
      </w:r>
      <w:r w:rsidRPr="00CF7FE6">
        <w:rPr>
          <w:rFonts w:ascii="Verdana" w:hAnsi="Verdana"/>
          <w:sz w:val="20"/>
          <w:szCs w:val="20"/>
          <w:lang w:val="es-ES"/>
        </w:rPr>
        <w:t>arece conveniente referirse también</w:t>
      </w:r>
      <w:r>
        <w:rPr>
          <w:rFonts w:ascii="Verdana" w:hAnsi="Verdana"/>
          <w:sz w:val="20"/>
          <w:szCs w:val="20"/>
          <w:lang w:val="es-ES"/>
        </w:rPr>
        <w:t>, aunque en forma adicional, a ciertas aseveraciones</w:t>
      </w:r>
      <w:r w:rsidRPr="00CF7FE6">
        <w:rPr>
          <w:rFonts w:ascii="Verdana" w:hAnsi="Verdana"/>
          <w:sz w:val="20"/>
          <w:szCs w:val="20"/>
          <w:lang w:val="es-ES"/>
        </w:rPr>
        <w:t xml:space="preserve"> de la Sentenc</w:t>
      </w:r>
      <w:r>
        <w:rPr>
          <w:rFonts w:ascii="Verdana" w:hAnsi="Verdana"/>
          <w:sz w:val="20"/>
          <w:szCs w:val="20"/>
          <w:lang w:val="es-ES"/>
        </w:rPr>
        <w:t>ia, lo que se hace seguidamente.</w:t>
      </w:r>
    </w:p>
    <w:p w14:paraId="20444453" w14:textId="77777777" w:rsidR="003C2143" w:rsidRPr="00CF7FE6" w:rsidRDefault="003C2143" w:rsidP="003C2143">
      <w:pPr>
        <w:jc w:val="both"/>
        <w:rPr>
          <w:rFonts w:ascii="Verdana" w:hAnsi="Verdana"/>
          <w:sz w:val="20"/>
          <w:szCs w:val="20"/>
          <w:lang w:val="es-ES"/>
        </w:rPr>
      </w:pPr>
    </w:p>
    <w:p w14:paraId="75FDD886" w14:textId="77777777" w:rsidR="003C2143" w:rsidRDefault="003C2143" w:rsidP="003C2143">
      <w:pPr>
        <w:jc w:val="both"/>
        <w:rPr>
          <w:rFonts w:ascii="Verdana" w:hAnsi="Verdana"/>
          <w:sz w:val="20"/>
          <w:szCs w:val="20"/>
          <w:lang w:val="es-ES"/>
        </w:rPr>
      </w:pPr>
      <w:r>
        <w:rPr>
          <w:rFonts w:ascii="Verdana" w:hAnsi="Verdana"/>
          <w:sz w:val="20"/>
          <w:szCs w:val="20"/>
          <w:lang w:val="es-ES"/>
        </w:rPr>
        <w:t>1</w:t>
      </w:r>
      <w:r w:rsidRPr="00CF7FE6">
        <w:rPr>
          <w:rFonts w:ascii="Verdana" w:hAnsi="Verdana"/>
          <w:sz w:val="20"/>
          <w:szCs w:val="20"/>
          <w:lang w:val="es-ES"/>
        </w:rPr>
        <w:t xml:space="preserve">.- </w:t>
      </w:r>
      <w:r>
        <w:rPr>
          <w:rFonts w:ascii="Verdana" w:hAnsi="Verdana"/>
          <w:sz w:val="20"/>
          <w:szCs w:val="20"/>
          <w:lang w:val="es-ES"/>
        </w:rPr>
        <w:t xml:space="preserve">La afirmación concerniente </w:t>
      </w:r>
      <w:r w:rsidRPr="00CF7FE6">
        <w:rPr>
          <w:rFonts w:ascii="Verdana" w:hAnsi="Verdana"/>
          <w:sz w:val="20"/>
          <w:szCs w:val="20"/>
          <w:lang w:val="es-ES"/>
        </w:rPr>
        <w:t>a “</w:t>
      </w:r>
      <w:r w:rsidRPr="00731AEA">
        <w:rPr>
          <w:rFonts w:ascii="Verdana" w:hAnsi="Verdana"/>
          <w:i/>
          <w:sz w:val="20"/>
          <w:szCs w:val="20"/>
          <w:lang w:val="es-ES"/>
        </w:rPr>
        <w:t>la interdependencia e indivisibilidad existente entre los derechos civiles y políticos, y los económicos, sociales y culturales</w:t>
      </w:r>
      <w:r>
        <w:rPr>
          <w:rFonts w:ascii="Verdana" w:hAnsi="Verdana"/>
          <w:sz w:val="20"/>
          <w:szCs w:val="20"/>
          <w:lang w:val="es-ES"/>
        </w:rPr>
        <w:t>”</w:t>
      </w:r>
      <w:r w:rsidRPr="00731AEA">
        <w:rPr>
          <w:rFonts w:ascii="Verdana" w:hAnsi="Verdana"/>
          <w:sz w:val="20"/>
          <w:szCs w:val="20"/>
          <w:lang w:val="es-ES"/>
        </w:rPr>
        <w:t xml:space="preserve">, </w:t>
      </w:r>
      <w:r>
        <w:rPr>
          <w:rFonts w:ascii="Verdana" w:hAnsi="Verdana"/>
          <w:sz w:val="20"/>
          <w:szCs w:val="20"/>
          <w:lang w:val="es-ES"/>
        </w:rPr>
        <w:t>por lo “</w:t>
      </w:r>
      <w:r w:rsidRPr="00731AEA">
        <w:rPr>
          <w:rFonts w:ascii="Verdana" w:hAnsi="Verdana"/>
          <w:i/>
          <w:sz w:val="20"/>
          <w:szCs w:val="20"/>
          <w:lang w:val="es-ES"/>
        </w:rPr>
        <w:t>que deben ser entendidos integralmente y de forma conglobada como derechos humanos, sin jerarquía entre sí y exigibles en todos los casos ante aquellas autoridades que resulten competentes para ello</w:t>
      </w:r>
      <w:r w:rsidRPr="00F167BE">
        <w:rPr>
          <w:rFonts w:ascii="Verdana" w:hAnsi="Verdana"/>
          <w:i/>
          <w:sz w:val="20"/>
          <w:szCs w:val="20"/>
          <w:lang w:val="es-ES"/>
        </w:rPr>
        <w:t>”</w:t>
      </w:r>
      <w:r w:rsidRPr="00CF7FE6">
        <w:rPr>
          <w:rStyle w:val="FootnoteReference"/>
          <w:szCs w:val="20"/>
          <w:lang w:val="es-ES"/>
        </w:rPr>
        <w:footnoteReference w:id="423"/>
      </w:r>
      <w:r w:rsidRPr="00CF7FE6">
        <w:rPr>
          <w:rFonts w:ascii="Verdana" w:hAnsi="Verdana"/>
          <w:sz w:val="20"/>
          <w:szCs w:val="20"/>
          <w:lang w:val="es-ES"/>
        </w:rPr>
        <w:t>, en nada implica que la violación de ambos tipos de derechos puedan ser invocados ante la Corte</w:t>
      </w:r>
      <w:r>
        <w:rPr>
          <w:rFonts w:ascii="Verdana" w:hAnsi="Verdana"/>
          <w:sz w:val="20"/>
          <w:szCs w:val="20"/>
          <w:lang w:val="es-ES"/>
        </w:rPr>
        <w:t xml:space="preserve">. Lo sostenido por la Sentencia se podría compartir en la medida en que se entienda que si bien </w:t>
      </w:r>
      <w:r w:rsidRPr="00CF7FE6">
        <w:rPr>
          <w:rFonts w:ascii="Verdana" w:hAnsi="Verdana"/>
          <w:sz w:val="20"/>
          <w:szCs w:val="20"/>
          <w:lang w:val="es-ES"/>
        </w:rPr>
        <w:t>el goce de todos los derechos humanos, incluidos los económicos, sociales y culturales, deben ser respetados</w:t>
      </w:r>
      <w:r>
        <w:rPr>
          <w:rFonts w:ascii="Verdana" w:hAnsi="Verdana"/>
          <w:sz w:val="20"/>
          <w:szCs w:val="20"/>
          <w:lang w:val="es-ES"/>
        </w:rPr>
        <w:t xml:space="preserve"> y que, consecuentemente, todos pueden ser exigibles ante las autoridades competentes, de ello no se desprende que estas últimas sean, siempre y en toda circunstancia y en cuanto a todos los derechos humanos, los tribunales nacionales y, eventualmente, la Corte. Efectivamente y como ya se ha indicado, no se discute que las presuntas violaciones de cualquier derecho humano pueden y aún deben ser reclamadas ante los tribunales nacionales competentes</w:t>
      </w:r>
      <w:r>
        <w:rPr>
          <w:rStyle w:val="FootnoteReference"/>
          <w:szCs w:val="20"/>
          <w:lang w:val="es-ES"/>
        </w:rPr>
        <w:footnoteReference w:id="424"/>
      </w:r>
      <w:r>
        <w:rPr>
          <w:rFonts w:ascii="Verdana" w:hAnsi="Verdana"/>
          <w:sz w:val="20"/>
          <w:szCs w:val="20"/>
          <w:lang w:val="es-ES"/>
        </w:rPr>
        <w:t xml:space="preserve">, pero, lo que se sostienen en el presente voto es que </w:t>
      </w:r>
      <w:r>
        <w:rPr>
          <w:rFonts w:ascii="Verdana" w:hAnsi="Verdana"/>
          <w:sz w:val="20"/>
          <w:szCs w:val="20"/>
          <w:lang w:val="es-ES"/>
        </w:rPr>
        <w:lastRenderedPageBreak/>
        <w:t xml:space="preserve">únicamente algunas de las violaciones de los derechos económicos, sociales y culturales, específicamente las previstas en el Protocolo de San Salvador, pueden ser sometidas a conocimiento y resolución de la Corte.  </w:t>
      </w:r>
    </w:p>
    <w:p w14:paraId="26688B9C" w14:textId="77777777" w:rsidR="003C2143" w:rsidRDefault="003C2143" w:rsidP="003C2143">
      <w:pPr>
        <w:jc w:val="both"/>
        <w:rPr>
          <w:rFonts w:ascii="Verdana" w:hAnsi="Verdana"/>
          <w:sz w:val="20"/>
          <w:szCs w:val="20"/>
          <w:lang w:val="es-ES"/>
        </w:rPr>
      </w:pPr>
    </w:p>
    <w:p w14:paraId="13C0ADFA"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 xml:space="preserve">2.- </w:t>
      </w:r>
      <w:r w:rsidRPr="00670DE6">
        <w:rPr>
          <w:rFonts w:ascii="Verdana" w:hAnsi="Verdana"/>
          <w:sz w:val="20"/>
          <w:szCs w:val="20"/>
          <w:lang w:val="es-ES"/>
        </w:rPr>
        <w:t>Igualmente, la declaración de que “</w:t>
      </w:r>
      <w:r w:rsidRPr="00670DE6">
        <w:rPr>
          <w:rFonts w:ascii="Verdana" w:hAnsi="Verdana"/>
          <w:i/>
          <w:sz w:val="20"/>
          <w:szCs w:val="20"/>
          <w:lang w:val="es-ES"/>
        </w:rPr>
        <w:t>el artículo</w:t>
      </w:r>
      <w:r>
        <w:rPr>
          <w:rFonts w:ascii="Verdana" w:hAnsi="Verdana"/>
          <w:i/>
          <w:sz w:val="20"/>
          <w:szCs w:val="20"/>
          <w:lang w:val="es-ES"/>
        </w:rPr>
        <w:t xml:space="preserve"> 26 [</w:t>
      </w:r>
      <w:r w:rsidRPr="00670DE6">
        <w:rPr>
          <w:rFonts w:ascii="Verdana" w:hAnsi="Verdana"/>
          <w:i/>
          <w:sz w:val="20"/>
          <w:szCs w:val="20"/>
          <w:lang w:val="es-ES"/>
        </w:rPr>
        <w:t>...</w:t>
      </w:r>
      <w:r>
        <w:rPr>
          <w:rFonts w:ascii="Verdana" w:hAnsi="Verdana"/>
          <w:i/>
          <w:sz w:val="20"/>
          <w:szCs w:val="20"/>
          <w:lang w:val="es-ES"/>
        </w:rPr>
        <w:t>]</w:t>
      </w:r>
      <w:r w:rsidRPr="00670DE6">
        <w:rPr>
          <w:rFonts w:ascii="Verdana" w:hAnsi="Verdana"/>
          <w:i/>
          <w:sz w:val="20"/>
          <w:szCs w:val="20"/>
          <w:lang w:val="es-ES"/>
        </w:rPr>
        <w:t xml:space="preserve"> está sujeto a las obligaciones generales contenidas en los artículos 1.1 y 2 señalados en el capítulo I (titulado “Enumeración de Deberes”), así como lo están los artículos 3 al 25 señalados en el capítulo II (titulado “Derechos Civiles y Políticos”)</w:t>
      </w:r>
      <w:r>
        <w:rPr>
          <w:rStyle w:val="FootnoteReference"/>
          <w:szCs w:val="20"/>
          <w:lang w:val="es-ES"/>
        </w:rPr>
        <w:footnoteReference w:id="425"/>
      </w:r>
      <w:r w:rsidRPr="00670DE6">
        <w:rPr>
          <w:rFonts w:ascii="Verdana" w:hAnsi="Verdana"/>
          <w:sz w:val="20"/>
          <w:szCs w:val="20"/>
          <w:lang w:val="es-ES"/>
        </w:rPr>
        <w:t>, no conlleva que los derechos que derivan de la Carta de la OEA sean susceptibles de judicializar ante la Corte. Ello significa únicamente, como ya se afirmó, que todos los derechos humanos, incluyendo los derechos económicos, sociales y culturales, aludidos estos últimos en el Capítulo III de la Convención, deben ser respetados y garantizarse su respeto, por así disponerlo los artículos 1 y 2 mencionados.</w:t>
      </w:r>
    </w:p>
    <w:p w14:paraId="61DEFC2D" w14:textId="77777777" w:rsidR="003C2143" w:rsidRPr="00CF7FE6" w:rsidRDefault="003C2143" w:rsidP="003C2143">
      <w:pPr>
        <w:pStyle w:val="ListParagraph"/>
        <w:ind w:left="0"/>
        <w:jc w:val="both"/>
        <w:rPr>
          <w:rFonts w:ascii="Verdana" w:hAnsi="Verdana"/>
          <w:sz w:val="20"/>
          <w:szCs w:val="20"/>
          <w:lang w:val="es-ES"/>
        </w:rPr>
      </w:pPr>
    </w:p>
    <w:p w14:paraId="427D3891" w14:textId="77777777" w:rsidR="003C2143" w:rsidRDefault="003C2143" w:rsidP="003C2143">
      <w:pPr>
        <w:jc w:val="both"/>
        <w:rPr>
          <w:rFonts w:ascii="Verdana" w:hAnsi="Verdana"/>
          <w:sz w:val="20"/>
          <w:szCs w:val="20"/>
          <w:lang w:val="es-ES"/>
        </w:rPr>
      </w:pPr>
      <w:r>
        <w:rPr>
          <w:rFonts w:ascii="Verdana" w:hAnsi="Verdana"/>
          <w:sz w:val="20"/>
          <w:szCs w:val="20"/>
          <w:lang w:val="es-ES"/>
        </w:rPr>
        <w:t>3</w:t>
      </w:r>
      <w:r w:rsidRPr="00CF7FE6">
        <w:rPr>
          <w:rFonts w:ascii="Verdana" w:hAnsi="Verdana"/>
          <w:sz w:val="20"/>
          <w:szCs w:val="20"/>
          <w:lang w:val="es-ES"/>
        </w:rPr>
        <w:t xml:space="preserve">.- </w:t>
      </w:r>
      <w:r w:rsidRPr="00670DE6">
        <w:rPr>
          <w:rFonts w:ascii="Verdana" w:hAnsi="Verdana"/>
          <w:sz w:val="20"/>
          <w:szCs w:val="20"/>
          <w:lang w:val="es-ES"/>
        </w:rPr>
        <w:t xml:space="preserve">La alusión a los artículos </w:t>
      </w:r>
      <w:r w:rsidRPr="00670DE6">
        <w:rPr>
          <w:rFonts w:ascii="Verdana" w:hAnsi="Verdana"/>
          <w:i/>
          <w:sz w:val="20"/>
          <w:szCs w:val="20"/>
          <w:lang w:val="es-ES"/>
        </w:rPr>
        <w:t>“6 del Pacto Internacional de Derechos Económicos, Sociales y Culturales”, “23 de la Declaración Universal de Derechos Humanos” , “7 y 8 de la Carta Social de las Américas”, “6 y 7 del Protocolo Adicional a la Convención Americana sobre Derechos Económicos, Sociales y Culturales”, “11 de la Convención sobre la Eliminación de Todas las Formas de Discriminación contra la Mujer”, “32.1 de la Convención sobre los Derechos del Niño”, “1 de la Carta Social Europea” y “15 de la Carta Africana sobre los Derechos Humanos y de los Pueblos”</w:t>
      </w:r>
      <w:r>
        <w:rPr>
          <w:rStyle w:val="FootnoteReference"/>
          <w:i/>
          <w:szCs w:val="20"/>
          <w:lang w:val="es-ES"/>
        </w:rPr>
        <w:footnoteReference w:id="426"/>
      </w:r>
      <w:r>
        <w:rPr>
          <w:rFonts w:ascii="Verdana" w:hAnsi="Verdana"/>
          <w:sz w:val="20"/>
          <w:szCs w:val="20"/>
          <w:lang w:val="es-ES"/>
        </w:rPr>
        <w:t>, tampoco</w:t>
      </w:r>
      <w:r w:rsidRPr="00670DE6">
        <w:rPr>
          <w:rFonts w:ascii="Verdana" w:hAnsi="Verdana"/>
          <w:sz w:val="20"/>
          <w:szCs w:val="20"/>
          <w:lang w:val="es-ES"/>
        </w:rPr>
        <w:t xml:space="preserve"> constituyen fundamento para sostener que la violación del derecho al trabajo y más específicamente, del derecho a la estabilidad laboral, puede ser conocida y resuelta por la Corte a la luz de lo prescrito en el artículo 26 de la Convención.</w:t>
      </w:r>
    </w:p>
    <w:p w14:paraId="58EFF3EE" w14:textId="77777777" w:rsidR="003C2143" w:rsidRDefault="003C2143" w:rsidP="003C2143">
      <w:pPr>
        <w:jc w:val="both"/>
        <w:rPr>
          <w:rFonts w:ascii="Verdana" w:hAnsi="Verdana"/>
          <w:sz w:val="20"/>
          <w:szCs w:val="20"/>
          <w:lang w:val="es-ES"/>
        </w:rPr>
      </w:pPr>
    </w:p>
    <w:p w14:paraId="086DE8D3" w14:textId="77777777" w:rsidR="003C2143" w:rsidRDefault="003C2143" w:rsidP="003C2143">
      <w:pPr>
        <w:jc w:val="both"/>
        <w:rPr>
          <w:rFonts w:ascii="Verdana" w:hAnsi="Verdana"/>
          <w:sz w:val="20"/>
          <w:szCs w:val="20"/>
          <w:lang w:val="es-ES"/>
        </w:rPr>
      </w:pPr>
      <w:r>
        <w:rPr>
          <w:rFonts w:ascii="Verdana" w:hAnsi="Verdana"/>
          <w:sz w:val="20"/>
          <w:szCs w:val="20"/>
          <w:lang w:val="es-ES"/>
        </w:rPr>
        <w:t xml:space="preserve">4.- </w:t>
      </w:r>
      <w:r w:rsidRPr="000C3877">
        <w:rPr>
          <w:rFonts w:ascii="Verdana" w:hAnsi="Verdana"/>
          <w:sz w:val="20"/>
          <w:szCs w:val="20"/>
          <w:lang w:val="es-ES"/>
        </w:rPr>
        <w:t>Lo mismo acontece con las referencias al Comité de Derechos Económicos, Sociales y Culturales, en su Observación General No. 18 sobre el derecho al trabajo</w:t>
      </w:r>
      <w:r>
        <w:rPr>
          <w:rStyle w:val="FootnoteReference"/>
          <w:szCs w:val="20"/>
          <w:lang w:val="es-ES"/>
        </w:rPr>
        <w:footnoteReference w:id="427"/>
      </w:r>
      <w:r w:rsidRPr="000C3877">
        <w:rPr>
          <w:rFonts w:ascii="Verdana" w:hAnsi="Verdana"/>
          <w:sz w:val="20"/>
          <w:szCs w:val="20"/>
          <w:lang w:val="es-ES"/>
        </w:rPr>
        <w:t>, y al Convenio 158 de la Organización International del Trabajo, sobre la terminación de la relación de trabajo (1982)</w:t>
      </w:r>
      <w:r>
        <w:rPr>
          <w:rStyle w:val="FootnoteReference"/>
          <w:szCs w:val="20"/>
          <w:lang w:val="es-ES"/>
        </w:rPr>
        <w:footnoteReference w:id="428"/>
      </w:r>
      <w:r w:rsidRPr="000C3877">
        <w:rPr>
          <w:rFonts w:ascii="Verdana" w:hAnsi="Verdana"/>
          <w:sz w:val="20"/>
          <w:szCs w:val="20"/>
          <w:lang w:val="es-ES"/>
        </w:rPr>
        <w:t>. En definitiva, las disposiciones citadas no se refieren a ello ni les corresponde hacerlo, sea porque unas tratan de tratados que no tienen relación alguna con la posibilidad de judicializar los derechos económicos, sociales y culturales, sea porque otras son resoluciones de organizaciones internacionales no vinculantes para los Estados, esto es, meras resoluciones, que o bien reflejan aspiraciones políticas, que pueden ser muy legítimas, de que sean incorporadas en el Derecho o bien no interpretan tratado alguno.</w:t>
      </w:r>
    </w:p>
    <w:p w14:paraId="7B89A7B0" w14:textId="77777777" w:rsidR="003C2143" w:rsidRDefault="003C2143" w:rsidP="003C2143">
      <w:pPr>
        <w:jc w:val="both"/>
        <w:rPr>
          <w:rFonts w:ascii="Verdana" w:hAnsi="Verdana"/>
          <w:sz w:val="20"/>
          <w:szCs w:val="20"/>
          <w:lang w:val="es-ES"/>
        </w:rPr>
      </w:pPr>
    </w:p>
    <w:p w14:paraId="6AF2FE40" w14:textId="77777777" w:rsidR="003C2143" w:rsidRDefault="003C2143" w:rsidP="003C2143">
      <w:pPr>
        <w:jc w:val="both"/>
        <w:rPr>
          <w:rFonts w:ascii="Verdana" w:hAnsi="Verdana"/>
          <w:sz w:val="20"/>
          <w:szCs w:val="20"/>
          <w:lang w:val="es-ES"/>
        </w:rPr>
      </w:pPr>
      <w:r w:rsidRPr="000C3877">
        <w:rPr>
          <w:rFonts w:ascii="Verdana" w:hAnsi="Verdana"/>
          <w:sz w:val="20"/>
          <w:szCs w:val="20"/>
          <w:lang w:val="es-ES"/>
        </w:rPr>
        <w:lastRenderedPageBreak/>
        <w:t>5.- Lo sostenido en orden a que “</w:t>
      </w:r>
      <w:r w:rsidRPr="000C3877">
        <w:rPr>
          <w:rFonts w:ascii="Verdana" w:hAnsi="Verdana"/>
          <w:i/>
          <w:sz w:val="20"/>
          <w:szCs w:val="20"/>
          <w:lang w:val="es-ES"/>
        </w:rPr>
        <w:t>la Declaración Americana, constituye, en lo pertinente y en relación con la Carta de la Organización, una fuente de obligaciones internacionales</w:t>
      </w:r>
      <w:r w:rsidRPr="000C3877">
        <w:rPr>
          <w:rFonts w:ascii="Verdana" w:hAnsi="Verdana"/>
          <w:sz w:val="20"/>
          <w:szCs w:val="20"/>
          <w:lang w:val="es-ES"/>
        </w:rPr>
        <w:t>”</w:t>
      </w:r>
      <w:r>
        <w:rPr>
          <w:rStyle w:val="FootnoteReference"/>
          <w:szCs w:val="20"/>
          <w:lang w:val="es-ES"/>
        </w:rPr>
        <w:footnoteReference w:id="429"/>
      </w:r>
      <w:r>
        <w:rPr>
          <w:rFonts w:ascii="Verdana" w:hAnsi="Verdana"/>
          <w:sz w:val="20"/>
          <w:szCs w:val="20"/>
          <w:lang w:val="es-ES"/>
        </w:rPr>
        <w:t xml:space="preserve"> </w:t>
      </w:r>
      <w:r w:rsidRPr="000C3877">
        <w:rPr>
          <w:rFonts w:ascii="Verdana" w:hAnsi="Verdana"/>
          <w:sz w:val="20"/>
          <w:szCs w:val="20"/>
          <w:lang w:val="es-ES"/>
        </w:rPr>
        <w:t>y a lo dispuesto en el artículo 29.d) de la Convención</w:t>
      </w:r>
      <w:r>
        <w:rPr>
          <w:rStyle w:val="FootnoteReference"/>
          <w:szCs w:val="20"/>
          <w:lang w:val="es-ES"/>
        </w:rPr>
        <w:footnoteReference w:id="430"/>
      </w:r>
      <w:r>
        <w:rPr>
          <w:rFonts w:ascii="Verdana" w:hAnsi="Verdana"/>
          <w:sz w:val="20"/>
          <w:szCs w:val="20"/>
          <w:lang w:val="es-ES"/>
        </w:rPr>
        <w:t xml:space="preserve">, </w:t>
      </w:r>
      <w:r w:rsidRPr="000C3877">
        <w:rPr>
          <w:rFonts w:ascii="Verdana" w:hAnsi="Verdana"/>
          <w:sz w:val="20"/>
          <w:szCs w:val="20"/>
          <w:lang w:val="es-ES"/>
        </w:rPr>
        <w:t>no contradice la circunstancia, indiscutida en Derecho Internacional, de que aquella es una resolución de una organización o institución internacional declarativa de derecho y, por ende, aunque no prevista entre las fuentes del Derecho Internacional que contempla el artículo 38 del Estatuto de la Corte Internacional de Justicia</w:t>
      </w:r>
      <w:r>
        <w:rPr>
          <w:rStyle w:val="FootnoteReference"/>
          <w:szCs w:val="20"/>
          <w:lang w:val="es-ES"/>
        </w:rPr>
        <w:footnoteReference w:id="431"/>
      </w:r>
      <w:r w:rsidRPr="000C3877">
        <w:rPr>
          <w:rFonts w:ascii="Verdana" w:hAnsi="Verdana"/>
          <w:sz w:val="20"/>
          <w:szCs w:val="20"/>
          <w:lang w:val="es-ES"/>
        </w:rPr>
        <w:t>, única disposición que lo hace, es una fuente auxiliar del Derecho Internacional, es decir, que sirve “</w:t>
      </w:r>
      <w:r w:rsidRPr="00310630">
        <w:rPr>
          <w:rFonts w:ascii="Verdana" w:hAnsi="Verdana"/>
          <w:i/>
          <w:sz w:val="20"/>
          <w:szCs w:val="20"/>
          <w:lang w:val="es-ES"/>
        </w:rPr>
        <w:t>para la determinación de las reglas de derecho</w:t>
      </w:r>
      <w:r w:rsidRPr="000C3877">
        <w:rPr>
          <w:rFonts w:ascii="Verdana" w:hAnsi="Verdana"/>
          <w:sz w:val="20"/>
          <w:szCs w:val="20"/>
          <w:lang w:val="es-ES"/>
        </w:rPr>
        <w:t>” establecidas por una fuente autónoma del Derecho Internacional. La referida declaración es, entonces, “</w:t>
      </w:r>
      <w:r w:rsidRPr="00310630">
        <w:rPr>
          <w:rFonts w:ascii="Verdana" w:hAnsi="Verdana"/>
          <w:i/>
          <w:sz w:val="20"/>
          <w:szCs w:val="20"/>
          <w:lang w:val="es-ES"/>
        </w:rPr>
        <w:t>fuente de obligaciones internacionales</w:t>
      </w:r>
      <w:r w:rsidRPr="000C3877">
        <w:rPr>
          <w:rFonts w:ascii="Verdana" w:hAnsi="Verdana"/>
          <w:sz w:val="20"/>
          <w:szCs w:val="20"/>
          <w:lang w:val="es-ES"/>
        </w:rPr>
        <w:t>” en la medida que interpreta derechos u obligaciones previstos en alguna de las fuentes autónomas de Derecho Internacional.</w:t>
      </w:r>
    </w:p>
    <w:p w14:paraId="0710CC13" w14:textId="77777777" w:rsidR="003C2143" w:rsidRPr="000C3877" w:rsidRDefault="003C2143" w:rsidP="003C2143">
      <w:pPr>
        <w:jc w:val="both"/>
        <w:rPr>
          <w:rFonts w:ascii="Verdana" w:hAnsi="Verdana"/>
          <w:sz w:val="20"/>
          <w:szCs w:val="20"/>
          <w:lang w:val="es-ES"/>
        </w:rPr>
      </w:pPr>
    </w:p>
    <w:p w14:paraId="2A719AE5" w14:textId="77777777" w:rsidR="003C2143" w:rsidRDefault="003C2143" w:rsidP="003C2143">
      <w:pPr>
        <w:jc w:val="both"/>
        <w:rPr>
          <w:rFonts w:ascii="Verdana" w:hAnsi="Verdana"/>
          <w:sz w:val="20"/>
          <w:szCs w:val="20"/>
          <w:lang w:val="es-ES"/>
        </w:rPr>
      </w:pPr>
      <w:r>
        <w:rPr>
          <w:rFonts w:ascii="Verdana" w:hAnsi="Verdana"/>
          <w:sz w:val="20"/>
          <w:szCs w:val="20"/>
          <w:lang w:val="es-ES"/>
        </w:rPr>
        <w:t xml:space="preserve">6.- </w:t>
      </w:r>
      <w:r w:rsidRPr="000C3877">
        <w:rPr>
          <w:rFonts w:ascii="Verdana" w:hAnsi="Verdana"/>
          <w:sz w:val="20"/>
          <w:szCs w:val="20"/>
          <w:lang w:val="es-ES"/>
        </w:rPr>
        <w:t>Las referencias a todos los documentos recién citados</w:t>
      </w:r>
      <w:r>
        <w:rPr>
          <w:rStyle w:val="FootnoteReference"/>
          <w:szCs w:val="20"/>
          <w:lang w:val="es-ES"/>
        </w:rPr>
        <w:footnoteReference w:id="432"/>
      </w:r>
      <w:r w:rsidRPr="000C3877">
        <w:rPr>
          <w:rFonts w:ascii="Verdana" w:hAnsi="Verdana"/>
          <w:sz w:val="20"/>
          <w:szCs w:val="20"/>
          <w:lang w:val="es-ES"/>
        </w:rPr>
        <w:t>, parecen formularse básicamente para complementar la interpretación en cuanto a la existencia del derecho al trabajo y del derecho a la estabilidad, lo que, se reitera, no se contradice o disiente en el presente escrito, pero no conllevan que dichos textos dispongan que la violación de tales derechos puedan ser sometidas al conocimiento y resolución de la Corte en virtud de lo prescrito en el tantas veces citado artículo 26.</w:t>
      </w:r>
    </w:p>
    <w:p w14:paraId="634FFA30" w14:textId="77777777" w:rsidR="003C2143" w:rsidRDefault="003C2143" w:rsidP="003C2143">
      <w:pPr>
        <w:jc w:val="both"/>
        <w:rPr>
          <w:rFonts w:ascii="Verdana" w:hAnsi="Verdana"/>
          <w:sz w:val="20"/>
          <w:szCs w:val="20"/>
          <w:lang w:val="es-ES"/>
        </w:rPr>
      </w:pPr>
    </w:p>
    <w:p w14:paraId="0E3DE9B8" w14:textId="77777777" w:rsidR="003C2143" w:rsidRDefault="003C2143" w:rsidP="003C2143">
      <w:pPr>
        <w:jc w:val="both"/>
        <w:rPr>
          <w:rFonts w:ascii="Verdana" w:hAnsi="Verdana"/>
          <w:sz w:val="20"/>
          <w:szCs w:val="20"/>
          <w:lang w:val="es-ES"/>
        </w:rPr>
      </w:pPr>
      <w:r>
        <w:rPr>
          <w:rFonts w:ascii="Verdana" w:hAnsi="Verdana"/>
          <w:sz w:val="20"/>
          <w:szCs w:val="20"/>
          <w:lang w:val="es-ES"/>
        </w:rPr>
        <w:t xml:space="preserve">7.- </w:t>
      </w:r>
      <w:r w:rsidRPr="00310630">
        <w:rPr>
          <w:rFonts w:ascii="Verdana" w:hAnsi="Verdana"/>
          <w:sz w:val="20"/>
          <w:szCs w:val="20"/>
          <w:lang w:val="es-ES"/>
        </w:rPr>
        <w:t>La frase de que “</w:t>
      </w:r>
      <w:r w:rsidRPr="00310630">
        <w:rPr>
          <w:rFonts w:ascii="Verdana" w:hAnsi="Verdana"/>
          <w:i/>
          <w:sz w:val="20"/>
          <w:szCs w:val="20"/>
          <w:lang w:val="es-ES"/>
        </w:rPr>
        <w:t>la Corte ejerce una jurisdicción plena sobre todos sus artículos y disposiciones”</w:t>
      </w:r>
      <w:r>
        <w:rPr>
          <w:rStyle w:val="FootnoteReference"/>
          <w:i/>
          <w:szCs w:val="20"/>
          <w:lang w:val="es-ES"/>
        </w:rPr>
        <w:footnoteReference w:id="433"/>
      </w:r>
      <w:r>
        <w:rPr>
          <w:rFonts w:ascii="Verdana" w:hAnsi="Verdana"/>
          <w:sz w:val="20"/>
          <w:szCs w:val="20"/>
          <w:lang w:val="es-ES"/>
        </w:rPr>
        <w:t>, asimismo no</w:t>
      </w:r>
      <w:r w:rsidRPr="00310630">
        <w:rPr>
          <w:rFonts w:ascii="Verdana" w:hAnsi="Verdana"/>
          <w:sz w:val="20"/>
          <w:szCs w:val="20"/>
          <w:lang w:val="es-ES"/>
        </w:rPr>
        <w:t xml:space="preserve"> importa que el artículo 26 de la Convención contempla derechos cuya violación pueda ser llevada a conocimiento y resolución de aquella, sino que indica que ella debe fallar aplicando e interpretando las disposiciones de la Convención</w:t>
      </w:r>
      <w:r>
        <w:rPr>
          <w:rStyle w:val="FootnoteReference"/>
          <w:szCs w:val="20"/>
          <w:lang w:val="es-ES"/>
        </w:rPr>
        <w:footnoteReference w:id="434"/>
      </w:r>
      <w:r w:rsidRPr="00310630">
        <w:rPr>
          <w:rFonts w:ascii="Verdana" w:hAnsi="Verdana"/>
          <w:sz w:val="20"/>
          <w:szCs w:val="20"/>
          <w:lang w:val="es-ES"/>
        </w:rPr>
        <w:t>, lo que debe hacer, por otra parte y como antes se afirmó, respetando el principio de derecho público de que solo procede lo que la norma permite o prescribe.</w:t>
      </w:r>
    </w:p>
    <w:p w14:paraId="783BE8FE" w14:textId="77777777" w:rsidR="003C2143" w:rsidRDefault="003C2143" w:rsidP="003C2143">
      <w:pPr>
        <w:jc w:val="both"/>
        <w:rPr>
          <w:rFonts w:ascii="Verdana" w:hAnsi="Verdana"/>
          <w:sz w:val="20"/>
          <w:szCs w:val="20"/>
          <w:lang w:val="es-ES"/>
        </w:rPr>
      </w:pPr>
    </w:p>
    <w:p w14:paraId="2D665E79" w14:textId="77777777" w:rsidR="003C2143" w:rsidRDefault="003C2143" w:rsidP="003C2143">
      <w:pPr>
        <w:jc w:val="both"/>
        <w:rPr>
          <w:rFonts w:ascii="Verdana" w:hAnsi="Verdana"/>
          <w:sz w:val="20"/>
          <w:szCs w:val="20"/>
          <w:lang w:val="es-ES"/>
        </w:rPr>
      </w:pPr>
      <w:r>
        <w:rPr>
          <w:rFonts w:ascii="Verdana" w:hAnsi="Verdana"/>
          <w:sz w:val="20"/>
          <w:szCs w:val="20"/>
          <w:lang w:val="es-ES"/>
        </w:rPr>
        <w:t>8.- En cuanto a l</w:t>
      </w:r>
      <w:r w:rsidRPr="00CF7FE6">
        <w:rPr>
          <w:rFonts w:ascii="Verdana" w:hAnsi="Verdana"/>
          <w:sz w:val="20"/>
          <w:szCs w:val="20"/>
          <w:lang w:val="es-ES"/>
        </w:rPr>
        <w:t>o señalado respecto a que la Corte “</w:t>
      </w:r>
      <w:r w:rsidRPr="00CF7FE6">
        <w:rPr>
          <w:rFonts w:ascii="Verdana" w:hAnsi="Verdana"/>
          <w:i/>
          <w:sz w:val="20"/>
          <w:szCs w:val="20"/>
          <w:lang w:val="es-ES"/>
        </w:rPr>
        <w:t>tiene el derecho a resolver cualquier controversia relativa a su jurisdicción”</w:t>
      </w:r>
      <w:r w:rsidRPr="00CF7FE6">
        <w:rPr>
          <w:rStyle w:val="FootnoteReference"/>
          <w:szCs w:val="20"/>
          <w:lang w:val="es-ES"/>
        </w:rPr>
        <w:footnoteReference w:id="435"/>
      </w:r>
      <w:r w:rsidRPr="00CF7FE6">
        <w:rPr>
          <w:rFonts w:ascii="Verdana" w:hAnsi="Verdana"/>
          <w:sz w:val="20"/>
          <w:szCs w:val="20"/>
          <w:lang w:val="es-ES"/>
        </w:rPr>
        <w:t xml:space="preserve">, </w:t>
      </w:r>
      <w:r>
        <w:rPr>
          <w:rFonts w:ascii="Verdana" w:hAnsi="Verdana"/>
          <w:sz w:val="20"/>
          <w:szCs w:val="20"/>
          <w:lang w:val="es-ES"/>
        </w:rPr>
        <w:t xml:space="preserve">se debe tener presente que en autos no se aludió </w:t>
      </w:r>
      <w:r w:rsidRPr="00CF7FE6">
        <w:rPr>
          <w:rFonts w:ascii="Verdana" w:hAnsi="Verdana"/>
          <w:sz w:val="20"/>
          <w:szCs w:val="20"/>
          <w:lang w:val="es-ES"/>
        </w:rPr>
        <w:t xml:space="preserve">a la presunta violación de los derechos laborales a la luz de la Convención. Únicamente lo hizo el </w:t>
      </w:r>
      <w:r w:rsidRPr="00CF7FE6">
        <w:rPr>
          <w:rFonts w:ascii="Verdana" w:hAnsi="Verdana"/>
          <w:sz w:val="20"/>
          <w:szCs w:val="20"/>
          <w:lang w:val="es-ES"/>
        </w:rPr>
        <w:lastRenderedPageBreak/>
        <w:t>peticionario, pero solamente ante la Comisión</w:t>
      </w:r>
      <w:r w:rsidRPr="00CF7FE6">
        <w:rPr>
          <w:rStyle w:val="FootnoteReference"/>
          <w:szCs w:val="20"/>
          <w:lang w:val="es-ES"/>
        </w:rPr>
        <w:footnoteReference w:id="436"/>
      </w:r>
      <w:r w:rsidRPr="00CF7FE6">
        <w:rPr>
          <w:rFonts w:ascii="Verdana" w:hAnsi="Verdana"/>
          <w:sz w:val="20"/>
          <w:szCs w:val="20"/>
          <w:lang w:val="es-ES"/>
        </w:rPr>
        <w:t>, sin invocar, por lo demás, la aplicación del artículo 26</w:t>
      </w:r>
      <w:r>
        <w:rPr>
          <w:rFonts w:ascii="Verdana" w:hAnsi="Verdana"/>
          <w:sz w:val="20"/>
          <w:szCs w:val="20"/>
          <w:lang w:val="es-ES"/>
        </w:rPr>
        <w:t>. En rigor, n</w:t>
      </w:r>
      <w:r w:rsidRPr="00CF7FE6">
        <w:rPr>
          <w:rFonts w:ascii="Verdana" w:hAnsi="Verdana"/>
          <w:sz w:val="20"/>
          <w:szCs w:val="20"/>
          <w:lang w:val="es-ES"/>
        </w:rPr>
        <w:t>o hubo, pues, controversia al respecto.</w:t>
      </w:r>
    </w:p>
    <w:p w14:paraId="4B4307B8" w14:textId="77777777" w:rsidR="003C2143" w:rsidRPr="00CF7FE6" w:rsidRDefault="003C2143" w:rsidP="003C2143">
      <w:pPr>
        <w:jc w:val="both"/>
        <w:rPr>
          <w:rFonts w:ascii="Verdana" w:hAnsi="Verdana"/>
          <w:sz w:val="20"/>
          <w:szCs w:val="20"/>
          <w:lang w:val="es-ES"/>
        </w:rPr>
      </w:pPr>
    </w:p>
    <w:p w14:paraId="658C0DC9" w14:textId="77777777" w:rsidR="003C2143" w:rsidRDefault="003C2143" w:rsidP="003C2143">
      <w:pPr>
        <w:jc w:val="both"/>
        <w:rPr>
          <w:rFonts w:ascii="Verdana" w:hAnsi="Verdana"/>
          <w:sz w:val="20"/>
          <w:szCs w:val="20"/>
          <w:lang w:val="es-ES"/>
        </w:rPr>
      </w:pPr>
      <w:r>
        <w:rPr>
          <w:rFonts w:ascii="Verdana" w:hAnsi="Verdana"/>
          <w:sz w:val="20"/>
          <w:szCs w:val="20"/>
          <w:lang w:val="es-ES"/>
        </w:rPr>
        <w:t>9</w:t>
      </w:r>
      <w:r w:rsidRPr="00CF7FE6">
        <w:rPr>
          <w:rFonts w:ascii="Verdana" w:hAnsi="Verdana"/>
          <w:sz w:val="20"/>
          <w:szCs w:val="20"/>
          <w:lang w:val="es-ES"/>
        </w:rPr>
        <w:t>.- La mención a los “</w:t>
      </w:r>
      <w:r w:rsidRPr="00CF7FE6">
        <w:rPr>
          <w:rFonts w:ascii="Verdana" w:hAnsi="Verdana"/>
          <w:i/>
          <w:sz w:val="20"/>
          <w:szCs w:val="20"/>
          <w:lang w:val="es-ES"/>
        </w:rPr>
        <w:t>importantes desarrollos jurisprudenciales en la materia a la luz de diversos artículos convencionales</w:t>
      </w:r>
      <w:r w:rsidRPr="00CF7FE6">
        <w:rPr>
          <w:rFonts w:ascii="Verdana" w:hAnsi="Verdana"/>
          <w:sz w:val="20"/>
          <w:szCs w:val="20"/>
          <w:lang w:val="es-ES"/>
        </w:rPr>
        <w:t>”</w:t>
      </w:r>
      <w:r w:rsidRPr="00CF7FE6">
        <w:rPr>
          <w:rStyle w:val="FootnoteReference"/>
          <w:szCs w:val="20"/>
          <w:lang w:val="es-ES"/>
        </w:rPr>
        <w:footnoteReference w:id="437"/>
      </w:r>
      <w:r w:rsidRPr="00CF7FE6">
        <w:rPr>
          <w:rFonts w:ascii="Verdana" w:hAnsi="Verdana"/>
          <w:sz w:val="20"/>
          <w:szCs w:val="20"/>
          <w:lang w:val="es-ES"/>
        </w:rPr>
        <w:t xml:space="preserve">, debe entenderse también como el empleo de la propia jurisprudencia en tanto fuente auxiliar del Derecho Internacional y no como creadora </w:t>
      </w:r>
      <w:r w:rsidRPr="00CF7FE6">
        <w:rPr>
          <w:rFonts w:ascii="Verdana" w:hAnsi="Verdana"/>
          <w:i/>
          <w:sz w:val="20"/>
          <w:szCs w:val="20"/>
          <w:lang w:val="es-ES"/>
        </w:rPr>
        <w:t>per se</w:t>
      </w:r>
      <w:r w:rsidRPr="00CF7FE6">
        <w:rPr>
          <w:rFonts w:ascii="Verdana" w:hAnsi="Verdana"/>
          <w:sz w:val="20"/>
          <w:szCs w:val="20"/>
          <w:lang w:val="es-ES"/>
        </w:rPr>
        <w:t xml:space="preserve"> de derechos u obligaciones internacionales.</w:t>
      </w:r>
    </w:p>
    <w:p w14:paraId="48F9C018" w14:textId="77777777" w:rsidR="003C2143" w:rsidRPr="00CF7FE6" w:rsidRDefault="003C2143" w:rsidP="003C2143">
      <w:pPr>
        <w:jc w:val="both"/>
        <w:rPr>
          <w:rFonts w:ascii="Verdana" w:hAnsi="Verdana"/>
          <w:sz w:val="20"/>
          <w:szCs w:val="20"/>
          <w:lang w:val="es-ES"/>
        </w:rPr>
      </w:pPr>
    </w:p>
    <w:p w14:paraId="304B3E06"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 xml:space="preserve">10.- Finalmente, la evocación </w:t>
      </w:r>
      <w:r w:rsidRPr="00CF7FE6">
        <w:rPr>
          <w:rFonts w:ascii="Verdana" w:hAnsi="Verdana"/>
          <w:sz w:val="20"/>
          <w:szCs w:val="20"/>
          <w:lang w:val="es-ES"/>
        </w:rPr>
        <w:t>a que “</w:t>
      </w:r>
      <w:r w:rsidRPr="00CF7FE6">
        <w:rPr>
          <w:rFonts w:ascii="Verdana" w:hAnsi="Verdana"/>
          <w:i/>
          <w:sz w:val="20"/>
          <w:szCs w:val="20"/>
          <w:lang w:val="es-ES"/>
        </w:rPr>
        <w:t>el derecho al trabajo está reconocido explícitamente en diversas leyes internas de los Estados de la región</w:t>
      </w:r>
      <w:r w:rsidRPr="00CF7FE6">
        <w:rPr>
          <w:rFonts w:ascii="Verdana" w:hAnsi="Verdana"/>
          <w:sz w:val="20"/>
          <w:szCs w:val="20"/>
          <w:lang w:val="es-ES"/>
        </w:rPr>
        <w:t>”</w:t>
      </w:r>
      <w:r w:rsidRPr="00CF7FE6">
        <w:rPr>
          <w:rStyle w:val="FootnoteReference"/>
          <w:szCs w:val="20"/>
          <w:lang w:val="es-ES"/>
        </w:rPr>
        <w:footnoteReference w:id="438"/>
      </w:r>
      <w:r>
        <w:rPr>
          <w:rFonts w:ascii="Verdana" w:hAnsi="Verdana"/>
          <w:sz w:val="20"/>
          <w:szCs w:val="20"/>
          <w:lang w:val="es-ES"/>
        </w:rPr>
        <w:t>, supone únicamente que no hay duda alguna de que en el ámbito interno o sede nacional la presunta violación al derecho al trabajo puede y debe ser invocada ante los tribunales nacionales competentes</w:t>
      </w:r>
      <w:r w:rsidRPr="00CF7FE6">
        <w:rPr>
          <w:rFonts w:ascii="Verdana" w:hAnsi="Verdana"/>
          <w:sz w:val="20"/>
          <w:szCs w:val="20"/>
          <w:lang w:val="es-ES"/>
        </w:rPr>
        <w:t xml:space="preserve"> y no que exista el derecho a reclamar la violación a ese derecho ante la Corte al amparo de lo previsto en el artículo 26 de la Convención.</w:t>
      </w:r>
    </w:p>
    <w:p w14:paraId="519735D5" w14:textId="77777777" w:rsidR="003C2143" w:rsidRPr="00CF7FE6" w:rsidRDefault="003C2143" w:rsidP="003C2143">
      <w:pPr>
        <w:jc w:val="both"/>
        <w:rPr>
          <w:rFonts w:ascii="Verdana" w:hAnsi="Verdana"/>
          <w:sz w:val="20"/>
          <w:szCs w:val="20"/>
          <w:lang w:val="es-ES"/>
        </w:rPr>
      </w:pPr>
    </w:p>
    <w:p w14:paraId="30F91B6D" w14:textId="77777777" w:rsidR="003C2143" w:rsidRPr="00CF7FE6" w:rsidRDefault="003C2143" w:rsidP="003C2143">
      <w:pPr>
        <w:jc w:val="both"/>
        <w:rPr>
          <w:rFonts w:ascii="Verdana" w:hAnsi="Verdana"/>
          <w:b/>
          <w:sz w:val="20"/>
          <w:szCs w:val="20"/>
          <w:lang w:val="es-ES"/>
        </w:rPr>
      </w:pPr>
      <w:r>
        <w:rPr>
          <w:rFonts w:ascii="Verdana" w:hAnsi="Verdana"/>
          <w:b/>
          <w:sz w:val="20"/>
          <w:szCs w:val="20"/>
          <w:lang w:val="es-ES"/>
        </w:rPr>
        <w:t>CONCLUSIÓN</w:t>
      </w:r>
      <w:r w:rsidRPr="00CF7FE6">
        <w:rPr>
          <w:rFonts w:ascii="Verdana" w:hAnsi="Verdana"/>
          <w:b/>
          <w:sz w:val="20"/>
          <w:szCs w:val="20"/>
          <w:lang w:val="es-ES"/>
        </w:rPr>
        <w:t>.</w:t>
      </w:r>
    </w:p>
    <w:p w14:paraId="5F9DDF6A" w14:textId="77777777" w:rsidR="003C2143" w:rsidRPr="00CF7FE6" w:rsidRDefault="003C2143" w:rsidP="003C2143">
      <w:pPr>
        <w:jc w:val="both"/>
        <w:rPr>
          <w:rFonts w:ascii="Verdana" w:hAnsi="Verdana"/>
          <w:b/>
          <w:sz w:val="20"/>
          <w:szCs w:val="20"/>
          <w:lang w:val="es-ES"/>
        </w:rPr>
      </w:pPr>
    </w:p>
    <w:p w14:paraId="4690D5E6" w14:textId="77777777" w:rsidR="003C2143" w:rsidRDefault="003C2143" w:rsidP="003C2143">
      <w:pPr>
        <w:jc w:val="both"/>
        <w:rPr>
          <w:rFonts w:ascii="Verdana" w:hAnsi="Verdana"/>
          <w:sz w:val="20"/>
          <w:szCs w:val="20"/>
          <w:lang w:val="es-ES"/>
        </w:rPr>
      </w:pPr>
      <w:r>
        <w:rPr>
          <w:rFonts w:ascii="Verdana" w:hAnsi="Verdana"/>
          <w:sz w:val="20"/>
          <w:szCs w:val="20"/>
          <w:lang w:val="es-ES"/>
        </w:rPr>
        <w:t xml:space="preserve">En suma, entonces, se discrepa de lo resuelto en la Sentencia habida cuenta que, haciendo la Convención una clara distinción entre los derechos políticos y civiles y los derechos económicos, sociales y culturales, el derecho al trabajo, incluyendo al derecho a la estabilidad en el empleo, en tanto integrante de los últimos mencionados, no es </w:t>
      </w:r>
      <w:r w:rsidRPr="00112B3A">
        <w:rPr>
          <w:rFonts w:ascii="Verdana" w:hAnsi="Verdana"/>
          <w:sz w:val="20"/>
          <w:szCs w:val="20"/>
          <w:lang w:val="es-ES"/>
        </w:rPr>
        <w:t xml:space="preserve"> derecho “</w:t>
      </w:r>
      <w:r w:rsidRPr="00A46621">
        <w:rPr>
          <w:rFonts w:ascii="Verdana" w:hAnsi="Verdana"/>
          <w:i/>
          <w:sz w:val="20"/>
          <w:szCs w:val="20"/>
          <w:lang w:val="es-ES"/>
        </w:rPr>
        <w:t>reconocido</w:t>
      </w:r>
      <w:r>
        <w:rPr>
          <w:rFonts w:ascii="Verdana" w:hAnsi="Verdana"/>
          <w:sz w:val="20"/>
          <w:szCs w:val="20"/>
          <w:lang w:val="es-ES"/>
        </w:rPr>
        <w:t>” en</w:t>
      </w:r>
      <w:r w:rsidRPr="00112B3A">
        <w:rPr>
          <w:rFonts w:ascii="Verdana" w:hAnsi="Verdana"/>
          <w:sz w:val="20"/>
          <w:szCs w:val="20"/>
          <w:lang w:val="es-ES"/>
        </w:rPr>
        <w:t xml:space="preserve"> la Convención y no se encuentra, consecuentemente, al amparo del sistema de protección previsto en ella</w:t>
      </w:r>
      <w:r>
        <w:rPr>
          <w:rFonts w:ascii="Verdana" w:hAnsi="Verdana"/>
          <w:sz w:val="20"/>
          <w:szCs w:val="20"/>
          <w:lang w:val="es-ES"/>
        </w:rPr>
        <w:t xml:space="preserve"> únicamente para el primer tipo de derechos señalados. Para que los derechos económicos sociales y culturales pudieran judicializar ante la Corte, sería menester la suscripción de un protocolo complementario, lo que no ha acontecido, salvo parcialmente en el Protocolo de San Salvador, pero para materias ajenas a las de autos. </w:t>
      </w:r>
    </w:p>
    <w:p w14:paraId="3D6AC414" w14:textId="77777777" w:rsidR="003C2143" w:rsidRDefault="003C2143" w:rsidP="003C2143">
      <w:pPr>
        <w:jc w:val="both"/>
        <w:rPr>
          <w:rFonts w:ascii="Verdana" w:hAnsi="Verdana"/>
          <w:sz w:val="20"/>
          <w:szCs w:val="20"/>
          <w:lang w:val="es-ES"/>
        </w:rPr>
      </w:pPr>
    </w:p>
    <w:p w14:paraId="43F0FFD8" w14:textId="77777777" w:rsidR="003C2143" w:rsidRDefault="003C2143" w:rsidP="003C2143">
      <w:pPr>
        <w:jc w:val="both"/>
        <w:rPr>
          <w:rFonts w:ascii="Verdana" w:hAnsi="Verdana"/>
          <w:sz w:val="20"/>
          <w:szCs w:val="20"/>
          <w:lang w:val="es-ES"/>
        </w:rPr>
      </w:pPr>
      <w:r>
        <w:rPr>
          <w:rFonts w:ascii="Verdana" w:hAnsi="Verdana"/>
          <w:sz w:val="20"/>
          <w:szCs w:val="20"/>
          <w:lang w:val="es-ES"/>
        </w:rPr>
        <w:t>Se disiente también en mérito de que lo que establece el artículo 26 de la Convención son obligaciones de comportamiento de los Estados, no reconocimiento de derechos de los seres humanos, norma que, por lo demás, se remite a la Carta de la OEA, la que, a su vez, tampoco lo hace, sino más bien estipula “</w:t>
      </w:r>
      <w:r w:rsidRPr="00325D8E">
        <w:rPr>
          <w:rFonts w:ascii="Verdana" w:hAnsi="Verdana"/>
          <w:i/>
          <w:sz w:val="20"/>
          <w:szCs w:val="20"/>
          <w:lang w:val="es-ES"/>
        </w:rPr>
        <w:t>metas</w:t>
      </w:r>
      <w:r>
        <w:rPr>
          <w:rFonts w:ascii="Verdana" w:hAnsi="Verdana"/>
          <w:sz w:val="20"/>
          <w:szCs w:val="20"/>
          <w:lang w:val="es-ES"/>
        </w:rPr>
        <w:t>” o “</w:t>
      </w:r>
      <w:r w:rsidRPr="00325D8E">
        <w:rPr>
          <w:rFonts w:ascii="Verdana" w:hAnsi="Verdana"/>
          <w:i/>
          <w:sz w:val="20"/>
          <w:szCs w:val="20"/>
          <w:lang w:val="es-ES"/>
        </w:rPr>
        <w:t>finalidades</w:t>
      </w:r>
      <w:r>
        <w:rPr>
          <w:rFonts w:ascii="Verdana" w:hAnsi="Verdana"/>
          <w:sz w:val="20"/>
          <w:szCs w:val="20"/>
          <w:lang w:val="es-ES"/>
        </w:rPr>
        <w:t xml:space="preserve">” o </w:t>
      </w:r>
      <w:r w:rsidRPr="00380245">
        <w:rPr>
          <w:rFonts w:ascii="Verdana" w:hAnsi="Verdana"/>
          <w:sz w:val="20"/>
          <w:szCs w:val="20"/>
          <w:lang w:val="es-ES"/>
        </w:rPr>
        <w:t>“</w:t>
      </w:r>
      <w:r w:rsidRPr="00380245">
        <w:rPr>
          <w:rFonts w:ascii="Verdana" w:hAnsi="Verdana"/>
          <w:i/>
          <w:sz w:val="20"/>
          <w:szCs w:val="20"/>
          <w:lang w:val="es-ES"/>
        </w:rPr>
        <w:t>principios y mecanismos”</w:t>
      </w:r>
      <w:r>
        <w:rPr>
          <w:rFonts w:ascii="Verdana" w:hAnsi="Verdana"/>
          <w:sz w:val="20"/>
          <w:szCs w:val="20"/>
          <w:lang w:val="es-ES"/>
        </w:rPr>
        <w:t xml:space="preserve"> que los Estados se comprometen a alcanzar o a implementar, según corresponda. Adicionalmente, no se comparte lo decidido puesto que, al permitir que lo previsto en el artículo 26 citado se pueda judicializar ante la Corte, no solo deja sin sentido lo dispuesto tanto en los artículos 31, </w:t>
      </w:r>
      <w:r w:rsidRPr="00CA45E4">
        <w:rPr>
          <w:rFonts w:ascii="Verdana" w:hAnsi="Verdana"/>
          <w:sz w:val="20"/>
          <w:szCs w:val="20"/>
          <w:lang w:val="es-ES"/>
        </w:rPr>
        <w:t xml:space="preserve">76.1 y 77.1 </w:t>
      </w:r>
      <w:r>
        <w:rPr>
          <w:rFonts w:ascii="Verdana" w:hAnsi="Verdana"/>
          <w:sz w:val="20"/>
          <w:szCs w:val="20"/>
          <w:lang w:val="es-ES"/>
        </w:rPr>
        <w:t xml:space="preserve">de la Convención como en el Protocolo de San Salvador, sino que permitiría que todos los derechos que se derivan de la Carta de la OEA lo sean, eventualidad evidentemente del todo alejada de lo convenido.  </w:t>
      </w:r>
    </w:p>
    <w:p w14:paraId="0F93CD60" w14:textId="77777777" w:rsidR="003C2143" w:rsidRDefault="003C2143" w:rsidP="003C2143">
      <w:pPr>
        <w:jc w:val="both"/>
        <w:rPr>
          <w:rFonts w:ascii="Verdana" w:hAnsi="Verdana"/>
          <w:sz w:val="20"/>
          <w:szCs w:val="20"/>
          <w:lang w:val="es-ES"/>
        </w:rPr>
      </w:pPr>
    </w:p>
    <w:p w14:paraId="343A8F6D" w14:textId="77777777" w:rsidR="003C2143" w:rsidRPr="00CF7FE6" w:rsidRDefault="003C2143" w:rsidP="003C2143">
      <w:pPr>
        <w:jc w:val="both"/>
        <w:rPr>
          <w:rFonts w:ascii="Verdana" w:hAnsi="Verdana"/>
          <w:sz w:val="20"/>
          <w:szCs w:val="20"/>
          <w:lang w:val="es-ES"/>
        </w:rPr>
      </w:pPr>
      <w:r>
        <w:rPr>
          <w:rFonts w:ascii="Verdana" w:hAnsi="Verdana"/>
          <w:sz w:val="20"/>
          <w:szCs w:val="20"/>
          <w:lang w:val="es-ES"/>
        </w:rPr>
        <w:t xml:space="preserve">Con lo anterior, </w:t>
      </w:r>
      <w:r w:rsidRPr="00CF7FE6">
        <w:rPr>
          <w:rFonts w:ascii="Verdana" w:hAnsi="Verdana"/>
          <w:sz w:val="20"/>
          <w:szCs w:val="20"/>
          <w:lang w:val="es-ES"/>
        </w:rPr>
        <w:t>s</w:t>
      </w:r>
      <w:r>
        <w:rPr>
          <w:rFonts w:ascii="Verdana" w:hAnsi="Verdana"/>
          <w:sz w:val="20"/>
          <w:szCs w:val="20"/>
          <w:lang w:val="es-ES"/>
        </w:rPr>
        <w:t xml:space="preserve">e reitera </w:t>
      </w:r>
      <w:r w:rsidRPr="00CF7FE6">
        <w:rPr>
          <w:rFonts w:ascii="Verdana" w:hAnsi="Verdana"/>
          <w:sz w:val="20"/>
          <w:szCs w:val="20"/>
          <w:lang w:val="es-ES"/>
        </w:rPr>
        <w:t xml:space="preserve">no se está negando la existencia del derecho a la estabilidad laboral, el que, por lo demás, no figura en esos términos en la Carta de la OEA de cuyas normas, según el artículo 26 de la Convención, derivaría. Únicamente se sostiene que su eventual violación no puede </w:t>
      </w:r>
      <w:r>
        <w:rPr>
          <w:rFonts w:ascii="Verdana" w:hAnsi="Verdana"/>
          <w:sz w:val="20"/>
          <w:szCs w:val="20"/>
          <w:lang w:val="es-ES"/>
        </w:rPr>
        <w:t xml:space="preserve">ser </w:t>
      </w:r>
      <w:r w:rsidRPr="00CF7FE6">
        <w:rPr>
          <w:rFonts w:ascii="Verdana" w:hAnsi="Verdana"/>
          <w:sz w:val="20"/>
          <w:szCs w:val="20"/>
          <w:lang w:val="es-ES"/>
        </w:rPr>
        <w:t xml:space="preserve">sometida al conocimiento y resolución de la Corte, </w:t>
      </w:r>
    </w:p>
    <w:p w14:paraId="459D213D" w14:textId="77777777" w:rsidR="003C2143" w:rsidRPr="00CF7FE6" w:rsidRDefault="003C2143" w:rsidP="003C2143">
      <w:pPr>
        <w:jc w:val="both"/>
        <w:rPr>
          <w:rFonts w:ascii="Verdana" w:hAnsi="Verdana"/>
          <w:sz w:val="20"/>
          <w:szCs w:val="20"/>
          <w:lang w:val="es-ES"/>
        </w:rPr>
      </w:pPr>
    </w:p>
    <w:p w14:paraId="3810F66E"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 xml:space="preserve">Tampoco el presente voto debe ser entendido en orden a que eventualmente no se esté a favor de judicializar los derechos económicos, sociales y culturales. Lo que se considera sobre el particular es que, si se procede a </w:t>
      </w:r>
      <w:r>
        <w:rPr>
          <w:rFonts w:ascii="Verdana" w:hAnsi="Verdana"/>
          <w:sz w:val="20"/>
          <w:szCs w:val="20"/>
          <w:lang w:val="es-ES"/>
        </w:rPr>
        <w:t xml:space="preserve">ello, debe hacerse </w:t>
      </w:r>
      <w:r w:rsidRPr="00CF7FE6">
        <w:rPr>
          <w:rFonts w:ascii="Verdana" w:hAnsi="Verdana"/>
          <w:sz w:val="20"/>
          <w:szCs w:val="20"/>
          <w:lang w:val="es-ES"/>
        </w:rPr>
        <w:t xml:space="preserve">por quién detenta la titularidad de la </w:t>
      </w:r>
      <w:r w:rsidRPr="00CF7FE6">
        <w:rPr>
          <w:rFonts w:ascii="Verdana" w:hAnsi="Verdana"/>
          <w:sz w:val="20"/>
          <w:szCs w:val="20"/>
          <w:lang w:val="es-ES"/>
        </w:rPr>
        <w:lastRenderedPageBreak/>
        <w:t>función normativa</w:t>
      </w:r>
      <w:r>
        <w:rPr>
          <w:rFonts w:ascii="Verdana" w:hAnsi="Verdana"/>
          <w:sz w:val="20"/>
          <w:szCs w:val="20"/>
          <w:lang w:val="es-ES"/>
        </w:rPr>
        <w:t xml:space="preserve"> internacional</w:t>
      </w:r>
      <w:r w:rsidRPr="00CF7FE6">
        <w:rPr>
          <w:rFonts w:ascii="Verdana" w:hAnsi="Verdana"/>
          <w:sz w:val="20"/>
          <w:szCs w:val="20"/>
          <w:lang w:val="es-ES"/>
        </w:rPr>
        <w:t xml:space="preserve">, esto es, </w:t>
      </w:r>
      <w:r>
        <w:rPr>
          <w:rFonts w:ascii="Verdana" w:hAnsi="Verdana"/>
          <w:sz w:val="20"/>
          <w:szCs w:val="20"/>
          <w:lang w:val="es-ES"/>
        </w:rPr>
        <w:t xml:space="preserve">los Estados </w:t>
      </w:r>
      <w:r w:rsidRPr="00CF7FE6">
        <w:rPr>
          <w:rFonts w:ascii="Verdana" w:hAnsi="Verdana"/>
          <w:sz w:val="20"/>
          <w:szCs w:val="20"/>
          <w:lang w:val="es-ES"/>
        </w:rPr>
        <w:t>a través de tratados, costumbre internacional, principios generales de derecho o</w:t>
      </w:r>
      <w:r>
        <w:rPr>
          <w:rFonts w:ascii="Verdana" w:hAnsi="Verdana"/>
          <w:sz w:val="20"/>
          <w:szCs w:val="20"/>
          <w:lang w:val="es-ES"/>
        </w:rPr>
        <w:t xml:space="preserve"> de</w:t>
      </w:r>
      <w:r w:rsidRPr="00CF7FE6">
        <w:rPr>
          <w:rFonts w:ascii="Verdana" w:hAnsi="Verdana"/>
          <w:sz w:val="20"/>
          <w:szCs w:val="20"/>
          <w:lang w:val="es-ES"/>
        </w:rPr>
        <w:t xml:space="preserve"> actos jurídicos unilaterales. No parece conve</w:t>
      </w:r>
      <w:r>
        <w:rPr>
          <w:rFonts w:ascii="Verdana" w:hAnsi="Verdana"/>
          <w:sz w:val="20"/>
          <w:szCs w:val="20"/>
          <w:lang w:val="es-ES"/>
        </w:rPr>
        <w:t>niente que el órgano al que le compete</w:t>
      </w:r>
      <w:r w:rsidRPr="00CF7FE6">
        <w:rPr>
          <w:rFonts w:ascii="Verdana" w:hAnsi="Verdana"/>
          <w:sz w:val="20"/>
          <w:szCs w:val="20"/>
          <w:lang w:val="es-ES"/>
        </w:rPr>
        <w:t xml:space="preserve"> la función judicial interamericana asuma la función normativa internacional, </w:t>
      </w:r>
      <w:r>
        <w:rPr>
          <w:rFonts w:ascii="Verdana" w:hAnsi="Verdana"/>
          <w:sz w:val="20"/>
          <w:szCs w:val="20"/>
          <w:lang w:val="es-ES"/>
        </w:rPr>
        <w:t xml:space="preserve">máxime </w:t>
      </w:r>
      <w:r w:rsidRPr="00CF7FE6">
        <w:rPr>
          <w:rFonts w:ascii="Verdana" w:hAnsi="Verdana"/>
          <w:sz w:val="20"/>
          <w:szCs w:val="20"/>
          <w:lang w:val="es-ES"/>
        </w:rPr>
        <w:t xml:space="preserve">cuando los Estados Partes de la Convención son democráticos y </w:t>
      </w:r>
      <w:r>
        <w:rPr>
          <w:rFonts w:ascii="Verdana" w:hAnsi="Verdana"/>
          <w:sz w:val="20"/>
          <w:szCs w:val="20"/>
          <w:lang w:val="es-ES"/>
        </w:rPr>
        <w:t xml:space="preserve">a su </w:t>
      </w:r>
      <w:r w:rsidRPr="00CF7FE6">
        <w:rPr>
          <w:rFonts w:ascii="Verdana" w:hAnsi="Verdana"/>
          <w:sz w:val="20"/>
          <w:szCs w:val="20"/>
          <w:lang w:val="es-ES"/>
        </w:rPr>
        <w:t>r</w:t>
      </w:r>
      <w:r>
        <w:rPr>
          <w:rFonts w:ascii="Verdana" w:hAnsi="Verdana"/>
          <w:sz w:val="20"/>
          <w:szCs w:val="20"/>
          <w:lang w:val="es-ES"/>
        </w:rPr>
        <w:t xml:space="preserve">especto </w:t>
      </w:r>
      <w:r w:rsidRPr="00CF7FE6">
        <w:rPr>
          <w:rFonts w:ascii="Verdana" w:hAnsi="Verdana"/>
          <w:sz w:val="20"/>
          <w:szCs w:val="20"/>
          <w:lang w:val="es-ES"/>
        </w:rPr>
        <w:t>rige la Carta Democrática Interamericana que prevé la separación de poderes y la participación ciudadana en los asuntos públicos</w:t>
      </w:r>
      <w:r w:rsidRPr="00CF7FE6">
        <w:rPr>
          <w:rStyle w:val="FootnoteReference"/>
          <w:szCs w:val="20"/>
          <w:lang w:val="es-ES"/>
        </w:rPr>
        <w:footnoteReference w:id="439"/>
      </w:r>
      <w:r>
        <w:rPr>
          <w:rFonts w:ascii="Verdana" w:hAnsi="Verdana"/>
          <w:sz w:val="20"/>
          <w:szCs w:val="20"/>
          <w:lang w:val="es-ES"/>
        </w:rPr>
        <w:t>, lo que parecería que también debería reflejarse en lo atinente a la función normativa internacional, particularmente de aquellas normas que les conciernen más directamente.</w:t>
      </w:r>
    </w:p>
    <w:p w14:paraId="7DCAA88F" w14:textId="77777777" w:rsidR="003C2143" w:rsidRPr="00CF7FE6" w:rsidRDefault="003C2143" w:rsidP="003C2143">
      <w:pPr>
        <w:jc w:val="both"/>
        <w:rPr>
          <w:rFonts w:ascii="Verdana" w:hAnsi="Verdana"/>
          <w:sz w:val="20"/>
          <w:szCs w:val="20"/>
          <w:lang w:val="es-ES"/>
        </w:rPr>
      </w:pPr>
    </w:p>
    <w:p w14:paraId="62B1648B" w14:textId="77777777" w:rsidR="003C2143" w:rsidRDefault="003C2143" w:rsidP="003C2143">
      <w:pPr>
        <w:jc w:val="both"/>
        <w:rPr>
          <w:rFonts w:ascii="Verdana" w:hAnsi="Verdana"/>
          <w:sz w:val="20"/>
          <w:szCs w:val="20"/>
          <w:lang w:val="es-ES"/>
        </w:rPr>
      </w:pPr>
      <w:r>
        <w:rPr>
          <w:rFonts w:ascii="Verdana" w:hAnsi="Verdana"/>
          <w:sz w:val="20"/>
          <w:szCs w:val="20"/>
          <w:lang w:val="es-ES"/>
        </w:rPr>
        <w:t>En definitiva</w:t>
      </w:r>
      <w:r w:rsidRPr="00CF7FE6">
        <w:rPr>
          <w:rFonts w:ascii="Verdana" w:hAnsi="Verdana"/>
          <w:sz w:val="20"/>
          <w:szCs w:val="20"/>
          <w:lang w:val="es-ES"/>
        </w:rPr>
        <w:t>, en el presente voto se deja constancia de la discrepancia en cuanto a que en la Sentencia se desarrolle y concrete, por primera vez, “</w:t>
      </w:r>
      <w:r w:rsidRPr="00CF7FE6">
        <w:rPr>
          <w:rFonts w:ascii="Verdana" w:hAnsi="Verdana"/>
          <w:i/>
          <w:sz w:val="20"/>
          <w:szCs w:val="20"/>
          <w:lang w:val="es-ES"/>
        </w:rPr>
        <w:t>una condena específica por la violación del artículo 26 de la Convención, dispuesto en (su) Capítulo III titulado Derechos Económicos, Sociales y Culturales</w:t>
      </w:r>
      <w:r w:rsidRPr="00CF7FE6">
        <w:rPr>
          <w:rFonts w:ascii="Verdana" w:hAnsi="Verdana"/>
          <w:sz w:val="20"/>
          <w:szCs w:val="20"/>
          <w:lang w:val="es-ES"/>
        </w:rPr>
        <w:t>”</w:t>
      </w:r>
      <w:r w:rsidRPr="00CF7FE6">
        <w:rPr>
          <w:rStyle w:val="FootnoteReference"/>
          <w:szCs w:val="20"/>
          <w:lang w:val="es-ES"/>
        </w:rPr>
        <w:footnoteReference w:id="440"/>
      </w:r>
      <w:r w:rsidRPr="00CF7FE6">
        <w:rPr>
          <w:rFonts w:ascii="Verdana" w:hAnsi="Verdana"/>
          <w:sz w:val="20"/>
          <w:szCs w:val="20"/>
          <w:lang w:val="es-ES"/>
        </w:rPr>
        <w:t>.</w:t>
      </w:r>
      <w:r>
        <w:rPr>
          <w:rFonts w:ascii="Verdana" w:hAnsi="Verdana"/>
          <w:sz w:val="20"/>
          <w:szCs w:val="20"/>
          <w:lang w:val="es-ES"/>
        </w:rPr>
        <w:t xml:space="preserve"> </w:t>
      </w:r>
    </w:p>
    <w:p w14:paraId="4A6B063B" w14:textId="77777777" w:rsidR="003C2143" w:rsidRDefault="003C2143" w:rsidP="003C2143">
      <w:pPr>
        <w:jc w:val="both"/>
        <w:rPr>
          <w:rFonts w:ascii="Verdana" w:hAnsi="Verdana"/>
          <w:sz w:val="20"/>
          <w:szCs w:val="20"/>
          <w:lang w:val="es-ES"/>
        </w:rPr>
      </w:pPr>
    </w:p>
    <w:p w14:paraId="06DAE831" w14:textId="77777777" w:rsidR="003C2143" w:rsidRPr="00CF7FE6" w:rsidRDefault="003C2143" w:rsidP="003C2143">
      <w:pPr>
        <w:jc w:val="both"/>
        <w:rPr>
          <w:rFonts w:ascii="Verdana" w:hAnsi="Verdana"/>
          <w:sz w:val="20"/>
          <w:szCs w:val="20"/>
          <w:lang w:val="es-ES"/>
        </w:rPr>
      </w:pPr>
      <w:r w:rsidRPr="00CF7FE6">
        <w:rPr>
          <w:rFonts w:ascii="Verdana" w:hAnsi="Verdana"/>
          <w:sz w:val="20"/>
          <w:szCs w:val="20"/>
          <w:lang w:val="es-ES"/>
        </w:rPr>
        <w:t>Y se procede así, además,</w:t>
      </w:r>
      <w:r>
        <w:rPr>
          <w:rFonts w:ascii="Verdana" w:hAnsi="Verdana"/>
          <w:sz w:val="20"/>
          <w:szCs w:val="20"/>
          <w:lang w:val="es-ES"/>
        </w:rPr>
        <w:t xml:space="preserve"> no solo por las negativas </w:t>
      </w:r>
      <w:r w:rsidRPr="00CF7FE6">
        <w:rPr>
          <w:rFonts w:ascii="Verdana" w:hAnsi="Verdana"/>
          <w:sz w:val="20"/>
          <w:szCs w:val="20"/>
          <w:lang w:val="es-ES"/>
        </w:rPr>
        <w:t>consecuencias que podrí</w:t>
      </w:r>
      <w:r>
        <w:rPr>
          <w:rFonts w:ascii="Verdana" w:hAnsi="Verdana"/>
          <w:sz w:val="20"/>
          <w:szCs w:val="20"/>
          <w:lang w:val="es-ES"/>
        </w:rPr>
        <w:t>a tener tal decisión</w:t>
      </w:r>
      <w:r w:rsidRPr="00CF7FE6">
        <w:rPr>
          <w:rFonts w:ascii="Verdana" w:hAnsi="Verdana"/>
          <w:sz w:val="20"/>
          <w:szCs w:val="20"/>
          <w:lang w:val="es-ES"/>
        </w:rPr>
        <w:t xml:space="preserve">, </w:t>
      </w:r>
      <w:r>
        <w:rPr>
          <w:rFonts w:ascii="Verdana" w:hAnsi="Verdana"/>
          <w:sz w:val="20"/>
          <w:szCs w:val="20"/>
          <w:lang w:val="es-ES"/>
        </w:rPr>
        <w:t xml:space="preserve">sino también porque parece no ponderar la circunstancia de que </w:t>
      </w:r>
      <w:r w:rsidRPr="00CF7FE6">
        <w:rPr>
          <w:rFonts w:ascii="Verdana" w:hAnsi="Verdana"/>
          <w:sz w:val="20"/>
          <w:szCs w:val="20"/>
          <w:lang w:val="es-ES"/>
        </w:rPr>
        <w:t>aún existe, aunque en menor medida que antaño, el ámbito de la jurisdicción interna, doméstica o exclusiva de los Estados</w:t>
      </w:r>
      <w:r>
        <w:rPr>
          <w:rStyle w:val="FootnoteReference"/>
          <w:szCs w:val="20"/>
          <w:lang w:val="es-ES"/>
        </w:rPr>
        <w:footnoteReference w:id="441"/>
      </w:r>
      <w:r>
        <w:rPr>
          <w:rFonts w:ascii="Verdana" w:hAnsi="Verdana"/>
          <w:sz w:val="20"/>
          <w:szCs w:val="20"/>
          <w:lang w:val="es-ES"/>
        </w:rPr>
        <w:t>, también denominado margen de apreciación</w:t>
      </w:r>
      <w:r>
        <w:rPr>
          <w:rStyle w:val="FootnoteReference"/>
          <w:szCs w:val="20"/>
          <w:lang w:val="es-ES"/>
        </w:rPr>
        <w:footnoteReference w:id="442"/>
      </w:r>
      <w:r>
        <w:rPr>
          <w:rFonts w:ascii="Verdana" w:hAnsi="Verdana"/>
          <w:sz w:val="20"/>
          <w:szCs w:val="20"/>
          <w:lang w:val="es-ES"/>
        </w:rPr>
        <w:t xml:space="preserve">, el que evidencia que no todo lo regula el Derecho Internacional y que, en lo atingente a la Convención, se expresa, entre otras normas, tanto en aquella que dispone </w:t>
      </w:r>
      <w:r w:rsidRPr="00CF7FE6">
        <w:rPr>
          <w:rFonts w:ascii="Verdana" w:hAnsi="Verdana"/>
          <w:sz w:val="20"/>
          <w:szCs w:val="20"/>
          <w:lang w:val="es-ES"/>
        </w:rPr>
        <w:t>que es el Estado Parte del caso de que se trata el que d</w:t>
      </w:r>
      <w:r>
        <w:rPr>
          <w:rFonts w:ascii="Verdana" w:hAnsi="Verdana"/>
          <w:sz w:val="20"/>
          <w:szCs w:val="20"/>
          <w:lang w:val="es-ES"/>
        </w:rPr>
        <w:t xml:space="preserve">ebe cumplir </w:t>
      </w:r>
      <w:r w:rsidRPr="00CF7FE6">
        <w:rPr>
          <w:rFonts w:ascii="Verdana" w:hAnsi="Verdana"/>
          <w:sz w:val="20"/>
          <w:szCs w:val="20"/>
          <w:lang w:val="es-ES"/>
        </w:rPr>
        <w:t>el respectivo fallo</w:t>
      </w:r>
      <w:r w:rsidRPr="00CF7FE6">
        <w:rPr>
          <w:rStyle w:val="FootnoteReference"/>
          <w:szCs w:val="20"/>
          <w:lang w:val="es-ES"/>
        </w:rPr>
        <w:footnoteReference w:id="443"/>
      </w:r>
      <w:r>
        <w:rPr>
          <w:rFonts w:ascii="Verdana" w:hAnsi="Verdana"/>
          <w:sz w:val="20"/>
          <w:szCs w:val="20"/>
          <w:lang w:val="es-ES"/>
        </w:rPr>
        <w:t xml:space="preserve"> como en su artículo 26, que deja, en la mencionada esfera, el enjuiciamiento de los derechos económicos, sociales y culturales.</w:t>
      </w:r>
    </w:p>
    <w:p w14:paraId="170A62B7" w14:textId="77777777" w:rsidR="003C2143" w:rsidRPr="00CF7FE6" w:rsidRDefault="003C2143" w:rsidP="003C2143">
      <w:pPr>
        <w:jc w:val="both"/>
        <w:rPr>
          <w:rFonts w:ascii="Verdana" w:hAnsi="Verdana"/>
          <w:sz w:val="20"/>
          <w:szCs w:val="20"/>
          <w:lang w:val="es-ES"/>
        </w:rPr>
      </w:pPr>
    </w:p>
    <w:p w14:paraId="0479C1D4" w14:textId="77777777" w:rsidR="003C2143" w:rsidRPr="00D11632" w:rsidRDefault="003C2143" w:rsidP="003C2143">
      <w:pPr>
        <w:jc w:val="right"/>
        <w:rPr>
          <w:rFonts w:ascii="Verdana" w:hAnsi="Verdana"/>
          <w:sz w:val="20"/>
          <w:szCs w:val="20"/>
          <w:lang w:val="es-ES"/>
        </w:rPr>
      </w:pPr>
    </w:p>
    <w:p w14:paraId="4E0D9019" w14:textId="77777777" w:rsidR="003C2143" w:rsidRDefault="003C2143" w:rsidP="003C2143">
      <w:pPr>
        <w:rPr>
          <w:rFonts w:ascii="Verdana" w:hAnsi="Verdana"/>
          <w:sz w:val="20"/>
          <w:szCs w:val="20"/>
          <w:lang w:val="es-ES"/>
        </w:rPr>
      </w:pPr>
    </w:p>
    <w:p w14:paraId="795DDDC1" w14:textId="77777777" w:rsidR="003C2143" w:rsidRPr="00D11632" w:rsidRDefault="003C2143" w:rsidP="003C2143">
      <w:pPr>
        <w:rPr>
          <w:rFonts w:ascii="Verdana" w:hAnsi="Verdana"/>
          <w:sz w:val="20"/>
          <w:szCs w:val="20"/>
          <w:lang w:val="es-ES"/>
        </w:rPr>
      </w:pPr>
    </w:p>
    <w:p w14:paraId="21112AAE" w14:textId="77777777" w:rsidR="003C2143" w:rsidRPr="00D11632" w:rsidRDefault="003C2143" w:rsidP="003C2143">
      <w:pPr>
        <w:jc w:val="right"/>
        <w:rPr>
          <w:rFonts w:ascii="Verdana" w:hAnsi="Verdana"/>
          <w:sz w:val="20"/>
          <w:szCs w:val="20"/>
          <w:lang w:val="es-ES"/>
        </w:rPr>
      </w:pPr>
    </w:p>
    <w:p w14:paraId="2A9F088A" w14:textId="77777777" w:rsidR="003C2143" w:rsidRPr="00D11632" w:rsidRDefault="003C2143" w:rsidP="003C2143">
      <w:pPr>
        <w:jc w:val="right"/>
        <w:rPr>
          <w:rFonts w:ascii="Verdana" w:hAnsi="Verdana"/>
          <w:sz w:val="20"/>
          <w:szCs w:val="20"/>
          <w:lang w:val="es-ES"/>
        </w:rPr>
      </w:pPr>
    </w:p>
    <w:p w14:paraId="321759DF" w14:textId="77777777" w:rsidR="003C2143" w:rsidRPr="00D11632" w:rsidRDefault="003C2143" w:rsidP="003C2143">
      <w:pPr>
        <w:jc w:val="right"/>
        <w:rPr>
          <w:rFonts w:ascii="Verdana" w:hAnsi="Verdana"/>
          <w:sz w:val="20"/>
          <w:szCs w:val="20"/>
          <w:lang w:val="es-ES"/>
        </w:rPr>
      </w:pPr>
    </w:p>
    <w:p w14:paraId="44DF7B48" w14:textId="77777777" w:rsidR="003C2143" w:rsidRPr="00D11632" w:rsidRDefault="003C2143" w:rsidP="003C2143">
      <w:pPr>
        <w:rPr>
          <w:rFonts w:ascii="Verdana" w:hAnsi="Verdana"/>
          <w:sz w:val="20"/>
          <w:szCs w:val="20"/>
          <w:lang w:val="es-ES"/>
        </w:rPr>
      </w:pPr>
    </w:p>
    <w:p w14:paraId="4C8946A2" w14:textId="77777777" w:rsidR="003C2143" w:rsidRPr="00D11632" w:rsidRDefault="003C2143" w:rsidP="003C2143">
      <w:pPr>
        <w:ind w:right="18"/>
        <w:jc w:val="right"/>
        <w:rPr>
          <w:rFonts w:ascii="Verdana" w:hAnsi="Verdana"/>
          <w:sz w:val="20"/>
          <w:szCs w:val="20"/>
          <w:lang w:val="es-ES"/>
        </w:rPr>
      </w:pPr>
      <w:r w:rsidRPr="00D11632">
        <w:rPr>
          <w:rFonts w:ascii="Verdana" w:hAnsi="Verdana"/>
          <w:sz w:val="20"/>
          <w:szCs w:val="20"/>
          <w:lang w:val="es-ES"/>
        </w:rPr>
        <w:t>Eduardo Vio Grossi</w:t>
      </w:r>
    </w:p>
    <w:p w14:paraId="496787A6" w14:textId="77777777" w:rsidR="003C2143" w:rsidRPr="00D11632" w:rsidRDefault="003C2143" w:rsidP="003C2143">
      <w:pPr>
        <w:ind w:right="738"/>
        <w:jc w:val="right"/>
        <w:rPr>
          <w:rFonts w:ascii="Verdana" w:hAnsi="Verdana"/>
          <w:sz w:val="20"/>
          <w:szCs w:val="20"/>
          <w:lang w:val="es-ES"/>
        </w:rPr>
      </w:pPr>
      <w:r w:rsidRPr="00D11632">
        <w:rPr>
          <w:rFonts w:ascii="Verdana" w:hAnsi="Verdana"/>
          <w:sz w:val="20"/>
          <w:szCs w:val="20"/>
          <w:lang w:val="es-ES"/>
        </w:rPr>
        <w:t>Juez</w:t>
      </w:r>
    </w:p>
    <w:p w14:paraId="23CBBA22" w14:textId="77777777" w:rsidR="003C2143" w:rsidRPr="00D11632" w:rsidRDefault="003C2143" w:rsidP="003C2143">
      <w:pPr>
        <w:jc w:val="right"/>
        <w:rPr>
          <w:rFonts w:ascii="Verdana" w:hAnsi="Verdana"/>
          <w:sz w:val="20"/>
          <w:szCs w:val="20"/>
          <w:lang w:val="es-ES"/>
        </w:rPr>
      </w:pPr>
    </w:p>
    <w:p w14:paraId="59B0611F" w14:textId="77777777" w:rsidR="003C2143" w:rsidRPr="00D11632" w:rsidRDefault="003C2143" w:rsidP="003C2143">
      <w:pPr>
        <w:jc w:val="right"/>
        <w:rPr>
          <w:rFonts w:ascii="Verdana" w:hAnsi="Verdana"/>
          <w:sz w:val="20"/>
          <w:szCs w:val="20"/>
          <w:lang w:val="es-ES"/>
        </w:rPr>
      </w:pPr>
    </w:p>
    <w:p w14:paraId="5E8AD9FF" w14:textId="77777777" w:rsidR="003C2143" w:rsidRPr="00D11632" w:rsidRDefault="003C2143" w:rsidP="003C2143">
      <w:pPr>
        <w:rPr>
          <w:rFonts w:ascii="Verdana" w:hAnsi="Verdana"/>
          <w:sz w:val="20"/>
          <w:szCs w:val="20"/>
          <w:lang w:val="es-ES"/>
        </w:rPr>
      </w:pPr>
    </w:p>
    <w:p w14:paraId="0FD9EF85" w14:textId="77777777" w:rsidR="003C2143" w:rsidRDefault="003C2143" w:rsidP="003C2143">
      <w:pPr>
        <w:rPr>
          <w:rFonts w:ascii="Verdana" w:hAnsi="Verdana"/>
          <w:b/>
          <w:sz w:val="20"/>
          <w:szCs w:val="20"/>
          <w:lang w:val="es-ES"/>
        </w:rPr>
      </w:pPr>
    </w:p>
    <w:p w14:paraId="36C679AA" w14:textId="77777777" w:rsidR="003C2143" w:rsidRDefault="003C2143" w:rsidP="003C2143">
      <w:pPr>
        <w:rPr>
          <w:rFonts w:ascii="Verdana" w:hAnsi="Verdana"/>
          <w:b/>
          <w:sz w:val="20"/>
          <w:szCs w:val="20"/>
          <w:lang w:val="es-ES"/>
        </w:rPr>
      </w:pPr>
    </w:p>
    <w:p w14:paraId="77363902" w14:textId="77777777" w:rsidR="003C2143" w:rsidRDefault="003C2143" w:rsidP="003C2143">
      <w:pPr>
        <w:rPr>
          <w:rFonts w:ascii="Verdana" w:hAnsi="Verdana"/>
          <w:b/>
          <w:sz w:val="20"/>
          <w:szCs w:val="20"/>
          <w:lang w:val="es-ES"/>
        </w:rPr>
      </w:pPr>
    </w:p>
    <w:p w14:paraId="76360227" w14:textId="77777777" w:rsidR="003C2143" w:rsidRDefault="003C2143" w:rsidP="003C2143">
      <w:pPr>
        <w:rPr>
          <w:rFonts w:ascii="Verdana" w:hAnsi="Verdana"/>
          <w:b/>
          <w:sz w:val="20"/>
          <w:szCs w:val="20"/>
          <w:lang w:val="es-ES"/>
        </w:rPr>
      </w:pPr>
    </w:p>
    <w:p w14:paraId="10FD78BF" w14:textId="77777777" w:rsidR="003C2143" w:rsidRDefault="003C2143" w:rsidP="003C2143">
      <w:pPr>
        <w:rPr>
          <w:rFonts w:ascii="Verdana" w:hAnsi="Verdana"/>
          <w:b/>
          <w:sz w:val="20"/>
          <w:szCs w:val="20"/>
          <w:lang w:val="es-ES"/>
        </w:rPr>
      </w:pPr>
    </w:p>
    <w:p w14:paraId="670E047C" w14:textId="77777777" w:rsidR="003C2143" w:rsidRDefault="003C2143" w:rsidP="003C2143">
      <w:pPr>
        <w:rPr>
          <w:rFonts w:ascii="Verdana" w:hAnsi="Verdana"/>
          <w:b/>
          <w:sz w:val="20"/>
          <w:szCs w:val="20"/>
          <w:lang w:val="es-ES"/>
        </w:rPr>
      </w:pPr>
    </w:p>
    <w:p w14:paraId="1FCF05BB" w14:textId="77777777" w:rsidR="003C2143" w:rsidRPr="00D11632" w:rsidRDefault="003C2143" w:rsidP="003C2143">
      <w:pPr>
        <w:rPr>
          <w:rFonts w:ascii="Verdana" w:hAnsi="Verdana"/>
          <w:sz w:val="20"/>
          <w:szCs w:val="20"/>
          <w:lang w:val="es-ES"/>
        </w:rPr>
      </w:pPr>
      <w:r w:rsidRPr="00D11632">
        <w:rPr>
          <w:rFonts w:ascii="Verdana" w:hAnsi="Verdana"/>
          <w:sz w:val="20"/>
          <w:szCs w:val="20"/>
          <w:lang w:val="es-ES"/>
        </w:rPr>
        <w:t>Pablo Saavedra Alessandri</w:t>
      </w:r>
    </w:p>
    <w:p w14:paraId="641B9400" w14:textId="77777777" w:rsidR="003C2143" w:rsidRPr="00D11632" w:rsidRDefault="003C2143" w:rsidP="003C2143">
      <w:pPr>
        <w:ind w:firstLine="720"/>
        <w:rPr>
          <w:rFonts w:ascii="Verdana" w:hAnsi="Verdana"/>
          <w:sz w:val="20"/>
          <w:szCs w:val="20"/>
          <w:lang w:val="es-ES"/>
        </w:rPr>
      </w:pPr>
      <w:r>
        <w:rPr>
          <w:rFonts w:ascii="Verdana" w:hAnsi="Verdana"/>
          <w:sz w:val="20"/>
          <w:szCs w:val="20"/>
          <w:lang w:val="es-ES"/>
        </w:rPr>
        <w:t xml:space="preserve">  </w:t>
      </w:r>
      <w:r w:rsidRPr="00D11632">
        <w:rPr>
          <w:rFonts w:ascii="Verdana" w:hAnsi="Verdana"/>
          <w:sz w:val="20"/>
          <w:szCs w:val="20"/>
          <w:lang w:val="es-ES"/>
        </w:rPr>
        <w:t>Secretario</w:t>
      </w:r>
    </w:p>
    <w:p w14:paraId="11099F44" w14:textId="77777777" w:rsidR="003C2143" w:rsidRPr="00CF7FE6" w:rsidRDefault="003C2143" w:rsidP="003C2143">
      <w:pPr>
        <w:rPr>
          <w:rFonts w:ascii="Verdana" w:hAnsi="Verdana"/>
          <w:sz w:val="20"/>
          <w:szCs w:val="20"/>
          <w:lang w:val="es-ES"/>
        </w:rPr>
      </w:pPr>
    </w:p>
    <w:p w14:paraId="41B8A820" w14:textId="77777777" w:rsidR="00E70701" w:rsidRPr="003C2143" w:rsidRDefault="00E70701" w:rsidP="00324758">
      <w:pPr>
        <w:pStyle w:val="ListParagraph"/>
        <w:widowControl w:val="0"/>
        <w:tabs>
          <w:tab w:val="center" w:pos="567"/>
        </w:tabs>
        <w:autoSpaceDE w:val="0"/>
        <w:autoSpaceDN w:val="0"/>
        <w:adjustRightInd w:val="0"/>
        <w:ind w:left="0" w:right="-90"/>
        <w:jc w:val="both"/>
        <w:rPr>
          <w:rFonts w:ascii="Verdana" w:hAnsi="Verdana"/>
          <w:sz w:val="20"/>
          <w:szCs w:val="20"/>
          <w:lang w:val="es-ES"/>
        </w:rPr>
        <w:sectPr w:rsidR="00E70701" w:rsidRPr="003C2143" w:rsidSect="00F83E8F">
          <w:footnotePr>
            <w:numRestart w:val="eachSect"/>
          </w:footnotePr>
          <w:pgSz w:w="12240" w:h="15840" w:code="1"/>
          <w:pgMar w:top="1247" w:right="1247" w:bottom="1247" w:left="1247" w:header="709" w:footer="709" w:gutter="0"/>
          <w:pgNumType w:start="1"/>
          <w:cols w:space="708"/>
          <w:titlePg/>
          <w:docGrid w:linePitch="360"/>
        </w:sectPr>
      </w:pPr>
    </w:p>
    <w:p w14:paraId="73C0FB23" w14:textId="77777777" w:rsidR="00E70701" w:rsidRDefault="00E70701" w:rsidP="00C44F79">
      <w:pPr>
        <w:tabs>
          <w:tab w:val="left" w:pos="709"/>
        </w:tabs>
        <w:jc w:val="center"/>
        <w:rPr>
          <w:rFonts w:ascii="Verdana" w:hAnsi="Verdana"/>
          <w:b/>
          <w:sz w:val="20"/>
          <w:szCs w:val="20"/>
          <w:lang w:val="es-CR"/>
        </w:rPr>
      </w:pPr>
    </w:p>
    <w:p w14:paraId="4D6F6F91" w14:textId="77777777" w:rsidR="00E70701" w:rsidRDefault="00E70701" w:rsidP="00C44F79">
      <w:pPr>
        <w:tabs>
          <w:tab w:val="left" w:pos="709"/>
        </w:tabs>
        <w:jc w:val="center"/>
        <w:rPr>
          <w:rFonts w:ascii="Verdana" w:hAnsi="Verdana"/>
          <w:b/>
          <w:sz w:val="20"/>
          <w:szCs w:val="20"/>
          <w:lang w:val="es-CR"/>
        </w:rPr>
      </w:pPr>
      <w:r w:rsidRPr="008E47DC">
        <w:rPr>
          <w:rFonts w:ascii="Verdana" w:hAnsi="Verdana"/>
          <w:b/>
          <w:sz w:val="20"/>
          <w:szCs w:val="20"/>
          <w:lang w:val="es-CR"/>
        </w:rPr>
        <w:t xml:space="preserve">VOTO PARCIALMENTE DISIDENTE DEL </w:t>
      </w:r>
    </w:p>
    <w:p w14:paraId="4717DF46" w14:textId="77777777" w:rsidR="00E70701" w:rsidRPr="008E47DC" w:rsidRDefault="00E70701" w:rsidP="00C44F79">
      <w:pPr>
        <w:tabs>
          <w:tab w:val="left" w:pos="709"/>
        </w:tabs>
        <w:jc w:val="center"/>
        <w:rPr>
          <w:rFonts w:ascii="Verdana" w:hAnsi="Verdana"/>
          <w:b/>
          <w:sz w:val="20"/>
          <w:szCs w:val="20"/>
          <w:lang w:val="es-CR"/>
        </w:rPr>
      </w:pPr>
      <w:r w:rsidRPr="008E47DC">
        <w:rPr>
          <w:rFonts w:ascii="Verdana" w:hAnsi="Verdana"/>
          <w:b/>
          <w:sz w:val="20"/>
          <w:szCs w:val="20"/>
          <w:lang w:val="es-CR"/>
        </w:rPr>
        <w:t>JUEZ HUMBERTO ANTONIO SIERRA PORTO</w:t>
      </w:r>
    </w:p>
    <w:p w14:paraId="79DD52D9" w14:textId="77777777" w:rsidR="00E70701" w:rsidRPr="008E47DC" w:rsidRDefault="00E70701" w:rsidP="00C44F79">
      <w:pPr>
        <w:tabs>
          <w:tab w:val="left" w:pos="709"/>
        </w:tabs>
        <w:jc w:val="center"/>
        <w:rPr>
          <w:rFonts w:ascii="Verdana" w:hAnsi="Verdana"/>
          <w:b/>
          <w:sz w:val="20"/>
          <w:szCs w:val="20"/>
          <w:lang w:val="es-CR"/>
        </w:rPr>
      </w:pPr>
    </w:p>
    <w:p w14:paraId="3AC0478B" w14:textId="77777777" w:rsidR="00E70701" w:rsidRPr="008E47DC" w:rsidRDefault="00E70701" w:rsidP="00C44F79">
      <w:pPr>
        <w:tabs>
          <w:tab w:val="left" w:pos="709"/>
        </w:tabs>
        <w:jc w:val="center"/>
        <w:rPr>
          <w:rFonts w:ascii="Verdana" w:hAnsi="Verdana"/>
          <w:b/>
          <w:sz w:val="20"/>
          <w:szCs w:val="20"/>
          <w:lang w:val="es-CR"/>
        </w:rPr>
      </w:pPr>
      <w:r w:rsidRPr="008E47DC">
        <w:rPr>
          <w:rFonts w:ascii="Verdana" w:hAnsi="Verdana"/>
          <w:b/>
          <w:sz w:val="20"/>
          <w:szCs w:val="20"/>
          <w:lang w:val="es-CR"/>
        </w:rPr>
        <w:t>SENTENCIA DE LA CORTE INTERAMERICANA DE DERECHOS HUMANOS</w:t>
      </w:r>
    </w:p>
    <w:p w14:paraId="7D856AF2" w14:textId="77777777" w:rsidR="00E70701" w:rsidRPr="008E47DC" w:rsidRDefault="00E70701" w:rsidP="00C44F79">
      <w:pPr>
        <w:tabs>
          <w:tab w:val="left" w:pos="709"/>
        </w:tabs>
        <w:jc w:val="center"/>
        <w:rPr>
          <w:rFonts w:ascii="Verdana" w:hAnsi="Verdana"/>
          <w:b/>
          <w:sz w:val="20"/>
          <w:szCs w:val="20"/>
          <w:lang w:val="es-CR"/>
        </w:rPr>
      </w:pPr>
    </w:p>
    <w:p w14:paraId="0264C2C0" w14:textId="77777777" w:rsidR="00E70701" w:rsidRPr="008E47DC" w:rsidRDefault="00E70701" w:rsidP="00C44F79">
      <w:pPr>
        <w:tabs>
          <w:tab w:val="left" w:pos="709"/>
        </w:tabs>
        <w:jc w:val="center"/>
        <w:rPr>
          <w:rFonts w:ascii="Verdana" w:hAnsi="Verdana" w:cs="Verdana Bold"/>
          <w:b/>
          <w:bCs/>
          <w:caps/>
          <w:sz w:val="20"/>
          <w:szCs w:val="20"/>
        </w:rPr>
      </w:pPr>
      <w:r w:rsidRPr="008E47DC">
        <w:rPr>
          <w:rFonts w:ascii="Verdana" w:eastAsia="MS Mincho" w:hAnsi="Verdana"/>
          <w:b/>
          <w:sz w:val="20"/>
          <w:szCs w:val="20"/>
        </w:rPr>
        <w:t xml:space="preserve">CASO LAGOS DEL CAMPO </w:t>
      </w:r>
      <w:r w:rsidRPr="008E47DC">
        <w:rPr>
          <w:rFonts w:ascii="Verdana" w:eastAsia="MS Mincho" w:hAnsi="Verdana"/>
          <w:b/>
          <w:i/>
          <w:sz w:val="20"/>
          <w:szCs w:val="20"/>
        </w:rPr>
        <w:t>VS</w:t>
      </w:r>
      <w:r w:rsidRPr="008E47DC">
        <w:rPr>
          <w:rFonts w:ascii="Verdana" w:eastAsia="MS Mincho" w:hAnsi="Verdana"/>
          <w:b/>
          <w:sz w:val="20"/>
          <w:szCs w:val="20"/>
        </w:rPr>
        <w:t>. PERÚ</w:t>
      </w:r>
    </w:p>
    <w:p w14:paraId="6E8FE463" w14:textId="77777777" w:rsidR="00E70701" w:rsidRPr="008E47DC" w:rsidRDefault="00E70701" w:rsidP="00C44F79">
      <w:pPr>
        <w:tabs>
          <w:tab w:val="left" w:pos="709"/>
        </w:tabs>
        <w:jc w:val="center"/>
        <w:rPr>
          <w:rFonts w:ascii="Verdana" w:hAnsi="Verdana"/>
          <w:b/>
          <w:sz w:val="20"/>
          <w:szCs w:val="20"/>
          <w:lang w:val="es-CR"/>
        </w:rPr>
      </w:pPr>
    </w:p>
    <w:p w14:paraId="2139A35A" w14:textId="77777777" w:rsidR="00E70701" w:rsidRPr="008E47DC" w:rsidRDefault="00E70701" w:rsidP="00C44F79">
      <w:pPr>
        <w:tabs>
          <w:tab w:val="left" w:pos="709"/>
        </w:tabs>
        <w:jc w:val="center"/>
        <w:rPr>
          <w:rFonts w:ascii="Verdana" w:hAnsi="Verdana"/>
          <w:b/>
          <w:sz w:val="20"/>
          <w:szCs w:val="20"/>
          <w:lang w:val="es-CR"/>
        </w:rPr>
      </w:pPr>
      <w:r w:rsidRPr="008E47DC">
        <w:rPr>
          <w:rFonts w:ascii="Verdana" w:hAnsi="Verdana"/>
          <w:b/>
          <w:sz w:val="20"/>
          <w:szCs w:val="20"/>
          <w:lang w:val="es-CR"/>
        </w:rPr>
        <w:t>SENTENCIA DE 31 DE AGOSTO DE 2017</w:t>
      </w:r>
    </w:p>
    <w:p w14:paraId="3B3C87FE" w14:textId="77777777" w:rsidR="00E70701" w:rsidRPr="008E47DC" w:rsidRDefault="00E70701" w:rsidP="00C44F79">
      <w:pPr>
        <w:tabs>
          <w:tab w:val="left" w:pos="709"/>
        </w:tabs>
        <w:jc w:val="center"/>
        <w:rPr>
          <w:rFonts w:ascii="Verdana" w:hAnsi="Verdana"/>
          <w:b/>
          <w:sz w:val="20"/>
          <w:szCs w:val="20"/>
          <w:lang w:val="es-CR"/>
        </w:rPr>
      </w:pPr>
    </w:p>
    <w:p w14:paraId="1C39DC04" w14:textId="77777777" w:rsidR="00E70701" w:rsidRPr="00C24C47" w:rsidRDefault="00E70701" w:rsidP="00C44F79">
      <w:pPr>
        <w:tabs>
          <w:tab w:val="left" w:pos="709"/>
        </w:tabs>
        <w:jc w:val="center"/>
        <w:rPr>
          <w:rFonts w:ascii="Verdana" w:hAnsi="Verdana"/>
          <w:b/>
          <w:i/>
          <w:sz w:val="20"/>
          <w:szCs w:val="20"/>
          <w:lang w:val="es-CR"/>
        </w:rPr>
      </w:pPr>
      <w:r w:rsidRPr="00C24C47">
        <w:rPr>
          <w:rFonts w:ascii="Verdana" w:hAnsi="Verdana"/>
          <w:b/>
          <w:i/>
          <w:sz w:val="20"/>
          <w:szCs w:val="20"/>
          <w:lang w:val="es-CR"/>
        </w:rPr>
        <w:t>(Excepciones Preliminares, Fondo, Reparaciones y Costas)</w:t>
      </w:r>
    </w:p>
    <w:p w14:paraId="72BA3687" w14:textId="77777777" w:rsidR="00E70701" w:rsidRDefault="00E70701" w:rsidP="00C44F79">
      <w:pPr>
        <w:jc w:val="both"/>
        <w:rPr>
          <w:rFonts w:ascii="Verdana" w:hAnsi="Verdana" w:cs="Arial"/>
          <w:sz w:val="20"/>
          <w:szCs w:val="20"/>
        </w:rPr>
      </w:pPr>
    </w:p>
    <w:p w14:paraId="6CCAD845" w14:textId="77777777" w:rsidR="00E70701" w:rsidRDefault="00E70701" w:rsidP="00C44F79">
      <w:pPr>
        <w:jc w:val="both"/>
        <w:rPr>
          <w:rFonts w:ascii="Verdana" w:hAnsi="Verdana" w:cs="Arial"/>
          <w:sz w:val="20"/>
          <w:szCs w:val="20"/>
        </w:rPr>
      </w:pPr>
      <w:r>
        <w:rPr>
          <w:rFonts w:ascii="Verdana" w:hAnsi="Verdana" w:cs="Arial"/>
          <w:sz w:val="20"/>
          <w:szCs w:val="20"/>
        </w:rPr>
        <w:t>Con el acostumbrado respeto por las decisiones de la Corte, me permito formular a continuación el presente voto parcialmente disidente en el caso de la referencia. Para efectos del desarrollo de esta posición seguiremos el siguiente orden:</w:t>
      </w:r>
    </w:p>
    <w:p w14:paraId="3CD7B93E" w14:textId="77777777" w:rsidR="00E70701" w:rsidRPr="008E47DC" w:rsidRDefault="00E70701" w:rsidP="00C44F79">
      <w:pPr>
        <w:jc w:val="both"/>
        <w:rPr>
          <w:rFonts w:ascii="Verdana" w:hAnsi="Verdana" w:cs="Arial"/>
          <w:sz w:val="20"/>
          <w:szCs w:val="20"/>
        </w:rPr>
      </w:pPr>
    </w:p>
    <w:p w14:paraId="3AEA41D6" w14:textId="77777777" w:rsidR="00E70701" w:rsidRPr="00966D31" w:rsidRDefault="00E70701" w:rsidP="00E70701">
      <w:pPr>
        <w:pStyle w:val="ListParagraph"/>
        <w:numPr>
          <w:ilvl w:val="0"/>
          <w:numId w:val="36"/>
        </w:numPr>
        <w:jc w:val="both"/>
        <w:rPr>
          <w:rFonts w:ascii="Verdana" w:hAnsi="Verdana" w:cs="Arial"/>
          <w:b/>
          <w:sz w:val="20"/>
          <w:szCs w:val="20"/>
        </w:rPr>
      </w:pPr>
      <w:r w:rsidRPr="00966D31">
        <w:rPr>
          <w:rFonts w:ascii="Verdana" w:hAnsi="Verdana" w:cs="Arial"/>
          <w:b/>
          <w:sz w:val="20"/>
          <w:szCs w:val="20"/>
        </w:rPr>
        <w:t>INTRODUCCIÓN</w:t>
      </w:r>
    </w:p>
    <w:p w14:paraId="47EC7F11" w14:textId="77777777" w:rsidR="00E70701" w:rsidRDefault="00E70701" w:rsidP="00C44F79">
      <w:pPr>
        <w:jc w:val="both"/>
        <w:rPr>
          <w:rFonts w:ascii="Verdana" w:hAnsi="Verdana" w:cs="Arial"/>
          <w:sz w:val="20"/>
          <w:szCs w:val="20"/>
        </w:rPr>
      </w:pPr>
    </w:p>
    <w:p w14:paraId="56D37E39" w14:textId="77777777" w:rsidR="00E7070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cs="Arial"/>
          <w:sz w:val="20"/>
          <w:szCs w:val="20"/>
        </w:rPr>
        <w:t xml:space="preserve">El presente voto parcialmente disidente tiene la intención de presentar de forma detallada las razones por las cuales voté en contra del punto resolutivo quinto en la Sentencia del </w:t>
      </w:r>
      <w:r>
        <w:rPr>
          <w:rFonts w:ascii="Verdana" w:hAnsi="Verdana" w:cs="Arial"/>
          <w:i/>
          <w:sz w:val="20"/>
          <w:szCs w:val="20"/>
        </w:rPr>
        <w:t>C</w:t>
      </w:r>
      <w:r w:rsidRPr="00C24C47">
        <w:rPr>
          <w:rFonts w:ascii="Verdana" w:hAnsi="Verdana" w:cs="Arial"/>
          <w:i/>
          <w:sz w:val="20"/>
          <w:szCs w:val="20"/>
        </w:rPr>
        <w:t>aso Lagos del Campo Vs. Perú</w:t>
      </w:r>
      <w:r w:rsidRPr="00966D31">
        <w:rPr>
          <w:rFonts w:ascii="Verdana" w:hAnsi="Verdana" w:cs="Arial"/>
          <w:sz w:val="20"/>
          <w:szCs w:val="20"/>
        </w:rPr>
        <w:t xml:space="preserve">. En efecto, mi posición respecto a hacer justiciables los denominados derechos económicos, sociales y culturales (DESC) a través de una aplicación directa del artículo 26 de la Convención Americana sobre Derechos Humanos (CADH), ya es conocida, dado que hace dos años presenté un voto concurrente sobre la materia en el </w:t>
      </w:r>
      <w:r w:rsidRPr="00C24C47">
        <w:rPr>
          <w:rFonts w:ascii="Verdana" w:hAnsi="Verdana" w:cs="Arial"/>
          <w:i/>
          <w:sz w:val="20"/>
          <w:szCs w:val="20"/>
        </w:rPr>
        <w:t xml:space="preserve">Caso González </w:t>
      </w:r>
      <w:proofErr w:type="spellStart"/>
      <w:r w:rsidRPr="00C24C47">
        <w:rPr>
          <w:rFonts w:ascii="Verdana" w:hAnsi="Verdana" w:cs="Arial"/>
          <w:i/>
          <w:sz w:val="20"/>
          <w:szCs w:val="20"/>
        </w:rPr>
        <w:t>Lluy</w:t>
      </w:r>
      <w:proofErr w:type="spellEnd"/>
      <w:r w:rsidRPr="00C24C47">
        <w:rPr>
          <w:rFonts w:ascii="Verdana" w:hAnsi="Verdana" w:cs="Arial"/>
          <w:i/>
          <w:sz w:val="20"/>
          <w:szCs w:val="20"/>
        </w:rPr>
        <w:t xml:space="preserve"> y otros Vs. Ecuador</w:t>
      </w:r>
      <w:r w:rsidRPr="00966D31">
        <w:rPr>
          <w:rFonts w:ascii="Verdana" w:hAnsi="Verdana" w:cs="Arial"/>
          <w:sz w:val="20"/>
          <w:szCs w:val="20"/>
        </w:rPr>
        <w:t xml:space="preserve">. En aquella oportunidad, </w:t>
      </w:r>
      <w:r>
        <w:rPr>
          <w:rFonts w:ascii="Verdana" w:hAnsi="Verdana" w:cs="Arial"/>
          <w:sz w:val="20"/>
          <w:szCs w:val="20"/>
        </w:rPr>
        <w:t>indique</w:t>
      </w:r>
      <w:r w:rsidRPr="00966D31">
        <w:rPr>
          <w:rFonts w:ascii="Verdana" w:hAnsi="Verdana" w:cs="Arial"/>
          <w:sz w:val="20"/>
          <w:szCs w:val="20"/>
        </w:rPr>
        <w:t xml:space="preserve"> los argumentos jurídicos que sustentan mi posición con la esperanza de que estos fuesen parte del debate interno y externo que se ha dado sobre la aplicabilidad del citado artículo de la Convención, pero también con </w:t>
      </w:r>
      <w:r>
        <w:rPr>
          <w:rFonts w:ascii="Verdana" w:hAnsi="Verdana" w:cs="Arial"/>
          <w:sz w:val="20"/>
          <w:szCs w:val="20"/>
        </w:rPr>
        <w:t>el propósito</w:t>
      </w:r>
      <w:r w:rsidRPr="00966D31">
        <w:rPr>
          <w:rFonts w:ascii="Verdana" w:hAnsi="Verdana" w:cs="Arial"/>
          <w:sz w:val="20"/>
          <w:szCs w:val="20"/>
        </w:rPr>
        <w:t xml:space="preserve"> de disuadir a quienes abogaban a favor del paso que la Corte IDH ha dado en esta Sentencia.</w:t>
      </w:r>
    </w:p>
    <w:p w14:paraId="0A9E42C0" w14:textId="77777777" w:rsidR="00E70701" w:rsidRDefault="00E70701" w:rsidP="00C44F79">
      <w:pPr>
        <w:pStyle w:val="ListParagraph"/>
        <w:ind w:left="0"/>
        <w:jc w:val="both"/>
        <w:rPr>
          <w:rFonts w:ascii="Verdana" w:hAnsi="Verdana" w:cs="Arial"/>
          <w:sz w:val="20"/>
          <w:szCs w:val="20"/>
        </w:rPr>
      </w:pPr>
    </w:p>
    <w:p w14:paraId="747384C2"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 xml:space="preserve">Lo anterior no significa que sea contrario en general a la tesis de que los DESC son derechos justiciables, por el contrario, durante mi paso por la Corte Constitucional colombiana tuve oportunidad de contribuir al desarrollo de líneas jurisprudenciales relacionadas con el carácter de derechos fundamentales y por lo tanto la exigibilidad mediante la acción de tutela del derecho a la salud, el derecho a la vivienda digna, el derecho al agua potable y el derecho a la seguridad social, entre otros. No obstante, considero que existen diferencias sustanciales entre la Constitución Colombiana y la CADH, por una parte, y entre el rol de un juez de un tribunal constitucional y el papel que corresponde a un juez que hace parte de un tribunal internacional de derechos humanos, por otra parte. </w:t>
      </w:r>
    </w:p>
    <w:p w14:paraId="0EB8EB7C" w14:textId="77777777" w:rsidR="00E70701" w:rsidRPr="000F5A5E" w:rsidRDefault="00E70701" w:rsidP="00C44F79">
      <w:pPr>
        <w:pStyle w:val="ListParagraph"/>
        <w:rPr>
          <w:rFonts w:ascii="Verdana" w:hAnsi="Verdana" w:cs="Arial"/>
          <w:sz w:val="20"/>
          <w:szCs w:val="20"/>
        </w:rPr>
      </w:pPr>
    </w:p>
    <w:p w14:paraId="0EBE0F78" w14:textId="32FC768D" w:rsidR="00E70701" w:rsidRPr="00705592" w:rsidRDefault="00E70701" w:rsidP="00C44F79">
      <w:pPr>
        <w:pStyle w:val="ListParagraph"/>
        <w:numPr>
          <w:ilvl w:val="0"/>
          <w:numId w:val="37"/>
        </w:numPr>
        <w:ind w:left="0" w:firstLine="0"/>
        <w:jc w:val="both"/>
        <w:rPr>
          <w:rFonts w:ascii="Verdana" w:hAnsi="Verdana" w:cs="Arial"/>
          <w:sz w:val="20"/>
          <w:szCs w:val="20"/>
        </w:rPr>
      </w:pPr>
      <w:r w:rsidRPr="00705592">
        <w:rPr>
          <w:rFonts w:ascii="Verdana" w:hAnsi="Verdana" w:cs="Arial"/>
          <w:sz w:val="20"/>
          <w:szCs w:val="20"/>
        </w:rPr>
        <w:t xml:space="preserve">Asimismo de mi experiencia como juez de un tribunal nacional cuya trayectoria en la </w:t>
      </w:r>
      <w:proofErr w:type="spellStart"/>
      <w:r w:rsidRPr="00705592">
        <w:rPr>
          <w:rFonts w:ascii="Verdana" w:hAnsi="Verdana" w:cs="Arial"/>
          <w:sz w:val="20"/>
          <w:szCs w:val="20"/>
        </w:rPr>
        <w:t>justiciabilidad</w:t>
      </w:r>
      <w:proofErr w:type="spellEnd"/>
      <w:r w:rsidRPr="00705592">
        <w:rPr>
          <w:rFonts w:ascii="Verdana" w:hAnsi="Verdana" w:cs="Arial"/>
          <w:sz w:val="20"/>
          <w:szCs w:val="20"/>
        </w:rPr>
        <w:t xml:space="preserve"> directa de los DESC es ampliamente conocida, me queda la clara percepción de las dificultades que supone que un órgano judicial asuma competencias en esta materia, pues aunque no siempre la protección de estos derechos supone la adopción de políticas públicas o tomar decisiones sobre bienes escasos o meritorios, en numerosos casos sometidos a conocimiento de una autoridad judicial si se requiere, lo que indefectiblemente conduce al debate sobre del rol de los jueces en un Estado social de derecho y sobre cuál es el órgano legitimado para adoptar estas decisiones en un sistema democrático.</w:t>
      </w:r>
    </w:p>
    <w:p w14:paraId="2C64351A" w14:textId="77777777" w:rsidR="00E70701" w:rsidRPr="000F5A5E" w:rsidRDefault="00E70701" w:rsidP="00C44F79">
      <w:pPr>
        <w:pStyle w:val="ListParagraph"/>
        <w:rPr>
          <w:rFonts w:ascii="Verdana" w:hAnsi="Verdana" w:cs="Arial"/>
          <w:sz w:val="20"/>
          <w:szCs w:val="20"/>
        </w:rPr>
      </w:pPr>
    </w:p>
    <w:p w14:paraId="1B55FD5D" w14:textId="77777777" w:rsidR="00E70701" w:rsidRPr="00966D3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cs="Arial"/>
          <w:sz w:val="20"/>
          <w:szCs w:val="20"/>
        </w:rPr>
        <w:t>En este sentido, contin</w:t>
      </w:r>
      <w:r>
        <w:rPr>
          <w:rFonts w:ascii="Verdana" w:hAnsi="Verdana" w:cs="Arial"/>
          <w:sz w:val="20"/>
          <w:szCs w:val="20"/>
        </w:rPr>
        <w:t>úo</w:t>
      </w:r>
      <w:r w:rsidRPr="00966D31">
        <w:rPr>
          <w:rFonts w:ascii="Verdana" w:hAnsi="Verdana" w:cs="Arial"/>
          <w:sz w:val="20"/>
          <w:szCs w:val="20"/>
        </w:rPr>
        <w:t xml:space="preserve"> convencido de que </w:t>
      </w:r>
      <w:r>
        <w:rPr>
          <w:rFonts w:ascii="Verdana" w:hAnsi="Verdana" w:cs="Arial"/>
          <w:sz w:val="20"/>
          <w:szCs w:val="20"/>
        </w:rPr>
        <w:t xml:space="preserve">en el marco del sistema interamericano de protección de los derechos humanos </w:t>
      </w:r>
      <w:r w:rsidRPr="00966D31">
        <w:rPr>
          <w:rFonts w:ascii="Verdana" w:hAnsi="Verdana" w:cs="Arial"/>
          <w:sz w:val="20"/>
          <w:szCs w:val="20"/>
        </w:rPr>
        <w:t xml:space="preserve">la </w:t>
      </w:r>
      <w:proofErr w:type="spellStart"/>
      <w:r w:rsidRPr="00966D31">
        <w:rPr>
          <w:rFonts w:ascii="Verdana" w:hAnsi="Verdana" w:cs="Arial"/>
          <w:sz w:val="20"/>
          <w:szCs w:val="20"/>
        </w:rPr>
        <w:t>justiciabilidad</w:t>
      </w:r>
      <w:proofErr w:type="spellEnd"/>
      <w:r w:rsidRPr="00966D31">
        <w:rPr>
          <w:rFonts w:ascii="Verdana" w:hAnsi="Verdana" w:cs="Arial"/>
          <w:sz w:val="20"/>
          <w:szCs w:val="20"/>
        </w:rPr>
        <w:t xml:space="preserve"> de los DESC no debe realizarse por medio de la aplicación directa del artículo 26 de la CADH, como se efectuó en este presente caso, por lo que a continuación estableceré los fundamentos de posición. Para ello, en este voto: i) reiteraré las razones generales por las cuales no estoy de acuerdo con la </w:t>
      </w:r>
      <w:proofErr w:type="spellStart"/>
      <w:r w:rsidRPr="00966D31">
        <w:rPr>
          <w:rFonts w:ascii="Verdana" w:hAnsi="Verdana" w:cs="Arial"/>
          <w:sz w:val="20"/>
          <w:szCs w:val="20"/>
        </w:rPr>
        <w:t>justiciabilidad</w:t>
      </w:r>
      <w:proofErr w:type="spellEnd"/>
      <w:r w:rsidRPr="00966D31">
        <w:rPr>
          <w:rFonts w:ascii="Verdana" w:hAnsi="Verdana" w:cs="Arial"/>
          <w:sz w:val="20"/>
          <w:szCs w:val="20"/>
        </w:rPr>
        <w:t xml:space="preserve"> de los </w:t>
      </w:r>
      <w:r w:rsidRPr="00966D31">
        <w:rPr>
          <w:rFonts w:ascii="Verdana" w:hAnsi="Verdana" w:cs="Arial"/>
          <w:sz w:val="20"/>
          <w:szCs w:val="20"/>
        </w:rPr>
        <w:lastRenderedPageBreak/>
        <w:t>DESC a partir del artículo 26 de conformidad con el voto concurrente que ya había presentado en el pasado y añadiré las preocupaciones que esta Sentencia me genera al respecto; ii) señalaré el por qué, a mi pa</w:t>
      </w:r>
      <w:r>
        <w:rPr>
          <w:rFonts w:ascii="Verdana" w:hAnsi="Verdana" w:cs="Arial"/>
          <w:sz w:val="20"/>
          <w:szCs w:val="20"/>
        </w:rPr>
        <w:t>recer, este caso en particular no es pertinente</w:t>
      </w:r>
      <w:r w:rsidRPr="00966D31">
        <w:rPr>
          <w:rFonts w:ascii="Verdana" w:hAnsi="Verdana" w:cs="Arial"/>
          <w:sz w:val="20"/>
          <w:szCs w:val="20"/>
        </w:rPr>
        <w:t xml:space="preserve"> para arribar a una declaración de la vulneración del artículo 26 de la CADH y ni siquiera para entrar en este debate, y iii) indicaré las falencias argumentativas de la Sentencia que </w:t>
      </w:r>
      <w:r>
        <w:rPr>
          <w:rFonts w:ascii="Verdana" w:hAnsi="Verdana" w:cs="Arial"/>
          <w:sz w:val="20"/>
          <w:szCs w:val="20"/>
        </w:rPr>
        <w:t>hacen de é</w:t>
      </w:r>
      <w:r w:rsidRPr="00966D31">
        <w:rPr>
          <w:rFonts w:ascii="Verdana" w:hAnsi="Verdana" w:cs="Arial"/>
          <w:sz w:val="20"/>
          <w:szCs w:val="20"/>
        </w:rPr>
        <w:t>ste un precedente muy delicado en el marco de la jurisprudencia de la Corte IDH.</w:t>
      </w:r>
    </w:p>
    <w:p w14:paraId="4CE5A73C" w14:textId="77777777" w:rsidR="00E70701" w:rsidRDefault="00E70701" w:rsidP="00C44F79">
      <w:pPr>
        <w:jc w:val="both"/>
        <w:rPr>
          <w:rFonts w:ascii="Verdana" w:hAnsi="Verdana" w:cs="Arial"/>
          <w:sz w:val="20"/>
          <w:szCs w:val="20"/>
        </w:rPr>
      </w:pPr>
    </w:p>
    <w:p w14:paraId="214D8975" w14:textId="77777777" w:rsidR="00E70701" w:rsidRPr="00966D31" w:rsidRDefault="00E70701" w:rsidP="00E70701">
      <w:pPr>
        <w:pStyle w:val="ListParagraph"/>
        <w:numPr>
          <w:ilvl w:val="0"/>
          <w:numId w:val="36"/>
        </w:numPr>
        <w:jc w:val="both"/>
        <w:rPr>
          <w:rFonts w:ascii="Verdana" w:hAnsi="Verdana" w:cs="Arial"/>
          <w:b/>
          <w:sz w:val="20"/>
          <w:szCs w:val="20"/>
        </w:rPr>
      </w:pPr>
      <w:r w:rsidRPr="00966D31">
        <w:rPr>
          <w:rFonts w:ascii="Verdana" w:hAnsi="Verdana" w:cs="Arial"/>
          <w:b/>
          <w:sz w:val="20"/>
          <w:szCs w:val="20"/>
        </w:rPr>
        <w:t xml:space="preserve">ARGUMENTOS PRINCIPALES EN CONTRA DE LA JUSTICIABILIDAD DIRECTA </w:t>
      </w:r>
      <w:r>
        <w:rPr>
          <w:rFonts w:ascii="Verdana" w:hAnsi="Verdana" w:cs="Arial"/>
          <w:b/>
          <w:sz w:val="20"/>
          <w:szCs w:val="20"/>
        </w:rPr>
        <w:t xml:space="preserve">DE LOS DESC A PARTIR </w:t>
      </w:r>
      <w:r w:rsidRPr="00966D31">
        <w:rPr>
          <w:rFonts w:ascii="Verdana" w:hAnsi="Verdana" w:cs="Arial"/>
          <w:b/>
          <w:sz w:val="20"/>
          <w:szCs w:val="20"/>
        </w:rPr>
        <w:t>DEL ARTÍCULO 26 DE LA CADH</w:t>
      </w:r>
    </w:p>
    <w:p w14:paraId="369F0D1E" w14:textId="77777777" w:rsidR="00E70701" w:rsidRPr="00CB59B1" w:rsidRDefault="00E70701" w:rsidP="00C44F79">
      <w:pPr>
        <w:pStyle w:val="ListParagraph"/>
        <w:jc w:val="both"/>
        <w:rPr>
          <w:rFonts w:ascii="Verdana" w:hAnsi="Verdana" w:cs="Arial"/>
          <w:b/>
          <w:sz w:val="20"/>
          <w:szCs w:val="20"/>
        </w:rPr>
      </w:pPr>
    </w:p>
    <w:p w14:paraId="0EC719E8" w14:textId="77777777" w:rsidR="00E7070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cs="Arial"/>
          <w:sz w:val="20"/>
          <w:szCs w:val="20"/>
        </w:rPr>
        <w:t xml:space="preserve">Debido a que en el mencionado voto concurrente hice una explicación </w:t>
      </w:r>
      <w:r>
        <w:rPr>
          <w:rFonts w:ascii="Verdana" w:hAnsi="Verdana" w:cs="Arial"/>
          <w:sz w:val="20"/>
          <w:szCs w:val="20"/>
        </w:rPr>
        <w:t>amplia</w:t>
      </w:r>
      <w:r w:rsidRPr="00966D31">
        <w:rPr>
          <w:rFonts w:ascii="Verdana" w:hAnsi="Verdana" w:cs="Arial"/>
          <w:sz w:val="20"/>
          <w:szCs w:val="20"/>
        </w:rPr>
        <w:t xml:space="preserve"> de cada argumento que sustenta mi posición, estimo que no es pertinente reproducirlos nuevamente de forma extensa, por lo que me centraré en las conclusiones y reflexiones más relevantes de dicho escrito.</w:t>
      </w:r>
    </w:p>
    <w:p w14:paraId="0739A33D" w14:textId="77777777" w:rsidR="00E70701" w:rsidRDefault="00E70701" w:rsidP="00C44F79">
      <w:pPr>
        <w:pStyle w:val="ListParagraph"/>
        <w:ind w:left="0"/>
        <w:jc w:val="both"/>
        <w:rPr>
          <w:rFonts w:ascii="Verdana" w:hAnsi="Verdana" w:cs="Arial"/>
          <w:sz w:val="20"/>
          <w:szCs w:val="20"/>
        </w:rPr>
      </w:pPr>
    </w:p>
    <w:p w14:paraId="4938195A" w14:textId="77777777" w:rsidR="00E70701" w:rsidRPr="00966D3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cs="Arial"/>
          <w:sz w:val="20"/>
          <w:szCs w:val="20"/>
        </w:rPr>
        <w:t>Sin embargo y de manera preliminar, deseo reiterar que mi posición sobre la competencia de la Corte IDH no debe ser entendida como una forma de negar la importancia y la necesidad de hacer justiciables los DESC, pues son dos temas distintos. De hecho, la amplia jurisprudencia sobre la materia que ayude a desarrollar durante mi ejercicio como magistrado de la Corte Constitucional colombiana</w:t>
      </w:r>
      <w:r>
        <w:rPr>
          <w:rStyle w:val="FootnoteReference"/>
          <w:rFonts w:cs="Arial"/>
          <w:szCs w:val="20"/>
        </w:rPr>
        <w:footnoteReference w:id="444"/>
      </w:r>
      <w:r w:rsidRPr="00966D31">
        <w:rPr>
          <w:rFonts w:ascii="Verdana" w:hAnsi="Verdana" w:cs="Arial"/>
          <w:sz w:val="20"/>
          <w:szCs w:val="20"/>
        </w:rPr>
        <w:t xml:space="preserve">, acredita que mi postura es favorable a garantizar estos derechos de manera directa cuando las condiciones de competencia están dadas. De forma que mi debate no se centra en si los DESC son derechos que deben ser respetados y garantizados por los Estados a las personas, sino en la forma en que se alcanza esa </w:t>
      </w:r>
      <w:proofErr w:type="spellStart"/>
      <w:r w:rsidRPr="00966D31">
        <w:rPr>
          <w:rFonts w:ascii="Verdana" w:hAnsi="Verdana" w:cs="Arial"/>
          <w:sz w:val="20"/>
          <w:szCs w:val="20"/>
        </w:rPr>
        <w:t>justiciabilidad</w:t>
      </w:r>
      <w:proofErr w:type="spellEnd"/>
      <w:r w:rsidRPr="00966D31">
        <w:rPr>
          <w:rFonts w:ascii="Verdana" w:hAnsi="Verdana" w:cs="Arial"/>
          <w:sz w:val="20"/>
          <w:szCs w:val="20"/>
        </w:rPr>
        <w:t xml:space="preserve"> en el sistema interamericano en particular. Dicho lo anterior, procederé a recordar porque la aplicación directa del artículo 26 de la Convención Americana es efectivamente tan conflictiva. </w:t>
      </w:r>
    </w:p>
    <w:p w14:paraId="08316266" w14:textId="77777777" w:rsidR="00E70701" w:rsidRDefault="00E70701" w:rsidP="00C44F79">
      <w:pPr>
        <w:tabs>
          <w:tab w:val="left" w:pos="709"/>
        </w:tabs>
        <w:rPr>
          <w:rFonts w:ascii="Verdana" w:hAnsi="Verdana" w:cs="Arial"/>
          <w:sz w:val="20"/>
          <w:szCs w:val="20"/>
        </w:rPr>
      </w:pPr>
    </w:p>
    <w:p w14:paraId="69988838" w14:textId="77777777" w:rsidR="00E70701" w:rsidRPr="00966D31" w:rsidRDefault="00E70701" w:rsidP="00E70701">
      <w:pPr>
        <w:pStyle w:val="ListParagraph"/>
        <w:numPr>
          <w:ilvl w:val="0"/>
          <w:numId w:val="38"/>
        </w:numPr>
        <w:tabs>
          <w:tab w:val="left" w:pos="709"/>
        </w:tabs>
        <w:rPr>
          <w:rFonts w:ascii="Verdana" w:hAnsi="Verdana"/>
          <w:b/>
          <w:sz w:val="20"/>
          <w:szCs w:val="20"/>
        </w:rPr>
      </w:pPr>
      <w:r w:rsidRPr="00966D31">
        <w:rPr>
          <w:rFonts w:ascii="Verdana" w:hAnsi="Verdana"/>
          <w:b/>
          <w:sz w:val="20"/>
          <w:szCs w:val="20"/>
        </w:rPr>
        <w:t>Alcances del artículo 26 de la Convención Americana</w:t>
      </w:r>
    </w:p>
    <w:p w14:paraId="1BAEA9C8" w14:textId="77777777" w:rsidR="00E70701" w:rsidRDefault="00E70701" w:rsidP="00C44F79">
      <w:pPr>
        <w:jc w:val="both"/>
        <w:rPr>
          <w:rFonts w:ascii="Verdana" w:hAnsi="Verdana" w:cs="Arial"/>
          <w:sz w:val="20"/>
          <w:szCs w:val="20"/>
        </w:rPr>
      </w:pPr>
    </w:p>
    <w:p w14:paraId="16B4248B" w14:textId="77777777" w:rsidR="00E7070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cs="Arial"/>
          <w:sz w:val="20"/>
          <w:szCs w:val="20"/>
        </w:rPr>
        <w:t>El alcance de este artículo ha sido ampliamente discutido por académicos</w:t>
      </w:r>
      <w:r>
        <w:rPr>
          <w:rStyle w:val="FootnoteReference"/>
          <w:rFonts w:cs="Arial"/>
          <w:szCs w:val="20"/>
        </w:rPr>
        <w:footnoteReference w:id="445"/>
      </w:r>
      <w:r w:rsidRPr="00966D31">
        <w:rPr>
          <w:rFonts w:ascii="Verdana" w:hAnsi="Verdana" w:cs="Arial"/>
          <w:sz w:val="20"/>
          <w:szCs w:val="20"/>
        </w:rPr>
        <w:t xml:space="preserve"> y al interior de la Corte IDH</w:t>
      </w:r>
      <w:r>
        <w:rPr>
          <w:rStyle w:val="FootnoteReference"/>
          <w:rFonts w:cs="Arial"/>
          <w:szCs w:val="20"/>
        </w:rPr>
        <w:footnoteReference w:id="446"/>
      </w:r>
      <w:r w:rsidRPr="00966D31">
        <w:rPr>
          <w:rFonts w:ascii="Verdana" w:hAnsi="Verdana" w:cs="Arial"/>
          <w:sz w:val="20"/>
          <w:szCs w:val="20"/>
        </w:rPr>
        <w:t xml:space="preserve">, por lo que el debate ha intentado ampliarse a temas tales como el carácter prestacional de los DESC o la indivisibilidad de los mismos, cuando la pregunta central que debe realizarse para entender el alcance de este derecho es: ¿contiene el artículo 26 de la CADH derechos subjetivos? </w:t>
      </w:r>
    </w:p>
    <w:p w14:paraId="17EA9588" w14:textId="77777777" w:rsidR="00E70701" w:rsidRDefault="00E70701" w:rsidP="00C44F79">
      <w:pPr>
        <w:pStyle w:val="ListParagraph"/>
        <w:ind w:left="0"/>
        <w:jc w:val="both"/>
        <w:rPr>
          <w:rFonts w:ascii="Verdana" w:hAnsi="Verdana" w:cs="Arial"/>
          <w:sz w:val="20"/>
          <w:szCs w:val="20"/>
        </w:rPr>
      </w:pPr>
    </w:p>
    <w:p w14:paraId="1D773C41" w14:textId="77777777" w:rsidR="00E70701" w:rsidRPr="00966D3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sz w:val="20"/>
          <w:szCs w:val="20"/>
        </w:rPr>
        <w:t>Al respecto, ya he demostrado en oportunidades anteriores</w:t>
      </w:r>
      <w:r>
        <w:rPr>
          <w:rStyle w:val="FootnoteReference"/>
          <w:szCs w:val="20"/>
        </w:rPr>
        <w:footnoteReference w:id="447"/>
      </w:r>
      <w:r w:rsidRPr="00966D31">
        <w:rPr>
          <w:rFonts w:ascii="Verdana" w:hAnsi="Verdana"/>
          <w:sz w:val="20"/>
          <w:szCs w:val="20"/>
        </w:rPr>
        <w:t xml:space="preserve"> que el artículo 26</w:t>
      </w:r>
      <w:r>
        <w:rPr>
          <w:rStyle w:val="FootnoteReference"/>
          <w:szCs w:val="20"/>
        </w:rPr>
        <w:footnoteReference w:id="448"/>
      </w:r>
      <w:r w:rsidRPr="00966D31">
        <w:rPr>
          <w:rFonts w:ascii="Verdana" w:hAnsi="Verdana"/>
          <w:sz w:val="20"/>
          <w:szCs w:val="20"/>
        </w:rPr>
        <w:t xml:space="preserve"> de la CADH no establece un catálogo de derechos, sino que la obligación que este artículo implica y que la Corte puede supervisar de manera directa es el cumplimiento de la obligación de </w:t>
      </w:r>
      <w:r w:rsidRPr="00966D31">
        <w:rPr>
          <w:rFonts w:ascii="Verdana" w:hAnsi="Verdana"/>
          <w:sz w:val="20"/>
          <w:szCs w:val="20"/>
        </w:rPr>
        <w:lastRenderedPageBreak/>
        <w:t>desarrollo progresivo y su consecuente deber de no regresividad, de los derechos que se pudieran derivar de la Carta de la Organización de Estados Americanos (en adelante “Carta”).</w:t>
      </w:r>
    </w:p>
    <w:p w14:paraId="024F45C9" w14:textId="77777777" w:rsidR="00E70701" w:rsidRPr="00966D31" w:rsidRDefault="00E70701" w:rsidP="00C44F79">
      <w:pPr>
        <w:jc w:val="both"/>
        <w:rPr>
          <w:rFonts w:ascii="Verdana" w:hAnsi="Verdana"/>
          <w:sz w:val="20"/>
          <w:szCs w:val="20"/>
        </w:rPr>
      </w:pPr>
    </w:p>
    <w:p w14:paraId="3634DE07" w14:textId="77777777" w:rsidR="00E70701" w:rsidRPr="00966D3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sz w:val="20"/>
          <w:szCs w:val="20"/>
        </w:rPr>
        <w:t xml:space="preserve">Lo anterior se debe a que dicho artículo realiza una remisión directa a la Carta de la Organización de Estados Americanos. Sin embargo, de una lectura de la Carta se puede concluir que ésta tampoco contiene un catálogo de derechos subjetivos claros y precisos, sino que por el contrario se trata de un listado de metas y expectativas que persiguen los Estados de la región, lo cual dificulta vislumbrar cuáles son los derechos a los que se hace mención en el artículo. En concreto, hay </w:t>
      </w:r>
      <w:r>
        <w:rPr>
          <w:rFonts w:ascii="Verdana" w:hAnsi="Verdana"/>
          <w:sz w:val="20"/>
          <w:szCs w:val="20"/>
        </w:rPr>
        <w:t xml:space="preserve">pocas </w:t>
      </w:r>
      <w:r w:rsidRPr="00966D31">
        <w:rPr>
          <w:rFonts w:ascii="Verdana" w:hAnsi="Verdana"/>
          <w:sz w:val="20"/>
          <w:szCs w:val="20"/>
        </w:rPr>
        <w:t>referencias expresas a los DESC y para afirmar que efectivamente se encuentran consagrados en la Carta es necesario realizar una labor interpretativa bastante extensa.</w:t>
      </w:r>
    </w:p>
    <w:p w14:paraId="25367A41" w14:textId="77777777" w:rsidR="00E70701" w:rsidRPr="00966D31" w:rsidRDefault="00E70701" w:rsidP="00C44F79">
      <w:pPr>
        <w:jc w:val="both"/>
        <w:rPr>
          <w:rFonts w:ascii="Verdana" w:hAnsi="Verdana"/>
          <w:sz w:val="20"/>
          <w:szCs w:val="20"/>
        </w:rPr>
      </w:pPr>
    </w:p>
    <w:p w14:paraId="35FCD393" w14:textId="77777777" w:rsidR="00E70701" w:rsidRPr="00966D3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sz w:val="20"/>
          <w:szCs w:val="20"/>
        </w:rPr>
        <w:t xml:space="preserve">Si bien hubiera sido deseable </w:t>
      </w:r>
      <w:r>
        <w:rPr>
          <w:rFonts w:ascii="Verdana" w:hAnsi="Verdana"/>
          <w:sz w:val="20"/>
          <w:szCs w:val="20"/>
        </w:rPr>
        <w:t xml:space="preserve">que </w:t>
      </w:r>
      <w:r w:rsidRPr="00966D31">
        <w:rPr>
          <w:rFonts w:ascii="Verdana" w:hAnsi="Verdana"/>
          <w:sz w:val="20"/>
          <w:szCs w:val="20"/>
        </w:rPr>
        <w:t xml:space="preserve">el artículo 26 utilizara una técnica legislativa menos problemática, lo cierto es que </w:t>
      </w:r>
      <w:r>
        <w:rPr>
          <w:rFonts w:ascii="Verdana" w:hAnsi="Verdana"/>
          <w:sz w:val="20"/>
          <w:szCs w:val="20"/>
        </w:rPr>
        <w:t xml:space="preserve">hace </w:t>
      </w:r>
      <w:r w:rsidRPr="00966D31">
        <w:rPr>
          <w:rFonts w:ascii="Verdana" w:hAnsi="Verdana"/>
          <w:sz w:val="20"/>
          <w:szCs w:val="20"/>
        </w:rPr>
        <w:t>remisión a la Carta</w:t>
      </w:r>
      <w:r>
        <w:rPr>
          <w:rFonts w:ascii="Verdana" w:hAnsi="Verdana"/>
          <w:sz w:val="20"/>
          <w:szCs w:val="20"/>
        </w:rPr>
        <w:t xml:space="preserve"> de la OEA</w:t>
      </w:r>
      <w:r w:rsidRPr="00966D31">
        <w:rPr>
          <w:rFonts w:ascii="Verdana" w:hAnsi="Verdana"/>
          <w:sz w:val="20"/>
          <w:szCs w:val="20"/>
        </w:rPr>
        <w:t xml:space="preserve"> y no a la Declaración Americana, lo cual podría haber producido una interpretación distinta, debido a que la declaración sí cuenta con referencias más claras a los DESC</w:t>
      </w:r>
      <w:r w:rsidRPr="00810CE7">
        <w:rPr>
          <w:rStyle w:val="FootnoteReference"/>
          <w:szCs w:val="20"/>
        </w:rPr>
        <w:footnoteReference w:id="449"/>
      </w:r>
      <w:r w:rsidRPr="00966D31">
        <w:rPr>
          <w:rFonts w:ascii="Verdana" w:hAnsi="Verdana"/>
          <w:sz w:val="20"/>
          <w:szCs w:val="20"/>
        </w:rPr>
        <w:t xml:space="preserve">. </w:t>
      </w:r>
      <w:r w:rsidRPr="00966D31">
        <w:rPr>
          <w:rFonts w:ascii="Verdana" w:hAnsi="Verdana"/>
          <w:sz w:val="20"/>
          <w:szCs w:val="20"/>
          <w:lang w:val="es-CR"/>
        </w:rPr>
        <w:t>Lamentablemente, este no es el caso</w:t>
      </w:r>
      <w:r>
        <w:rPr>
          <w:rStyle w:val="FootnoteReference"/>
          <w:szCs w:val="20"/>
          <w:lang w:val="es-CR"/>
        </w:rPr>
        <w:footnoteReference w:id="450"/>
      </w:r>
      <w:r w:rsidRPr="00966D31">
        <w:rPr>
          <w:rFonts w:ascii="Verdana" w:hAnsi="Verdana"/>
          <w:sz w:val="20"/>
          <w:szCs w:val="20"/>
          <w:lang w:val="es-CR"/>
        </w:rPr>
        <w:t xml:space="preserve">. </w:t>
      </w:r>
      <w:r>
        <w:rPr>
          <w:rFonts w:ascii="Verdana" w:hAnsi="Verdana"/>
          <w:sz w:val="20"/>
          <w:szCs w:val="20"/>
          <w:lang w:val="es-CR"/>
        </w:rPr>
        <w:t>De manera que el uso de la Declaración Americana en la presente Sentencia es “un atajo” que no tiene mayor sustento, más allá de una referencia a una opinión consultiva del año 1989.</w:t>
      </w:r>
    </w:p>
    <w:p w14:paraId="3F4D7E93" w14:textId="77777777" w:rsidR="00E70701" w:rsidRPr="00966D31" w:rsidRDefault="00E70701" w:rsidP="00C44F79">
      <w:pPr>
        <w:jc w:val="both"/>
        <w:rPr>
          <w:rFonts w:ascii="Verdana" w:hAnsi="Verdana"/>
          <w:sz w:val="20"/>
          <w:szCs w:val="20"/>
          <w:lang w:val="es-CR"/>
        </w:rPr>
      </w:pPr>
    </w:p>
    <w:p w14:paraId="1AFDB4E2" w14:textId="77777777" w:rsidR="00E70701" w:rsidRPr="005B157E" w:rsidRDefault="00E70701" w:rsidP="00E70701">
      <w:pPr>
        <w:pStyle w:val="ListParagraph"/>
        <w:numPr>
          <w:ilvl w:val="0"/>
          <w:numId w:val="37"/>
        </w:numPr>
        <w:ind w:left="0" w:firstLine="0"/>
        <w:jc w:val="both"/>
        <w:rPr>
          <w:rFonts w:ascii="Verdana" w:hAnsi="Verdana" w:cs="Arial"/>
          <w:sz w:val="20"/>
          <w:szCs w:val="20"/>
        </w:rPr>
      </w:pPr>
      <w:r>
        <w:rPr>
          <w:rFonts w:ascii="Verdana" w:hAnsi="Verdana"/>
          <w:sz w:val="20"/>
          <w:szCs w:val="20"/>
        </w:rPr>
        <w:t>Ahora bien, efectivamente el derecho al trabajo es uno de esos</w:t>
      </w:r>
      <w:r w:rsidRPr="005B157E">
        <w:rPr>
          <w:rFonts w:ascii="Verdana" w:hAnsi="Verdana"/>
          <w:sz w:val="20"/>
          <w:szCs w:val="20"/>
        </w:rPr>
        <w:t xml:space="preserve"> derechos que se pudieran derivar de la Carta más allá de la simple referencia al nombre</w:t>
      </w:r>
      <w:r>
        <w:rPr>
          <w:rStyle w:val="FootnoteReference"/>
          <w:szCs w:val="20"/>
        </w:rPr>
        <w:footnoteReference w:id="451"/>
      </w:r>
      <w:r>
        <w:rPr>
          <w:rFonts w:ascii="Verdana" w:hAnsi="Verdana"/>
          <w:sz w:val="20"/>
          <w:szCs w:val="20"/>
        </w:rPr>
        <w:t>, pues dicho instrumento realiza una mención expresa del mismo</w:t>
      </w:r>
      <w:r w:rsidRPr="005B157E">
        <w:rPr>
          <w:rFonts w:ascii="Verdana" w:hAnsi="Verdana"/>
          <w:sz w:val="20"/>
          <w:szCs w:val="20"/>
        </w:rPr>
        <w:t>.</w:t>
      </w:r>
      <w:r>
        <w:rPr>
          <w:rFonts w:ascii="Verdana" w:hAnsi="Verdana"/>
          <w:sz w:val="20"/>
          <w:szCs w:val="20"/>
        </w:rPr>
        <w:t xml:space="preserve"> No obstante, una cosa es el derecho al trabajo y otra es la estabilidad laboral, lo cual muestra los dilemas que se presentan cuando el catálogo de derechos y sus alcances no se encuentran bien definidos. Además, no se puede entonces olvidar que la obligación general del artículo 26 de la CADH le permite a la Corte supervisar </w:t>
      </w:r>
      <w:r w:rsidRPr="00966D31">
        <w:rPr>
          <w:rFonts w:ascii="Verdana" w:hAnsi="Verdana"/>
          <w:sz w:val="20"/>
          <w:szCs w:val="20"/>
        </w:rPr>
        <w:t>es el cumplimiento de la obligación de desarrollo progresivo y su consecuente deber de no regresividad</w:t>
      </w:r>
      <w:r>
        <w:rPr>
          <w:rFonts w:ascii="Verdana" w:hAnsi="Verdana"/>
          <w:sz w:val="20"/>
          <w:szCs w:val="20"/>
        </w:rPr>
        <w:t>, análisis que no se realizó en la presente Sentencia.</w:t>
      </w:r>
    </w:p>
    <w:p w14:paraId="1210EFA9" w14:textId="77777777" w:rsidR="00E70701" w:rsidRPr="005B157E" w:rsidRDefault="00E70701" w:rsidP="00C44F79">
      <w:pPr>
        <w:jc w:val="both"/>
        <w:rPr>
          <w:rFonts w:ascii="Verdana" w:hAnsi="Verdana"/>
          <w:sz w:val="20"/>
          <w:szCs w:val="20"/>
          <w:lang w:val="es-CR"/>
        </w:rPr>
      </w:pPr>
    </w:p>
    <w:p w14:paraId="2EC6EAA8" w14:textId="77777777" w:rsidR="00E70701" w:rsidRPr="00966D31" w:rsidRDefault="00E70701" w:rsidP="00E70701">
      <w:pPr>
        <w:pStyle w:val="ListParagraph"/>
        <w:numPr>
          <w:ilvl w:val="0"/>
          <w:numId w:val="37"/>
        </w:numPr>
        <w:ind w:left="0" w:firstLine="0"/>
        <w:jc w:val="both"/>
        <w:rPr>
          <w:rFonts w:ascii="Verdana" w:hAnsi="Verdana" w:cs="Arial"/>
          <w:sz w:val="20"/>
          <w:szCs w:val="20"/>
        </w:rPr>
      </w:pPr>
      <w:r>
        <w:rPr>
          <w:rFonts w:ascii="Verdana" w:hAnsi="Verdana"/>
          <w:sz w:val="20"/>
          <w:szCs w:val="20"/>
          <w:lang w:val="es-CR"/>
        </w:rPr>
        <w:t>Por otra parte, i</w:t>
      </w:r>
      <w:r w:rsidRPr="00966D31">
        <w:rPr>
          <w:rFonts w:ascii="Verdana" w:hAnsi="Verdana"/>
          <w:sz w:val="20"/>
          <w:szCs w:val="20"/>
          <w:lang w:val="es-CR"/>
        </w:rPr>
        <w:t xml:space="preserve">nsisto en dejar en claro que la remisión es a la Carta y no a otras declaraciones, tratados o documentos de </w:t>
      </w:r>
      <w:proofErr w:type="spellStart"/>
      <w:r w:rsidRPr="00966D31">
        <w:rPr>
          <w:rFonts w:ascii="Verdana" w:hAnsi="Verdana"/>
          <w:i/>
          <w:sz w:val="20"/>
          <w:szCs w:val="20"/>
          <w:lang w:val="es-CR"/>
        </w:rPr>
        <w:t>soft</w:t>
      </w:r>
      <w:proofErr w:type="spellEnd"/>
      <w:r w:rsidRPr="00966D31">
        <w:rPr>
          <w:rFonts w:ascii="Verdana" w:hAnsi="Verdana"/>
          <w:i/>
          <w:sz w:val="20"/>
          <w:szCs w:val="20"/>
          <w:lang w:val="es-CR"/>
        </w:rPr>
        <w:t xml:space="preserve"> </w:t>
      </w:r>
      <w:proofErr w:type="spellStart"/>
      <w:r w:rsidRPr="00966D31">
        <w:rPr>
          <w:rFonts w:ascii="Verdana" w:hAnsi="Verdana"/>
          <w:i/>
          <w:sz w:val="20"/>
          <w:szCs w:val="20"/>
          <w:lang w:val="es-CR"/>
        </w:rPr>
        <w:t>law</w:t>
      </w:r>
      <w:proofErr w:type="spellEnd"/>
      <w:r>
        <w:rPr>
          <w:rStyle w:val="FootnoteReference"/>
          <w:szCs w:val="20"/>
          <w:lang w:val="es-CR"/>
        </w:rPr>
        <w:footnoteReference w:id="452"/>
      </w:r>
      <w:r w:rsidRPr="00966D31">
        <w:rPr>
          <w:rFonts w:ascii="Verdana" w:hAnsi="Verdana"/>
          <w:sz w:val="20"/>
          <w:szCs w:val="20"/>
          <w:lang w:val="es-CR"/>
        </w:rPr>
        <w:t xml:space="preserve">, porque la mención de estos no subsana o cambia lo que el artículo 26 de la CADH expresamente indica. En otras palabras, hacer referencia a “un vasto </w:t>
      </w:r>
      <w:r w:rsidRPr="00966D31">
        <w:rPr>
          <w:rFonts w:ascii="Verdana" w:hAnsi="Verdana"/>
          <w:i/>
          <w:sz w:val="20"/>
          <w:szCs w:val="20"/>
          <w:lang w:val="es-CR"/>
        </w:rPr>
        <w:t>corpus iuris</w:t>
      </w:r>
      <w:r w:rsidRPr="00966D31">
        <w:rPr>
          <w:rFonts w:ascii="Verdana" w:hAnsi="Verdana"/>
          <w:sz w:val="20"/>
          <w:szCs w:val="20"/>
          <w:lang w:val="es-CR"/>
        </w:rPr>
        <w:t>”</w:t>
      </w:r>
      <w:r>
        <w:rPr>
          <w:rStyle w:val="FootnoteReference"/>
          <w:szCs w:val="20"/>
          <w:lang w:val="es-CR"/>
        </w:rPr>
        <w:footnoteReference w:id="453"/>
      </w:r>
      <w:r w:rsidRPr="00966D31">
        <w:rPr>
          <w:rFonts w:ascii="Verdana" w:hAnsi="Verdana"/>
          <w:sz w:val="20"/>
          <w:szCs w:val="20"/>
          <w:lang w:val="es-CR"/>
        </w:rPr>
        <w:t xml:space="preserve">, en el que se mencionan tratados del sistema universal y sistemas regionales distintos al interamericano, no modifica el hecho de que la remisión del artículo 26 se hizo a la Carta y a ningún otro instrumento, tratado o documento de derecho internacional. </w:t>
      </w:r>
    </w:p>
    <w:p w14:paraId="2024F4B8" w14:textId="77777777" w:rsidR="00E70701" w:rsidRPr="00966D31" w:rsidRDefault="00E70701" w:rsidP="00C44F79">
      <w:pPr>
        <w:jc w:val="both"/>
        <w:rPr>
          <w:rFonts w:ascii="Verdana" w:hAnsi="Verdana"/>
          <w:sz w:val="20"/>
          <w:szCs w:val="20"/>
          <w:lang w:val="es-CR"/>
        </w:rPr>
      </w:pPr>
    </w:p>
    <w:p w14:paraId="44CCE779" w14:textId="77777777" w:rsidR="00E7070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sz w:val="20"/>
          <w:szCs w:val="20"/>
          <w:lang w:val="es-CR"/>
        </w:rPr>
        <w:t xml:space="preserve">Si de por sí, intentar construir un catálogo de DESC a partir de la Carta es una tarea interpretativa compleja, entrar a utilizar cuanto tratado de derechos humanos existe para llenar de contenido al artículo 26 de la CADH, lo único que puede generar es </w:t>
      </w:r>
      <w:r w:rsidRPr="00966D31">
        <w:rPr>
          <w:rFonts w:ascii="Verdana" w:hAnsi="Verdana" w:cs="Arial"/>
          <w:sz w:val="20"/>
          <w:szCs w:val="20"/>
        </w:rPr>
        <w:t>una dinámica de “</w:t>
      </w:r>
      <w:r w:rsidRPr="00966D31">
        <w:rPr>
          <w:rFonts w:ascii="Verdana" w:hAnsi="Verdana" w:cs="Arial"/>
          <w:i/>
          <w:sz w:val="20"/>
          <w:szCs w:val="20"/>
        </w:rPr>
        <w:t>vis expansiva</w:t>
      </w:r>
      <w:r w:rsidRPr="00966D31">
        <w:rPr>
          <w:rFonts w:ascii="Verdana" w:hAnsi="Verdana" w:cs="Arial"/>
          <w:sz w:val="20"/>
          <w:szCs w:val="20"/>
        </w:rPr>
        <w:t>” de la responsabilidad internacional de los Estado</w:t>
      </w:r>
      <w:r>
        <w:rPr>
          <w:rFonts w:ascii="Verdana" w:hAnsi="Verdana" w:cs="Arial"/>
          <w:sz w:val="20"/>
          <w:szCs w:val="20"/>
        </w:rPr>
        <w:t>s</w:t>
      </w:r>
      <w:r w:rsidRPr="00966D31">
        <w:rPr>
          <w:rFonts w:ascii="Verdana" w:hAnsi="Verdana" w:cs="Arial"/>
          <w:sz w:val="20"/>
          <w:szCs w:val="20"/>
        </w:rPr>
        <w:t xml:space="preserve">. Es decir que al no tener presente un catálogo definido de los DESC cuya infracción genera responsabilidad de los Estados, estos no pueden prevenir ni reparar internamente las posibles infracciones porque básicamente la Corte IDH puede modificar el catálogo de los derechos dependiendo del caso. </w:t>
      </w:r>
    </w:p>
    <w:p w14:paraId="03D8E261" w14:textId="77777777" w:rsidR="00E70701" w:rsidRDefault="00E70701" w:rsidP="00C44F79">
      <w:pPr>
        <w:jc w:val="both"/>
        <w:rPr>
          <w:rFonts w:ascii="Verdana" w:hAnsi="Verdana" w:cs="Arial"/>
          <w:sz w:val="20"/>
          <w:szCs w:val="20"/>
        </w:rPr>
      </w:pPr>
    </w:p>
    <w:p w14:paraId="3271596A" w14:textId="77777777" w:rsidR="00E70701" w:rsidRDefault="00E70701" w:rsidP="00E70701">
      <w:pPr>
        <w:pStyle w:val="ListParagraph"/>
        <w:numPr>
          <w:ilvl w:val="0"/>
          <w:numId w:val="37"/>
        </w:numPr>
        <w:ind w:left="0" w:firstLine="0"/>
        <w:jc w:val="both"/>
        <w:rPr>
          <w:rFonts w:ascii="Verdana" w:hAnsi="Verdana" w:cs="Arial"/>
          <w:sz w:val="20"/>
          <w:szCs w:val="20"/>
        </w:rPr>
      </w:pPr>
      <w:r w:rsidRPr="00966D31">
        <w:rPr>
          <w:rFonts w:ascii="Verdana" w:hAnsi="Verdana" w:cs="Arial"/>
          <w:sz w:val="20"/>
          <w:szCs w:val="20"/>
        </w:rPr>
        <w:t>En este sentido, la Sentencia</w:t>
      </w:r>
      <w:r w:rsidRPr="00966D31">
        <w:rPr>
          <w:rFonts w:ascii="Verdana" w:hAnsi="Verdana"/>
          <w:sz w:val="20"/>
          <w:szCs w:val="20"/>
          <w:lang w:val="es-CR"/>
        </w:rPr>
        <w:t xml:space="preserve"> bajo análisis es preocupante </w:t>
      </w:r>
      <w:r w:rsidRPr="00966D31">
        <w:rPr>
          <w:rFonts w:ascii="Verdana" w:hAnsi="Verdana" w:cs="Arial"/>
          <w:sz w:val="20"/>
          <w:szCs w:val="20"/>
        </w:rPr>
        <w:t>porque se inaugura una lógica de funcionamiento de la justicia interamericana que no sólo afecta al sistema de competencias de la Comisión y de la Corte, sino que entra a modificar y añadir un catálogo de nuevos derechos protegidos por la Convención Americana.</w:t>
      </w:r>
    </w:p>
    <w:p w14:paraId="417FF77F" w14:textId="77777777" w:rsidR="00E70701" w:rsidRDefault="00E70701" w:rsidP="00C44F79">
      <w:pPr>
        <w:jc w:val="both"/>
        <w:rPr>
          <w:rFonts w:ascii="Verdana" w:hAnsi="Verdana" w:cs="Arial"/>
          <w:b/>
          <w:sz w:val="20"/>
          <w:szCs w:val="20"/>
        </w:rPr>
      </w:pPr>
    </w:p>
    <w:p w14:paraId="6546A19F" w14:textId="77777777" w:rsidR="00E70701" w:rsidRPr="0047061E" w:rsidRDefault="00E70701" w:rsidP="00E70701">
      <w:pPr>
        <w:pStyle w:val="ListParagraph"/>
        <w:numPr>
          <w:ilvl w:val="0"/>
          <w:numId w:val="38"/>
        </w:numPr>
        <w:tabs>
          <w:tab w:val="left" w:pos="426"/>
          <w:tab w:val="left" w:pos="709"/>
        </w:tabs>
        <w:jc w:val="both"/>
        <w:rPr>
          <w:rFonts w:ascii="Verdana" w:hAnsi="Verdana"/>
          <w:b/>
          <w:sz w:val="20"/>
          <w:szCs w:val="20"/>
        </w:rPr>
      </w:pPr>
      <w:r w:rsidRPr="0047061E">
        <w:rPr>
          <w:rFonts w:ascii="Verdana" w:hAnsi="Verdana"/>
          <w:b/>
          <w:sz w:val="20"/>
          <w:szCs w:val="20"/>
        </w:rPr>
        <w:t>El Protocolo de San Salvador</w:t>
      </w:r>
    </w:p>
    <w:p w14:paraId="61B32C79" w14:textId="77777777" w:rsidR="00E70701" w:rsidRDefault="00E70701" w:rsidP="00C44F79">
      <w:pPr>
        <w:jc w:val="both"/>
        <w:rPr>
          <w:rFonts w:ascii="Verdana" w:hAnsi="Verdana" w:cs="Arial"/>
          <w:b/>
          <w:sz w:val="20"/>
          <w:szCs w:val="20"/>
        </w:rPr>
      </w:pPr>
    </w:p>
    <w:p w14:paraId="31BE0463" w14:textId="77777777" w:rsidR="00E70701" w:rsidRDefault="00E70701" w:rsidP="00E70701">
      <w:pPr>
        <w:pStyle w:val="ListParagraph"/>
        <w:numPr>
          <w:ilvl w:val="0"/>
          <w:numId w:val="37"/>
        </w:numPr>
        <w:ind w:left="0" w:firstLine="0"/>
        <w:jc w:val="both"/>
        <w:rPr>
          <w:rFonts w:ascii="Verdana" w:hAnsi="Verdana"/>
          <w:sz w:val="20"/>
          <w:szCs w:val="20"/>
        </w:rPr>
      </w:pPr>
      <w:r w:rsidRPr="0047061E">
        <w:rPr>
          <w:rFonts w:ascii="Verdana" w:hAnsi="Verdana"/>
          <w:sz w:val="20"/>
          <w:szCs w:val="20"/>
        </w:rPr>
        <w:t>Como se señaló anteriormente</w:t>
      </w:r>
      <w:r>
        <w:rPr>
          <w:rStyle w:val="FootnoteReference"/>
          <w:szCs w:val="20"/>
        </w:rPr>
        <w:footnoteReference w:id="454"/>
      </w:r>
      <w:r w:rsidRPr="0047061E">
        <w:rPr>
          <w:rFonts w:ascii="Verdana" w:hAnsi="Verdana"/>
          <w:sz w:val="20"/>
          <w:szCs w:val="20"/>
        </w:rPr>
        <w:t xml:space="preserve"> no es posible abordar los debates sobre la competencia de la Corte Interamericana en materia de DESC sin tener en cuenta al Protocolo de San Salvador. La relevancia del Protocolo radica en que es mediante este tratado que los Estados de la región tomaron la decisión de definir cuáles son los DESC que están obligados a cumplir. Asimismo, establecieron de manera clara y precisa el contenido de dichos derechos.</w:t>
      </w:r>
    </w:p>
    <w:p w14:paraId="61BB090E" w14:textId="77777777" w:rsidR="00E70701" w:rsidRDefault="00E70701" w:rsidP="00C44F79">
      <w:pPr>
        <w:pStyle w:val="ListParagraph"/>
        <w:ind w:left="0"/>
        <w:jc w:val="both"/>
        <w:rPr>
          <w:rFonts w:ascii="Verdana" w:hAnsi="Verdana"/>
          <w:sz w:val="20"/>
          <w:szCs w:val="20"/>
        </w:rPr>
      </w:pPr>
    </w:p>
    <w:p w14:paraId="5F5735AD" w14:textId="77777777" w:rsidR="00E70701" w:rsidRPr="0047061E" w:rsidRDefault="00E70701" w:rsidP="00E70701">
      <w:pPr>
        <w:pStyle w:val="ListParagraph"/>
        <w:numPr>
          <w:ilvl w:val="0"/>
          <w:numId w:val="37"/>
        </w:numPr>
        <w:ind w:left="0" w:firstLine="0"/>
        <w:jc w:val="both"/>
        <w:rPr>
          <w:rFonts w:ascii="Verdana" w:hAnsi="Verdana"/>
          <w:sz w:val="20"/>
          <w:szCs w:val="20"/>
        </w:rPr>
      </w:pPr>
      <w:r w:rsidRPr="0047061E">
        <w:rPr>
          <w:rFonts w:ascii="Verdana" w:hAnsi="Verdana"/>
          <w:sz w:val="20"/>
          <w:szCs w:val="20"/>
        </w:rPr>
        <w:t>No obstante lo anterior, los Estados tomaron la decisión soberana de restringir cuáles de los DESC consagrados en el Protocolo podían ser objeto de supervisión por medio del mecanismo de peticiones individuales al establecer en el artículo 19.6 que:</w:t>
      </w:r>
    </w:p>
    <w:p w14:paraId="2FB314A7" w14:textId="77777777" w:rsidR="00E70701" w:rsidRDefault="00E70701" w:rsidP="00C44F79">
      <w:pPr>
        <w:pStyle w:val="ListParagraph"/>
        <w:tabs>
          <w:tab w:val="left" w:pos="426"/>
          <w:tab w:val="left" w:pos="709"/>
        </w:tabs>
        <w:ind w:left="0"/>
        <w:jc w:val="both"/>
        <w:rPr>
          <w:rFonts w:ascii="Verdana" w:hAnsi="Verdana"/>
          <w:sz w:val="20"/>
          <w:szCs w:val="20"/>
        </w:rPr>
      </w:pPr>
    </w:p>
    <w:p w14:paraId="042C063D" w14:textId="77777777" w:rsidR="00E70701" w:rsidRPr="00EF393D" w:rsidRDefault="00E70701" w:rsidP="00C44F79">
      <w:pPr>
        <w:pStyle w:val="ListParagraph"/>
        <w:tabs>
          <w:tab w:val="left" w:pos="426"/>
          <w:tab w:val="left" w:pos="709"/>
        </w:tabs>
        <w:ind w:left="426" w:right="378"/>
        <w:jc w:val="both"/>
        <w:rPr>
          <w:rFonts w:ascii="Verdana" w:hAnsi="Verdana" w:cs="Tahoma"/>
          <w:color w:val="000000"/>
          <w:sz w:val="16"/>
          <w:szCs w:val="16"/>
          <w:shd w:val="clear" w:color="auto" w:fill="FFFFFF"/>
        </w:rPr>
      </w:pPr>
      <w:r w:rsidRPr="00EF393D">
        <w:rPr>
          <w:rFonts w:ascii="Verdana" w:hAnsi="Verdana" w:cs="Tahoma"/>
          <w:color w:val="000000"/>
          <w:sz w:val="16"/>
          <w:szCs w:val="16"/>
          <w:shd w:val="clear" w:color="auto" w:fill="FFFFFF"/>
        </w:rPr>
        <w:t xml:space="preserve">6. </w:t>
      </w:r>
      <w:r w:rsidRPr="00EF393D">
        <w:rPr>
          <w:rFonts w:ascii="Verdana" w:hAnsi="Verdana" w:cs="Tahoma"/>
          <w:color w:val="000000"/>
          <w:sz w:val="16"/>
          <w:szCs w:val="16"/>
          <w:u w:val="single"/>
          <w:shd w:val="clear" w:color="auto" w:fill="FFFFFF"/>
        </w:rPr>
        <w:t>En el caso de que los derechos establecidos en el párrafo a) del artículo 8 y en el artículo 13 fuesen violados por una acción imputable directamente a un Estado</w:t>
      </w:r>
      <w:r w:rsidRPr="00EF393D">
        <w:rPr>
          <w:rFonts w:ascii="Verdana" w:hAnsi="Verdana" w:cs="Tahoma"/>
          <w:color w:val="000000"/>
          <w:sz w:val="16"/>
          <w:szCs w:val="16"/>
          <w:shd w:val="clear" w:color="auto" w:fill="FFFFFF"/>
        </w:rPr>
        <w:t xml:space="preserve"> parte del presente Protocolo, </w:t>
      </w:r>
      <w:r w:rsidRPr="00EF393D">
        <w:rPr>
          <w:rFonts w:ascii="Verdana" w:hAnsi="Verdana" w:cs="Tahoma"/>
          <w:color w:val="000000"/>
          <w:sz w:val="16"/>
          <w:szCs w:val="16"/>
          <w:u w:val="single"/>
          <w:shd w:val="clear" w:color="auto" w:fill="FFFFFF"/>
        </w:rPr>
        <w:t>tal situación podría dar lugar</w:t>
      </w:r>
      <w:r w:rsidRPr="00EF393D">
        <w:rPr>
          <w:rFonts w:ascii="Verdana" w:hAnsi="Verdana" w:cs="Tahoma"/>
          <w:color w:val="000000"/>
          <w:sz w:val="16"/>
          <w:szCs w:val="16"/>
          <w:shd w:val="clear" w:color="auto" w:fill="FFFFFF"/>
        </w:rPr>
        <w:t xml:space="preserve">, mediante la participación de la Comisión Interamericana de Derechos Humanos, y cuando proceda de la Corte Interamericana de Derechos Humanos, </w:t>
      </w:r>
      <w:r w:rsidRPr="00EF393D">
        <w:rPr>
          <w:rFonts w:ascii="Verdana" w:hAnsi="Verdana" w:cs="Tahoma"/>
          <w:color w:val="000000"/>
          <w:sz w:val="16"/>
          <w:szCs w:val="16"/>
          <w:u w:val="single"/>
          <w:shd w:val="clear" w:color="auto" w:fill="FFFFFF"/>
        </w:rPr>
        <w:t xml:space="preserve">a la aplicación del sistema de peticiones individuales </w:t>
      </w:r>
      <w:r w:rsidRPr="00EF393D">
        <w:rPr>
          <w:rFonts w:ascii="Verdana" w:hAnsi="Verdana" w:cs="Tahoma"/>
          <w:color w:val="000000"/>
          <w:sz w:val="16"/>
          <w:szCs w:val="16"/>
          <w:shd w:val="clear" w:color="auto" w:fill="FFFFFF"/>
        </w:rPr>
        <w:t>regulado por los artículos 44 a 51 y 61 a 69 de la Convención Americana sobre Derechos Humanos.</w:t>
      </w:r>
      <w:r>
        <w:rPr>
          <w:rFonts w:ascii="Verdana" w:hAnsi="Verdana" w:cs="Tahoma"/>
          <w:color w:val="000000"/>
          <w:sz w:val="16"/>
          <w:szCs w:val="16"/>
          <w:shd w:val="clear" w:color="auto" w:fill="FFFFFF"/>
        </w:rPr>
        <w:t xml:space="preserve"> (Subrayado fuera del texto)</w:t>
      </w:r>
    </w:p>
    <w:p w14:paraId="27F81526" w14:textId="77777777" w:rsidR="00E70701" w:rsidRPr="00EF393D" w:rsidRDefault="00E70701" w:rsidP="00C44F79">
      <w:pPr>
        <w:pStyle w:val="ListParagraph"/>
        <w:tabs>
          <w:tab w:val="left" w:pos="426"/>
          <w:tab w:val="left" w:pos="709"/>
        </w:tabs>
        <w:ind w:left="0"/>
        <w:jc w:val="both"/>
        <w:rPr>
          <w:rFonts w:ascii="Verdana" w:hAnsi="Verdana"/>
          <w:sz w:val="20"/>
          <w:szCs w:val="20"/>
        </w:rPr>
      </w:pPr>
    </w:p>
    <w:p w14:paraId="7350151D" w14:textId="77777777" w:rsidR="00E70701" w:rsidRDefault="00E70701" w:rsidP="00E70701">
      <w:pPr>
        <w:pStyle w:val="ListParagraph"/>
        <w:numPr>
          <w:ilvl w:val="0"/>
          <w:numId w:val="37"/>
        </w:numPr>
        <w:ind w:left="0" w:firstLine="0"/>
        <w:jc w:val="both"/>
        <w:rPr>
          <w:rFonts w:ascii="Verdana" w:hAnsi="Verdana"/>
          <w:sz w:val="20"/>
          <w:szCs w:val="20"/>
        </w:rPr>
      </w:pPr>
      <w:r w:rsidRPr="00047DC2">
        <w:rPr>
          <w:rFonts w:ascii="Verdana" w:hAnsi="Verdana"/>
          <w:sz w:val="20"/>
          <w:szCs w:val="20"/>
        </w:rPr>
        <w:t>Es así como, mediante esta disposición, los Estados resolvieron limitar la competencia de la Comisión y de la Corte para conocer de casos contenciosos que no se encuentren relacionados con algunos derechos sindicales y con el derecho a la educación</w:t>
      </w:r>
      <w:r>
        <w:rPr>
          <w:rFonts w:ascii="Verdana" w:hAnsi="Verdana"/>
          <w:sz w:val="20"/>
          <w:szCs w:val="20"/>
        </w:rPr>
        <w:t>.</w:t>
      </w:r>
    </w:p>
    <w:p w14:paraId="6246F038" w14:textId="77777777" w:rsidR="00E70701" w:rsidRDefault="00E70701" w:rsidP="00C44F79">
      <w:pPr>
        <w:pStyle w:val="ListParagraph"/>
        <w:ind w:left="0"/>
        <w:jc w:val="both"/>
        <w:rPr>
          <w:rFonts w:ascii="Verdana" w:hAnsi="Verdana"/>
          <w:sz w:val="20"/>
          <w:szCs w:val="20"/>
        </w:rPr>
      </w:pPr>
    </w:p>
    <w:p w14:paraId="567A89C1" w14:textId="77777777" w:rsidR="00E70701" w:rsidRDefault="00E70701" w:rsidP="00E70701">
      <w:pPr>
        <w:pStyle w:val="ListParagraph"/>
        <w:numPr>
          <w:ilvl w:val="0"/>
          <w:numId w:val="37"/>
        </w:numPr>
        <w:ind w:left="0" w:firstLine="0"/>
        <w:jc w:val="both"/>
        <w:rPr>
          <w:rFonts w:ascii="Verdana" w:hAnsi="Verdana"/>
          <w:sz w:val="20"/>
          <w:szCs w:val="20"/>
        </w:rPr>
      </w:pPr>
      <w:r w:rsidRPr="00047DC2">
        <w:rPr>
          <w:rFonts w:ascii="Verdana" w:hAnsi="Verdana"/>
          <w:sz w:val="20"/>
          <w:szCs w:val="20"/>
        </w:rPr>
        <w:t>Ahora bien, esta limitación de competencia no debe entenderse como contradictoria con lo dispuesto con el artículo 26 de la Convención Americana, si se tiene en cuenta que esta norma expresa la voluntad posterior y más específica de los Estados sobre la competencia de la Corte Interamericana sobre DESC. Tampoco se debe leer la Convención Americana de forma aislada sin tener en cuenta su Protocolo, por cuanto son tratados complementarios que deben ser leídos e interpretados de manera conjunta.</w:t>
      </w:r>
      <w:r>
        <w:rPr>
          <w:rFonts w:ascii="Verdana" w:hAnsi="Verdana"/>
          <w:sz w:val="20"/>
          <w:szCs w:val="20"/>
        </w:rPr>
        <w:t xml:space="preserve"> En este sentido, </w:t>
      </w:r>
      <w:r>
        <w:rPr>
          <w:rFonts w:ascii="Verdana" w:hAnsi="Verdana" w:cs="Arial"/>
          <w:sz w:val="20"/>
          <w:szCs w:val="20"/>
        </w:rPr>
        <w:t>las distintas propuestas</w:t>
      </w:r>
      <w:r w:rsidRPr="00047DC2">
        <w:rPr>
          <w:rFonts w:ascii="Verdana" w:hAnsi="Verdana" w:cs="Arial"/>
          <w:sz w:val="20"/>
          <w:szCs w:val="20"/>
        </w:rPr>
        <w:t xml:space="preserve"> de reforma al sistema IDH que pretenden incluir la </w:t>
      </w:r>
      <w:proofErr w:type="spellStart"/>
      <w:r w:rsidRPr="00047DC2">
        <w:rPr>
          <w:rFonts w:ascii="Verdana" w:hAnsi="Verdana" w:cs="Arial"/>
          <w:sz w:val="20"/>
          <w:szCs w:val="20"/>
        </w:rPr>
        <w:t>justiciabilidad</w:t>
      </w:r>
      <w:proofErr w:type="spellEnd"/>
      <w:r w:rsidRPr="00047DC2">
        <w:rPr>
          <w:rFonts w:ascii="Verdana" w:hAnsi="Verdana" w:cs="Arial"/>
          <w:sz w:val="20"/>
          <w:szCs w:val="20"/>
        </w:rPr>
        <w:t xml:space="preserve"> de DESC hacen evidente, que est</w:t>
      </w:r>
      <w:r>
        <w:rPr>
          <w:rFonts w:ascii="Verdana" w:hAnsi="Verdana" w:cs="Arial"/>
          <w:sz w:val="20"/>
          <w:szCs w:val="20"/>
        </w:rPr>
        <w:t>amos ante una compresión de la C</w:t>
      </w:r>
      <w:r w:rsidRPr="00047DC2">
        <w:rPr>
          <w:rFonts w:ascii="Verdana" w:hAnsi="Verdana" w:cs="Arial"/>
          <w:sz w:val="20"/>
          <w:szCs w:val="20"/>
        </w:rPr>
        <w:t xml:space="preserve">onvención contraria a la voluntad de los Estados, </w:t>
      </w:r>
      <w:r>
        <w:rPr>
          <w:rFonts w:ascii="Verdana" w:hAnsi="Verdana" w:cs="Arial"/>
          <w:sz w:val="20"/>
          <w:szCs w:val="20"/>
        </w:rPr>
        <w:t>a la voluntad expre</w:t>
      </w:r>
      <w:r w:rsidRPr="00047DC2">
        <w:rPr>
          <w:rFonts w:ascii="Verdana" w:hAnsi="Verdana" w:cs="Arial"/>
          <w:sz w:val="20"/>
          <w:szCs w:val="20"/>
        </w:rPr>
        <w:t>sa de no hacer justiciables los DESC</w:t>
      </w:r>
      <w:r>
        <w:rPr>
          <w:rFonts w:ascii="Verdana" w:hAnsi="Verdana" w:cs="Arial"/>
          <w:sz w:val="20"/>
          <w:szCs w:val="20"/>
        </w:rPr>
        <w:t>, salvo los que expresamente señala el artículo 19.6 del Protocolo</w:t>
      </w:r>
      <w:r w:rsidRPr="00047DC2">
        <w:rPr>
          <w:rFonts w:ascii="Verdana" w:hAnsi="Verdana" w:cs="Arial"/>
          <w:sz w:val="20"/>
          <w:szCs w:val="20"/>
        </w:rPr>
        <w:t>.</w:t>
      </w:r>
    </w:p>
    <w:p w14:paraId="3603A328" w14:textId="77777777" w:rsidR="00E70701" w:rsidRPr="00047DC2" w:rsidRDefault="00E70701" w:rsidP="00C44F79">
      <w:pPr>
        <w:jc w:val="both"/>
        <w:rPr>
          <w:rFonts w:ascii="Verdana" w:hAnsi="Verdana"/>
          <w:sz w:val="20"/>
          <w:szCs w:val="20"/>
        </w:rPr>
      </w:pPr>
    </w:p>
    <w:p w14:paraId="4496FA8A" w14:textId="77777777" w:rsidR="00E70701" w:rsidRDefault="00E70701" w:rsidP="00E70701">
      <w:pPr>
        <w:pStyle w:val="ListParagraph"/>
        <w:numPr>
          <w:ilvl w:val="0"/>
          <w:numId w:val="37"/>
        </w:numPr>
        <w:ind w:left="0" w:firstLine="0"/>
        <w:jc w:val="both"/>
        <w:rPr>
          <w:rFonts w:ascii="Verdana" w:hAnsi="Verdana"/>
          <w:sz w:val="20"/>
          <w:szCs w:val="20"/>
        </w:rPr>
      </w:pPr>
      <w:r w:rsidRPr="00047DC2">
        <w:rPr>
          <w:rFonts w:ascii="Verdana" w:hAnsi="Verdana"/>
          <w:sz w:val="20"/>
          <w:szCs w:val="20"/>
        </w:rPr>
        <w:t xml:space="preserve">Asimismo, es relevante señalar que las obligaciones generadas por el Protocolo a los Estados Parte son independientes al hecho de que la Corte tenga competencia para declarar violaciones en el marco de su función contenciosa. Simplemente para la vigilancia de cumplimiento de estos derechos los Estados dispusieron otros mecanismos, como lo son los </w:t>
      </w:r>
      <w:r w:rsidRPr="00047DC2">
        <w:rPr>
          <w:rFonts w:ascii="Verdana" w:hAnsi="Verdana"/>
          <w:sz w:val="20"/>
          <w:szCs w:val="20"/>
        </w:rPr>
        <w:lastRenderedPageBreak/>
        <w:t>establecidos en los demás incisos del artículo 19 del Protocolo, tales como la posibilidad de formular observaciones y recomendaciones sobre la situación de los DESC en el informe anual de la Comisión Interamericana.</w:t>
      </w:r>
    </w:p>
    <w:p w14:paraId="6F166522" w14:textId="77777777" w:rsidR="00E70701" w:rsidRPr="00047DC2" w:rsidRDefault="00E70701" w:rsidP="00C44F79">
      <w:pPr>
        <w:jc w:val="both"/>
        <w:rPr>
          <w:rFonts w:ascii="Verdana" w:hAnsi="Verdana"/>
          <w:sz w:val="20"/>
          <w:szCs w:val="20"/>
        </w:rPr>
      </w:pPr>
    </w:p>
    <w:p w14:paraId="4932C3DC" w14:textId="77777777" w:rsidR="00E70701" w:rsidRPr="00047DC2" w:rsidRDefault="00E70701" w:rsidP="00E70701">
      <w:pPr>
        <w:pStyle w:val="ListParagraph"/>
        <w:numPr>
          <w:ilvl w:val="0"/>
          <w:numId w:val="37"/>
        </w:numPr>
        <w:ind w:left="0" w:firstLine="0"/>
        <w:jc w:val="both"/>
        <w:rPr>
          <w:rFonts w:ascii="Verdana" w:hAnsi="Verdana"/>
          <w:sz w:val="20"/>
          <w:szCs w:val="20"/>
        </w:rPr>
      </w:pPr>
      <w:r w:rsidRPr="00047DC2">
        <w:rPr>
          <w:rFonts w:ascii="Verdana" w:hAnsi="Verdana"/>
          <w:sz w:val="20"/>
          <w:szCs w:val="20"/>
        </w:rPr>
        <w:t xml:space="preserve">Teniendo en cuenta lo anteriormente señalado, estimo inconcebible que una Sentencia que declara la vulneración de un DESC en el sistema interamericano, no haga referencia alguna al Protocolo y sus alcances. Más adelante me concentraré en mostrar como esto representa una falencia argumentativa importante, pero más allá de la técnica jurídica que es exigible a un Tribunal de la envergadura de la Corte IDH, la omisión de referirse al Protocolo demuestra la intensión expresa de no querer encarar los problemas de competencia y </w:t>
      </w:r>
      <w:proofErr w:type="spellStart"/>
      <w:r w:rsidRPr="00047DC2">
        <w:rPr>
          <w:rFonts w:ascii="Verdana" w:hAnsi="Verdana"/>
          <w:sz w:val="20"/>
          <w:szCs w:val="20"/>
        </w:rPr>
        <w:t>justiciabilidad</w:t>
      </w:r>
      <w:proofErr w:type="spellEnd"/>
      <w:r w:rsidRPr="00047DC2">
        <w:rPr>
          <w:rFonts w:ascii="Verdana" w:hAnsi="Verdana"/>
          <w:sz w:val="20"/>
          <w:szCs w:val="20"/>
        </w:rPr>
        <w:t xml:space="preserve"> que se generan por el mismo. En otras palabras, pareciera que </w:t>
      </w:r>
      <w:r>
        <w:rPr>
          <w:rFonts w:ascii="Verdana" w:hAnsi="Verdana"/>
          <w:sz w:val="20"/>
          <w:szCs w:val="20"/>
        </w:rPr>
        <w:t xml:space="preserve">lo que se busca al </w:t>
      </w:r>
      <w:r w:rsidRPr="00047DC2">
        <w:rPr>
          <w:rFonts w:ascii="Verdana" w:hAnsi="Verdana"/>
          <w:sz w:val="20"/>
          <w:szCs w:val="20"/>
        </w:rPr>
        <w:t xml:space="preserve">no hacer referencia alguna al </w:t>
      </w:r>
      <w:r>
        <w:rPr>
          <w:rFonts w:ascii="Verdana" w:hAnsi="Verdana"/>
          <w:sz w:val="20"/>
          <w:szCs w:val="20"/>
        </w:rPr>
        <w:t xml:space="preserve">Protocolo es el deseo de </w:t>
      </w:r>
      <w:r w:rsidRPr="00047DC2">
        <w:rPr>
          <w:rFonts w:ascii="Verdana" w:hAnsi="Verdana"/>
          <w:sz w:val="20"/>
          <w:szCs w:val="20"/>
        </w:rPr>
        <w:t>negar su existencia</w:t>
      </w:r>
      <w:r>
        <w:rPr>
          <w:rFonts w:ascii="Verdana" w:hAnsi="Verdana"/>
          <w:sz w:val="20"/>
          <w:szCs w:val="20"/>
        </w:rPr>
        <w:t xml:space="preserve"> como tratado complementario de la Convención Americana</w:t>
      </w:r>
      <w:r w:rsidRPr="00047DC2">
        <w:rPr>
          <w:rFonts w:ascii="Verdana" w:hAnsi="Verdana"/>
          <w:sz w:val="20"/>
          <w:szCs w:val="20"/>
        </w:rPr>
        <w:t>, la voluntad de los Estados que expresa</w:t>
      </w:r>
      <w:r>
        <w:rPr>
          <w:rFonts w:ascii="Verdana" w:hAnsi="Verdana"/>
          <w:sz w:val="20"/>
          <w:szCs w:val="20"/>
        </w:rPr>
        <w:t xml:space="preserve"> el mismo</w:t>
      </w:r>
      <w:r w:rsidRPr="00047DC2">
        <w:rPr>
          <w:rFonts w:ascii="Verdana" w:hAnsi="Verdana"/>
          <w:sz w:val="20"/>
          <w:szCs w:val="20"/>
        </w:rPr>
        <w:t xml:space="preserve"> y los debates que se generan a partir de sus disposiciones. </w:t>
      </w:r>
      <w:r>
        <w:rPr>
          <w:rFonts w:ascii="Verdana" w:hAnsi="Verdana"/>
          <w:sz w:val="20"/>
          <w:szCs w:val="20"/>
        </w:rPr>
        <w:t>No obstante esta intención, es claro que la validez y obligatoriedad de una norma no puede depender de que sea mencionada en una sentencia en particular, es decir que, así la quieran omitir, esto no afecta en lo más mínimo su existencia o fuerza vinculante.</w:t>
      </w:r>
    </w:p>
    <w:p w14:paraId="3B90A829" w14:textId="77777777" w:rsidR="00E70701" w:rsidRDefault="00E70701" w:rsidP="00C44F79">
      <w:pPr>
        <w:jc w:val="both"/>
        <w:rPr>
          <w:rFonts w:ascii="Verdana" w:hAnsi="Verdana" w:cs="Arial"/>
          <w:b/>
          <w:sz w:val="20"/>
          <w:szCs w:val="20"/>
        </w:rPr>
      </w:pPr>
    </w:p>
    <w:p w14:paraId="3790138C" w14:textId="77777777" w:rsidR="00E70701" w:rsidRPr="00B54B55" w:rsidRDefault="00E70701" w:rsidP="00E70701">
      <w:pPr>
        <w:pStyle w:val="ListParagraph"/>
        <w:numPr>
          <w:ilvl w:val="0"/>
          <w:numId w:val="38"/>
        </w:numPr>
        <w:tabs>
          <w:tab w:val="left" w:pos="426"/>
          <w:tab w:val="left" w:pos="709"/>
        </w:tabs>
        <w:jc w:val="both"/>
        <w:rPr>
          <w:rFonts w:ascii="Verdana" w:hAnsi="Verdana"/>
          <w:b/>
          <w:sz w:val="20"/>
          <w:szCs w:val="20"/>
        </w:rPr>
      </w:pPr>
      <w:r w:rsidRPr="00B54B55">
        <w:rPr>
          <w:rFonts w:ascii="Verdana" w:hAnsi="Verdana"/>
          <w:b/>
          <w:sz w:val="20"/>
          <w:szCs w:val="20"/>
        </w:rPr>
        <w:t xml:space="preserve">Interpretación evolutiva y principio </w:t>
      </w:r>
      <w:r w:rsidRPr="00B54B55">
        <w:rPr>
          <w:rFonts w:ascii="Verdana" w:hAnsi="Verdana"/>
          <w:b/>
          <w:i/>
          <w:sz w:val="20"/>
          <w:szCs w:val="20"/>
        </w:rPr>
        <w:t xml:space="preserve">pro </w:t>
      </w:r>
      <w:r>
        <w:rPr>
          <w:rFonts w:ascii="Verdana" w:hAnsi="Verdana"/>
          <w:b/>
          <w:i/>
          <w:sz w:val="20"/>
          <w:szCs w:val="20"/>
        </w:rPr>
        <w:t>persona</w:t>
      </w:r>
    </w:p>
    <w:p w14:paraId="2D4AB5DB" w14:textId="77777777" w:rsidR="00E70701" w:rsidRDefault="00E70701" w:rsidP="00C44F79">
      <w:pPr>
        <w:jc w:val="both"/>
        <w:rPr>
          <w:rFonts w:ascii="Verdana" w:hAnsi="Verdana" w:cs="Arial"/>
          <w:b/>
          <w:sz w:val="20"/>
          <w:szCs w:val="20"/>
        </w:rPr>
      </w:pPr>
    </w:p>
    <w:p w14:paraId="262F5DCA" w14:textId="77777777" w:rsidR="00E70701" w:rsidRDefault="00E70701" w:rsidP="00E70701">
      <w:pPr>
        <w:pStyle w:val="ListParagraph"/>
        <w:numPr>
          <w:ilvl w:val="0"/>
          <w:numId w:val="37"/>
        </w:numPr>
        <w:ind w:left="0" w:firstLine="0"/>
        <w:jc w:val="both"/>
        <w:rPr>
          <w:rFonts w:ascii="Verdana" w:hAnsi="Verdana"/>
          <w:sz w:val="20"/>
          <w:szCs w:val="20"/>
        </w:rPr>
      </w:pPr>
      <w:r>
        <w:rPr>
          <w:rFonts w:ascii="Verdana" w:hAnsi="Verdana"/>
          <w:sz w:val="20"/>
          <w:szCs w:val="20"/>
        </w:rPr>
        <w:t xml:space="preserve">La idea de superar los problemas de </w:t>
      </w:r>
      <w:proofErr w:type="spellStart"/>
      <w:r>
        <w:rPr>
          <w:rFonts w:ascii="Verdana" w:hAnsi="Verdana"/>
          <w:sz w:val="20"/>
          <w:szCs w:val="20"/>
        </w:rPr>
        <w:t>justiciabilidad</w:t>
      </w:r>
      <w:proofErr w:type="spellEnd"/>
      <w:r>
        <w:rPr>
          <w:rFonts w:ascii="Verdana" w:hAnsi="Verdana"/>
          <w:sz w:val="20"/>
          <w:szCs w:val="20"/>
        </w:rPr>
        <w:t xml:space="preserve"> de los DESC a partir de una interpretación evolutiva y supuestamente “</w:t>
      </w:r>
      <w:r>
        <w:rPr>
          <w:rFonts w:ascii="Verdana" w:hAnsi="Verdana"/>
          <w:i/>
          <w:sz w:val="20"/>
          <w:szCs w:val="20"/>
        </w:rPr>
        <w:t>pro persona</w:t>
      </w:r>
      <w:r>
        <w:rPr>
          <w:rFonts w:ascii="Verdana" w:hAnsi="Verdana"/>
          <w:sz w:val="20"/>
          <w:szCs w:val="20"/>
        </w:rPr>
        <w:t>” del artículo 26 de la CADH ha sido constante por parte de quienes apoyan esta tesis. Sin embargo, este argumento entraña un problema de base, puesto que no tiene en cuenta que para realizar una correcta interpretación de un tratado es necesario acudir a</w:t>
      </w:r>
      <w:r w:rsidRPr="008C6799">
        <w:rPr>
          <w:rFonts w:ascii="Verdana" w:hAnsi="Verdana"/>
          <w:sz w:val="20"/>
          <w:szCs w:val="20"/>
        </w:rPr>
        <w:t xml:space="preserve"> los demás métodos interpretativos con los que se cuenta en el derecho internacional, ya que el método evolutivo no es el único que debe ser tenido en cuenta.</w:t>
      </w:r>
    </w:p>
    <w:p w14:paraId="022DCFF3" w14:textId="77777777" w:rsidR="00E70701" w:rsidRDefault="00E70701" w:rsidP="00C44F79">
      <w:pPr>
        <w:pStyle w:val="ListParagraph"/>
        <w:ind w:left="0"/>
        <w:jc w:val="both"/>
        <w:rPr>
          <w:rFonts w:ascii="Verdana" w:hAnsi="Verdana"/>
          <w:sz w:val="20"/>
          <w:szCs w:val="20"/>
        </w:rPr>
      </w:pPr>
    </w:p>
    <w:p w14:paraId="328F4E48" w14:textId="77777777" w:rsidR="00E70701" w:rsidRDefault="00E70701" w:rsidP="00E70701">
      <w:pPr>
        <w:pStyle w:val="ListParagraph"/>
        <w:numPr>
          <w:ilvl w:val="0"/>
          <w:numId w:val="37"/>
        </w:numPr>
        <w:ind w:left="0" w:firstLine="0"/>
        <w:jc w:val="both"/>
        <w:rPr>
          <w:rFonts w:ascii="Verdana" w:hAnsi="Verdana"/>
          <w:sz w:val="20"/>
          <w:szCs w:val="20"/>
        </w:rPr>
      </w:pPr>
      <w:r w:rsidRPr="00C06104">
        <w:rPr>
          <w:rFonts w:ascii="Verdana" w:hAnsi="Verdana"/>
          <w:sz w:val="20"/>
          <w:szCs w:val="20"/>
        </w:rPr>
        <w:t>Sobre los métodos de interpretación que deben ser tenidos en cuenta, los artículos 31 y 32 de la Convención de Viena sobre el Derecho de los Tratados establecen los principales métodos. Esto ha sido acogido por la Corte Interamericana en su jurisprudencia</w:t>
      </w:r>
      <w:r>
        <w:rPr>
          <w:rStyle w:val="FootnoteReference"/>
          <w:szCs w:val="20"/>
        </w:rPr>
        <w:footnoteReference w:id="455"/>
      </w:r>
      <w:r w:rsidRPr="00C06104">
        <w:rPr>
          <w:rFonts w:ascii="Verdana" w:hAnsi="Verdana"/>
          <w:sz w:val="20"/>
          <w:szCs w:val="20"/>
        </w:rPr>
        <w:t xml:space="preserve">, de manera que además del método evolutivo ha utilizado otros </w:t>
      </w:r>
      <w:r w:rsidRPr="00C06104">
        <w:rPr>
          <w:rFonts w:ascii="Verdana" w:hAnsi="Verdana"/>
          <w:sz w:val="20"/>
          <w:szCs w:val="20"/>
          <w:lang w:val="es-CR"/>
        </w:rPr>
        <w:t>criterios de interpretación, tales como la interpretación literal, la interpretación sistemática y la interpretación teleológica.</w:t>
      </w:r>
    </w:p>
    <w:p w14:paraId="3EBAF20E" w14:textId="77777777" w:rsidR="00E70701" w:rsidRPr="00C06104" w:rsidRDefault="00E70701" w:rsidP="00C44F79">
      <w:pPr>
        <w:jc w:val="both"/>
        <w:rPr>
          <w:rFonts w:ascii="Verdana" w:hAnsi="Verdana"/>
          <w:sz w:val="20"/>
          <w:szCs w:val="20"/>
        </w:rPr>
      </w:pPr>
    </w:p>
    <w:p w14:paraId="24E4E206" w14:textId="77777777" w:rsidR="00E70701" w:rsidRPr="00D309D6" w:rsidRDefault="00E70701" w:rsidP="00E70701">
      <w:pPr>
        <w:pStyle w:val="ListParagraph"/>
        <w:numPr>
          <w:ilvl w:val="0"/>
          <w:numId w:val="37"/>
        </w:numPr>
        <w:ind w:left="0" w:firstLine="0"/>
        <w:jc w:val="both"/>
        <w:rPr>
          <w:rFonts w:ascii="Verdana" w:hAnsi="Verdana"/>
          <w:sz w:val="20"/>
          <w:szCs w:val="20"/>
        </w:rPr>
      </w:pPr>
      <w:r w:rsidRPr="00C06104">
        <w:rPr>
          <w:rFonts w:ascii="Verdana" w:hAnsi="Verdana"/>
          <w:sz w:val="20"/>
          <w:szCs w:val="20"/>
        </w:rPr>
        <w:t xml:space="preserve">Al respecto, cabe señalar que si se quisiera hacer una interpretación de la norma no es suficiente con hacer uso de uno de los diversos métodos de interpretación existentes, por </w:t>
      </w:r>
      <w:proofErr w:type="gramStart"/>
      <w:r w:rsidRPr="00C06104">
        <w:rPr>
          <w:rFonts w:ascii="Verdana" w:hAnsi="Verdana"/>
          <w:sz w:val="20"/>
          <w:szCs w:val="20"/>
        </w:rPr>
        <w:t>cuanto</w:t>
      </w:r>
      <w:proofErr w:type="gramEnd"/>
      <w:r w:rsidRPr="00C06104">
        <w:rPr>
          <w:rFonts w:ascii="Verdana" w:hAnsi="Verdana"/>
          <w:sz w:val="20"/>
          <w:szCs w:val="20"/>
        </w:rPr>
        <w:t xml:space="preserve"> estos son complementarios entre sí y ninguno tiene una mayor jerarquía que el otro.  </w:t>
      </w:r>
      <w:r w:rsidRPr="004066BD">
        <w:rPr>
          <w:rFonts w:ascii="Verdana" w:hAnsi="Verdana" w:cs="Arial"/>
          <w:sz w:val="20"/>
          <w:szCs w:val="20"/>
        </w:rPr>
        <w:t>En efecto, en el mencionado voto concurrente hice el análisis</w:t>
      </w:r>
      <w:r>
        <w:rPr>
          <w:rStyle w:val="FootnoteReference"/>
          <w:rFonts w:cs="Arial"/>
          <w:szCs w:val="20"/>
        </w:rPr>
        <w:footnoteReference w:id="456"/>
      </w:r>
      <w:r w:rsidRPr="004066BD">
        <w:rPr>
          <w:rFonts w:ascii="Verdana" w:hAnsi="Verdana" w:cs="Arial"/>
          <w:sz w:val="20"/>
          <w:szCs w:val="20"/>
        </w:rPr>
        <w:t xml:space="preserve"> del artículo 26 </w:t>
      </w:r>
      <w:r>
        <w:rPr>
          <w:rFonts w:ascii="Verdana" w:hAnsi="Verdana" w:cs="Arial"/>
          <w:sz w:val="20"/>
          <w:szCs w:val="20"/>
        </w:rPr>
        <w:t xml:space="preserve">CADH </w:t>
      </w:r>
      <w:r w:rsidRPr="004066BD">
        <w:rPr>
          <w:rFonts w:ascii="Verdana" w:hAnsi="Verdana" w:cs="Arial"/>
          <w:sz w:val="20"/>
          <w:szCs w:val="20"/>
        </w:rPr>
        <w:t xml:space="preserve">teniendo en cuenta todos los métodos interpretativos, </w:t>
      </w:r>
      <w:r>
        <w:rPr>
          <w:rFonts w:ascii="Verdana" w:hAnsi="Verdana" w:cs="Arial"/>
          <w:sz w:val="20"/>
          <w:szCs w:val="20"/>
        </w:rPr>
        <w:t>el</w:t>
      </w:r>
      <w:r w:rsidRPr="004066BD">
        <w:rPr>
          <w:rFonts w:ascii="Verdana" w:hAnsi="Verdana" w:cs="Arial"/>
          <w:sz w:val="20"/>
          <w:szCs w:val="20"/>
        </w:rPr>
        <w:t xml:space="preserve"> cual demostró que el mismo no permite una </w:t>
      </w:r>
      <w:proofErr w:type="spellStart"/>
      <w:r w:rsidRPr="004066BD">
        <w:rPr>
          <w:rFonts w:ascii="Verdana" w:hAnsi="Verdana" w:cs="Arial"/>
          <w:sz w:val="20"/>
          <w:szCs w:val="20"/>
        </w:rPr>
        <w:t>justiciabilidad</w:t>
      </w:r>
      <w:proofErr w:type="spellEnd"/>
      <w:r w:rsidRPr="004066BD">
        <w:rPr>
          <w:rFonts w:ascii="Verdana" w:hAnsi="Verdana" w:cs="Arial"/>
          <w:sz w:val="20"/>
          <w:szCs w:val="20"/>
        </w:rPr>
        <w:t xml:space="preserve"> directa de los DESC, pues la competencia de la Corte IDH en la materia se encuentra regulada por el artículo </w:t>
      </w:r>
      <w:r w:rsidRPr="004066BD">
        <w:rPr>
          <w:rFonts w:ascii="Verdana" w:hAnsi="Verdana"/>
          <w:sz w:val="20"/>
          <w:szCs w:val="20"/>
        </w:rPr>
        <w:t>19.6 del Protocolo.</w:t>
      </w:r>
    </w:p>
    <w:p w14:paraId="7BBFB8F9" w14:textId="77777777" w:rsidR="00E70701" w:rsidRPr="00D309D6" w:rsidRDefault="00E70701" w:rsidP="00C44F79">
      <w:pPr>
        <w:jc w:val="both"/>
        <w:rPr>
          <w:rFonts w:ascii="Verdana" w:hAnsi="Verdana"/>
          <w:sz w:val="20"/>
          <w:szCs w:val="20"/>
        </w:rPr>
      </w:pPr>
    </w:p>
    <w:p w14:paraId="05281C86" w14:textId="77777777" w:rsidR="00E70701" w:rsidRDefault="00E70701" w:rsidP="00E70701">
      <w:pPr>
        <w:pStyle w:val="ListParagraph"/>
        <w:numPr>
          <w:ilvl w:val="0"/>
          <w:numId w:val="37"/>
        </w:numPr>
        <w:ind w:left="0" w:firstLine="0"/>
        <w:jc w:val="both"/>
        <w:rPr>
          <w:rFonts w:ascii="Verdana" w:hAnsi="Verdana"/>
          <w:sz w:val="20"/>
          <w:szCs w:val="20"/>
        </w:rPr>
      </w:pPr>
      <w:r>
        <w:rPr>
          <w:rFonts w:ascii="Verdana" w:hAnsi="Verdana"/>
          <w:sz w:val="20"/>
          <w:szCs w:val="20"/>
        </w:rPr>
        <w:t xml:space="preserve">Por ello, este punto también es bastante controversial en la presente Sentencia, pues se limita a usar un solo método de interpretación, dejando de lado a una de las normas más básicas del derecho internacional público, como lo es la </w:t>
      </w:r>
      <w:r w:rsidRPr="00C06104">
        <w:rPr>
          <w:rFonts w:ascii="Verdana" w:hAnsi="Verdana"/>
          <w:sz w:val="20"/>
          <w:szCs w:val="20"/>
        </w:rPr>
        <w:t>Convención de Viena sobre el Derecho de los Tratado</w:t>
      </w:r>
      <w:r>
        <w:rPr>
          <w:rFonts w:ascii="Verdana" w:hAnsi="Verdana"/>
          <w:sz w:val="20"/>
          <w:szCs w:val="20"/>
        </w:rPr>
        <w:t xml:space="preserve">s. Asimismo, no explica o argumenta porque se pretende realizar una interpretación del tratado bajo una sola metodología que además no es usual para la Corte IDH, que en diversas oportunidades ha realizado interpretaciones a partir de todos los métodos establecidos. </w:t>
      </w:r>
    </w:p>
    <w:p w14:paraId="6EDB0217" w14:textId="77777777" w:rsidR="00E70701" w:rsidRPr="006532EF" w:rsidRDefault="00E70701" w:rsidP="00C44F79">
      <w:pPr>
        <w:jc w:val="both"/>
        <w:rPr>
          <w:rFonts w:ascii="Verdana" w:hAnsi="Verdana"/>
          <w:sz w:val="20"/>
          <w:szCs w:val="20"/>
        </w:rPr>
      </w:pPr>
    </w:p>
    <w:p w14:paraId="62EC1C26" w14:textId="77777777" w:rsidR="00E70701" w:rsidRDefault="00E70701" w:rsidP="00E70701">
      <w:pPr>
        <w:pStyle w:val="ListParagraph"/>
        <w:numPr>
          <w:ilvl w:val="0"/>
          <w:numId w:val="37"/>
        </w:numPr>
        <w:ind w:left="0" w:firstLine="0"/>
        <w:jc w:val="both"/>
        <w:rPr>
          <w:rFonts w:ascii="Verdana" w:hAnsi="Verdana"/>
          <w:sz w:val="20"/>
          <w:szCs w:val="20"/>
        </w:rPr>
      </w:pPr>
      <w:r>
        <w:rPr>
          <w:rFonts w:ascii="Verdana" w:hAnsi="Verdana"/>
          <w:sz w:val="20"/>
          <w:szCs w:val="20"/>
        </w:rPr>
        <w:t xml:space="preserve">Finalmente, recalcó que en este caso no se está frente a una interpretación más garantista de la norma que permita la aplicación del principio </w:t>
      </w:r>
      <w:proofErr w:type="spellStart"/>
      <w:r>
        <w:rPr>
          <w:rFonts w:ascii="Verdana" w:hAnsi="Verdana"/>
          <w:i/>
          <w:sz w:val="20"/>
          <w:szCs w:val="20"/>
        </w:rPr>
        <w:t>pro</w:t>
      </w:r>
      <w:proofErr w:type="spellEnd"/>
      <w:r>
        <w:rPr>
          <w:rFonts w:ascii="Verdana" w:hAnsi="Verdana"/>
          <w:i/>
          <w:sz w:val="20"/>
          <w:szCs w:val="20"/>
        </w:rPr>
        <w:t xml:space="preserve"> persona</w:t>
      </w:r>
      <w:r>
        <w:rPr>
          <w:rFonts w:ascii="Verdana" w:hAnsi="Verdana"/>
          <w:sz w:val="20"/>
          <w:szCs w:val="20"/>
        </w:rPr>
        <w:t xml:space="preserve">. Esto se debe a que </w:t>
      </w:r>
      <w:r w:rsidRPr="00E274DB">
        <w:rPr>
          <w:rFonts w:ascii="Verdana" w:hAnsi="Verdana"/>
          <w:sz w:val="20"/>
          <w:szCs w:val="20"/>
        </w:rPr>
        <w:t xml:space="preserve">el principio </w:t>
      </w:r>
      <w:r w:rsidRPr="00E274DB">
        <w:rPr>
          <w:rFonts w:ascii="Verdana" w:hAnsi="Verdana"/>
          <w:i/>
          <w:sz w:val="20"/>
          <w:szCs w:val="20"/>
        </w:rPr>
        <w:t xml:space="preserve">pro </w:t>
      </w:r>
      <w:r>
        <w:rPr>
          <w:rFonts w:ascii="Verdana" w:hAnsi="Verdana"/>
          <w:i/>
          <w:sz w:val="20"/>
          <w:szCs w:val="20"/>
        </w:rPr>
        <w:t>persona</w:t>
      </w:r>
      <w:r w:rsidRPr="00E274DB">
        <w:rPr>
          <w:rFonts w:ascii="Verdana" w:hAnsi="Verdana"/>
          <w:sz w:val="20"/>
          <w:szCs w:val="20"/>
        </w:rPr>
        <w:t xml:space="preserve"> debe ser aplicado cuando la Corte se encuentre frente a dos posibles interpretaciones válidas </w:t>
      </w:r>
      <w:r>
        <w:rPr>
          <w:rFonts w:ascii="Verdana" w:hAnsi="Verdana"/>
          <w:sz w:val="20"/>
          <w:szCs w:val="20"/>
        </w:rPr>
        <w:t>y ciertas. Justamente, lo que he</w:t>
      </w:r>
      <w:r w:rsidRPr="00E274DB">
        <w:rPr>
          <w:rFonts w:ascii="Verdana" w:hAnsi="Verdana"/>
          <w:sz w:val="20"/>
          <w:szCs w:val="20"/>
        </w:rPr>
        <w:t xml:space="preserve"> demostrado es que la </w:t>
      </w:r>
      <w:proofErr w:type="spellStart"/>
      <w:r w:rsidRPr="00E274DB">
        <w:rPr>
          <w:rFonts w:ascii="Verdana" w:hAnsi="Verdana"/>
          <w:sz w:val="20"/>
          <w:szCs w:val="20"/>
        </w:rPr>
        <w:t>justiciabilidad</w:t>
      </w:r>
      <w:proofErr w:type="spellEnd"/>
      <w:r w:rsidRPr="00E274DB">
        <w:rPr>
          <w:rFonts w:ascii="Verdana" w:hAnsi="Verdana"/>
          <w:sz w:val="20"/>
          <w:szCs w:val="20"/>
        </w:rPr>
        <w:t xml:space="preserve"> directa de los DESC a partir del artículo 26 de la Convención no es </w:t>
      </w:r>
      <w:r>
        <w:rPr>
          <w:rFonts w:ascii="Verdana" w:hAnsi="Verdana"/>
          <w:sz w:val="20"/>
          <w:szCs w:val="20"/>
        </w:rPr>
        <w:t xml:space="preserve">una </w:t>
      </w:r>
      <w:r w:rsidRPr="00E274DB">
        <w:rPr>
          <w:rFonts w:ascii="Verdana" w:hAnsi="Verdana"/>
          <w:sz w:val="20"/>
          <w:szCs w:val="20"/>
        </w:rPr>
        <w:t>interpr</w:t>
      </w:r>
      <w:r>
        <w:rPr>
          <w:rFonts w:ascii="Verdana" w:hAnsi="Verdana"/>
          <w:sz w:val="20"/>
          <w:szCs w:val="20"/>
        </w:rPr>
        <w:t>etación vá</w:t>
      </w:r>
      <w:r w:rsidRPr="00E274DB">
        <w:rPr>
          <w:rFonts w:ascii="Verdana" w:hAnsi="Verdana"/>
          <w:sz w:val="20"/>
          <w:szCs w:val="20"/>
        </w:rPr>
        <w:t>lida, dado que lo que se está intentando es derivar un enunciado normativo que no corresponde a la norma</w:t>
      </w:r>
      <w:r>
        <w:rPr>
          <w:rStyle w:val="FootnoteReference"/>
          <w:szCs w:val="20"/>
        </w:rPr>
        <w:footnoteReference w:id="457"/>
      </w:r>
      <w:r w:rsidRPr="00E274DB">
        <w:rPr>
          <w:rFonts w:ascii="Verdana" w:hAnsi="Verdana"/>
          <w:sz w:val="20"/>
          <w:szCs w:val="20"/>
        </w:rPr>
        <w:t>.</w:t>
      </w:r>
      <w:r>
        <w:rPr>
          <w:rFonts w:ascii="Verdana" w:hAnsi="Verdana"/>
          <w:sz w:val="20"/>
          <w:szCs w:val="20"/>
        </w:rPr>
        <w:t xml:space="preserve"> Dicho de otra forma, el principio </w:t>
      </w:r>
      <w:r>
        <w:rPr>
          <w:rFonts w:ascii="Verdana" w:hAnsi="Verdana"/>
          <w:i/>
          <w:sz w:val="20"/>
          <w:szCs w:val="20"/>
        </w:rPr>
        <w:t xml:space="preserve">pro persona </w:t>
      </w:r>
      <w:r>
        <w:rPr>
          <w:rFonts w:ascii="Verdana" w:hAnsi="Verdana"/>
          <w:sz w:val="20"/>
          <w:szCs w:val="20"/>
        </w:rPr>
        <w:t>no puede ser utilizado para validar una opción interpretativa que no se desprende de la norma y que por el contrario implica una modificación de la misma.</w:t>
      </w:r>
    </w:p>
    <w:p w14:paraId="1700B7F2" w14:textId="77777777" w:rsidR="00E70701" w:rsidRPr="000D3FFA" w:rsidRDefault="00E70701" w:rsidP="00C44F79">
      <w:pPr>
        <w:jc w:val="both"/>
        <w:rPr>
          <w:rFonts w:ascii="Verdana" w:hAnsi="Verdana" w:cs="Arial"/>
          <w:sz w:val="20"/>
          <w:szCs w:val="20"/>
        </w:rPr>
      </w:pPr>
    </w:p>
    <w:p w14:paraId="119D8619" w14:textId="77777777" w:rsidR="00E70701" w:rsidRPr="003A65D1" w:rsidRDefault="00E70701" w:rsidP="00E70701">
      <w:pPr>
        <w:pStyle w:val="ListParagraph"/>
        <w:numPr>
          <w:ilvl w:val="0"/>
          <w:numId w:val="36"/>
        </w:numPr>
        <w:jc w:val="both"/>
        <w:rPr>
          <w:rFonts w:ascii="Verdana" w:hAnsi="Verdana" w:cs="Arial"/>
          <w:b/>
          <w:sz w:val="20"/>
          <w:szCs w:val="20"/>
        </w:rPr>
      </w:pPr>
      <w:r w:rsidRPr="003A65D1">
        <w:rPr>
          <w:rFonts w:ascii="Verdana" w:hAnsi="Verdana" w:cs="Arial"/>
          <w:b/>
          <w:sz w:val="20"/>
          <w:szCs w:val="20"/>
        </w:rPr>
        <w:t>IMPERTINENCIA DEL CASO</w:t>
      </w:r>
      <w:r>
        <w:rPr>
          <w:rFonts w:ascii="Verdana" w:hAnsi="Verdana" w:cs="Arial"/>
          <w:b/>
          <w:sz w:val="20"/>
          <w:szCs w:val="20"/>
        </w:rPr>
        <w:t xml:space="preserve"> CONCRETO</w:t>
      </w:r>
    </w:p>
    <w:p w14:paraId="632E35FC" w14:textId="77777777" w:rsidR="00E70701" w:rsidRPr="006532EF" w:rsidRDefault="00E70701" w:rsidP="00C44F79">
      <w:pPr>
        <w:jc w:val="both"/>
        <w:rPr>
          <w:rFonts w:ascii="Verdana" w:hAnsi="Verdana"/>
          <w:sz w:val="20"/>
          <w:szCs w:val="20"/>
        </w:rPr>
      </w:pPr>
    </w:p>
    <w:p w14:paraId="7ED9FAA1" w14:textId="77777777" w:rsidR="00E70701" w:rsidRDefault="00E70701" w:rsidP="00E70701">
      <w:pPr>
        <w:pStyle w:val="ListParagraph"/>
        <w:numPr>
          <w:ilvl w:val="0"/>
          <w:numId w:val="37"/>
        </w:numPr>
        <w:ind w:left="0" w:firstLine="0"/>
        <w:jc w:val="both"/>
        <w:rPr>
          <w:rFonts w:ascii="Verdana" w:hAnsi="Verdana"/>
          <w:sz w:val="20"/>
          <w:szCs w:val="20"/>
        </w:rPr>
      </w:pPr>
      <w:r>
        <w:rPr>
          <w:rFonts w:ascii="Verdana" w:hAnsi="Verdana"/>
          <w:sz w:val="20"/>
          <w:szCs w:val="20"/>
        </w:rPr>
        <w:t>Una vez expuestos mis argumentos generales sobre la materia, procederé a presentar las razones por las cuales consideró que este caso en particular presentaba diversas complejidades que hacían que no permitía entrar a este debate y mucho menos para arribar a la conclusión que llegó la mayoría de la Corte IDH.</w:t>
      </w:r>
    </w:p>
    <w:p w14:paraId="0B70FCE2" w14:textId="77777777" w:rsidR="00E70701" w:rsidRDefault="00E70701" w:rsidP="00C44F79">
      <w:pPr>
        <w:pStyle w:val="ListParagraph"/>
        <w:ind w:left="0"/>
        <w:jc w:val="both"/>
        <w:rPr>
          <w:rFonts w:ascii="Verdana" w:hAnsi="Verdana"/>
          <w:sz w:val="20"/>
          <w:szCs w:val="20"/>
        </w:rPr>
      </w:pPr>
    </w:p>
    <w:p w14:paraId="08A23077" w14:textId="77777777" w:rsidR="00E70701" w:rsidRPr="00A8332C" w:rsidRDefault="00E70701" w:rsidP="00E70701">
      <w:pPr>
        <w:pStyle w:val="ListParagraph"/>
        <w:numPr>
          <w:ilvl w:val="0"/>
          <w:numId w:val="37"/>
        </w:numPr>
        <w:ind w:left="0" w:firstLine="0"/>
        <w:jc w:val="both"/>
        <w:rPr>
          <w:rFonts w:ascii="Verdana" w:hAnsi="Verdana"/>
          <w:sz w:val="20"/>
          <w:szCs w:val="20"/>
        </w:rPr>
      </w:pPr>
      <w:r>
        <w:rPr>
          <w:rFonts w:ascii="Verdana" w:hAnsi="Verdana"/>
          <w:sz w:val="20"/>
          <w:szCs w:val="20"/>
        </w:rPr>
        <w:t>En primer lugar, consid</w:t>
      </w:r>
      <w:r w:rsidRPr="00A8332C">
        <w:rPr>
          <w:rFonts w:ascii="Verdana" w:hAnsi="Verdana"/>
          <w:sz w:val="20"/>
          <w:szCs w:val="20"/>
        </w:rPr>
        <w:t xml:space="preserve">ero sumamente </w:t>
      </w:r>
      <w:r>
        <w:rPr>
          <w:rFonts w:ascii="Verdana" w:hAnsi="Verdana"/>
          <w:sz w:val="20"/>
          <w:szCs w:val="20"/>
        </w:rPr>
        <w:t xml:space="preserve">atrevido </w:t>
      </w:r>
      <w:r w:rsidRPr="00A8332C">
        <w:rPr>
          <w:rFonts w:ascii="Verdana" w:hAnsi="Verdana"/>
          <w:sz w:val="20"/>
          <w:szCs w:val="20"/>
        </w:rPr>
        <w:t xml:space="preserve">hacer uso del principio </w:t>
      </w:r>
      <w:proofErr w:type="spellStart"/>
      <w:r w:rsidRPr="00A8332C">
        <w:rPr>
          <w:rFonts w:ascii="Verdana" w:hAnsi="Verdana"/>
          <w:i/>
          <w:sz w:val="20"/>
          <w:szCs w:val="20"/>
        </w:rPr>
        <w:t>iura</w:t>
      </w:r>
      <w:proofErr w:type="spellEnd"/>
      <w:r w:rsidRPr="00A8332C">
        <w:rPr>
          <w:rFonts w:ascii="Verdana" w:hAnsi="Verdana"/>
          <w:i/>
          <w:sz w:val="20"/>
          <w:szCs w:val="20"/>
        </w:rPr>
        <w:t xml:space="preserve"> </w:t>
      </w:r>
      <w:proofErr w:type="spellStart"/>
      <w:r w:rsidRPr="00A8332C">
        <w:rPr>
          <w:rFonts w:ascii="Verdana" w:hAnsi="Verdana"/>
          <w:i/>
          <w:sz w:val="20"/>
          <w:szCs w:val="20"/>
        </w:rPr>
        <w:t>novit</w:t>
      </w:r>
      <w:proofErr w:type="spellEnd"/>
      <w:r w:rsidRPr="00A8332C">
        <w:rPr>
          <w:rFonts w:ascii="Verdana" w:hAnsi="Verdana"/>
          <w:i/>
          <w:sz w:val="20"/>
          <w:szCs w:val="20"/>
        </w:rPr>
        <w:t xml:space="preserve"> curia</w:t>
      </w:r>
      <w:r w:rsidRPr="00A8332C">
        <w:rPr>
          <w:rFonts w:ascii="Verdana" w:hAnsi="Verdana"/>
          <w:sz w:val="20"/>
          <w:szCs w:val="20"/>
        </w:rPr>
        <w:t xml:space="preserve"> en el presente caso. Como es de conocimiento general, este principio ha sido utilizado desde sus primeras sentencias</w:t>
      </w:r>
      <w:r w:rsidRPr="00A8332C">
        <w:rPr>
          <w:rStyle w:val="FootnoteReference"/>
          <w:szCs w:val="20"/>
        </w:rPr>
        <w:footnoteReference w:id="458"/>
      </w:r>
      <w:r w:rsidRPr="00A8332C">
        <w:rPr>
          <w:rFonts w:ascii="Verdana" w:hAnsi="Verdana"/>
          <w:sz w:val="20"/>
          <w:szCs w:val="20"/>
        </w:rPr>
        <w:t xml:space="preserve"> por la Corte IDH</w:t>
      </w:r>
      <w:r>
        <w:rPr>
          <w:rFonts w:ascii="Verdana" w:hAnsi="Verdana"/>
          <w:sz w:val="20"/>
          <w:szCs w:val="20"/>
        </w:rPr>
        <w:t xml:space="preserve">, la cual lo ha definido como </w:t>
      </w:r>
      <w:r w:rsidRPr="00A8332C">
        <w:rPr>
          <w:rFonts w:ascii="Verdana" w:hAnsi="Verdana"/>
          <w:sz w:val="20"/>
          <w:szCs w:val="20"/>
        </w:rPr>
        <w:t>“</w:t>
      </w:r>
      <w:r w:rsidRPr="00A8332C">
        <w:rPr>
          <w:rFonts w:ascii="Verdana" w:eastAsia="Times New Roman" w:hAnsi="Verdana"/>
          <w:sz w:val="20"/>
          <w:szCs w:val="20"/>
          <w:lang w:eastAsia="es-ES_tradnl"/>
        </w:rPr>
        <w:t xml:space="preserve">la facultad e inclusive el deber </w:t>
      </w:r>
      <w:r>
        <w:rPr>
          <w:rFonts w:ascii="Verdana" w:eastAsia="Times New Roman" w:hAnsi="Verdana"/>
          <w:sz w:val="20"/>
          <w:szCs w:val="20"/>
          <w:lang w:eastAsia="es-ES_tradnl"/>
        </w:rPr>
        <w:t xml:space="preserve">[que posee el juzgador] </w:t>
      </w:r>
      <w:r w:rsidRPr="00A8332C">
        <w:rPr>
          <w:rFonts w:ascii="Verdana" w:eastAsia="Times New Roman" w:hAnsi="Verdana"/>
          <w:sz w:val="20"/>
          <w:szCs w:val="20"/>
          <w:lang w:eastAsia="es-ES_tradnl"/>
        </w:rPr>
        <w:t>de aplicar</w:t>
      </w:r>
      <w:r>
        <w:rPr>
          <w:rFonts w:ascii="Verdana" w:eastAsia="Times New Roman" w:hAnsi="Verdana"/>
          <w:sz w:val="20"/>
          <w:szCs w:val="20"/>
          <w:lang w:eastAsia="es-ES_tradnl"/>
        </w:rPr>
        <w:t xml:space="preserve"> </w:t>
      </w:r>
      <w:r w:rsidRPr="00A8332C">
        <w:rPr>
          <w:rFonts w:ascii="Verdana" w:eastAsia="Times New Roman" w:hAnsi="Verdana"/>
          <w:sz w:val="20"/>
          <w:szCs w:val="20"/>
          <w:lang w:eastAsia="es-ES_tradnl"/>
        </w:rPr>
        <w:t>las disposiciones jurídicas pertinentes en una causa, aun cuando las partes no las invoquen expresamente”</w:t>
      </w:r>
      <w:r>
        <w:rPr>
          <w:rStyle w:val="FootnoteReference"/>
          <w:rFonts w:eastAsia="Times New Roman"/>
          <w:szCs w:val="20"/>
          <w:lang w:eastAsia="es-ES_tradnl"/>
        </w:rPr>
        <w:footnoteReference w:id="459"/>
      </w:r>
      <w:r>
        <w:rPr>
          <w:rFonts w:ascii="Verdana" w:eastAsia="Times New Roman" w:hAnsi="Verdana"/>
          <w:sz w:val="20"/>
          <w:szCs w:val="20"/>
          <w:lang w:eastAsia="es-ES_tradnl"/>
        </w:rPr>
        <w:t xml:space="preserve">. De manera que este principio implica, como su nombre lo indica, que el juez interamericano pueda aplicar una norma que no ha sido alegada por la Comisión o las partes, pues éste se encuentra en mejor posición para determinar cuál es el derecho aplicable al caso. En otras palabras, el sistema interamericano no es justicia rogada, en el sentido que no se traba la </w:t>
      </w:r>
      <w:proofErr w:type="spellStart"/>
      <w:r w:rsidRPr="00681FB5">
        <w:rPr>
          <w:rFonts w:ascii="Verdana" w:eastAsia="Times New Roman" w:hAnsi="Verdana"/>
          <w:i/>
          <w:sz w:val="20"/>
          <w:szCs w:val="20"/>
          <w:lang w:eastAsia="es-ES_tradnl"/>
        </w:rPr>
        <w:t>litis</w:t>
      </w:r>
      <w:proofErr w:type="spellEnd"/>
      <w:r>
        <w:rPr>
          <w:rFonts w:ascii="Verdana" w:eastAsia="Times New Roman" w:hAnsi="Verdana"/>
          <w:sz w:val="20"/>
          <w:szCs w:val="20"/>
          <w:lang w:eastAsia="es-ES_tradnl"/>
        </w:rPr>
        <w:t xml:space="preserve"> a partir de las normas alegadas por la CIDH o las partes.</w:t>
      </w:r>
    </w:p>
    <w:p w14:paraId="5129E7D9" w14:textId="77777777" w:rsidR="00E70701" w:rsidRPr="00A8332C" w:rsidRDefault="00E70701" w:rsidP="00C44F79">
      <w:pPr>
        <w:jc w:val="both"/>
        <w:rPr>
          <w:rFonts w:ascii="Verdana" w:hAnsi="Verdana"/>
          <w:sz w:val="20"/>
          <w:szCs w:val="20"/>
        </w:rPr>
      </w:pPr>
    </w:p>
    <w:p w14:paraId="4FB04686" w14:textId="77777777" w:rsidR="00E70701" w:rsidRDefault="00E70701" w:rsidP="00E70701">
      <w:pPr>
        <w:pStyle w:val="ListParagraph"/>
        <w:numPr>
          <w:ilvl w:val="0"/>
          <w:numId w:val="37"/>
        </w:numPr>
        <w:ind w:left="0" w:firstLine="0"/>
        <w:jc w:val="both"/>
        <w:rPr>
          <w:rFonts w:ascii="Verdana" w:hAnsi="Verdana"/>
          <w:sz w:val="20"/>
          <w:szCs w:val="20"/>
        </w:rPr>
      </w:pPr>
      <w:r>
        <w:rPr>
          <w:rFonts w:ascii="Verdana" w:hAnsi="Verdana"/>
          <w:sz w:val="20"/>
          <w:szCs w:val="20"/>
        </w:rPr>
        <w:t>Dado esto por sentado, estimo que, si bien esta es una facultad reconocida para los jueces interamericanos, no puede ser usada bajo cualquier circunstancia y sin acudir a ciertos criterios de razonabilidad y pertinencia. En efecto, considero que el mencionado principio puede ser utilizado cuando sea manifiesta la violación de derechos humanos o cuando los representantes o la Comisión hayan incurrido en un grave olvido o error, de manera que la Corte subsane una posible injusticia, pero dicho principio no debe utilizarse para sorprender a un Estado con una violación que no preveía en lo más mínimo y que no tuvo la oportunidad de controvertir ni siquiera en los hechos.</w:t>
      </w:r>
    </w:p>
    <w:p w14:paraId="388E6297" w14:textId="77777777" w:rsidR="00E70701" w:rsidRPr="00475FAC" w:rsidRDefault="00E70701" w:rsidP="00C44F79">
      <w:pPr>
        <w:jc w:val="both"/>
        <w:rPr>
          <w:rFonts w:ascii="Verdana" w:hAnsi="Verdana"/>
          <w:sz w:val="20"/>
          <w:szCs w:val="20"/>
        </w:rPr>
      </w:pPr>
    </w:p>
    <w:p w14:paraId="49690183" w14:textId="77777777" w:rsidR="00E70701" w:rsidRDefault="00E70701" w:rsidP="00E70701">
      <w:pPr>
        <w:pStyle w:val="ListParagraph"/>
        <w:numPr>
          <w:ilvl w:val="0"/>
          <w:numId w:val="37"/>
        </w:numPr>
        <w:ind w:left="0" w:firstLine="0"/>
        <w:jc w:val="both"/>
        <w:rPr>
          <w:rFonts w:ascii="Verdana" w:hAnsi="Verdana"/>
          <w:sz w:val="20"/>
          <w:szCs w:val="20"/>
        </w:rPr>
      </w:pPr>
      <w:r>
        <w:rPr>
          <w:rFonts w:ascii="Verdana" w:hAnsi="Verdana"/>
          <w:sz w:val="20"/>
          <w:szCs w:val="20"/>
        </w:rPr>
        <w:t>En el presente caso, se indicó en la Sentencia que el peticionario argumentó en la primera etapa del proceso ante la Comisión Interamericana la presunta vulneración del derecho al trabajo</w:t>
      </w:r>
      <w:r>
        <w:rPr>
          <w:rStyle w:val="FootnoteReference"/>
          <w:szCs w:val="20"/>
        </w:rPr>
        <w:footnoteReference w:id="460"/>
      </w:r>
      <w:r>
        <w:rPr>
          <w:rFonts w:ascii="Verdana" w:hAnsi="Verdana"/>
          <w:sz w:val="20"/>
          <w:szCs w:val="20"/>
        </w:rPr>
        <w:t>. Lo anterior se tomó como base para concluir que el Estado había conocido desde el principio los hechos</w:t>
      </w:r>
      <w:r>
        <w:rPr>
          <w:rStyle w:val="FootnoteReference"/>
          <w:szCs w:val="20"/>
        </w:rPr>
        <w:footnoteReference w:id="461"/>
      </w:r>
      <w:r>
        <w:rPr>
          <w:rFonts w:ascii="Verdana" w:hAnsi="Verdana"/>
          <w:sz w:val="20"/>
          <w:szCs w:val="20"/>
        </w:rPr>
        <w:t xml:space="preserve"> y que “las partes </w:t>
      </w:r>
      <w:proofErr w:type="gramStart"/>
      <w:r>
        <w:rPr>
          <w:rFonts w:ascii="Verdana" w:hAnsi="Verdana"/>
          <w:sz w:val="20"/>
          <w:szCs w:val="20"/>
        </w:rPr>
        <w:t>ha[</w:t>
      </w:r>
      <w:proofErr w:type="spellStart"/>
      <w:proofErr w:type="gramEnd"/>
      <w:r>
        <w:rPr>
          <w:rFonts w:ascii="Verdana" w:hAnsi="Verdana"/>
          <w:sz w:val="20"/>
          <w:szCs w:val="20"/>
        </w:rPr>
        <w:t>bían</w:t>
      </w:r>
      <w:proofErr w:type="spellEnd"/>
      <w:r>
        <w:rPr>
          <w:rFonts w:ascii="Verdana" w:hAnsi="Verdana"/>
          <w:sz w:val="20"/>
          <w:szCs w:val="20"/>
        </w:rPr>
        <w:t>] tenido amplia posibilidad de hacer referencia al alcance de los derechos que involucran los hechos analizados”</w:t>
      </w:r>
      <w:r>
        <w:rPr>
          <w:rStyle w:val="FootnoteReference"/>
          <w:szCs w:val="20"/>
        </w:rPr>
        <w:footnoteReference w:id="462"/>
      </w:r>
      <w:r>
        <w:rPr>
          <w:rFonts w:ascii="Verdana" w:hAnsi="Verdana"/>
          <w:sz w:val="20"/>
          <w:szCs w:val="20"/>
        </w:rPr>
        <w:t>.</w:t>
      </w:r>
    </w:p>
    <w:p w14:paraId="5C6BE371" w14:textId="77777777" w:rsidR="00E70701" w:rsidRPr="00F64356" w:rsidRDefault="00E70701" w:rsidP="00C44F79">
      <w:pPr>
        <w:jc w:val="both"/>
        <w:rPr>
          <w:rFonts w:ascii="Verdana" w:hAnsi="Verdana"/>
          <w:sz w:val="20"/>
          <w:szCs w:val="20"/>
        </w:rPr>
      </w:pPr>
    </w:p>
    <w:p w14:paraId="320152A0" w14:textId="77777777" w:rsidR="00E70701" w:rsidRDefault="00E70701" w:rsidP="00E70701">
      <w:pPr>
        <w:pStyle w:val="ListParagraph"/>
        <w:numPr>
          <w:ilvl w:val="0"/>
          <w:numId w:val="37"/>
        </w:numPr>
        <w:ind w:left="0" w:firstLine="0"/>
        <w:jc w:val="both"/>
        <w:rPr>
          <w:rFonts w:ascii="Verdana" w:hAnsi="Verdana"/>
          <w:sz w:val="20"/>
          <w:szCs w:val="20"/>
        </w:rPr>
      </w:pPr>
      <w:r>
        <w:rPr>
          <w:rFonts w:ascii="Verdana" w:hAnsi="Verdana"/>
          <w:sz w:val="20"/>
          <w:szCs w:val="20"/>
        </w:rPr>
        <w:lastRenderedPageBreak/>
        <w:t>La conclusión a la que arriba la Corte puede ser considerada como ligera o apresurada, pues afirmar que el Estado tuvo una amplia posibilidad de defenderse frente a la vulneración del artículo 26 de la Convención Americana, no tiene en cuenta el arduo debate que se ha dado al interior de la Corte Interamericana en torno a este artículo. En efecto, al declarar la vulneración del artículo 26 de la CADH en este caso, no se está simplemente discutiendo si el despido del señor Lagos estuvo o no justificado, sino que detrás hay toda una disertación acerca del alcance de un artículo que no ha sido pacífico y que los Estados han sido enfáticos en rechazar. De manera que no es suficiente con decir que una mención en los alegatos presentados antes del informe de admisibilidad de la Comisión podían hacer prever al Estado del Perú que fuese posible que la Corte Interamericana entrará a declarar la vulneración de dicho derecho en un caso que se presentó como la presunta violación de los artículos 8 y 13 de la CADH.</w:t>
      </w:r>
    </w:p>
    <w:p w14:paraId="77CB7F2A" w14:textId="77777777" w:rsidR="00E70701" w:rsidRPr="000E4B5D" w:rsidRDefault="00E70701" w:rsidP="00C44F79">
      <w:pPr>
        <w:jc w:val="both"/>
        <w:rPr>
          <w:rFonts w:ascii="Verdana" w:hAnsi="Verdana"/>
          <w:sz w:val="20"/>
          <w:szCs w:val="20"/>
        </w:rPr>
      </w:pPr>
    </w:p>
    <w:p w14:paraId="54DA738E" w14:textId="77777777" w:rsidR="00E70701" w:rsidRDefault="00E70701" w:rsidP="00E70701">
      <w:pPr>
        <w:pStyle w:val="ListParagraph"/>
        <w:numPr>
          <w:ilvl w:val="0"/>
          <w:numId w:val="37"/>
        </w:numPr>
        <w:ind w:left="0" w:firstLine="0"/>
        <w:jc w:val="both"/>
        <w:rPr>
          <w:rFonts w:ascii="Verdana" w:hAnsi="Verdana"/>
          <w:sz w:val="20"/>
          <w:szCs w:val="20"/>
        </w:rPr>
      </w:pPr>
      <w:r>
        <w:rPr>
          <w:rFonts w:ascii="Verdana" w:hAnsi="Verdana"/>
          <w:sz w:val="20"/>
          <w:szCs w:val="20"/>
        </w:rPr>
        <w:t xml:space="preserve">Al respecto, considero que dadas las complejidades del debate del artículo 26 de la CADH y las implicaciones que esto puede generar no sólo frente al caso en particular, sino como precedente a futuro de la Corte IDH, lo mínimo es que se permitiera un debate público y abierto sobre las posibles interpretaciones y alcances en discusión. De hecho, si se hubiese arribado a esta conclusión en un caso como </w:t>
      </w:r>
      <w:proofErr w:type="spellStart"/>
      <w:r w:rsidRPr="00C24C47">
        <w:rPr>
          <w:rFonts w:ascii="Verdana" w:hAnsi="Verdana"/>
          <w:i/>
          <w:sz w:val="20"/>
          <w:szCs w:val="20"/>
        </w:rPr>
        <w:t>Gonzalez</w:t>
      </w:r>
      <w:proofErr w:type="spellEnd"/>
      <w:r w:rsidRPr="00C24C47">
        <w:rPr>
          <w:rFonts w:ascii="Verdana" w:hAnsi="Verdana"/>
          <w:i/>
          <w:sz w:val="20"/>
          <w:szCs w:val="20"/>
        </w:rPr>
        <w:t xml:space="preserve"> </w:t>
      </w:r>
      <w:proofErr w:type="spellStart"/>
      <w:r w:rsidRPr="00C24C47">
        <w:rPr>
          <w:rFonts w:ascii="Verdana" w:hAnsi="Verdana"/>
          <w:i/>
          <w:sz w:val="20"/>
          <w:szCs w:val="20"/>
        </w:rPr>
        <w:t>Lluy</w:t>
      </w:r>
      <w:proofErr w:type="spellEnd"/>
      <w:r w:rsidRPr="00C24C47">
        <w:rPr>
          <w:rFonts w:ascii="Verdana" w:hAnsi="Verdana"/>
          <w:i/>
          <w:sz w:val="20"/>
          <w:szCs w:val="20"/>
        </w:rPr>
        <w:t xml:space="preserve"> Vs. Ecuador</w:t>
      </w:r>
      <w:r>
        <w:rPr>
          <w:rFonts w:ascii="Verdana" w:hAnsi="Verdana"/>
          <w:sz w:val="20"/>
          <w:szCs w:val="20"/>
        </w:rPr>
        <w:t xml:space="preserve">, en el cual se dio el debate entre los representantes y el Estado en la audiencia pública y en los diversos escritos principales, no me parecería tan impertinente (desde una perspectiva procesal) la declaración, puesto que el Estado tuvo en su momento la oportunidad de presentar su posición sobre el tema. Sin embargo, arribar a la conclusión de esta Sentencia sin el debido debate entre las partes, puede ser visto por los Estados como una decisión arbitraria y precipitada del Tribunal, lo cual pone en grave riesgo la legitimidad del mismo. </w:t>
      </w:r>
    </w:p>
    <w:p w14:paraId="5B8FEDD2" w14:textId="77777777" w:rsidR="00E70701" w:rsidRPr="007457AD" w:rsidRDefault="00E70701" w:rsidP="00C44F79">
      <w:pPr>
        <w:pStyle w:val="ListParagraph"/>
        <w:rPr>
          <w:rFonts w:ascii="Verdana" w:hAnsi="Verdana"/>
          <w:sz w:val="20"/>
          <w:szCs w:val="20"/>
        </w:rPr>
      </w:pPr>
    </w:p>
    <w:p w14:paraId="3BA365F5"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El debido respeto y acatamiento de las decisiones de la Corte es indispensable para lograr que las sentencias condenatorias de los Estados por desconocimiento de derecho humanos se conviertan no solo en un mecanismo de reparación de las víctimas, sino que además sirvan como catalizador positivo de transformaciones estructurales en la sociedad y en el aparato estatal.  Las decisiones judiciales por un tribunal internacional sobre la utilización y distribución adecuada de recursos económicos, escasos por definición, conlleva una intervención particularmente intensa en los asuntos internos y por esto requieren una legitimidad que solo podría derivarse de una manifestación explicita.</w:t>
      </w:r>
    </w:p>
    <w:p w14:paraId="068B4B96" w14:textId="77777777" w:rsidR="00E70701" w:rsidRPr="007457AD" w:rsidRDefault="00E70701" w:rsidP="00C44F79">
      <w:pPr>
        <w:pStyle w:val="ListParagraph"/>
        <w:rPr>
          <w:rFonts w:ascii="Verdana" w:hAnsi="Verdana" w:cs="Arial"/>
          <w:sz w:val="20"/>
          <w:szCs w:val="20"/>
        </w:rPr>
      </w:pPr>
    </w:p>
    <w:p w14:paraId="28DF7C54" w14:textId="77777777" w:rsidR="00E70701" w:rsidRPr="002D14F0" w:rsidRDefault="00E70701" w:rsidP="00E70701">
      <w:pPr>
        <w:pStyle w:val="ListParagraph"/>
        <w:numPr>
          <w:ilvl w:val="0"/>
          <w:numId w:val="37"/>
        </w:numPr>
        <w:ind w:left="0" w:firstLine="0"/>
        <w:jc w:val="both"/>
        <w:rPr>
          <w:rFonts w:ascii="Verdana" w:hAnsi="Verdana"/>
          <w:sz w:val="20"/>
          <w:szCs w:val="20"/>
        </w:rPr>
      </w:pPr>
      <w:r>
        <w:rPr>
          <w:rFonts w:ascii="Verdana" w:hAnsi="Verdana" w:cs="Arial"/>
          <w:sz w:val="20"/>
          <w:szCs w:val="20"/>
        </w:rPr>
        <w:t xml:space="preserve">Al declarar </w:t>
      </w:r>
      <w:r w:rsidRPr="00F80470">
        <w:rPr>
          <w:rFonts w:ascii="Verdana" w:hAnsi="Verdana" w:cs="Arial"/>
          <w:sz w:val="20"/>
          <w:szCs w:val="20"/>
        </w:rPr>
        <w:t xml:space="preserve">violado el artículo 26 </w:t>
      </w:r>
      <w:r>
        <w:rPr>
          <w:rFonts w:ascii="Verdana" w:hAnsi="Verdana" w:cs="Arial"/>
          <w:sz w:val="20"/>
          <w:szCs w:val="20"/>
        </w:rPr>
        <w:t>las sentencias podrán, y en ocasiones deberán, establecer  reparaciones que tendrán incidencia en materia de políticas públicas de forma más acentuada que las hasta ahora tomadas por este tribunal, por lo tanto será necesario que en contextos de precariedad y de restricciones presupuestarias</w:t>
      </w:r>
      <w:r w:rsidRPr="002D14F0">
        <w:rPr>
          <w:rFonts w:ascii="Verdana" w:hAnsi="Verdana" w:cs="Arial"/>
          <w:sz w:val="20"/>
          <w:szCs w:val="20"/>
        </w:rPr>
        <w:t>, propios de la mayor parte de nuestros Estados</w:t>
      </w:r>
      <w:r>
        <w:rPr>
          <w:rFonts w:ascii="Verdana" w:hAnsi="Verdana" w:cs="Arial"/>
          <w:sz w:val="20"/>
          <w:szCs w:val="20"/>
        </w:rPr>
        <w:t>,</w:t>
      </w:r>
      <w:r w:rsidRPr="002D14F0">
        <w:rPr>
          <w:rFonts w:ascii="Verdana" w:hAnsi="Verdana" w:cs="Arial"/>
          <w:sz w:val="20"/>
          <w:szCs w:val="20"/>
        </w:rPr>
        <w:t xml:space="preserve"> se establezca relaciones de disponibilidad económica que permitan reorientar las prioridades de inversión de recursos escasos. En este orden de ideas, no es irrelevante la manera como se fundamenta y legitima la competencia de la Corte Interamericana.</w:t>
      </w:r>
    </w:p>
    <w:p w14:paraId="20B17D42" w14:textId="77777777" w:rsidR="00E70701" w:rsidRPr="00CF1E18" w:rsidRDefault="00E70701" w:rsidP="00C44F79">
      <w:pPr>
        <w:jc w:val="both"/>
        <w:rPr>
          <w:rFonts w:ascii="Verdana" w:hAnsi="Verdana" w:cs="Arial"/>
          <w:sz w:val="20"/>
          <w:szCs w:val="20"/>
        </w:rPr>
      </w:pPr>
    </w:p>
    <w:p w14:paraId="541EFF2D" w14:textId="77777777" w:rsidR="00E70701" w:rsidRPr="00857CD1" w:rsidRDefault="00E70701" w:rsidP="00E70701">
      <w:pPr>
        <w:pStyle w:val="ListParagraph"/>
        <w:numPr>
          <w:ilvl w:val="0"/>
          <w:numId w:val="36"/>
        </w:numPr>
        <w:jc w:val="both"/>
        <w:rPr>
          <w:rFonts w:ascii="Verdana" w:hAnsi="Verdana" w:cs="Arial"/>
          <w:b/>
          <w:sz w:val="20"/>
          <w:szCs w:val="20"/>
        </w:rPr>
      </w:pPr>
      <w:r w:rsidRPr="00857CD1">
        <w:rPr>
          <w:rFonts w:ascii="Verdana" w:hAnsi="Verdana" w:cs="Arial"/>
          <w:b/>
          <w:sz w:val="20"/>
          <w:szCs w:val="20"/>
        </w:rPr>
        <w:t>FAL</w:t>
      </w:r>
      <w:r>
        <w:rPr>
          <w:rFonts w:ascii="Verdana" w:hAnsi="Verdana" w:cs="Arial"/>
          <w:b/>
          <w:sz w:val="20"/>
          <w:szCs w:val="20"/>
        </w:rPr>
        <w:t xml:space="preserve">ENCIAS ARGUMENTATIVAS DE LA SENTENCIA </w:t>
      </w:r>
    </w:p>
    <w:p w14:paraId="44305603" w14:textId="77777777" w:rsidR="00E70701" w:rsidRPr="000E4B5D" w:rsidRDefault="00E70701" w:rsidP="00C44F79">
      <w:pPr>
        <w:jc w:val="both"/>
        <w:rPr>
          <w:rFonts w:ascii="Verdana" w:hAnsi="Verdana"/>
          <w:sz w:val="20"/>
          <w:szCs w:val="20"/>
        </w:rPr>
      </w:pPr>
    </w:p>
    <w:p w14:paraId="0D6083D0" w14:textId="77777777" w:rsidR="00E70701" w:rsidRDefault="00E70701" w:rsidP="00E70701">
      <w:pPr>
        <w:pStyle w:val="ListParagraph"/>
        <w:numPr>
          <w:ilvl w:val="0"/>
          <w:numId w:val="37"/>
        </w:numPr>
        <w:ind w:left="0" w:firstLine="0"/>
        <w:jc w:val="both"/>
        <w:rPr>
          <w:rFonts w:ascii="Verdana" w:hAnsi="Verdana" w:cs="Arial"/>
          <w:sz w:val="20"/>
          <w:szCs w:val="20"/>
        </w:rPr>
      </w:pPr>
      <w:r w:rsidRPr="008E47DC">
        <w:rPr>
          <w:rFonts w:ascii="Verdana" w:hAnsi="Verdana" w:cs="Arial"/>
          <w:sz w:val="20"/>
          <w:szCs w:val="20"/>
        </w:rPr>
        <w:t xml:space="preserve">Además </w:t>
      </w:r>
      <w:r>
        <w:rPr>
          <w:rFonts w:ascii="Verdana" w:hAnsi="Verdana" w:cs="Arial"/>
          <w:sz w:val="20"/>
          <w:szCs w:val="20"/>
        </w:rPr>
        <w:t>de las razones que he expuesto, me parece necesario evidenciar las fallas argumentativas de la presente Sentencia, pues ello muestra que la decisión relacionada con la vulneración del artículo 26 no fue objeto del exhaustivo análisis que requería. Para ello, haré referencia a tres problemas principales, como lo son: i) la falta de motivación expresa para argumentar el cambio jurisprudencial realizado; ii) la utilización de un solo de método de interpretación para arribar a la decisión, y iii) la confusión entre existencia del derecho y competencia de la Corte IDH.</w:t>
      </w:r>
    </w:p>
    <w:p w14:paraId="4AAD8A6B" w14:textId="77777777" w:rsidR="00E70701" w:rsidRDefault="00E70701" w:rsidP="00C44F79">
      <w:pPr>
        <w:pStyle w:val="ListParagraph"/>
        <w:ind w:left="0"/>
        <w:jc w:val="both"/>
        <w:rPr>
          <w:rFonts w:ascii="Verdana" w:hAnsi="Verdana" w:cs="Arial"/>
          <w:sz w:val="20"/>
          <w:szCs w:val="20"/>
        </w:rPr>
      </w:pPr>
    </w:p>
    <w:p w14:paraId="7EA40C20" w14:textId="77777777" w:rsidR="00E70701" w:rsidRPr="00BF128B" w:rsidRDefault="00E70701" w:rsidP="00E70701">
      <w:pPr>
        <w:pStyle w:val="ListParagraph"/>
        <w:numPr>
          <w:ilvl w:val="0"/>
          <w:numId w:val="39"/>
        </w:numPr>
        <w:jc w:val="both"/>
        <w:rPr>
          <w:rFonts w:ascii="Verdana" w:hAnsi="Verdana" w:cs="Arial"/>
          <w:b/>
          <w:sz w:val="20"/>
          <w:szCs w:val="20"/>
        </w:rPr>
      </w:pPr>
      <w:r w:rsidRPr="00BF128B">
        <w:rPr>
          <w:rFonts w:ascii="Verdana" w:hAnsi="Verdana" w:cs="Arial"/>
          <w:b/>
          <w:sz w:val="20"/>
          <w:szCs w:val="20"/>
        </w:rPr>
        <w:t>falta de motivación expresa para argumentar el cambio jurisprudencial realizado</w:t>
      </w:r>
    </w:p>
    <w:p w14:paraId="76721EFC" w14:textId="77777777" w:rsidR="00E70701" w:rsidRPr="00BF128B" w:rsidRDefault="00E70701" w:rsidP="00C44F79">
      <w:pPr>
        <w:pStyle w:val="ListParagraph"/>
        <w:jc w:val="both"/>
        <w:rPr>
          <w:rFonts w:ascii="Verdana" w:hAnsi="Verdana" w:cs="Arial"/>
          <w:b/>
          <w:sz w:val="20"/>
          <w:szCs w:val="20"/>
        </w:rPr>
      </w:pPr>
    </w:p>
    <w:p w14:paraId="131B9107"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lastRenderedPageBreak/>
        <w:t>En primer lugar, debo indicar que la Sentencia omite por completo explicar el cambio de precedente, pues actúa como si estuviese reiterando jurisprudencia, lo cual es absolutamente falaz. Esto genera dos fallas argumentativas diferenciadas. La primera es la omisión argumentativa que muestre las razones por las cuales la Corte IDH decidió hacer un cambio de precedente. El segundo es darle el valor de precedente a una decisión judicial en particular, con el fin de ocultar que lo que realmente se está frente una nueva posición judicial.</w:t>
      </w:r>
    </w:p>
    <w:p w14:paraId="2397672D" w14:textId="77777777" w:rsidR="00E70701" w:rsidRPr="00CA603D" w:rsidRDefault="00E70701" w:rsidP="00C44F79">
      <w:pPr>
        <w:jc w:val="both"/>
        <w:rPr>
          <w:rFonts w:ascii="Verdana" w:hAnsi="Verdana" w:cs="Arial"/>
          <w:sz w:val="20"/>
          <w:szCs w:val="20"/>
        </w:rPr>
      </w:pPr>
    </w:p>
    <w:p w14:paraId="025DF494"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 xml:space="preserve">Respecto al primer punto, es claro que los tribunales deben ser consistentes con sus decisiones previas, esta es una de las exigencias básicas no sólo desde la perspectiva de la teoría de argumentación jurídica, sino también es un elemento indispensable para garantizar la seguridad jurídica y la efectiva aplicación del principio de igualdad a los destinatarios de sus decisiones. Los cambios súbitos e injustificados de jurisprudencia, resultan arbitrarios y minan la legitimidad de los órganos judiciales. </w:t>
      </w:r>
    </w:p>
    <w:p w14:paraId="697C9353" w14:textId="77777777" w:rsidR="00E70701" w:rsidRPr="00CA603D" w:rsidRDefault="00E70701" w:rsidP="00C44F79">
      <w:pPr>
        <w:pStyle w:val="ListParagraph"/>
        <w:ind w:left="0"/>
        <w:jc w:val="both"/>
        <w:rPr>
          <w:rFonts w:ascii="Verdana" w:hAnsi="Verdana" w:cs="Arial"/>
          <w:sz w:val="20"/>
          <w:szCs w:val="20"/>
        </w:rPr>
      </w:pPr>
    </w:p>
    <w:p w14:paraId="6B2CD4E2" w14:textId="77777777" w:rsidR="00E70701" w:rsidRPr="00C7635F"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 xml:space="preserve">Lo anterior implica que en la presente Sentencia era imperante que se reconociera que se estaba realizando un cambio jurisprudencial, que se alejaba de la posición de las decisiones anteriores que al respecto ha tomado la Corte IDH y explicara con fundamentos de mucho peso las razones por las cuales consideraba necesario realizar dicho cambio. Los valores en juego son la seguridad jurídica y el derecho a la igualdad, por lo que los Estados y todas las personas sujetas a la jurisdicción de la Convención Americana deben entender las razones de mucho peso que tuvo el Tribunal para variar su precedente. Más si se tiene en cuenta que este no es un simple cambio jurisprudencial, pues </w:t>
      </w:r>
      <w:r w:rsidRPr="00C7635F">
        <w:rPr>
          <w:rFonts w:ascii="Verdana" w:hAnsi="Verdana" w:cs="Arial"/>
          <w:sz w:val="20"/>
          <w:szCs w:val="20"/>
        </w:rPr>
        <w:t>en el fondo lo que se hace en esta Sentencia es una mutación de la Convención Americana y, por esta vía, una transformación esencial del sistema de justicia interamericana.</w:t>
      </w:r>
    </w:p>
    <w:p w14:paraId="31EFCB01" w14:textId="77777777" w:rsidR="00E70701" w:rsidRPr="00BF128B" w:rsidRDefault="00E70701" w:rsidP="00C44F79">
      <w:pPr>
        <w:pStyle w:val="ListParagraph"/>
        <w:jc w:val="both"/>
        <w:rPr>
          <w:rFonts w:ascii="Verdana" w:hAnsi="Verdana" w:cs="Arial"/>
          <w:b/>
          <w:sz w:val="20"/>
          <w:szCs w:val="20"/>
        </w:rPr>
      </w:pPr>
    </w:p>
    <w:p w14:paraId="574BA43A"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Con relación al segundo punto, la Sentencia no sólo, no realiza un cambio jurisprudencial, sino que además pretende hacer creer al lector que lo que está realizando es una reiteración jurisprudencial. Al respecto, a partir del párrafo 141 de la Sentencia se empieza afirmando que se reitera la jurisprudencia de la Corte, en casos como Acevedo Buendía, que como es de conocimiento público no es un caso en el que se haya arribado a la conclusión de la vulneración del artículo 26 de la CADH.</w:t>
      </w:r>
    </w:p>
    <w:p w14:paraId="0BE82E20" w14:textId="77777777" w:rsidR="00E70701" w:rsidRPr="006A676B" w:rsidRDefault="00E70701" w:rsidP="00C44F79">
      <w:pPr>
        <w:jc w:val="both"/>
        <w:rPr>
          <w:rFonts w:ascii="Verdana" w:hAnsi="Verdana"/>
          <w:sz w:val="20"/>
          <w:szCs w:val="20"/>
        </w:rPr>
      </w:pPr>
    </w:p>
    <w:p w14:paraId="653E2810" w14:textId="77777777" w:rsidR="00E70701" w:rsidRPr="008C0050" w:rsidRDefault="00E70701" w:rsidP="00E70701">
      <w:pPr>
        <w:pStyle w:val="ListParagraph"/>
        <w:numPr>
          <w:ilvl w:val="0"/>
          <w:numId w:val="37"/>
        </w:numPr>
        <w:ind w:left="0" w:firstLine="0"/>
        <w:jc w:val="both"/>
        <w:rPr>
          <w:rFonts w:ascii="Verdana" w:hAnsi="Verdana" w:cs="Arial"/>
          <w:sz w:val="20"/>
          <w:szCs w:val="20"/>
        </w:rPr>
      </w:pPr>
      <w:r>
        <w:rPr>
          <w:rFonts w:ascii="Verdana" w:hAnsi="Verdana"/>
          <w:sz w:val="20"/>
          <w:szCs w:val="20"/>
        </w:rPr>
        <w:t>Respecto al</w:t>
      </w:r>
      <w:r w:rsidRPr="006A676B">
        <w:rPr>
          <w:rFonts w:ascii="Verdana" w:hAnsi="Verdana"/>
          <w:sz w:val="20"/>
          <w:szCs w:val="20"/>
        </w:rPr>
        <w:t xml:space="preserve"> caso </w:t>
      </w:r>
      <w:r w:rsidRPr="006A676B">
        <w:rPr>
          <w:rFonts w:ascii="Verdana" w:hAnsi="Verdana"/>
          <w:i/>
          <w:sz w:val="20"/>
          <w:szCs w:val="20"/>
        </w:rPr>
        <w:t>Acevedo Buendía y otros Vs. Perú</w:t>
      </w:r>
      <w:r w:rsidRPr="006A676B">
        <w:rPr>
          <w:rFonts w:ascii="Verdana" w:hAnsi="Verdana"/>
          <w:sz w:val="20"/>
          <w:szCs w:val="20"/>
        </w:rPr>
        <w:t xml:space="preserve"> </w:t>
      </w:r>
      <w:r>
        <w:rPr>
          <w:rFonts w:ascii="Verdana" w:hAnsi="Verdana"/>
          <w:sz w:val="20"/>
          <w:szCs w:val="20"/>
        </w:rPr>
        <w:t>reitero que, e</w:t>
      </w:r>
      <w:r w:rsidRPr="006A676B">
        <w:rPr>
          <w:rFonts w:ascii="Verdana" w:hAnsi="Verdana"/>
          <w:sz w:val="20"/>
          <w:szCs w:val="20"/>
        </w:rPr>
        <w:t xml:space="preserve">n mi opinión, el alcance que se le </w:t>
      </w:r>
      <w:r>
        <w:rPr>
          <w:rFonts w:ascii="Verdana" w:hAnsi="Verdana"/>
          <w:sz w:val="20"/>
          <w:szCs w:val="20"/>
        </w:rPr>
        <w:t xml:space="preserve">ha intentado </w:t>
      </w:r>
      <w:r w:rsidRPr="006A676B">
        <w:rPr>
          <w:rFonts w:ascii="Verdana" w:hAnsi="Verdana"/>
          <w:sz w:val="20"/>
          <w:szCs w:val="20"/>
        </w:rPr>
        <w:t>dar a esta Sentencia es excesivo. En primer luga</w:t>
      </w:r>
      <w:r>
        <w:rPr>
          <w:rFonts w:ascii="Verdana" w:hAnsi="Verdana"/>
          <w:sz w:val="20"/>
          <w:szCs w:val="20"/>
        </w:rPr>
        <w:t>r, en la Sentencia no se declaró</w:t>
      </w:r>
      <w:r w:rsidRPr="006A676B">
        <w:rPr>
          <w:rFonts w:ascii="Verdana" w:hAnsi="Verdana"/>
          <w:sz w:val="20"/>
          <w:szCs w:val="20"/>
        </w:rPr>
        <w:t xml:space="preserve"> la violación del artícul</w:t>
      </w:r>
      <w:r>
        <w:rPr>
          <w:rFonts w:ascii="Verdana" w:hAnsi="Verdana"/>
          <w:sz w:val="20"/>
          <w:szCs w:val="20"/>
        </w:rPr>
        <w:t>o 26 y el estudio que se realizó</w:t>
      </w:r>
      <w:r w:rsidRPr="006A676B">
        <w:rPr>
          <w:rFonts w:ascii="Verdana" w:hAnsi="Verdana"/>
          <w:sz w:val="20"/>
          <w:szCs w:val="20"/>
        </w:rPr>
        <w:t xml:space="preserve"> es precisamente en torno a la obligación de desarrollo progresivo y no respecto a una exigibilidad directa de algún derecho en particular. En segundo lugar, la Sentencia no </w:t>
      </w:r>
      <w:r>
        <w:rPr>
          <w:rFonts w:ascii="Verdana" w:hAnsi="Verdana"/>
          <w:sz w:val="20"/>
          <w:szCs w:val="20"/>
        </w:rPr>
        <w:t>definió ni aclaró</w:t>
      </w:r>
      <w:r w:rsidRPr="006A676B">
        <w:rPr>
          <w:rFonts w:ascii="Verdana" w:hAnsi="Verdana"/>
          <w:sz w:val="20"/>
          <w:szCs w:val="20"/>
        </w:rPr>
        <w:t xml:space="preserve"> cuál sería el DESC que se estaría tutelando, ni su alcance o contenido mínimo. En tercer lugar, incluso si se quisiera derivar algún tipo de </w:t>
      </w:r>
      <w:proofErr w:type="spellStart"/>
      <w:r w:rsidRPr="006A676B">
        <w:rPr>
          <w:rFonts w:ascii="Verdana" w:hAnsi="Verdana"/>
          <w:sz w:val="20"/>
          <w:szCs w:val="20"/>
        </w:rPr>
        <w:t>justiciabilidad</w:t>
      </w:r>
      <w:proofErr w:type="spellEnd"/>
      <w:r w:rsidRPr="006A676B">
        <w:rPr>
          <w:rFonts w:ascii="Verdana" w:hAnsi="Verdana"/>
          <w:sz w:val="20"/>
          <w:szCs w:val="20"/>
        </w:rPr>
        <w:t xml:space="preserve"> directa de la afirmación de que las obligaciones de respeto y garantía son aplicables al artículo 26 de la Convención, cabe recalcar que estas afirmaciones son un </w:t>
      </w:r>
      <w:proofErr w:type="spellStart"/>
      <w:r w:rsidRPr="006A676B">
        <w:rPr>
          <w:rFonts w:ascii="Verdana" w:hAnsi="Verdana"/>
          <w:i/>
          <w:sz w:val="20"/>
          <w:szCs w:val="20"/>
        </w:rPr>
        <w:t>obiter</w:t>
      </w:r>
      <w:proofErr w:type="spellEnd"/>
      <w:r w:rsidRPr="006A676B">
        <w:rPr>
          <w:rFonts w:ascii="Verdana" w:hAnsi="Verdana"/>
          <w:i/>
          <w:sz w:val="20"/>
          <w:szCs w:val="20"/>
        </w:rPr>
        <w:t xml:space="preserve"> </w:t>
      </w:r>
      <w:proofErr w:type="spellStart"/>
      <w:r w:rsidRPr="006A676B">
        <w:rPr>
          <w:rFonts w:ascii="Verdana" w:hAnsi="Verdana"/>
          <w:i/>
          <w:sz w:val="20"/>
          <w:szCs w:val="20"/>
        </w:rPr>
        <w:t>dictum</w:t>
      </w:r>
      <w:proofErr w:type="spellEnd"/>
      <w:r w:rsidRPr="006A676B">
        <w:rPr>
          <w:rFonts w:ascii="Verdana" w:hAnsi="Verdana"/>
          <w:sz w:val="20"/>
          <w:szCs w:val="20"/>
        </w:rPr>
        <w:t xml:space="preserve"> de la Sentencia, por cuanto no tienen relación directa con la decisión final que fue la de no declarar violado el artículo 26</w:t>
      </w:r>
      <w:r w:rsidRPr="00767B7F">
        <w:rPr>
          <w:rStyle w:val="FootnoteReference"/>
          <w:szCs w:val="20"/>
        </w:rPr>
        <w:footnoteReference w:id="463"/>
      </w:r>
      <w:r w:rsidRPr="006A676B">
        <w:rPr>
          <w:rFonts w:ascii="Verdana" w:hAnsi="Verdana"/>
          <w:sz w:val="20"/>
          <w:szCs w:val="20"/>
        </w:rPr>
        <w:t>. Además, este punto de la Sentencia no</w:t>
      </w:r>
      <w:r>
        <w:rPr>
          <w:rFonts w:ascii="Verdana" w:hAnsi="Verdana"/>
          <w:sz w:val="20"/>
          <w:szCs w:val="20"/>
        </w:rPr>
        <w:t xml:space="preserve"> había sido </w:t>
      </w:r>
      <w:r w:rsidRPr="006A676B">
        <w:rPr>
          <w:rFonts w:ascii="Verdana" w:hAnsi="Verdana"/>
          <w:sz w:val="20"/>
          <w:szCs w:val="20"/>
        </w:rPr>
        <w:t>reiterada en la jurisprudencia posterior de la Corte</w:t>
      </w:r>
      <w:r>
        <w:rPr>
          <w:rFonts w:ascii="Verdana" w:hAnsi="Verdana"/>
          <w:sz w:val="20"/>
          <w:szCs w:val="20"/>
        </w:rPr>
        <w:t>, hasta el presente caso,</w:t>
      </w:r>
      <w:r w:rsidRPr="006A676B">
        <w:rPr>
          <w:rFonts w:ascii="Verdana" w:hAnsi="Verdana"/>
          <w:sz w:val="20"/>
          <w:szCs w:val="20"/>
        </w:rPr>
        <w:t xml:space="preserve"> </w:t>
      </w:r>
      <w:r>
        <w:rPr>
          <w:rFonts w:ascii="Verdana" w:hAnsi="Verdana"/>
          <w:sz w:val="20"/>
          <w:szCs w:val="20"/>
        </w:rPr>
        <w:t>por lo que no podía ser considera como un precedente a reiterar</w:t>
      </w:r>
      <w:r w:rsidRPr="006A676B">
        <w:rPr>
          <w:rFonts w:ascii="Verdana" w:hAnsi="Verdana"/>
          <w:sz w:val="20"/>
          <w:szCs w:val="20"/>
        </w:rPr>
        <w:t xml:space="preserve">. </w:t>
      </w:r>
    </w:p>
    <w:p w14:paraId="1C93CE9F" w14:textId="77777777" w:rsidR="00E70701" w:rsidRDefault="00E70701" w:rsidP="00C44F79">
      <w:pPr>
        <w:pStyle w:val="ListParagraph"/>
        <w:ind w:left="0"/>
        <w:jc w:val="both"/>
        <w:rPr>
          <w:rFonts w:ascii="Verdana" w:hAnsi="Verdana" w:cs="Arial"/>
          <w:sz w:val="20"/>
          <w:szCs w:val="20"/>
        </w:rPr>
      </w:pPr>
    </w:p>
    <w:p w14:paraId="6D6A774F" w14:textId="77777777" w:rsidR="00E70701" w:rsidRPr="00941E19" w:rsidRDefault="00E70701" w:rsidP="00E70701">
      <w:pPr>
        <w:pStyle w:val="ListParagraph"/>
        <w:numPr>
          <w:ilvl w:val="0"/>
          <w:numId w:val="39"/>
        </w:numPr>
        <w:jc w:val="both"/>
        <w:rPr>
          <w:rFonts w:ascii="Verdana" w:hAnsi="Verdana" w:cs="Arial"/>
          <w:b/>
          <w:sz w:val="20"/>
          <w:szCs w:val="20"/>
        </w:rPr>
      </w:pPr>
      <w:r>
        <w:rPr>
          <w:rFonts w:ascii="Verdana" w:hAnsi="Verdana" w:cs="Arial"/>
          <w:b/>
          <w:sz w:val="20"/>
          <w:szCs w:val="20"/>
        </w:rPr>
        <w:t>u</w:t>
      </w:r>
      <w:r w:rsidRPr="00941E19">
        <w:rPr>
          <w:rFonts w:ascii="Verdana" w:hAnsi="Verdana" w:cs="Arial"/>
          <w:b/>
          <w:sz w:val="20"/>
          <w:szCs w:val="20"/>
        </w:rPr>
        <w:t>tilización de un solo de método de interpretación para arribar a la decisión</w:t>
      </w:r>
    </w:p>
    <w:p w14:paraId="287011D4" w14:textId="77777777" w:rsidR="00E70701" w:rsidRPr="008C0050" w:rsidRDefault="00E70701" w:rsidP="00C44F79">
      <w:pPr>
        <w:pStyle w:val="ListParagraph"/>
        <w:ind w:left="0"/>
        <w:jc w:val="both"/>
        <w:rPr>
          <w:rFonts w:ascii="Verdana" w:hAnsi="Verdana" w:cs="Arial"/>
          <w:sz w:val="20"/>
          <w:szCs w:val="20"/>
        </w:rPr>
      </w:pPr>
    </w:p>
    <w:p w14:paraId="6E68BCB7" w14:textId="77777777" w:rsidR="00E70701" w:rsidRPr="00F41A17" w:rsidRDefault="00E70701" w:rsidP="00E70701">
      <w:pPr>
        <w:pStyle w:val="ListParagraph"/>
        <w:numPr>
          <w:ilvl w:val="0"/>
          <w:numId w:val="37"/>
        </w:numPr>
        <w:ind w:left="0" w:firstLine="0"/>
        <w:jc w:val="both"/>
        <w:rPr>
          <w:rFonts w:ascii="Verdana" w:hAnsi="Verdana" w:cs="Arial"/>
          <w:sz w:val="20"/>
          <w:szCs w:val="20"/>
        </w:rPr>
      </w:pPr>
      <w:r w:rsidRPr="0023149D">
        <w:rPr>
          <w:rFonts w:ascii="Verdana" w:hAnsi="Verdana" w:cs="Arial"/>
          <w:sz w:val="20"/>
          <w:szCs w:val="20"/>
        </w:rPr>
        <w:lastRenderedPageBreak/>
        <w:t>Ahora bien, la segunda falencia argumentativa se centra en la utilización de un solo método interpretativo para arribar a una interpretación del tratado. Como se mencionó anteriormente en el presente voto, la utilización exclusiva de la “interpretación evolutiva” desconoce que para realizar una interpretación conforme al tratado y que no sea arbitraria</w:t>
      </w:r>
      <w:r>
        <w:rPr>
          <w:rFonts w:ascii="Verdana" w:hAnsi="Verdana" w:cs="Arial"/>
          <w:sz w:val="20"/>
          <w:szCs w:val="20"/>
        </w:rPr>
        <w:t>,</w:t>
      </w:r>
      <w:r w:rsidRPr="0023149D">
        <w:rPr>
          <w:rFonts w:ascii="Verdana" w:hAnsi="Verdana" w:cs="Arial"/>
          <w:sz w:val="20"/>
          <w:szCs w:val="20"/>
        </w:rPr>
        <w:t xml:space="preserve"> </w:t>
      </w:r>
      <w:r w:rsidRPr="00F41A17">
        <w:rPr>
          <w:rFonts w:ascii="Verdana" w:hAnsi="Verdana" w:cs="Arial"/>
          <w:sz w:val="20"/>
          <w:szCs w:val="20"/>
        </w:rPr>
        <w:t>deben aplicarse de manera simultánea todos los métodos de interpretación señalados en los artículos 31 y 32 de la Convención de Viena.</w:t>
      </w:r>
      <w:r>
        <w:rPr>
          <w:rFonts w:ascii="Verdana" w:hAnsi="Verdana" w:cs="Arial"/>
          <w:sz w:val="20"/>
          <w:szCs w:val="20"/>
        </w:rPr>
        <w:t xml:space="preserve"> Por ello, esta simple omisión, que se aleja del tipo de análisis que el Tribunal Interamericano regularmente realiza cuando se ve enfrentada a la necesidad de interpretar la Convención Americana, constituye por sí sola un error argumentativo inexcusable. </w:t>
      </w:r>
    </w:p>
    <w:p w14:paraId="431CBC5B" w14:textId="77777777" w:rsidR="00E70701" w:rsidRPr="00F41A17" w:rsidRDefault="00E70701" w:rsidP="00C44F79">
      <w:pPr>
        <w:pStyle w:val="ListParagraph"/>
        <w:ind w:left="0"/>
        <w:jc w:val="both"/>
        <w:rPr>
          <w:rFonts w:ascii="Verdana" w:hAnsi="Verdana" w:cs="Arial"/>
          <w:sz w:val="20"/>
          <w:szCs w:val="20"/>
        </w:rPr>
      </w:pPr>
    </w:p>
    <w:p w14:paraId="4072BCE9" w14:textId="77777777" w:rsidR="00E70701" w:rsidRPr="005910DC" w:rsidRDefault="00E70701" w:rsidP="00E70701">
      <w:pPr>
        <w:pStyle w:val="ListParagraph"/>
        <w:numPr>
          <w:ilvl w:val="0"/>
          <w:numId w:val="37"/>
        </w:numPr>
        <w:ind w:left="0" w:firstLine="0"/>
        <w:jc w:val="both"/>
        <w:rPr>
          <w:rFonts w:ascii="Verdana" w:hAnsi="Verdana" w:cs="Arial"/>
          <w:sz w:val="20"/>
          <w:szCs w:val="20"/>
        </w:rPr>
      </w:pPr>
      <w:r>
        <w:rPr>
          <w:rFonts w:ascii="Verdana" w:hAnsi="Verdana"/>
          <w:sz w:val="20"/>
          <w:szCs w:val="20"/>
          <w:lang w:val="es-CR" w:eastAsia="de-DE"/>
        </w:rPr>
        <w:t>Por otra parte y respecto a la definición de la interpretación evolutiva, la Corte Interamericana ha señalado en diversas</w:t>
      </w:r>
      <w:r w:rsidRPr="00F41A17">
        <w:rPr>
          <w:rFonts w:ascii="Verdana" w:hAnsi="Verdana"/>
          <w:sz w:val="20"/>
          <w:szCs w:val="20"/>
          <w:lang w:val="es-CR" w:eastAsia="de-DE"/>
        </w:rPr>
        <w:t xml:space="preserve"> oportunidades</w:t>
      </w:r>
      <w:r w:rsidRPr="00F41A17">
        <w:rPr>
          <w:rFonts w:ascii="Verdana" w:hAnsi="Verdana"/>
          <w:sz w:val="20"/>
          <w:szCs w:val="20"/>
          <w:vertAlign w:val="superscript"/>
          <w:lang w:eastAsia="de-DE"/>
        </w:rPr>
        <w:footnoteReference w:id="464"/>
      </w:r>
      <w:r w:rsidRPr="00F41A17">
        <w:rPr>
          <w:rFonts w:ascii="Verdana" w:hAnsi="Verdana"/>
          <w:sz w:val="20"/>
          <w:szCs w:val="20"/>
          <w:lang w:val="es-CR" w:eastAsia="de-DE"/>
        </w:rPr>
        <w:t xml:space="preserve"> que los tratados de derechos humanos son instrumentos vivos, cuya interpretación tiene que acompañar la evolución de los tiempos y las condiciones de vida actuales. </w:t>
      </w:r>
      <w:r>
        <w:rPr>
          <w:rFonts w:ascii="Verdana" w:hAnsi="Verdana"/>
          <w:sz w:val="20"/>
          <w:szCs w:val="20"/>
          <w:lang w:val="es-CR" w:eastAsia="de-DE"/>
        </w:rPr>
        <w:t>También ha manifestado que t</w:t>
      </w:r>
      <w:r w:rsidRPr="00F41A17">
        <w:rPr>
          <w:rFonts w:ascii="Verdana" w:hAnsi="Verdana"/>
          <w:sz w:val="20"/>
          <w:szCs w:val="20"/>
          <w:lang w:val="es-CR" w:eastAsia="de-DE"/>
        </w:rPr>
        <w:t>al interpretación evolutiva es consecuente con las reglas generales de interpretación establecidas en el artículo 29 de la Convención Americana, así como en la Convención</w:t>
      </w:r>
      <w:r w:rsidRPr="00F41A17">
        <w:rPr>
          <w:rFonts w:ascii="Verdana" w:hAnsi="Verdana"/>
          <w:i/>
          <w:sz w:val="20"/>
          <w:szCs w:val="20"/>
          <w:lang w:val="es-CR" w:eastAsia="de-DE"/>
        </w:rPr>
        <w:t xml:space="preserve"> </w:t>
      </w:r>
      <w:r w:rsidRPr="00F41A17">
        <w:rPr>
          <w:rFonts w:ascii="Verdana" w:hAnsi="Verdana"/>
          <w:sz w:val="20"/>
          <w:szCs w:val="20"/>
          <w:lang w:val="es-CR" w:eastAsia="de-DE"/>
        </w:rPr>
        <w:t>de Viena sobre el Derecho de los Tratados</w:t>
      </w:r>
      <w:r w:rsidRPr="00F41A17">
        <w:rPr>
          <w:rFonts w:ascii="Verdana" w:hAnsi="Verdana"/>
          <w:sz w:val="20"/>
          <w:szCs w:val="20"/>
          <w:vertAlign w:val="superscript"/>
          <w:lang w:eastAsia="de-DE"/>
        </w:rPr>
        <w:footnoteReference w:id="465"/>
      </w:r>
      <w:r w:rsidRPr="00F41A17">
        <w:rPr>
          <w:rFonts w:ascii="Verdana" w:hAnsi="Verdana"/>
          <w:sz w:val="20"/>
          <w:szCs w:val="20"/>
          <w:lang w:val="es-CR" w:eastAsia="de-DE"/>
        </w:rPr>
        <w:t>.</w:t>
      </w:r>
      <w:r>
        <w:rPr>
          <w:rFonts w:ascii="Verdana" w:hAnsi="Verdana"/>
          <w:sz w:val="20"/>
          <w:szCs w:val="20"/>
          <w:lang w:val="es-CR" w:eastAsia="de-DE"/>
        </w:rPr>
        <w:t xml:space="preserve"> En este sentido, </w:t>
      </w:r>
      <w:r w:rsidRPr="005910DC">
        <w:rPr>
          <w:rFonts w:ascii="Verdana" w:hAnsi="Verdana" w:cs="Arial"/>
          <w:sz w:val="20"/>
          <w:szCs w:val="20"/>
        </w:rPr>
        <w:t xml:space="preserve">la “interpretación evolutiva” </w:t>
      </w:r>
      <w:r>
        <w:rPr>
          <w:rFonts w:ascii="Verdana" w:hAnsi="Verdana" w:cs="Arial"/>
          <w:sz w:val="20"/>
          <w:szCs w:val="20"/>
        </w:rPr>
        <w:t xml:space="preserve">puede ser </w:t>
      </w:r>
      <w:r w:rsidRPr="005910DC">
        <w:rPr>
          <w:rFonts w:ascii="Verdana" w:hAnsi="Verdana" w:cs="Arial"/>
          <w:sz w:val="20"/>
          <w:szCs w:val="20"/>
        </w:rPr>
        <w:t>entendida como la construcción y determinación de</w:t>
      </w:r>
      <w:r>
        <w:rPr>
          <w:rFonts w:ascii="Verdana" w:hAnsi="Verdana" w:cs="Arial"/>
          <w:sz w:val="20"/>
          <w:szCs w:val="20"/>
        </w:rPr>
        <w:t>l significado de las</w:t>
      </w:r>
      <w:r w:rsidRPr="005910DC">
        <w:rPr>
          <w:rFonts w:ascii="Verdana" w:hAnsi="Verdana" w:cs="Arial"/>
          <w:sz w:val="20"/>
          <w:szCs w:val="20"/>
        </w:rPr>
        <w:t xml:space="preserve"> normas derivadas de preceptos convencionales que originalmente no se </w:t>
      </w:r>
      <w:r>
        <w:rPr>
          <w:rFonts w:ascii="Verdana" w:hAnsi="Verdana" w:cs="Arial"/>
          <w:sz w:val="20"/>
          <w:szCs w:val="20"/>
        </w:rPr>
        <w:t>encontraban</w:t>
      </w:r>
      <w:r w:rsidRPr="005910DC">
        <w:rPr>
          <w:rFonts w:ascii="Verdana" w:hAnsi="Verdana" w:cs="Arial"/>
          <w:sz w:val="20"/>
          <w:szCs w:val="20"/>
        </w:rPr>
        <w:t xml:space="preserve"> en la voluntad de los países que participaron en su elaboración, pero que, hoy, debido a los cambios en la realidad social y política, encuentran pleno sentido. Los textos convencionales originalmente no se hicieron pensando en hechos y circunstancias que hoy sí se encuentran dentro de los supuestos convencionales. </w:t>
      </w:r>
    </w:p>
    <w:p w14:paraId="0CC605EC" w14:textId="77777777" w:rsidR="00E70701" w:rsidRPr="00F41A17" w:rsidRDefault="00E70701" w:rsidP="00C44F79">
      <w:pPr>
        <w:jc w:val="both"/>
        <w:rPr>
          <w:rFonts w:ascii="Verdana" w:hAnsi="Verdana" w:cs="Arial"/>
          <w:sz w:val="20"/>
          <w:szCs w:val="20"/>
        </w:rPr>
      </w:pPr>
    </w:p>
    <w:p w14:paraId="23DDE8F5" w14:textId="77777777" w:rsidR="00E70701" w:rsidRPr="00CE5C0E"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De manera que este método interpretativo tiene una función importante y es el de ir actualizando las normas convencionales a las necesidades de los nuevos tiempos. No obstante lo anterior</w:t>
      </w:r>
      <w:r w:rsidRPr="00F41A17">
        <w:rPr>
          <w:rFonts w:ascii="Verdana" w:hAnsi="Verdana" w:cs="Arial"/>
          <w:sz w:val="20"/>
          <w:szCs w:val="20"/>
        </w:rPr>
        <w:t xml:space="preserve">, </w:t>
      </w:r>
      <w:r>
        <w:rPr>
          <w:rFonts w:ascii="Verdana" w:hAnsi="Verdana" w:cs="Arial"/>
          <w:sz w:val="20"/>
          <w:szCs w:val="20"/>
        </w:rPr>
        <w:t>otro de los</w:t>
      </w:r>
      <w:r w:rsidRPr="00F41A17">
        <w:rPr>
          <w:rFonts w:ascii="Verdana" w:hAnsi="Verdana" w:cs="Arial"/>
          <w:sz w:val="20"/>
          <w:szCs w:val="20"/>
        </w:rPr>
        <w:t xml:space="preserve"> error</w:t>
      </w:r>
      <w:r>
        <w:rPr>
          <w:rFonts w:ascii="Verdana" w:hAnsi="Verdana" w:cs="Arial"/>
          <w:sz w:val="20"/>
          <w:szCs w:val="20"/>
        </w:rPr>
        <w:t>es de la Sentencia</w:t>
      </w:r>
      <w:r w:rsidRPr="00F41A17">
        <w:rPr>
          <w:rFonts w:ascii="Verdana" w:hAnsi="Verdana" w:cs="Arial"/>
          <w:sz w:val="20"/>
          <w:szCs w:val="20"/>
        </w:rPr>
        <w:t xml:space="preserve"> estriba</w:t>
      </w:r>
      <w:r>
        <w:rPr>
          <w:rFonts w:ascii="Verdana" w:hAnsi="Verdana" w:cs="Arial"/>
          <w:sz w:val="20"/>
          <w:szCs w:val="20"/>
        </w:rPr>
        <w:t xml:space="preserve"> en que se utiliza la “interpretación evolutiva” para camuflar una </w:t>
      </w:r>
      <w:r w:rsidRPr="0058208A">
        <w:rPr>
          <w:rFonts w:ascii="Verdana" w:hAnsi="Verdana" w:cs="Arial"/>
          <w:sz w:val="20"/>
          <w:szCs w:val="20"/>
        </w:rPr>
        <w:t>“mutación convencional”.</w:t>
      </w:r>
      <w:r>
        <w:rPr>
          <w:rFonts w:ascii="Verdana" w:hAnsi="Verdana" w:cs="Arial"/>
          <w:sz w:val="20"/>
          <w:szCs w:val="20"/>
        </w:rPr>
        <w:t xml:space="preserve"> Este tipo de modificación implica un cambio sustancial al texto de la C</w:t>
      </w:r>
      <w:r w:rsidRPr="00CE5C0E">
        <w:rPr>
          <w:rFonts w:ascii="Verdana" w:hAnsi="Verdana" w:cs="Arial"/>
          <w:sz w:val="20"/>
          <w:szCs w:val="20"/>
        </w:rPr>
        <w:t xml:space="preserve">onvención </w:t>
      </w:r>
      <w:r>
        <w:rPr>
          <w:rFonts w:ascii="Verdana" w:hAnsi="Verdana" w:cs="Arial"/>
          <w:sz w:val="20"/>
          <w:szCs w:val="20"/>
        </w:rPr>
        <w:t xml:space="preserve">Americana </w:t>
      </w:r>
      <w:r w:rsidRPr="00CE5C0E">
        <w:rPr>
          <w:rFonts w:ascii="Verdana" w:hAnsi="Verdana" w:cs="Arial"/>
          <w:sz w:val="20"/>
          <w:szCs w:val="20"/>
        </w:rPr>
        <w:t xml:space="preserve">a través de unas “interpretaciones” contrarias a la dicción del texto convencional. Por </w:t>
      </w:r>
      <w:r>
        <w:rPr>
          <w:rFonts w:ascii="Verdana" w:hAnsi="Verdana" w:cs="Arial"/>
          <w:sz w:val="20"/>
          <w:szCs w:val="20"/>
        </w:rPr>
        <w:t xml:space="preserve">esta </w:t>
      </w:r>
      <w:r w:rsidRPr="00CE5C0E">
        <w:rPr>
          <w:rFonts w:ascii="Verdana" w:hAnsi="Verdana" w:cs="Arial"/>
          <w:sz w:val="20"/>
          <w:szCs w:val="20"/>
        </w:rPr>
        <w:t>vía, con el pretexto de inte</w:t>
      </w:r>
      <w:r>
        <w:rPr>
          <w:rFonts w:ascii="Verdana" w:hAnsi="Verdana" w:cs="Arial"/>
          <w:sz w:val="20"/>
          <w:szCs w:val="20"/>
        </w:rPr>
        <w:t>rpretar la C</w:t>
      </w:r>
      <w:r w:rsidRPr="00CE5C0E">
        <w:rPr>
          <w:rFonts w:ascii="Verdana" w:hAnsi="Verdana" w:cs="Arial"/>
          <w:sz w:val="20"/>
          <w:szCs w:val="20"/>
        </w:rPr>
        <w:t xml:space="preserve">onvención se llega a unas condiciones que son contrarias al texto </w:t>
      </w:r>
      <w:r>
        <w:rPr>
          <w:rFonts w:ascii="Verdana" w:hAnsi="Verdana" w:cs="Arial"/>
          <w:sz w:val="20"/>
          <w:szCs w:val="20"/>
        </w:rPr>
        <w:t xml:space="preserve">o a la interpretación conforme </w:t>
      </w:r>
      <w:r w:rsidRPr="00CE5C0E">
        <w:rPr>
          <w:rFonts w:ascii="Verdana" w:hAnsi="Verdana" w:cs="Arial"/>
          <w:sz w:val="20"/>
          <w:szCs w:val="20"/>
        </w:rPr>
        <w:t>de la misma. La mutación convencional obedece a la misma lógica de la figura que la doctrina constitucional denomina como mutación constitucional</w:t>
      </w:r>
      <w:r>
        <w:rPr>
          <w:rStyle w:val="FootnoteReference"/>
          <w:rFonts w:cs="Arial"/>
          <w:szCs w:val="20"/>
        </w:rPr>
        <w:footnoteReference w:id="466"/>
      </w:r>
      <w:r w:rsidRPr="00CE5C0E">
        <w:rPr>
          <w:rFonts w:ascii="Verdana" w:hAnsi="Verdana" w:cs="Arial"/>
          <w:sz w:val="20"/>
          <w:szCs w:val="20"/>
        </w:rPr>
        <w:t>.</w:t>
      </w:r>
    </w:p>
    <w:p w14:paraId="133EB7A7" w14:textId="77777777" w:rsidR="00E70701" w:rsidRPr="0058208A" w:rsidRDefault="00E70701" w:rsidP="00C44F79">
      <w:pPr>
        <w:jc w:val="both"/>
        <w:rPr>
          <w:rFonts w:ascii="Verdana" w:hAnsi="Verdana" w:cs="Arial"/>
          <w:sz w:val="20"/>
          <w:szCs w:val="20"/>
        </w:rPr>
      </w:pPr>
    </w:p>
    <w:p w14:paraId="6818416E"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 xml:space="preserve">En este sentido, ya se estableció que cuando se utilizan todos los métodos de interpretación se llega a la conclusión de que una interpretación extensiva del artículo 26 de la Convención Americana no puede venir a derogar lo que soberanamente decidieron los Estados al momento de firmar y ratificar el Protocolo de San Salvador. Por lo que puedo afirmar sin temor a equivocarme que en la presente Sentencia no se realizó una </w:t>
      </w:r>
      <w:r w:rsidRPr="0058208A">
        <w:rPr>
          <w:rFonts w:ascii="Verdana" w:hAnsi="Verdana" w:cs="Arial"/>
          <w:sz w:val="20"/>
          <w:szCs w:val="20"/>
        </w:rPr>
        <w:t>interpretación evolutiva,</w:t>
      </w:r>
      <w:r>
        <w:rPr>
          <w:rFonts w:ascii="Verdana" w:hAnsi="Verdana" w:cs="Arial"/>
          <w:sz w:val="20"/>
          <w:szCs w:val="20"/>
        </w:rPr>
        <w:t xml:space="preserve"> puesto que</w:t>
      </w:r>
      <w:r w:rsidRPr="0058208A">
        <w:rPr>
          <w:rFonts w:ascii="Verdana" w:hAnsi="Verdana" w:cs="Arial"/>
          <w:sz w:val="20"/>
          <w:szCs w:val="20"/>
        </w:rPr>
        <w:t xml:space="preserve"> la evolución n</w:t>
      </w:r>
      <w:r>
        <w:rPr>
          <w:rFonts w:ascii="Verdana" w:hAnsi="Verdana" w:cs="Arial"/>
          <w:sz w:val="20"/>
          <w:szCs w:val="20"/>
        </w:rPr>
        <w:t>o puede llevar a contrariar la C</w:t>
      </w:r>
      <w:r w:rsidRPr="0058208A">
        <w:rPr>
          <w:rFonts w:ascii="Verdana" w:hAnsi="Verdana" w:cs="Arial"/>
          <w:sz w:val="20"/>
          <w:szCs w:val="20"/>
        </w:rPr>
        <w:t>onvención. Una cosa es resolver asuntos novedosos no advertidos por los creadores de la norma y otra diferente, cambiarlas.</w:t>
      </w:r>
    </w:p>
    <w:p w14:paraId="059308E8" w14:textId="77777777" w:rsidR="00E70701" w:rsidRDefault="00E70701" w:rsidP="00C44F79">
      <w:pPr>
        <w:jc w:val="both"/>
        <w:rPr>
          <w:rFonts w:ascii="Verdana" w:hAnsi="Verdana" w:cs="Arial"/>
          <w:sz w:val="20"/>
          <w:szCs w:val="20"/>
        </w:rPr>
      </w:pPr>
    </w:p>
    <w:p w14:paraId="74C96DFE" w14:textId="77777777" w:rsidR="00E70701" w:rsidRDefault="00E70701" w:rsidP="00E70701">
      <w:pPr>
        <w:pStyle w:val="ListParagraph"/>
        <w:numPr>
          <w:ilvl w:val="0"/>
          <w:numId w:val="39"/>
        </w:numPr>
        <w:jc w:val="both"/>
        <w:rPr>
          <w:rFonts w:ascii="Verdana" w:hAnsi="Verdana" w:cs="Arial"/>
          <w:b/>
          <w:sz w:val="20"/>
          <w:szCs w:val="20"/>
        </w:rPr>
      </w:pPr>
      <w:r>
        <w:rPr>
          <w:rFonts w:ascii="Verdana" w:hAnsi="Verdana" w:cs="Arial"/>
          <w:b/>
          <w:sz w:val="20"/>
          <w:szCs w:val="20"/>
        </w:rPr>
        <w:t>c</w:t>
      </w:r>
      <w:r w:rsidRPr="00BF128B">
        <w:rPr>
          <w:rFonts w:ascii="Verdana" w:hAnsi="Verdana" w:cs="Arial"/>
          <w:b/>
          <w:sz w:val="20"/>
          <w:szCs w:val="20"/>
        </w:rPr>
        <w:t>onfusión entre existencia del derecho y competencia de la Corte IDH</w:t>
      </w:r>
    </w:p>
    <w:p w14:paraId="6E8D8E93" w14:textId="77777777" w:rsidR="00E70701" w:rsidRPr="00BF128B" w:rsidRDefault="00E70701" w:rsidP="00C44F79">
      <w:pPr>
        <w:pStyle w:val="ListParagraph"/>
        <w:jc w:val="both"/>
        <w:rPr>
          <w:rFonts w:ascii="Verdana" w:hAnsi="Verdana" w:cs="Arial"/>
          <w:b/>
          <w:sz w:val="20"/>
          <w:szCs w:val="20"/>
        </w:rPr>
      </w:pPr>
    </w:p>
    <w:p w14:paraId="47A38D6C"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 xml:space="preserve">En tercer lugar, la Sentencia no enfrenta los problemas de competencia, pues centra su argumentación a la comprobación de la existencia del derecho al trabajo o a la estabilidad </w:t>
      </w:r>
      <w:r>
        <w:rPr>
          <w:rFonts w:ascii="Verdana" w:hAnsi="Verdana" w:cs="Arial"/>
          <w:sz w:val="20"/>
          <w:szCs w:val="20"/>
        </w:rPr>
        <w:lastRenderedPageBreak/>
        <w:t xml:space="preserve">laboral, pero no hace mención alguna al artículo 19 del Protocolo de San Salvador. </w:t>
      </w:r>
      <w:r w:rsidRPr="0002261B">
        <w:rPr>
          <w:rFonts w:ascii="Verdana" w:hAnsi="Verdana" w:cs="Arial"/>
          <w:sz w:val="20"/>
          <w:szCs w:val="20"/>
        </w:rPr>
        <w:t>La única mención sobre la competencia se realiza al final del análisis argumentativo, en el párrafo 1</w:t>
      </w:r>
      <w:r w:rsidRPr="00C24C47">
        <w:rPr>
          <w:rFonts w:ascii="Verdana" w:hAnsi="Verdana" w:cs="Arial"/>
          <w:sz w:val="20"/>
          <w:szCs w:val="20"/>
        </w:rPr>
        <w:t>54</w:t>
      </w:r>
      <w:r w:rsidRPr="0002261B">
        <w:rPr>
          <w:rFonts w:ascii="Verdana" w:hAnsi="Verdana" w:cs="Arial"/>
          <w:sz w:val="20"/>
          <w:szCs w:val="20"/>
        </w:rPr>
        <w:t xml:space="preserve"> de la Sentencia, en el que nuevamente se vuelve a intentar decir que en </w:t>
      </w:r>
      <w:r w:rsidRPr="00064313">
        <w:rPr>
          <w:rFonts w:ascii="Verdana" w:hAnsi="Verdana" w:cs="Arial"/>
          <w:sz w:val="20"/>
          <w:szCs w:val="20"/>
        </w:rPr>
        <w:t xml:space="preserve">el caso </w:t>
      </w:r>
      <w:r w:rsidRPr="00C24C47">
        <w:rPr>
          <w:rFonts w:ascii="Verdana" w:hAnsi="Verdana" w:cs="Arial"/>
          <w:i/>
          <w:sz w:val="20"/>
          <w:szCs w:val="20"/>
        </w:rPr>
        <w:t>Acevedo Buendía</w:t>
      </w:r>
      <w:r w:rsidRPr="0002261B">
        <w:rPr>
          <w:rFonts w:ascii="Verdana" w:hAnsi="Verdana" w:cs="Arial"/>
          <w:sz w:val="20"/>
          <w:szCs w:val="20"/>
        </w:rPr>
        <w:t xml:space="preserve"> ya se había saldado la discusión sobre la competencia de la Corte, cuando como se explicó anteriormente esta afirmación </w:t>
      </w:r>
      <w:r w:rsidRPr="00064313">
        <w:rPr>
          <w:rFonts w:ascii="Verdana" w:hAnsi="Verdana" w:cs="Arial"/>
          <w:sz w:val="20"/>
          <w:szCs w:val="20"/>
        </w:rPr>
        <w:t>es ajena a la verdad.</w:t>
      </w:r>
    </w:p>
    <w:p w14:paraId="687530FD" w14:textId="77777777" w:rsidR="00E70701" w:rsidRDefault="00E70701" w:rsidP="00C44F79">
      <w:pPr>
        <w:pStyle w:val="ListParagraph"/>
        <w:ind w:left="0"/>
        <w:jc w:val="both"/>
        <w:rPr>
          <w:rFonts w:ascii="Verdana" w:hAnsi="Verdana" w:cs="Arial"/>
          <w:sz w:val="20"/>
          <w:szCs w:val="20"/>
        </w:rPr>
      </w:pPr>
    </w:p>
    <w:p w14:paraId="72E5420F" w14:textId="77777777" w:rsidR="00E70701" w:rsidRDefault="00E70701" w:rsidP="00E70701">
      <w:pPr>
        <w:pStyle w:val="ListParagraph"/>
        <w:numPr>
          <w:ilvl w:val="0"/>
          <w:numId w:val="37"/>
        </w:numPr>
        <w:ind w:left="0" w:firstLine="0"/>
        <w:jc w:val="both"/>
        <w:rPr>
          <w:rFonts w:ascii="Verdana" w:hAnsi="Verdana" w:cs="Arial"/>
          <w:sz w:val="20"/>
          <w:szCs w:val="20"/>
        </w:rPr>
      </w:pPr>
      <w:r w:rsidRPr="00940F92">
        <w:rPr>
          <w:rFonts w:ascii="Verdana" w:hAnsi="Verdana" w:cs="Arial"/>
          <w:sz w:val="20"/>
          <w:szCs w:val="20"/>
        </w:rPr>
        <w:t>En mi opinión</w:t>
      </w:r>
      <w:r>
        <w:rPr>
          <w:rFonts w:ascii="Verdana" w:hAnsi="Verdana" w:cs="Arial"/>
          <w:sz w:val="20"/>
          <w:szCs w:val="20"/>
        </w:rPr>
        <w:t xml:space="preserve">, esta confusión responde al propósito claro de querer a toda costa subsanar lo que “algunos” consideran un error del Protocolo de San Salvador cuando limitó la </w:t>
      </w:r>
      <w:proofErr w:type="spellStart"/>
      <w:r>
        <w:rPr>
          <w:rFonts w:ascii="Verdana" w:hAnsi="Verdana" w:cs="Arial"/>
          <w:sz w:val="20"/>
          <w:szCs w:val="20"/>
        </w:rPr>
        <w:t>justiciabilidad</w:t>
      </w:r>
      <w:proofErr w:type="spellEnd"/>
      <w:r>
        <w:rPr>
          <w:rFonts w:ascii="Verdana" w:hAnsi="Verdana" w:cs="Arial"/>
          <w:sz w:val="20"/>
          <w:szCs w:val="20"/>
        </w:rPr>
        <w:t xml:space="preserve"> de los DESC establecidos en el mismo. Bajo este entendido, estimo que se debe distinguir</w:t>
      </w:r>
      <w:r w:rsidRPr="00752BD9">
        <w:rPr>
          <w:rFonts w:ascii="Verdana" w:hAnsi="Verdana" w:cs="Arial"/>
          <w:sz w:val="20"/>
          <w:szCs w:val="20"/>
        </w:rPr>
        <w:t xml:space="preserve"> </w:t>
      </w:r>
      <w:r>
        <w:rPr>
          <w:rFonts w:ascii="Verdana" w:hAnsi="Verdana" w:cs="Arial"/>
          <w:sz w:val="20"/>
          <w:szCs w:val="20"/>
        </w:rPr>
        <w:t>entre</w:t>
      </w:r>
      <w:r w:rsidRPr="00752BD9">
        <w:rPr>
          <w:rFonts w:ascii="Verdana" w:hAnsi="Verdana" w:cs="Arial"/>
          <w:sz w:val="20"/>
          <w:szCs w:val="20"/>
        </w:rPr>
        <w:t xml:space="preserve"> las ventajas que se derivan de la </w:t>
      </w:r>
      <w:proofErr w:type="spellStart"/>
      <w:r w:rsidRPr="00752BD9">
        <w:rPr>
          <w:rFonts w:ascii="Verdana" w:hAnsi="Verdana" w:cs="Arial"/>
          <w:sz w:val="20"/>
          <w:szCs w:val="20"/>
        </w:rPr>
        <w:t>justiciabilidad</w:t>
      </w:r>
      <w:proofErr w:type="spellEnd"/>
      <w:r w:rsidRPr="00752BD9">
        <w:rPr>
          <w:rFonts w:ascii="Verdana" w:hAnsi="Verdana" w:cs="Arial"/>
          <w:sz w:val="20"/>
          <w:szCs w:val="20"/>
        </w:rPr>
        <w:t xml:space="preserve"> de los DES</w:t>
      </w:r>
      <w:r>
        <w:rPr>
          <w:rFonts w:ascii="Verdana" w:hAnsi="Verdana" w:cs="Arial"/>
          <w:sz w:val="20"/>
          <w:szCs w:val="20"/>
        </w:rPr>
        <w:t>C</w:t>
      </w:r>
      <w:r w:rsidRPr="00752BD9">
        <w:rPr>
          <w:rFonts w:ascii="Verdana" w:hAnsi="Verdana" w:cs="Arial"/>
          <w:sz w:val="20"/>
          <w:szCs w:val="20"/>
        </w:rPr>
        <w:t xml:space="preserve"> y la determinación jurídica sobre la competencia de la Corte sobre el tema.</w:t>
      </w:r>
    </w:p>
    <w:p w14:paraId="602425B8" w14:textId="77777777" w:rsidR="00E70701" w:rsidRPr="00D81F2C" w:rsidRDefault="00E70701" w:rsidP="00C44F79">
      <w:pPr>
        <w:jc w:val="both"/>
        <w:rPr>
          <w:rFonts w:ascii="Verdana" w:hAnsi="Verdana" w:cs="Arial"/>
          <w:sz w:val="20"/>
          <w:szCs w:val="20"/>
        </w:rPr>
      </w:pPr>
    </w:p>
    <w:p w14:paraId="65C7EFD0" w14:textId="77777777" w:rsidR="00E70701" w:rsidRPr="00871166"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 xml:space="preserve">Tal y como lo he expresado en otras oportunidades, </w:t>
      </w:r>
      <w:r w:rsidRPr="00D81F2C">
        <w:rPr>
          <w:rFonts w:ascii="Verdana" w:hAnsi="Verdana" w:cs="Arial"/>
          <w:sz w:val="20"/>
          <w:szCs w:val="20"/>
        </w:rPr>
        <w:t>la Corte IDH ya ha decidido indirectamente sobre DESC,</w:t>
      </w:r>
      <w:r>
        <w:rPr>
          <w:rFonts w:ascii="Verdana" w:hAnsi="Verdana" w:cs="Arial"/>
          <w:sz w:val="20"/>
          <w:szCs w:val="20"/>
        </w:rPr>
        <w:t xml:space="preserve"> generalmente por medio del uso de la conexidad, lo cual es una metodología menos polémica, pero sobre todo más respetuosa de la voluntad de los Estados expresada en la Convención Americana y de su Protocolo</w:t>
      </w:r>
      <w:r w:rsidRPr="00D81F2C">
        <w:rPr>
          <w:rFonts w:ascii="Verdana" w:hAnsi="Verdana" w:cs="Arial"/>
          <w:sz w:val="20"/>
          <w:szCs w:val="20"/>
        </w:rPr>
        <w:t>.</w:t>
      </w:r>
      <w:r>
        <w:rPr>
          <w:rFonts w:ascii="Verdana" w:hAnsi="Verdana" w:cs="Arial"/>
          <w:sz w:val="20"/>
          <w:szCs w:val="20"/>
        </w:rPr>
        <w:t xml:space="preserve"> No se debe dejar de lado que cualquier actuación por fuera de la C</w:t>
      </w:r>
      <w:r w:rsidRPr="0058208A">
        <w:rPr>
          <w:rFonts w:ascii="Verdana" w:hAnsi="Verdana" w:cs="Arial"/>
          <w:sz w:val="20"/>
          <w:szCs w:val="20"/>
        </w:rPr>
        <w:t xml:space="preserve">onvención </w:t>
      </w:r>
      <w:r>
        <w:rPr>
          <w:rFonts w:ascii="Verdana" w:hAnsi="Verdana" w:cs="Arial"/>
          <w:sz w:val="20"/>
          <w:szCs w:val="20"/>
        </w:rPr>
        <w:t>Americana será arbitraria aunque</w:t>
      </w:r>
      <w:r w:rsidRPr="0058208A">
        <w:rPr>
          <w:rFonts w:ascii="Verdana" w:hAnsi="Verdana" w:cs="Arial"/>
          <w:sz w:val="20"/>
          <w:szCs w:val="20"/>
        </w:rPr>
        <w:t xml:space="preserve"> se </w:t>
      </w:r>
      <w:r>
        <w:rPr>
          <w:rFonts w:ascii="Verdana" w:hAnsi="Verdana" w:cs="Arial"/>
          <w:sz w:val="20"/>
          <w:szCs w:val="20"/>
        </w:rPr>
        <w:t>derive de</w:t>
      </w:r>
      <w:r w:rsidRPr="0058208A">
        <w:rPr>
          <w:rFonts w:ascii="Verdana" w:hAnsi="Verdana" w:cs="Arial"/>
          <w:sz w:val="20"/>
          <w:szCs w:val="20"/>
        </w:rPr>
        <w:t xml:space="preserve"> buenas intenciones</w:t>
      </w:r>
      <w:r>
        <w:rPr>
          <w:rFonts w:ascii="Verdana" w:hAnsi="Verdana" w:cs="Arial"/>
          <w:sz w:val="20"/>
          <w:szCs w:val="20"/>
        </w:rPr>
        <w:t>.</w:t>
      </w:r>
    </w:p>
    <w:p w14:paraId="4247F4F3" w14:textId="77777777" w:rsidR="00E70701" w:rsidRPr="008E47DC" w:rsidRDefault="00E70701" w:rsidP="00C44F79">
      <w:pPr>
        <w:pStyle w:val="ListParagraph"/>
        <w:jc w:val="both"/>
        <w:rPr>
          <w:rFonts w:ascii="Verdana" w:hAnsi="Verdana" w:cs="Arial"/>
          <w:sz w:val="20"/>
          <w:szCs w:val="20"/>
        </w:rPr>
      </w:pPr>
    </w:p>
    <w:p w14:paraId="5D8CE7D1" w14:textId="77777777" w:rsidR="00E70701" w:rsidRDefault="00E70701" w:rsidP="00E70701">
      <w:pPr>
        <w:pStyle w:val="ListParagraph"/>
        <w:numPr>
          <w:ilvl w:val="0"/>
          <w:numId w:val="36"/>
        </w:numPr>
        <w:jc w:val="both"/>
        <w:rPr>
          <w:rFonts w:ascii="Verdana" w:hAnsi="Verdana" w:cs="Arial"/>
          <w:b/>
          <w:sz w:val="20"/>
          <w:szCs w:val="20"/>
        </w:rPr>
      </w:pPr>
      <w:r>
        <w:rPr>
          <w:rFonts w:ascii="Verdana" w:hAnsi="Verdana" w:cs="Arial"/>
          <w:b/>
          <w:sz w:val="20"/>
          <w:szCs w:val="20"/>
        </w:rPr>
        <w:t>CONCLUSIÓN GENERAL</w:t>
      </w:r>
    </w:p>
    <w:p w14:paraId="01A61917" w14:textId="77777777" w:rsidR="00E70701" w:rsidRPr="00D81F2C" w:rsidRDefault="00E70701" w:rsidP="00C44F79">
      <w:pPr>
        <w:jc w:val="both"/>
        <w:rPr>
          <w:rFonts w:ascii="Verdana" w:hAnsi="Verdana" w:cs="Arial"/>
          <w:sz w:val="20"/>
          <w:szCs w:val="20"/>
        </w:rPr>
      </w:pPr>
    </w:p>
    <w:p w14:paraId="5C1D4ADD"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 xml:space="preserve">De forma general, </w:t>
      </w:r>
      <w:r w:rsidRPr="000B76AB">
        <w:rPr>
          <w:rFonts w:ascii="Verdana" w:hAnsi="Verdana" w:cs="Arial"/>
          <w:sz w:val="20"/>
          <w:szCs w:val="20"/>
        </w:rPr>
        <w:t xml:space="preserve">considero que </w:t>
      </w:r>
      <w:r>
        <w:rPr>
          <w:rFonts w:ascii="Verdana" w:hAnsi="Verdana" w:cs="Arial"/>
          <w:sz w:val="20"/>
          <w:szCs w:val="20"/>
        </w:rPr>
        <w:t>una S</w:t>
      </w:r>
      <w:r w:rsidRPr="000B76AB">
        <w:rPr>
          <w:rFonts w:ascii="Verdana" w:hAnsi="Verdana" w:cs="Arial"/>
          <w:sz w:val="20"/>
          <w:szCs w:val="20"/>
        </w:rPr>
        <w:t xml:space="preserve">entencia que </w:t>
      </w:r>
      <w:r>
        <w:rPr>
          <w:rFonts w:ascii="Verdana" w:hAnsi="Verdana" w:cs="Arial"/>
          <w:sz w:val="20"/>
          <w:szCs w:val="20"/>
        </w:rPr>
        <w:t xml:space="preserve">declara internacionalmente responsable a un </w:t>
      </w:r>
      <w:r w:rsidRPr="000B76AB">
        <w:rPr>
          <w:rFonts w:ascii="Verdana" w:hAnsi="Verdana" w:cs="Arial"/>
          <w:sz w:val="20"/>
          <w:szCs w:val="20"/>
        </w:rPr>
        <w:t xml:space="preserve">Estado </w:t>
      </w:r>
      <w:r>
        <w:rPr>
          <w:rFonts w:ascii="Verdana" w:hAnsi="Verdana" w:cs="Arial"/>
          <w:sz w:val="20"/>
          <w:szCs w:val="20"/>
        </w:rPr>
        <w:t xml:space="preserve">no puede incurrir en falencias </w:t>
      </w:r>
      <w:r w:rsidRPr="000B76AB">
        <w:rPr>
          <w:rFonts w:ascii="Verdana" w:hAnsi="Verdana" w:cs="Arial"/>
          <w:sz w:val="20"/>
          <w:szCs w:val="20"/>
        </w:rPr>
        <w:t>argumentativas</w:t>
      </w:r>
      <w:r>
        <w:rPr>
          <w:rFonts w:ascii="Verdana" w:hAnsi="Verdana" w:cs="Arial"/>
          <w:sz w:val="20"/>
          <w:szCs w:val="20"/>
        </w:rPr>
        <w:t xml:space="preserve"> de la magnitud previamente expuesta</w:t>
      </w:r>
      <w:r w:rsidRPr="000B76AB">
        <w:rPr>
          <w:rFonts w:ascii="Verdana" w:hAnsi="Verdana" w:cs="Arial"/>
          <w:sz w:val="20"/>
          <w:szCs w:val="20"/>
        </w:rPr>
        <w:t xml:space="preserve">. Si el Tribunal </w:t>
      </w:r>
      <w:r>
        <w:rPr>
          <w:rFonts w:ascii="Verdana" w:hAnsi="Verdana" w:cs="Arial"/>
          <w:sz w:val="20"/>
          <w:szCs w:val="20"/>
        </w:rPr>
        <w:t xml:space="preserve">pretende </w:t>
      </w:r>
      <w:r w:rsidRPr="000B76AB">
        <w:rPr>
          <w:rFonts w:ascii="Verdana" w:hAnsi="Verdana" w:cs="Arial"/>
          <w:sz w:val="20"/>
          <w:szCs w:val="20"/>
        </w:rPr>
        <w:t>mantener un estándar de motivación tan alto para los tribunales internos</w:t>
      </w:r>
      <w:r>
        <w:rPr>
          <w:rFonts w:ascii="Verdana" w:hAnsi="Verdana" w:cs="Arial"/>
          <w:sz w:val="20"/>
          <w:szCs w:val="20"/>
        </w:rPr>
        <w:t xml:space="preserve"> como el que se estableció en la presente Sentencia</w:t>
      </w:r>
      <w:r w:rsidRPr="000B76AB">
        <w:rPr>
          <w:rFonts w:ascii="Verdana" w:hAnsi="Verdana" w:cs="Arial"/>
          <w:sz w:val="20"/>
          <w:szCs w:val="20"/>
        </w:rPr>
        <w:t>, lo mínimo</w:t>
      </w:r>
      <w:r>
        <w:rPr>
          <w:rFonts w:ascii="Verdana" w:hAnsi="Verdana" w:cs="Arial"/>
          <w:sz w:val="20"/>
          <w:szCs w:val="20"/>
        </w:rPr>
        <w:t xml:space="preserve"> exigible</w:t>
      </w:r>
      <w:r w:rsidRPr="000B76AB">
        <w:rPr>
          <w:rFonts w:ascii="Verdana" w:hAnsi="Verdana" w:cs="Arial"/>
          <w:sz w:val="20"/>
          <w:szCs w:val="20"/>
        </w:rPr>
        <w:t xml:space="preserve"> es que use el mismo racero para sus decisiones, pues de lo contrario se corre el riesgo de afectar fuertemente la legitimidad de</w:t>
      </w:r>
      <w:r>
        <w:rPr>
          <w:rFonts w:ascii="Verdana" w:hAnsi="Verdana" w:cs="Arial"/>
          <w:sz w:val="20"/>
          <w:szCs w:val="20"/>
        </w:rPr>
        <w:t xml:space="preserve"> </w:t>
      </w:r>
      <w:r w:rsidRPr="000B76AB">
        <w:rPr>
          <w:rFonts w:ascii="Verdana" w:hAnsi="Verdana" w:cs="Arial"/>
          <w:sz w:val="20"/>
          <w:szCs w:val="20"/>
        </w:rPr>
        <w:t>l</w:t>
      </w:r>
      <w:r>
        <w:rPr>
          <w:rFonts w:ascii="Verdana" w:hAnsi="Verdana" w:cs="Arial"/>
          <w:sz w:val="20"/>
          <w:szCs w:val="20"/>
        </w:rPr>
        <w:t>a</w:t>
      </w:r>
      <w:r w:rsidRPr="000B76AB">
        <w:rPr>
          <w:rFonts w:ascii="Verdana" w:hAnsi="Verdana" w:cs="Arial"/>
          <w:sz w:val="20"/>
          <w:szCs w:val="20"/>
        </w:rPr>
        <w:t xml:space="preserve"> </w:t>
      </w:r>
      <w:r>
        <w:rPr>
          <w:rFonts w:ascii="Verdana" w:hAnsi="Verdana" w:cs="Arial"/>
          <w:sz w:val="20"/>
          <w:szCs w:val="20"/>
        </w:rPr>
        <w:t>Corte IDH</w:t>
      </w:r>
      <w:r w:rsidRPr="000B76AB">
        <w:rPr>
          <w:rFonts w:ascii="Verdana" w:hAnsi="Verdana" w:cs="Arial"/>
          <w:sz w:val="20"/>
          <w:szCs w:val="20"/>
        </w:rPr>
        <w:t xml:space="preserve"> frente a nuestros colegas de ejercicio jurisdiccional. </w:t>
      </w:r>
    </w:p>
    <w:p w14:paraId="6ACDF360" w14:textId="77777777" w:rsidR="00E70701" w:rsidRDefault="00E70701" w:rsidP="00C44F79">
      <w:pPr>
        <w:pStyle w:val="ListParagraph"/>
        <w:ind w:left="0"/>
        <w:jc w:val="both"/>
        <w:rPr>
          <w:rFonts w:ascii="Verdana" w:hAnsi="Verdana" w:cs="Arial"/>
          <w:sz w:val="20"/>
          <w:szCs w:val="20"/>
        </w:rPr>
      </w:pPr>
    </w:p>
    <w:p w14:paraId="79FE8F2D"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Efectivamente, la legitimidad de la C</w:t>
      </w:r>
      <w:r w:rsidRPr="00365715">
        <w:rPr>
          <w:rFonts w:ascii="Verdana" w:hAnsi="Verdana" w:cs="Arial"/>
          <w:sz w:val="20"/>
          <w:szCs w:val="20"/>
        </w:rPr>
        <w:t xml:space="preserve">orte </w:t>
      </w:r>
      <w:r>
        <w:rPr>
          <w:rFonts w:ascii="Verdana" w:hAnsi="Verdana" w:cs="Arial"/>
          <w:sz w:val="20"/>
          <w:szCs w:val="20"/>
        </w:rPr>
        <w:t>Interamericana se deriva de la solidez de</w:t>
      </w:r>
      <w:r w:rsidRPr="00365715">
        <w:rPr>
          <w:rFonts w:ascii="Verdana" w:hAnsi="Verdana" w:cs="Arial"/>
          <w:sz w:val="20"/>
          <w:szCs w:val="20"/>
        </w:rPr>
        <w:t xml:space="preserve"> </w:t>
      </w:r>
      <w:r>
        <w:rPr>
          <w:rFonts w:ascii="Verdana" w:hAnsi="Verdana" w:cs="Arial"/>
          <w:sz w:val="20"/>
          <w:szCs w:val="20"/>
        </w:rPr>
        <w:t xml:space="preserve">sus argumentos y de sus construcciones jurídicas, así como </w:t>
      </w:r>
      <w:r w:rsidRPr="00365715">
        <w:rPr>
          <w:rFonts w:ascii="Verdana" w:hAnsi="Verdana" w:cs="Arial"/>
          <w:sz w:val="20"/>
          <w:szCs w:val="20"/>
        </w:rPr>
        <w:t>de la justicia</w:t>
      </w:r>
      <w:r>
        <w:rPr>
          <w:rFonts w:ascii="Verdana" w:hAnsi="Verdana" w:cs="Arial"/>
          <w:sz w:val="20"/>
          <w:szCs w:val="20"/>
        </w:rPr>
        <w:t xml:space="preserve"> que se alcance a través</w:t>
      </w:r>
      <w:r w:rsidRPr="00365715">
        <w:rPr>
          <w:rFonts w:ascii="Verdana" w:hAnsi="Verdana" w:cs="Arial"/>
          <w:sz w:val="20"/>
          <w:szCs w:val="20"/>
        </w:rPr>
        <w:t xml:space="preserve"> de su</w:t>
      </w:r>
      <w:r>
        <w:rPr>
          <w:rFonts w:ascii="Verdana" w:hAnsi="Verdana" w:cs="Arial"/>
          <w:sz w:val="20"/>
          <w:szCs w:val="20"/>
        </w:rPr>
        <w:t>s decisiones</w:t>
      </w:r>
      <w:r w:rsidRPr="00365715">
        <w:rPr>
          <w:rFonts w:ascii="Verdana" w:hAnsi="Verdana" w:cs="Arial"/>
          <w:sz w:val="20"/>
          <w:szCs w:val="20"/>
        </w:rPr>
        <w:t xml:space="preserve">. </w:t>
      </w:r>
      <w:r>
        <w:rPr>
          <w:rFonts w:ascii="Verdana" w:hAnsi="Verdana" w:cs="Arial"/>
          <w:sz w:val="20"/>
          <w:szCs w:val="20"/>
        </w:rPr>
        <w:t>Por ello, e</w:t>
      </w:r>
      <w:r w:rsidRPr="00365715">
        <w:rPr>
          <w:rFonts w:ascii="Verdana" w:hAnsi="Verdana" w:cs="Arial"/>
          <w:sz w:val="20"/>
          <w:szCs w:val="20"/>
        </w:rPr>
        <w:t xml:space="preserve">l propósito de </w:t>
      </w:r>
      <w:r>
        <w:rPr>
          <w:rFonts w:ascii="Verdana" w:hAnsi="Verdana" w:cs="Arial"/>
          <w:sz w:val="20"/>
          <w:szCs w:val="20"/>
        </w:rPr>
        <w:t xml:space="preserve">querer </w:t>
      </w:r>
      <w:r w:rsidRPr="00365715">
        <w:rPr>
          <w:rFonts w:ascii="Verdana" w:hAnsi="Verdana" w:cs="Arial"/>
          <w:sz w:val="20"/>
          <w:szCs w:val="20"/>
        </w:rPr>
        <w:t>acertar</w:t>
      </w:r>
      <w:r>
        <w:rPr>
          <w:rFonts w:ascii="Verdana" w:hAnsi="Verdana" w:cs="Arial"/>
          <w:sz w:val="20"/>
          <w:szCs w:val="20"/>
        </w:rPr>
        <w:t>,</w:t>
      </w:r>
      <w:r w:rsidRPr="00365715">
        <w:rPr>
          <w:rFonts w:ascii="Verdana" w:hAnsi="Verdana" w:cs="Arial"/>
          <w:sz w:val="20"/>
          <w:szCs w:val="20"/>
        </w:rPr>
        <w:t xml:space="preserve"> no basta, es insuficiente, </w:t>
      </w:r>
      <w:r>
        <w:rPr>
          <w:rFonts w:ascii="Verdana" w:hAnsi="Verdana" w:cs="Arial"/>
          <w:sz w:val="20"/>
          <w:szCs w:val="20"/>
        </w:rPr>
        <w:t xml:space="preserve">pues lo que </w:t>
      </w:r>
      <w:r w:rsidRPr="00365715">
        <w:rPr>
          <w:rFonts w:ascii="Verdana" w:hAnsi="Verdana" w:cs="Arial"/>
          <w:sz w:val="20"/>
          <w:szCs w:val="20"/>
        </w:rPr>
        <w:t xml:space="preserve">puede generar </w:t>
      </w:r>
      <w:r>
        <w:rPr>
          <w:rFonts w:ascii="Verdana" w:hAnsi="Verdana" w:cs="Arial"/>
          <w:sz w:val="20"/>
          <w:szCs w:val="20"/>
        </w:rPr>
        <w:t xml:space="preserve">es </w:t>
      </w:r>
      <w:r w:rsidRPr="00365715">
        <w:rPr>
          <w:rFonts w:ascii="Verdana" w:hAnsi="Verdana" w:cs="Arial"/>
          <w:sz w:val="20"/>
          <w:szCs w:val="20"/>
        </w:rPr>
        <w:t>un importante factor de deslegitimación</w:t>
      </w:r>
      <w:r>
        <w:rPr>
          <w:rFonts w:ascii="Verdana" w:hAnsi="Verdana" w:cs="Arial"/>
          <w:sz w:val="20"/>
          <w:szCs w:val="20"/>
        </w:rPr>
        <w:t xml:space="preserve"> del Tribunal</w:t>
      </w:r>
      <w:r w:rsidRPr="00365715">
        <w:rPr>
          <w:rFonts w:ascii="Verdana" w:hAnsi="Verdana" w:cs="Arial"/>
          <w:sz w:val="20"/>
          <w:szCs w:val="20"/>
        </w:rPr>
        <w:t xml:space="preserve">. De hecho, decisiones como esta, en ultimas plantean una visión, un proyecto de </w:t>
      </w:r>
      <w:r>
        <w:rPr>
          <w:rFonts w:ascii="Verdana" w:hAnsi="Verdana" w:cs="Arial"/>
          <w:sz w:val="20"/>
          <w:szCs w:val="20"/>
        </w:rPr>
        <w:t xml:space="preserve">integración y </w:t>
      </w:r>
      <w:r w:rsidRPr="00365715">
        <w:rPr>
          <w:rFonts w:ascii="Verdana" w:hAnsi="Verdana" w:cs="Arial"/>
          <w:sz w:val="20"/>
          <w:szCs w:val="20"/>
        </w:rPr>
        <w:t>transformaciones orientadas autónomamente desde los órganos del SIDH</w:t>
      </w:r>
      <w:r>
        <w:rPr>
          <w:rFonts w:ascii="Verdana" w:hAnsi="Verdana" w:cs="Arial"/>
          <w:sz w:val="20"/>
          <w:szCs w:val="20"/>
        </w:rPr>
        <w:t>, alejándose de la función principal de la C</w:t>
      </w:r>
      <w:r w:rsidRPr="00365715">
        <w:rPr>
          <w:rFonts w:ascii="Verdana" w:hAnsi="Verdana" w:cs="Arial"/>
          <w:sz w:val="20"/>
          <w:szCs w:val="20"/>
        </w:rPr>
        <w:t>orte</w:t>
      </w:r>
      <w:r>
        <w:rPr>
          <w:rFonts w:ascii="Verdana" w:hAnsi="Verdana" w:cs="Arial"/>
          <w:sz w:val="20"/>
          <w:szCs w:val="20"/>
        </w:rPr>
        <w:t xml:space="preserve"> IDH, la cual es la de administrar justicia, garantizando la protección de los derechos humanos bajo la estricta observancia de su competencia</w:t>
      </w:r>
      <w:r w:rsidRPr="00365715">
        <w:rPr>
          <w:rFonts w:ascii="Verdana" w:hAnsi="Verdana" w:cs="Arial"/>
          <w:sz w:val="20"/>
          <w:szCs w:val="20"/>
        </w:rPr>
        <w:t xml:space="preserve">. </w:t>
      </w:r>
      <w:r>
        <w:rPr>
          <w:rFonts w:ascii="Verdana" w:hAnsi="Verdana" w:cs="Arial"/>
          <w:sz w:val="20"/>
          <w:szCs w:val="20"/>
        </w:rPr>
        <w:t>De hecho, n</w:t>
      </w:r>
      <w:r w:rsidRPr="00365715">
        <w:rPr>
          <w:rFonts w:ascii="Verdana" w:hAnsi="Verdana" w:cs="Arial"/>
          <w:sz w:val="20"/>
          <w:szCs w:val="20"/>
        </w:rPr>
        <w:t xml:space="preserve">o puede hacerse derecho transformador </w:t>
      </w:r>
      <w:r>
        <w:rPr>
          <w:rFonts w:ascii="Verdana" w:hAnsi="Verdana" w:cs="Arial"/>
          <w:sz w:val="20"/>
          <w:szCs w:val="20"/>
        </w:rPr>
        <w:t xml:space="preserve">en </w:t>
      </w:r>
      <w:r w:rsidRPr="00365715">
        <w:rPr>
          <w:rFonts w:ascii="Verdana" w:hAnsi="Verdana" w:cs="Arial"/>
          <w:sz w:val="20"/>
          <w:szCs w:val="20"/>
        </w:rPr>
        <w:t>contra</w:t>
      </w:r>
      <w:r>
        <w:rPr>
          <w:rFonts w:ascii="Verdana" w:hAnsi="Verdana" w:cs="Arial"/>
          <w:sz w:val="20"/>
          <w:szCs w:val="20"/>
        </w:rPr>
        <w:t xml:space="preserve"> vía</w:t>
      </w:r>
      <w:r w:rsidRPr="00365715">
        <w:rPr>
          <w:rFonts w:ascii="Verdana" w:hAnsi="Verdana" w:cs="Arial"/>
          <w:sz w:val="20"/>
          <w:szCs w:val="20"/>
        </w:rPr>
        <w:t xml:space="preserve"> </w:t>
      </w:r>
      <w:r>
        <w:rPr>
          <w:rFonts w:ascii="Verdana" w:hAnsi="Verdana" w:cs="Arial"/>
          <w:sz w:val="20"/>
          <w:szCs w:val="20"/>
        </w:rPr>
        <w:t>d</w:t>
      </w:r>
      <w:r w:rsidRPr="00365715">
        <w:rPr>
          <w:rFonts w:ascii="Verdana" w:hAnsi="Verdana" w:cs="Arial"/>
          <w:sz w:val="20"/>
          <w:szCs w:val="20"/>
        </w:rPr>
        <w:t>el derecho vigente.</w:t>
      </w:r>
    </w:p>
    <w:p w14:paraId="35C7A15E" w14:textId="77777777" w:rsidR="00E70701" w:rsidRPr="006C00B3" w:rsidRDefault="00E70701" w:rsidP="00C44F79">
      <w:pPr>
        <w:jc w:val="both"/>
        <w:rPr>
          <w:rFonts w:ascii="Verdana" w:hAnsi="Verdana" w:cs="Arial"/>
          <w:sz w:val="20"/>
          <w:szCs w:val="20"/>
        </w:rPr>
      </w:pPr>
    </w:p>
    <w:p w14:paraId="46865BE7" w14:textId="77777777" w:rsidR="00E70701" w:rsidRDefault="00E70701" w:rsidP="00E70701">
      <w:pPr>
        <w:pStyle w:val="ListParagraph"/>
        <w:numPr>
          <w:ilvl w:val="0"/>
          <w:numId w:val="37"/>
        </w:numPr>
        <w:ind w:left="0" w:firstLine="0"/>
        <w:jc w:val="both"/>
        <w:rPr>
          <w:rFonts w:ascii="Verdana" w:hAnsi="Verdana" w:cs="Arial"/>
          <w:sz w:val="20"/>
          <w:szCs w:val="20"/>
        </w:rPr>
      </w:pPr>
      <w:r>
        <w:rPr>
          <w:rFonts w:ascii="Verdana" w:hAnsi="Verdana" w:cs="Arial"/>
          <w:sz w:val="20"/>
          <w:szCs w:val="20"/>
        </w:rPr>
        <w:t xml:space="preserve">Finalmente, espero que el presente Voto contribuya como reflexión para entender la </w:t>
      </w:r>
      <w:r w:rsidRPr="005A7D73">
        <w:rPr>
          <w:rFonts w:ascii="Verdana" w:hAnsi="Verdana" w:cs="Arial"/>
          <w:sz w:val="20"/>
          <w:szCs w:val="20"/>
        </w:rPr>
        <w:t>dimensión de la decisión que la mayoría de la Corte IDH adoptó en este caso,</w:t>
      </w:r>
      <w:r>
        <w:rPr>
          <w:rFonts w:ascii="Verdana" w:hAnsi="Verdana" w:cs="Arial"/>
          <w:sz w:val="20"/>
          <w:szCs w:val="20"/>
        </w:rPr>
        <w:t xml:space="preserve"> y</w:t>
      </w:r>
      <w:r w:rsidRPr="005A7D73">
        <w:rPr>
          <w:rFonts w:ascii="Verdana" w:hAnsi="Verdana" w:cs="Arial"/>
          <w:sz w:val="20"/>
          <w:szCs w:val="20"/>
        </w:rPr>
        <w:t xml:space="preserve"> se visibilicen las principales problemáticas que se generan a partir de la misma</w:t>
      </w:r>
      <w:r>
        <w:rPr>
          <w:rFonts w:ascii="Verdana" w:hAnsi="Verdana" w:cs="Arial"/>
          <w:sz w:val="20"/>
          <w:szCs w:val="20"/>
        </w:rPr>
        <w:t>.</w:t>
      </w:r>
      <w:r w:rsidRPr="005A7D73">
        <w:rPr>
          <w:rFonts w:ascii="Verdana" w:hAnsi="Verdana" w:cs="Arial"/>
          <w:sz w:val="20"/>
          <w:szCs w:val="20"/>
        </w:rPr>
        <w:t xml:space="preserve"> </w:t>
      </w:r>
      <w:r>
        <w:rPr>
          <w:rFonts w:ascii="Verdana" w:hAnsi="Verdana" w:cs="Arial"/>
          <w:sz w:val="20"/>
          <w:szCs w:val="20"/>
        </w:rPr>
        <w:t xml:space="preserve">Solo la crítica sincera </w:t>
      </w:r>
      <w:r w:rsidRPr="005A7D73">
        <w:rPr>
          <w:rFonts w:ascii="Verdana" w:hAnsi="Verdana" w:cs="Arial"/>
          <w:sz w:val="20"/>
          <w:szCs w:val="20"/>
        </w:rPr>
        <w:t xml:space="preserve">y el debate abierto y público </w:t>
      </w:r>
      <w:r>
        <w:rPr>
          <w:rFonts w:ascii="Verdana" w:hAnsi="Verdana" w:cs="Arial"/>
          <w:sz w:val="20"/>
          <w:szCs w:val="20"/>
        </w:rPr>
        <w:t>puede</w:t>
      </w:r>
      <w:r w:rsidRPr="005A7D73">
        <w:rPr>
          <w:rFonts w:ascii="Verdana" w:hAnsi="Verdana" w:cs="Arial"/>
          <w:sz w:val="20"/>
          <w:szCs w:val="20"/>
        </w:rPr>
        <w:t xml:space="preserve"> ayud</w:t>
      </w:r>
      <w:r>
        <w:rPr>
          <w:rFonts w:ascii="Verdana" w:hAnsi="Verdana" w:cs="Arial"/>
          <w:sz w:val="20"/>
          <w:szCs w:val="20"/>
        </w:rPr>
        <w:t>ar</w:t>
      </w:r>
      <w:r w:rsidRPr="005A7D73">
        <w:rPr>
          <w:rFonts w:ascii="Verdana" w:hAnsi="Verdana" w:cs="Arial"/>
          <w:sz w:val="20"/>
          <w:szCs w:val="20"/>
        </w:rPr>
        <w:t xml:space="preserve"> a mitigar,</w:t>
      </w:r>
      <w:r>
        <w:rPr>
          <w:rFonts w:ascii="Verdana" w:hAnsi="Verdana" w:cs="Arial"/>
          <w:sz w:val="20"/>
          <w:szCs w:val="20"/>
        </w:rPr>
        <w:t xml:space="preserve"> </w:t>
      </w:r>
      <w:r w:rsidRPr="005A7D73">
        <w:rPr>
          <w:rFonts w:ascii="Verdana" w:hAnsi="Verdana" w:cs="Arial"/>
          <w:sz w:val="20"/>
          <w:szCs w:val="20"/>
        </w:rPr>
        <w:t>hasta cierto punto, los rie</w:t>
      </w:r>
      <w:r>
        <w:rPr>
          <w:rFonts w:ascii="Verdana" w:hAnsi="Verdana" w:cs="Arial"/>
          <w:sz w:val="20"/>
          <w:szCs w:val="20"/>
        </w:rPr>
        <w:t>sgos de legitimidad y d</w:t>
      </w:r>
      <w:r w:rsidRPr="005A7D73">
        <w:rPr>
          <w:rFonts w:ascii="Verdana" w:hAnsi="Verdana" w:cs="Arial"/>
          <w:sz w:val="20"/>
          <w:szCs w:val="20"/>
        </w:rPr>
        <w:t>e inseguridad jurídica que se puedan desprender de esta Sentencia.</w:t>
      </w:r>
    </w:p>
    <w:p w14:paraId="2B809512" w14:textId="77777777" w:rsidR="00E70701" w:rsidRPr="005A7D73" w:rsidRDefault="00E70701" w:rsidP="00C44F79">
      <w:pPr>
        <w:pStyle w:val="NormalWeb"/>
        <w:spacing w:before="0" w:beforeAutospacing="0" w:after="0" w:afterAutospacing="0"/>
        <w:ind w:left="3600" w:right="96" w:firstLine="720"/>
        <w:jc w:val="center"/>
        <w:rPr>
          <w:rFonts w:ascii="Verdana" w:eastAsia="Calibri" w:hAnsi="Verdana"/>
          <w:sz w:val="20"/>
          <w:szCs w:val="20"/>
          <w:lang w:eastAsia="en-US"/>
        </w:rPr>
      </w:pPr>
    </w:p>
    <w:p w14:paraId="7EE39972" w14:textId="77777777" w:rsidR="00E70701" w:rsidRDefault="00E70701" w:rsidP="00C44F79">
      <w:pPr>
        <w:pStyle w:val="NormalWeb"/>
        <w:spacing w:before="0" w:beforeAutospacing="0" w:after="0" w:afterAutospacing="0"/>
        <w:ind w:left="3600" w:right="96" w:firstLine="720"/>
        <w:jc w:val="center"/>
        <w:rPr>
          <w:rFonts w:ascii="Verdana" w:eastAsia="Calibri" w:hAnsi="Verdana"/>
          <w:sz w:val="20"/>
          <w:szCs w:val="20"/>
          <w:lang w:eastAsia="en-US"/>
        </w:rPr>
      </w:pPr>
    </w:p>
    <w:p w14:paraId="7C82964F" w14:textId="77777777" w:rsidR="00E70701" w:rsidRPr="005A7D73" w:rsidRDefault="00E70701" w:rsidP="00C44F79">
      <w:pPr>
        <w:pStyle w:val="NormalWeb"/>
        <w:spacing w:before="0" w:beforeAutospacing="0" w:after="0" w:afterAutospacing="0"/>
        <w:ind w:left="3600" w:right="96" w:firstLine="720"/>
        <w:jc w:val="center"/>
        <w:rPr>
          <w:rFonts w:ascii="Verdana" w:eastAsia="Calibri" w:hAnsi="Verdana"/>
          <w:sz w:val="20"/>
          <w:szCs w:val="20"/>
          <w:lang w:eastAsia="en-US"/>
        </w:rPr>
      </w:pPr>
    </w:p>
    <w:p w14:paraId="38CD441E" w14:textId="77777777" w:rsidR="00E70701" w:rsidRPr="005A7D73" w:rsidRDefault="00E70701" w:rsidP="00C44F79">
      <w:pPr>
        <w:pStyle w:val="NormalWeb"/>
        <w:spacing w:before="0" w:beforeAutospacing="0" w:after="0" w:afterAutospacing="0"/>
        <w:ind w:left="3600" w:right="96" w:firstLine="720"/>
        <w:rPr>
          <w:rFonts w:ascii="Verdana" w:eastAsia="Calibri" w:hAnsi="Verdana"/>
          <w:sz w:val="20"/>
          <w:szCs w:val="20"/>
          <w:lang w:eastAsia="en-US"/>
        </w:rPr>
      </w:pPr>
    </w:p>
    <w:p w14:paraId="35BB10A2" w14:textId="77777777" w:rsidR="00E70701" w:rsidRPr="005A7D73" w:rsidRDefault="00E70701" w:rsidP="00C44F79">
      <w:pPr>
        <w:pStyle w:val="NormalWeb"/>
        <w:spacing w:before="0" w:beforeAutospacing="0" w:after="0" w:afterAutospacing="0"/>
        <w:ind w:left="2124" w:right="96" w:firstLine="708"/>
        <w:jc w:val="right"/>
        <w:rPr>
          <w:rFonts w:ascii="Verdana" w:eastAsia="Calibri" w:hAnsi="Verdana"/>
          <w:sz w:val="20"/>
          <w:szCs w:val="20"/>
          <w:lang w:eastAsia="en-US"/>
        </w:rPr>
      </w:pPr>
      <w:r>
        <w:rPr>
          <w:rFonts w:ascii="Verdana" w:eastAsia="Calibri" w:hAnsi="Verdana"/>
          <w:sz w:val="20"/>
          <w:szCs w:val="20"/>
          <w:lang w:eastAsia="en-US"/>
        </w:rPr>
        <w:t>Humberto A.</w:t>
      </w:r>
      <w:r w:rsidRPr="005A7D73">
        <w:rPr>
          <w:rFonts w:ascii="Verdana" w:eastAsia="Calibri" w:hAnsi="Verdana"/>
          <w:sz w:val="20"/>
          <w:szCs w:val="20"/>
          <w:lang w:eastAsia="en-US"/>
        </w:rPr>
        <w:t xml:space="preserve"> Sierra Porto</w:t>
      </w:r>
    </w:p>
    <w:p w14:paraId="6479F99B" w14:textId="77777777" w:rsidR="00E70701" w:rsidRPr="00DA4C3C" w:rsidRDefault="00E70701" w:rsidP="00C44F79">
      <w:pPr>
        <w:pStyle w:val="NormalWeb"/>
        <w:spacing w:before="0" w:beforeAutospacing="0" w:after="0" w:afterAutospacing="0"/>
        <w:ind w:left="3540" w:right="1548" w:firstLine="708"/>
        <w:jc w:val="right"/>
        <w:rPr>
          <w:rFonts w:ascii="Verdana" w:eastAsia="Calibri" w:hAnsi="Verdana"/>
          <w:sz w:val="20"/>
          <w:szCs w:val="20"/>
          <w:lang w:eastAsia="en-US"/>
        </w:rPr>
      </w:pPr>
      <w:r w:rsidRPr="005A7D73">
        <w:rPr>
          <w:rFonts w:ascii="Verdana" w:eastAsia="Calibri" w:hAnsi="Verdana"/>
          <w:sz w:val="20"/>
          <w:szCs w:val="20"/>
          <w:lang w:eastAsia="en-US"/>
        </w:rPr>
        <w:t>Juez</w:t>
      </w:r>
    </w:p>
    <w:p w14:paraId="36699895" w14:textId="77777777" w:rsidR="00E70701" w:rsidRDefault="00E70701" w:rsidP="00C44F79">
      <w:pPr>
        <w:rPr>
          <w:rFonts w:ascii="Verdana" w:hAnsi="Verdana"/>
          <w:sz w:val="20"/>
          <w:szCs w:val="20"/>
          <w:lang w:val="es-CR"/>
        </w:rPr>
      </w:pPr>
    </w:p>
    <w:p w14:paraId="0C0F6DD7" w14:textId="77777777" w:rsidR="00E70701" w:rsidRDefault="00E70701" w:rsidP="00C44F79">
      <w:pPr>
        <w:rPr>
          <w:rFonts w:ascii="Verdana" w:hAnsi="Verdana"/>
          <w:sz w:val="20"/>
          <w:szCs w:val="20"/>
          <w:lang w:val="es-CR"/>
        </w:rPr>
      </w:pPr>
    </w:p>
    <w:p w14:paraId="46F57F30" w14:textId="77777777" w:rsidR="00E70701" w:rsidRPr="005A7D73" w:rsidRDefault="00E70701" w:rsidP="00C44F79">
      <w:pPr>
        <w:rPr>
          <w:rFonts w:ascii="Verdana" w:hAnsi="Verdana"/>
          <w:sz w:val="20"/>
          <w:szCs w:val="20"/>
          <w:lang w:val="es-CR"/>
        </w:rPr>
      </w:pPr>
      <w:r w:rsidRPr="005A7D73">
        <w:rPr>
          <w:rFonts w:ascii="Verdana" w:hAnsi="Verdana"/>
          <w:sz w:val="20"/>
          <w:szCs w:val="20"/>
          <w:lang w:val="es-CR"/>
        </w:rPr>
        <w:t>Pablo Saavedra Alessandri</w:t>
      </w:r>
    </w:p>
    <w:p w14:paraId="0D6D0524" w14:textId="1A5CCF66" w:rsidR="00324758" w:rsidRPr="00324758" w:rsidRDefault="00E70701" w:rsidP="00705592">
      <w:pPr>
        <w:rPr>
          <w:rFonts w:ascii="Verdana" w:hAnsi="Verdana"/>
          <w:sz w:val="20"/>
          <w:szCs w:val="20"/>
          <w:lang w:val="es-MX"/>
        </w:rPr>
      </w:pPr>
      <w:r>
        <w:rPr>
          <w:rFonts w:ascii="Verdana" w:hAnsi="Verdana"/>
          <w:sz w:val="20"/>
          <w:szCs w:val="20"/>
          <w:lang w:val="es-CR"/>
        </w:rPr>
        <w:tab/>
        <w:t xml:space="preserve">  </w:t>
      </w:r>
      <w:r w:rsidRPr="005A7D73">
        <w:rPr>
          <w:rFonts w:ascii="Verdana" w:hAnsi="Verdana"/>
          <w:sz w:val="20"/>
          <w:szCs w:val="20"/>
          <w:lang w:val="es-CR"/>
        </w:rPr>
        <w:t>Secretario</w:t>
      </w:r>
    </w:p>
    <w:sectPr w:rsidR="00324758" w:rsidRPr="00324758" w:rsidSect="00C44F79">
      <w:footerReference w:type="even" r:id="rId13"/>
      <w:footerReference w:type="default" r:id="rId14"/>
      <w:footerReference w:type="first" r:id="rId15"/>
      <w:footnotePr>
        <w:numRestart w:val="eachSect"/>
      </w:footnotePr>
      <w:pgSz w:w="12240" w:h="15840" w:code="1"/>
      <w:pgMar w:top="1247" w:right="1247" w:bottom="124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46EDF" w14:textId="77777777" w:rsidR="00D86616" w:rsidRDefault="00D86616" w:rsidP="009E58AE">
      <w:r>
        <w:separator/>
      </w:r>
    </w:p>
  </w:endnote>
  <w:endnote w:type="continuationSeparator" w:id="0">
    <w:p w14:paraId="0F730F55" w14:textId="77777777" w:rsidR="00D86616" w:rsidRDefault="00D86616" w:rsidP="009E58AE">
      <w:r>
        <w:continuationSeparator/>
      </w:r>
    </w:p>
  </w:endnote>
  <w:endnote w:type="continuationNotice" w:id="1">
    <w:p w14:paraId="7E1A0EF6" w14:textId="77777777" w:rsidR="00D86616" w:rsidRDefault="00D86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sig w:usb0="00000003" w:usb1="00000000" w:usb2="00000000" w:usb3="00000000" w:csb0="00000001" w:csb1="00000000"/>
  </w:font>
  <w:font w:name="StempelSchneidler-Light">
    <w:panose1 w:val="00000000000000000000"/>
    <w:charset w:val="00"/>
    <w:family w:val="auto"/>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variable"/>
    <w:sig w:usb0="00000000" w:usb1="C0007841" w:usb2="00000009" w:usb3="00000000" w:csb0="000001FF" w:csb1="00000000"/>
  </w:font>
  <w:font w:name="System Font Regular">
    <w:charset w:val="00"/>
    <w:family w:val="auto"/>
    <w:pitch w:val="variable"/>
    <w:sig w:usb0="2000028F"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eda">
    <w:altName w:val="Times New Roman"/>
    <w:panose1 w:val="00000000000000000000"/>
    <w:charset w:val="00"/>
    <w:family w:val="roman"/>
    <w:notTrueType/>
    <w:pitch w:val="default"/>
  </w:font>
  <w:font w:name="Verdana Bold">
    <w:altName w:val="Times New Roman"/>
    <w:panose1 w:val="020B0804030504040204"/>
    <w:charset w:val="00"/>
    <w:family w:val="auto"/>
    <w:pitch w:val="variable"/>
    <w:sig w:usb0="00000001" w:usb1="4000205B" w:usb2="00000010" w:usb3="00000000" w:csb0="0000019F" w:csb1="00000000"/>
  </w:font>
  <w:font w:name="MinionPro-Semi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BE2A" w14:textId="77777777" w:rsidR="00D86616" w:rsidRDefault="00D86616" w:rsidP="00C44F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B3E93" w14:textId="77777777" w:rsidR="00D86616" w:rsidRDefault="00D86616" w:rsidP="00C44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56413" w14:textId="28506253" w:rsidR="00D86616" w:rsidRPr="00404559" w:rsidRDefault="00D86616">
    <w:pPr>
      <w:pStyle w:val="Footer"/>
      <w:jc w:val="center"/>
      <w:rPr>
        <w:rFonts w:ascii="Verdana" w:hAnsi="Verdana"/>
        <w:sz w:val="20"/>
        <w:szCs w:val="20"/>
      </w:rPr>
    </w:pPr>
  </w:p>
  <w:p w14:paraId="683D0FE1" w14:textId="77777777" w:rsidR="00D86616" w:rsidRDefault="00D86616" w:rsidP="00C44F7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94B8" w14:textId="77777777" w:rsidR="00D86616" w:rsidRDefault="00D86616" w:rsidP="00C44F79">
    <w:pPr>
      <w:pStyle w:val="Footer"/>
    </w:pPr>
  </w:p>
  <w:p w14:paraId="159B060D" w14:textId="77777777" w:rsidR="00D86616" w:rsidRDefault="00D86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DCF3" w14:textId="77777777" w:rsidR="00D86616" w:rsidRDefault="00D86616" w:rsidP="009E58AE">
      <w:r>
        <w:separator/>
      </w:r>
    </w:p>
  </w:footnote>
  <w:footnote w:type="continuationSeparator" w:id="0">
    <w:p w14:paraId="157AB85F" w14:textId="77777777" w:rsidR="00D86616" w:rsidRDefault="00D86616" w:rsidP="009E58AE">
      <w:r>
        <w:continuationSeparator/>
      </w:r>
    </w:p>
  </w:footnote>
  <w:footnote w:type="continuationNotice" w:id="1">
    <w:p w14:paraId="3309D930" w14:textId="77777777" w:rsidR="00D86616" w:rsidRDefault="00D86616"/>
  </w:footnote>
  <w:footnote w:id="2">
    <w:p w14:paraId="70AC371A" w14:textId="59E88A2B" w:rsidR="00D86616" w:rsidRPr="009E6ED2" w:rsidRDefault="00D86616" w:rsidP="00334B6C">
      <w:pPr>
        <w:pStyle w:val="FootnoteText"/>
        <w:rPr>
          <w:i/>
          <w:lang w:val="es-MX"/>
        </w:rPr>
      </w:pPr>
      <w:r w:rsidRPr="00F23D52">
        <w:rPr>
          <w:rStyle w:val="FootnoteReference"/>
          <w:sz w:val="16"/>
        </w:rPr>
        <w:footnoteRef/>
      </w:r>
      <w:r w:rsidRPr="009E6ED2">
        <w:rPr>
          <w:lang w:val="es-MX"/>
        </w:rPr>
        <w:t xml:space="preserve"> </w:t>
      </w:r>
      <w:r w:rsidRPr="009E6ED2">
        <w:rPr>
          <w:lang w:val="es-MX"/>
        </w:rPr>
        <w:tab/>
        <w:t xml:space="preserve">La Comisión designó al Comisionado James </w:t>
      </w:r>
      <w:proofErr w:type="spellStart"/>
      <w:r w:rsidRPr="009E6ED2">
        <w:rPr>
          <w:lang w:val="es-MX"/>
        </w:rPr>
        <w:t>Cavallaro</w:t>
      </w:r>
      <w:proofErr w:type="spellEnd"/>
      <w:r w:rsidRPr="009E6ED2">
        <w:rPr>
          <w:lang w:val="es-MX"/>
        </w:rPr>
        <w:t xml:space="preserve">, al Relator Especial para la Libertad de Expresión Edison Lanza, y al Secretario Ejecutivo Emilio Álvarez Icaza L. como sus delegados. Asimismo, Elizabeth </w:t>
      </w:r>
      <w:proofErr w:type="spellStart"/>
      <w:r w:rsidRPr="009E6ED2">
        <w:rPr>
          <w:lang w:val="es-MX"/>
        </w:rPr>
        <w:t>Abi-Mershed</w:t>
      </w:r>
      <w:proofErr w:type="spellEnd"/>
      <w:r w:rsidRPr="009E6ED2">
        <w:rPr>
          <w:lang w:val="es-MX"/>
        </w:rPr>
        <w:t xml:space="preserve">, Secretaria Ejecutiva Adjunta y </w:t>
      </w:r>
      <w:proofErr w:type="spellStart"/>
      <w:r w:rsidRPr="009E6ED2">
        <w:rPr>
          <w:lang w:val="es-MX"/>
        </w:rPr>
        <w:t>Ona</w:t>
      </w:r>
      <w:proofErr w:type="spellEnd"/>
      <w:r w:rsidRPr="009E6ED2">
        <w:rPr>
          <w:lang w:val="es-MX"/>
        </w:rPr>
        <w:t xml:space="preserve"> Flores y Silvia Serrano Guzmán, abogados de la Secretaría Ejecutiva de la Comisión, actuarán como asesoras legales. </w:t>
      </w:r>
    </w:p>
  </w:footnote>
  <w:footnote w:id="3">
    <w:p w14:paraId="19CADBC8" w14:textId="19B1EDA5" w:rsidR="00D86616" w:rsidRPr="009E6ED2" w:rsidRDefault="00D86616" w:rsidP="00334B6C">
      <w:pPr>
        <w:pStyle w:val="FootnoteText"/>
        <w:rPr>
          <w:i/>
          <w:lang w:val="es-MX"/>
        </w:rPr>
      </w:pPr>
      <w:r w:rsidRPr="004C3F47">
        <w:rPr>
          <w:rStyle w:val="FootnoteReference"/>
          <w:sz w:val="16"/>
        </w:rPr>
        <w:footnoteRef/>
      </w:r>
      <w:r w:rsidRPr="009E6ED2">
        <w:rPr>
          <w:lang w:val="es-MX"/>
        </w:rPr>
        <w:t xml:space="preserve"> </w:t>
      </w:r>
      <w:r w:rsidRPr="009E6ED2">
        <w:rPr>
          <w:lang w:val="es-MX"/>
        </w:rPr>
        <w:tab/>
        <w:t xml:space="preserve">Mediante comunicación de 11 de marzo de 2016 el Estado informó la designación del señor Luis Alberto Huerta Guerrero como agente del Estado ante la Corte y como agentes alternos al Procurador Público Adjunto Supranacional, Iván Arturo Bazán Chacón, y a Sofía </w:t>
      </w:r>
      <w:proofErr w:type="spellStart"/>
      <w:r w:rsidRPr="009E6ED2">
        <w:rPr>
          <w:lang w:val="es-MX"/>
        </w:rPr>
        <w:t>Janett</w:t>
      </w:r>
      <w:proofErr w:type="spellEnd"/>
      <w:r w:rsidRPr="009E6ED2">
        <w:rPr>
          <w:lang w:val="es-MX"/>
        </w:rPr>
        <w:t xml:space="preserve"> Donaires Vega y Silvana Lucia Gómez Salazar (expediente de fondo, f. 97).</w:t>
      </w:r>
      <w:r w:rsidRPr="009E6ED2" w:rsidDel="00960A82">
        <w:rPr>
          <w:lang w:val="es-MX"/>
        </w:rPr>
        <w:t xml:space="preserve"> </w:t>
      </w:r>
    </w:p>
  </w:footnote>
  <w:footnote w:id="4">
    <w:p w14:paraId="0621CD2E" w14:textId="2CD9BA42" w:rsidR="00D86616" w:rsidRPr="00517952" w:rsidRDefault="00D86616" w:rsidP="00334B6C">
      <w:pPr>
        <w:pStyle w:val="FootnoteText"/>
        <w:rPr>
          <w:i/>
          <w:lang w:val="es-MX"/>
        </w:rPr>
      </w:pPr>
      <w:r w:rsidRPr="00517952">
        <w:rPr>
          <w:rStyle w:val="FootnoteReference"/>
          <w:sz w:val="16"/>
        </w:rPr>
        <w:footnoteRef/>
      </w:r>
      <w:r w:rsidRPr="00517952">
        <w:rPr>
          <w:lang w:val="es-MX"/>
        </w:rPr>
        <w:t xml:space="preserve"> </w:t>
      </w:r>
      <w:r w:rsidRPr="00517952">
        <w:rPr>
          <w:lang w:val="es-MX"/>
        </w:rPr>
        <w:tab/>
      </w:r>
      <w:r w:rsidRPr="00517952">
        <w:rPr>
          <w:i/>
          <w:lang w:val="es-MX"/>
        </w:rPr>
        <w:t>Caso Lagos del Campo Vs. Perú</w:t>
      </w:r>
      <w:r w:rsidRPr="00517952">
        <w:rPr>
          <w:lang w:val="es-MX"/>
        </w:rPr>
        <w:t xml:space="preserve">. Resolución del Presidente de la Corte de 14 de julio de 2016. Disponible en: </w:t>
      </w:r>
      <w:hyperlink r:id="rId1" w:history="1">
        <w:r w:rsidRPr="00517952">
          <w:rPr>
            <w:rStyle w:val="Hyperlink"/>
            <w:lang w:val="es-CR"/>
          </w:rPr>
          <w:t>http://www.corteidh.or.cr/docs/asuntos/lagos_fv_16.pdf</w:t>
        </w:r>
      </w:hyperlink>
      <w:r w:rsidRPr="00517952">
        <w:rPr>
          <w:lang w:val="es-MX"/>
        </w:rPr>
        <w:t xml:space="preserve">. </w:t>
      </w:r>
    </w:p>
  </w:footnote>
  <w:footnote w:id="5">
    <w:p w14:paraId="165E3A63" w14:textId="59AE20C8" w:rsidR="00D86616" w:rsidRPr="009E6ED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r>
      <w:r w:rsidRPr="009E6ED2">
        <w:rPr>
          <w:i/>
          <w:lang w:val="es-MX"/>
        </w:rPr>
        <w:t>Caso Lagos del Campo Vs. Perú.</w:t>
      </w:r>
      <w:r w:rsidRPr="009E6ED2">
        <w:rPr>
          <w:lang w:val="es-MX"/>
        </w:rPr>
        <w:t xml:space="preserve"> Convocatoria de audiencia. Resolución del Presidente de la Corte Interamericana de Derechos</w:t>
      </w:r>
      <w:r>
        <w:rPr>
          <w:lang w:val="es-MX"/>
        </w:rPr>
        <w:t xml:space="preserve"> </w:t>
      </w:r>
      <w:r w:rsidRPr="009E6ED2">
        <w:rPr>
          <w:lang w:val="es-MX"/>
        </w:rPr>
        <w:t xml:space="preserve">Humanos de 21 de noviembre de 2016. </w:t>
      </w:r>
      <w:r>
        <w:rPr>
          <w:lang w:val="es-ES"/>
        </w:rPr>
        <w:t xml:space="preserve">(JCG) </w:t>
      </w:r>
      <w:r w:rsidRPr="009E6ED2">
        <w:rPr>
          <w:lang w:val="es-MX"/>
        </w:rPr>
        <w:t>Disponible en:</w:t>
      </w:r>
      <w:r w:rsidRPr="004C3F47">
        <w:rPr>
          <w:rStyle w:val="Strong"/>
          <w:color w:val="000000"/>
          <w:shd w:val="clear" w:color="auto" w:fill="FFFFFF"/>
          <w:lang w:val="es-CR"/>
        </w:rPr>
        <w:t xml:space="preserve"> </w:t>
      </w:r>
      <w:hyperlink r:id="rId2" w:history="1">
        <w:r w:rsidRPr="004C3F47">
          <w:rPr>
            <w:rStyle w:val="Hyperlink"/>
            <w:lang w:val="es-CR"/>
          </w:rPr>
          <w:t>http://www.corteidh.or.cr/docs/asuntos/lagos_21_11_16.pdf</w:t>
        </w:r>
      </w:hyperlink>
      <w:r w:rsidRPr="009E6ED2">
        <w:rPr>
          <w:lang w:val="es-MX"/>
        </w:rPr>
        <w:t xml:space="preserve"> </w:t>
      </w:r>
      <w:r>
        <w:rPr>
          <w:lang w:val="es-MX"/>
        </w:rPr>
        <w:t xml:space="preserve"> </w:t>
      </w:r>
    </w:p>
  </w:footnote>
  <w:footnote w:id="6">
    <w:p w14:paraId="37F29A51" w14:textId="6068FC4A"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t xml:space="preserve">Por cuestiones de agenda, mediante nota de secretaría de 8 de diciembre de 2016 la audiencia pública en el presente caso fue reprogramada para llevarse a cabo el 7 de febrero de 2017 a partir de las 9:00 horas. Asimismo, la reunión previa a la celebración de esta audiencia fue reprogramada para el 6 de febrero en la sede del Tribunal. Por ende, se fijó como plazo el 8 de marzo de 2017 para presentar los alegatos finales escritos y observaciones finales escritas. </w:t>
      </w:r>
    </w:p>
  </w:footnote>
  <w:footnote w:id="7">
    <w:p w14:paraId="7116F1A9" w14:textId="5048F250"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t xml:space="preserve">Respecto de la presentación de la declaración pericial del señor Omar </w:t>
      </w:r>
      <w:proofErr w:type="spellStart"/>
      <w:r w:rsidRPr="00517952">
        <w:rPr>
          <w:lang w:val="es-MX"/>
        </w:rPr>
        <w:t>Sar</w:t>
      </w:r>
      <w:proofErr w:type="spellEnd"/>
      <w:r w:rsidRPr="00517952">
        <w:rPr>
          <w:lang w:val="es-MX"/>
        </w:rPr>
        <w:t xml:space="preserve"> Suárez, mediante comunicación de 30 de enero de 2017, el Estado desistió de la misma.</w:t>
      </w:r>
    </w:p>
  </w:footnote>
  <w:footnote w:id="8">
    <w:p w14:paraId="1841D13D" w14:textId="36A38F3B"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t xml:space="preserve">La declaración de Carlos Alberto </w:t>
      </w:r>
      <w:proofErr w:type="spellStart"/>
      <w:r w:rsidRPr="00517952">
        <w:rPr>
          <w:lang w:val="es-MX"/>
        </w:rPr>
        <w:t>Jibaja</w:t>
      </w:r>
      <w:proofErr w:type="spellEnd"/>
      <w:r w:rsidRPr="00517952">
        <w:rPr>
          <w:lang w:val="es-MX"/>
        </w:rPr>
        <w:t xml:space="preserve"> Zárate, rendida ante fedatario público, fue recibida el 30 de enero de 2017.</w:t>
      </w:r>
    </w:p>
  </w:footnote>
  <w:footnote w:id="9">
    <w:p w14:paraId="3004D9C4" w14:textId="77777777" w:rsidR="00D86616" w:rsidRPr="00517952" w:rsidRDefault="00D86616" w:rsidP="00334B6C">
      <w:pPr>
        <w:pStyle w:val="FootnoteText"/>
        <w:rPr>
          <w:i/>
          <w:lang w:val="es-MX"/>
        </w:rPr>
      </w:pPr>
      <w:r w:rsidRPr="00517952">
        <w:rPr>
          <w:rStyle w:val="FootnoteReference"/>
          <w:sz w:val="16"/>
        </w:rPr>
        <w:footnoteRef/>
      </w:r>
      <w:r w:rsidRPr="00517952">
        <w:rPr>
          <w:lang w:val="es-MX"/>
        </w:rPr>
        <w:t xml:space="preserve"> </w:t>
      </w:r>
      <w:r w:rsidRPr="00517952">
        <w:rPr>
          <w:lang w:val="es-MX"/>
        </w:rPr>
        <w:tab/>
        <w:t xml:space="preserve">El Presidente del Tribunal declaró procedente la aplicación del Fondo de Asistencia Legal de Víctimas de la Corte Interamericana. Se determinó que la asistencia económica es asignada para cubrir los gastos de viaje y estadía necesarios para que la presunta víctima el señor Lagos del Campo comparezca ante el Tribunal a rendir su declaración en la audiencia pública. Adicionalmente, para los gastos razonables de formalización y envío del affidávit del perito Carlos Alberto </w:t>
      </w:r>
      <w:proofErr w:type="spellStart"/>
      <w:r w:rsidRPr="00517952">
        <w:rPr>
          <w:lang w:val="es-MX"/>
        </w:rPr>
        <w:t>Jibaja</w:t>
      </w:r>
      <w:proofErr w:type="spellEnd"/>
      <w:r w:rsidRPr="00517952">
        <w:rPr>
          <w:lang w:val="es-MX"/>
        </w:rPr>
        <w:t xml:space="preserve"> Zárate ofrecido por los representantes. </w:t>
      </w:r>
    </w:p>
  </w:footnote>
  <w:footnote w:id="10">
    <w:p w14:paraId="45230E6B" w14:textId="0AB11A6F" w:rsidR="00D86616" w:rsidRPr="004C3F47" w:rsidRDefault="00D86616" w:rsidP="00E677C5">
      <w:pPr>
        <w:widowControl w:val="0"/>
        <w:suppressLineNumbers/>
        <w:tabs>
          <w:tab w:val="left" w:pos="567"/>
        </w:tabs>
        <w:suppressAutoHyphens/>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4C3F47">
        <w:rPr>
          <w:rFonts w:ascii="Verdana" w:hAnsi="Verdana"/>
          <w:sz w:val="16"/>
          <w:szCs w:val="16"/>
        </w:rPr>
        <w:t>A esta audiencia comparecieron</w:t>
      </w:r>
      <w:r>
        <w:rPr>
          <w:rFonts w:ascii="Verdana" w:hAnsi="Verdana"/>
          <w:sz w:val="16"/>
          <w:szCs w:val="16"/>
        </w:rPr>
        <w:t xml:space="preserve"> </w:t>
      </w:r>
      <w:r>
        <w:rPr>
          <w:rFonts w:ascii="Verdana" w:hAnsi="Verdana"/>
          <w:sz w:val="16"/>
          <w:szCs w:val="16"/>
          <w:lang w:val="es-ES"/>
        </w:rPr>
        <w:t>∞</w:t>
      </w:r>
      <w:r w:rsidRPr="004C3F47">
        <w:rPr>
          <w:rFonts w:ascii="Verdana" w:hAnsi="Verdana"/>
          <w:sz w:val="16"/>
          <w:szCs w:val="16"/>
        </w:rPr>
        <w:t>: a) por la Comisión Interamericana: Edison Lanza</w:t>
      </w:r>
      <w:r w:rsidRPr="004C3F47">
        <w:rPr>
          <w:rFonts w:ascii="Verdana" w:hAnsi="Verdana"/>
          <w:sz w:val="16"/>
          <w:szCs w:val="16"/>
          <w:lang w:val="es-CR"/>
        </w:rPr>
        <w:t>, Relator Especial para la Libertad de Expresión</w:t>
      </w:r>
      <w:r w:rsidRPr="004C3F47">
        <w:rPr>
          <w:rFonts w:ascii="Verdana" w:hAnsi="Verdana"/>
          <w:sz w:val="16"/>
          <w:szCs w:val="16"/>
        </w:rPr>
        <w:t xml:space="preserve">, </w:t>
      </w:r>
      <w:r w:rsidRPr="004C3F47">
        <w:rPr>
          <w:rFonts w:ascii="Verdana" w:hAnsi="Verdana"/>
          <w:sz w:val="16"/>
          <w:szCs w:val="16"/>
          <w:lang w:val="es-CR"/>
        </w:rPr>
        <w:t>Silvia Serrano Guzmán</w:t>
      </w:r>
      <w:r w:rsidRPr="004C3F47">
        <w:rPr>
          <w:rFonts w:ascii="Verdana" w:hAnsi="Verdana"/>
          <w:sz w:val="16"/>
          <w:szCs w:val="16"/>
        </w:rPr>
        <w:t>,</w:t>
      </w:r>
      <w:r w:rsidRPr="004C3F47">
        <w:rPr>
          <w:rFonts w:ascii="Verdana" w:hAnsi="Verdana"/>
          <w:sz w:val="16"/>
          <w:szCs w:val="16"/>
          <w:lang w:val="es-CR"/>
        </w:rPr>
        <w:t xml:space="preserve"> Asesora y </w:t>
      </w:r>
      <w:proofErr w:type="spellStart"/>
      <w:r w:rsidRPr="004C3F47">
        <w:rPr>
          <w:rFonts w:ascii="Verdana" w:hAnsi="Verdana"/>
          <w:sz w:val="16"/>
          <w:szCs w:val="16"/>
          <w:lang w:val="es-CR"/>
        </w:rPr>
        <w:t>Ona</w:t>
      </w:r>
      <w:proofErr w:type="spellEnd"/>
      <w:r w:rsidRPr="004C3F47">
        <w:rPr>
          <w:rFonts w:ascii="Verdana" w:hAnsi="Verdana"/>
          <w:sz w:val="16"/>
          <w:szCs w:val="16"/>
          <w:lang w:val="es-CR"/>
        </w:rPr>
        <w:t xml:space="preserve"> Flores, Asesora</w:t>
      </w:r>
      <w:r w:rsidRPr="004C3F47">
        <w:rPr>
          <w:rFonts w:ascii="Verdana" w:hAnsi="Verdana"/>
          <w:sz w:val="16"/>
          <w:szCs w:val="16"/>
        </w:rPr>
        <w:t xml:space="preserve">; b) por los representantes de la presunta víctima: Christian Henry </w:t>
      </w:r>
      <w:proofErr w:type="spellStart"/>
      <w:r w:rsidRPr="004C3F47">
        <w:rPr>
          <w:rFonts w:ascii="Verdana" w:hAnsi="Verdana"/>
          <w:sz w:val="16"/>
          <w:szCs w:val="16"/>
        </w:rPr>
        <w:t>Huaylinos</w:t>
      </w:r>
      <w:proofErr w:type="spellEnd"/>
      <w:r w:rsidRPr="004C3F47">
        <w:rPr>
          <w:rFonts w:ascii="Verdana" w:hAnsi="Verdana"/>
          <w:sz w:val="16"/>
          <w:szCs w:val="16"/>
        </w:rPr>
        <w:t xml:space="preserve"> </w:t>
      </w:r>
      <w:proofErr w:type="spellStart"/>
      <w:r w:rsidRPr="004C3F47">
        <w:rPr>
          <w:rFonts w:ascii="Verdana" w:hAnsi="Verdana"/>
          <w:sz w:val="16"/>
          <w:szCs w:val="16"/>
        </w:rPr>
        <w:t>Camacuari</w:t>
      </w:r>
      <w:proofErr w:type="spellEnd"/>
      <w:r w:rsidRPr="004C3F47">
        <w:rPr>
          <w:rFonts w:ascii="Verdana" w:hAnsi="Verdana"/>
          <w:sz w:val="16"/>
          <w:szCs w:val="16"/>
          <w:lang w:val="es-CR"/>
        </w:rPr>
        <w:t xml:space="preserve"> y </w:t>
      </w:r>
      <w:proofErr w:type="spellStart"/>
      <w:r w:rsidRPr="004C3F47">
        <w:rPr>
          <w:rFonts w:ascii="Verdana" w:hAnsi="Verdana"/>
          <w:sz w:val="16"/>
          <w:szCs w:val="16"/>
          <w:lang w:val="es-CR"/>
        </w:rPr>
        <w:t>Caroline</w:t>
      </w:r>
      <w:proofErr w:type="spellEnd"/>
      <w:r w:rsidRPr="004C3F47">
        <w:rPr>
          <w:rFonts w:ascii="Verdana" w:hAnsi="Verdana"/>
          <w:sz w:val="16"/>
          <w:szCs w:val="16"/>
          <w:lang w:val="es-CR"/>
        </w:rPr>
        <w:t xml:space="preserve"> </w:t>
      </w:r>
      <w:proofErr w:type="spellStart"/>
      <w:r w:rsidRPr="004C3F47">
        <w:rPr>
          <w:rFonts w:ascii="Verdana" w:hAnsi="Verdana"/>
          <w:sz w:val="16"/>
          <w:szCs w:val="16"/>
          <w:lang w:val="es-CR"/>
        </w:rPr>
        <w:t>Dufour</w:t>
      </w:r>
      <w:proofErr w:type="spellEnd"/>
      <w:r w:rsidRPr="004C3F47">
        <w:rPr>
          <w:rFonts w:ascii="Verdana" w:hAnsi="Verdana"/>
          <w:sz w:val="16"/>
          <w:szCs w:val="16"/>
        </w:rPr>
        <w:t xml:space="preserve">, y c) por el Estado: </w:t>
      </w:r>
      <w:r w:rsidRPr="004C3F47">
        <w:rPr>
          <w:rFonts w:ascii="Verdana" w:hAnsi="Verdana"/>
          <w:sz w:val="16"/>
          <w:szCs w:val="16"/>
          <w:lang w:val="es-ES"/>
        </w:rPr>
        <w:t xml:space="preserve">Iván Arturo Bazán Chacón, Sofía </w:t>
      </w:r>
      <w:proofErr w:type="spellStart"/>
      <w:r w:rsidRPr="004C3F47">
        <w:rPr>
          <w:rFonts w:ascii="Verdana" w:hAnsi="Verdana"/>
          <w:sz w:val="16"/>
          <w:szCs w:val="16"/>
          <w:lang w:val="es-ES"/>
        </w:rPr>
        <w:t>Janett</w:t>
      </w:r>
      <w:proofErr w:type="spellEnd"/>
      <w:r w:rsidRPr="004C3F47">
        <w:rPr>
          <w:rFonts w:ascii="Verdana" w:hAnsi="Verdana"/>
          <w:sz w:val="16"/>
          <w:szCs w:val="16"/>
          <w:lang w:val="es-ES"/>
        </w:rPr>
        <w:t xml:space="preserve"> Donaires Vega y Silvana Lucía Gómez Salazar</w:t>
      </w:r>
      <w:r w:rsidRPr="004C3F47">
        <w:rPr>
          <w:rFonts w:ascii="Verdana" w:hAnsi="Verdana"/>
          <w:sz w:val="16"/>
          <w:szCs w:val="16"/>
        </w:rPr>
        <w:t xml:space="preserve">. </w:t>
      </w:r>
    </w:p>
  </w:footnote>
  <w:footnote w:id="11">
    <w:p w14:paraId="0C490557" w14:textId="03129467" w:rsidR="00D86616" w:rsidRPr="00517952" w:rsidRDefault="00D86616" w:rsidP="00E677C5">
      <w:pPr>
        <w:jc w:val="both"/>
        <w:rPr>
          <w:rFonts w:ascii="Verdana" w:hAnsi="Verdana"/>
          <w:spacing w:val="-12"/>
          <w:sz w:val="16"/>
          <w:szCs w:val="16"/>
          <w:lang w:val="es-MX"/>
        </w:rPr>
      </w:pPr>
      <w:r w:rsidRPr="00517952">
        <w:rPr>
          <w:rFonts w:ascii="Verdana" w:hAnsi="Verdana"/>
          <w:spacing w:val="-12"/>
          <w:sz w:val="16"/>
          <w:szCs w:val="16"/>
          <w:vertAlign w:val="superscript"/>
        </w:rPr>
        <w:footnoteRef/>
      </w:r>
      <w:r w:rsidRPr="00517952">
        <w:rPr>
          <w:rFonts w:ascii="Verdana" w:hAnsi="Verdana"/>
          <w:spacing w:val="-12"/>
          <w:sz w:val="16"/>
          <w:szCs w:val="16"/>
          <w:lang w:val="es-MX"/>
        </w:rPr>
        <w:t xml:space="preserve"> </w:t>
      </w:r>
      <w:r w:rsidRPr="00517952">
        <w:rPr>
          <w:rFonts w:ascii="Verdana" w:hAnsi="Verdana"/>
          <w:spacing w:val="-12"/>
          <w:sz w:val="16"/>
          <w:szCs w:val="16"/>
          <w:lang w:val="es-MX"/>
        </w:rPr>
        <w:tab/>
      </w:r>
      <w:r w:rsidRPr="00517952">
        <w:rPr>
          <w:rFonts w:ascii="Verdana" w:hAnsi="Verdana"/>
          <w:i/>
          <w:spacing w:val="-12"/>
          <w:sz w:val="16"/>
          <w:szCs w:val="16"/>
          <w:lang w:val="es-MX"/>
        </w:rPr>
        <w:t xml:space="preserve">Cfr. Caso Las Palmeras Vs. Colombia. Excepciones Preliminares. </w:t>
      </w:r>
      <w:r w:rsidRPr="00517952">
        <w:rPr>
          <w:rFonts w:ascii="Verdana" w:hAnsi="Verdana"/>
          <w:spacing w:val="-12"/>
          <w:sz w:val="16"/>
          <w:szCs w:val="16"/>
          <w:lang w:val="es-MX"/>
        </w:rPr>
        <w:t xml:space="preserve">Sentencia de 4 de febrero de 2000. Serie C No. 67, párr. 34, </w:t>
      </w:r>
      <w:r w:rsidRPr="00517952">
        <w:rPr>
          <w:rFonts w:ascii="Verdana" w:hAnsi="Verdana"/>
          <w:i/>
          <w:spacing w:val="-12"/>
          <w:sz w:val="16"/>
          <w:szCs w:val="16"/>
          <w:lang w:val="es-MX"/>
        </w:rPr>
        <w:t>Caso Zegarra Marín Vs. Perú. Excepciones Preliminares, Fondo, Reparaciones y Costas</w:t>
      </w:r>
      <w:r w:rsidRPr="00517952">
        <w:rPr>
          <w:rFonts w:ascii="Verdana" w:hAnsi="Verdana"/>
          <w:spacing w:val="-12"/>
          <w:sz w:val="16"/>
          <w:szCs w:val="16"/>
          <w:lang w:val="es-MX"/>
        </w:rPr>
        <w:t>. Sentencia de 15 de febrero de 2017. Serie C No. 331, párr. 16</w:t>
      </w:r>
      <w:r w:rsidRPr="00517952">
        <w:rPr>
          <w:rFonts w:ascii="Verdana" w:hAnsi="Verdana"/>
          <w:i/>
          <w:spacing w:val="-12"/>
          <w:sz w:val="16"/>
          <w:szCs w:val="16"/>
          <w:lang w:val="es-MX"/>
        </w:rPr>
        <w:t>.</w:t>
      </w:r>
    </w:p>
  </w:footnote>
  <w:footnote w:id="12">
    <w:p w14:paraId="685E8443" w14:textId="7509432E" w:rsidR="00D86616" w:rsidRPr="00517952" w:rsidRDefault="00D86616" w:rsidP="00E677C5">
      <w:pPr>
        <w:jc w:val="both"/>
        <w:rPr>
          <w:rFonts w:ascii="Verdana" w:hAnsi="Verdana"/>
          <w:spacing w:val="-12"/>
          <w:sz w:val="16"/>
          <w:szCs w:val="16"/>
          <w:lang w:val="es-MX"/>
        </w:rPr>
      </w:pPr>
      <w:r w:rsidRPr="00517952">
        <w:rPr>
          <w:rFonts w:ascii="Verdana" w:hAnsi="Verdana"/>
          <w:spacing w:val="-12"/>
          <w:sz w:val="16"/>
          <w:szCs w:val="16"/>
          <w:vertAlign w:val="superscript"/>
        </w:rPr>
        <w:footnoteRef/>
      </w:r>
      <w:r w:rsidRPr="00517952">
        <w:rPr>
          <w:rFonts w:ascii="Verdana" w:hAnsi="Verdana"/>
          <w:spacing w:val="-12"/>
          <w:sz w:val="16"/>
          <w:szCs w:val="16"/>
          <w:lang w:val="es-MX"/>
        </w:rPr>
        <w:t xml:space="preserve">  </w:t>
      </w:r>
      <w:r w:rsidRPr="00517952">
        <w:rPr>
          <w:rFonts w:ascii="Verdana" w:hAnsi="Verdana"/>
          <w:spacing w:val="-12"/>
          <w:sz w:val="16"/>
          <w:szCs w:val="16"/>
          <w:lang w:val="es-MX"/>
        </w:rPr>
        <w:tab/>
      </w:r>
      <w:r w:rsidRPr="00517952">
        <w:rPr>
          <w:rFonts w:ascii="Verdana" w:hAnsi="Verdana"/>
          <w:i/>
          <w:spacing w:val="-12"/>
          <w:sz w:val="16"/>
          <w:szCs w:val="16"/>
          <w:lang w:val="es-MX"/>
        </w:rPr>
        <w:t xml:space="preserve">Cfr. Caso Castañeda </w:t>
      </w:r>
      <w:proofErr w:type="spellStart"/>
      <w:r w:rsidRPr="00517952">
        <w:rPr>
          <w:rFonts w:ascii="Verdana" w:hAnsi="Verdana"/>
          <w:i/>
          <w:spacing w:val="-12"/>
          <w:sz w:val="16"/>
          <w:szCs w:val="16"/>
          <w:lang w:val="es-MX"/>
        </w:rPr>
        <w:t>Gutman</w:t>
      </w:r>
      <w:proofErr w:type="spellEnd"/>
      <w:r w:rsidRPr="00517952">
        <w:rPr>
          <w:rFonts w:ascii="Verdana" w:hAnsi="Verdana"/>
          <w:i/>
          <w:spacing w:val="-12"/>
          <w:sz w:val="16"/>
          <w:szCs w:val="16"/>
          <w:lang w:val="es-MX"/>
        </w:rPr>
        <w:t xml:space="preserve"> Vs. México. Excepciones Preliminares, Fondo, Reparaciones y Costas. </w:t>
      </w:r>
      <w:r w:rsidRPr="00517952">
        <w:rPr>
          <w:rFonts w:ascii="Verdana" w:hAnsi="Verdana"/>
          <w:spacing w:val="-12"/>
          <w:sz w:val="16"/>
          <w:szCs w:val="16"/>
          <w:lang w:val="es-MX"/>
        </w:rPr>
        <w:t xml:space="preserve">Sentencia de 6 de agosto de 2008. Serie C No. 184, párr. 39, y </w:t>
      </w:r>
      <w:r w:rsidRPr="00517952">
        <w:rPr>
          <w:rFonts w:ascii="Verdana" w:hAnsi="Verdana"/>
          <w:i/>
          <w:spacing w:val="-12"/>
          <w:sz w:val="16"/>
          <w:szCs w:val="16"/>
          <w:lang w:val="es-MX"/>
        </w:rPr>
        <w:t xml:space="preserve">Caso Acosta y otros Vs. Nicaragua, Excepciones preliminares, Fondo, Reparaciones y Costas. </w:t>
      </w:r>
      <w:r w:rsidRPr="00517952">
        <w:rPr>
          <w:rFonts w:ascii="Verdana" w:hAnsi="Verdana"/>
          <w:spacing w:val="-12"/>
          <w:sz w:val="16"/>
          <w:szCs w:val="16"/>
          <w:lang w:val="es-MX"/>
        </w:rPr>
        <w:t>Sentencia 25 de marzo de 2017. Serie C No. 334,</w:t>
      </w:r>
      <w:r w:rsidRPr="00517952">
        <w:rPr>
          <w:rFonts w:ascii="Verdana" w:hAnsi="Verdana"/>
          <w:i/>
          <w:spacing w:val="-12"/>
          <w:sz w:val="16"/>
          <w:szCs w:val="16"/>
          <w:lang w:val="es-MX"/>
        </w:rPr>
        <w:t xml:space="preserve"> </w:t>
      </w:r>
      <w:r w:rsidRPr="00517952">
        <w:rPr>
          <w:rFonts w:ascii="Verdana" w:hAnsi="Verdana"/>
          <w:spacing w:val="-12"/>
          <w:sz w:val="16"/>
          <w:szCs w:val="16"/>
          <w:lang w:val="es-MX"/>
        </w:rPr>
        <w:t>párr. 18.</w:t>
      </w:r>
      <w:r w:rsidRPr="00517952">
        <w:rPr>
          <w:rFonts w:ascii="Verdana" w:hAnsi="Verdana"/>
          <w:spacing w:val="-12"/>
          <w:sz w:val="16"/>
          <w:szCs w:val="16"/>
          <w:highlight w:val="lightGray"/>
          <w:lang w:val="es-MX"/>
        </w:rPr>
        <w:t xml:space="preserve"> </w:t>
      </w:r>
    </w:p>
  </w:footnote>
  <w:footnote w:id="13">
    <w:p w14:paraId="0D04FE3F" w14:textId="0782DA32" w:rsidR="00D86616" w:rsidRPr="00801513"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r>
      <w:r w:rsidRPr="00517952">
        <w:rPr>
          <w:lang w:val="es-MX"/>
        </w:rPr>
        <w:tab/>
      </w:r>
      <w:r w:rsidRPr="00517952">
        <w:rPr>
          <w:i/>
          <w:lang w:val="es-MX"/>
        </w:rPr>
        <w:t>Cfr.</w:t>
      </w:r>
      <w:r w:rsidRPr="00517952">
        <w:rPr>
          <w:lang w:val="es-MX"/>
        </w:rPr>
        <w:t xml:space="preserve"> </w:t>
      </w:r>
      <w:r w:rsidRPr="00517952">
        <w:rPr>
          <w:rStyle w:val="Strong"/>
          <w:b w:val="0"/>
          <w:i/>
          <w:color w:val="000000"/>
          <w:shd w:val="clear" w:color="auto" w:fill="FFFFFF"/>
          <w:lang w:val="es-CR"/>
        </w:rPr>
        <w:t>Caso Velásquez Rodríguez Vs. Honduras.</w:t>
      </w:r>
      <w:r w:rsidRPr="00517952">
        <w:rPr>
          <w:rStyle w:val="Strong"/>
          <w:b w:val="0"/>
          <w:color w:val="000000"/>
          <w:shd w:val="clear" w:color="auto" w:fill="FFFFFF"/>
          <w:lang w:val="es-CR"/>
        </w:rPr>
        <w:t xml:space="preserve"> </w:t>
      </w:r>
      <w:r w:rsidRPr="00517952">
        <w:rPr>
          <w:rStyle w:val="Strong"/>
          <w:b w:val="0"/>
          <w:i/>
          <w:color w:val="000000"/>
          <w:shd w:val="clear" w:color="auto" w:fill="FFFFFF"/>
          <w:lang w:val="es-CR"/>
        </w:rPr>
        <w:t>Excepciones Preliminares</w:t>
      </w:r>
      <w:r w:rsidRPr="00517952">
        <w:rPr>
          <w:rStyle w:val="Strong"/>
          <w:b w:val="0"/>
          <w:color w:val="000000"/>
          <w:shd w:val="clear" w:color="auto" w:fill="FFFFFF"/>
          <w:lang w:val="es-CR"/>
        </w:rPr>
        <w:t>. Sentencia de 26 de junio de 1987. Serie C No. 1.,</w:t>
      </w:r>
      <w:r w:rsidRPr="004C3F47">
        <w:rPr>
          <w:rStyle w:val="Strong"/>
          <w:b w:val="0"/>
          <w:color w:val="000000"/>
          <w:shd w:val="clear" w:color="auto" w:fill="FFFFFF"/>
          <w:lang w:val="es-CR"/>
        </w:rPr>
        <w:t xml:space="preserve"> párr. </w:t>
      </w:r>
      <w:r>
        <w:rPr>
          <w:rStyle w:val="Strong"/>
          <w:b w:val="0"/>
          <w:color w:val="000000"/>
          <w:shd w:val="clear" w:color="auto" w:fill="FFFFFF"/>
          <w:lang w:val="es-CR"/>
        </w:rPr>
        <w:t>88</w:t>
      </w:r>
      <w:r w:rsidRPr="004C3F47">
        <w:rPr>
          <w:rStyle w:val="Strong"/>
          <w:b w:val="0"/>
          <w:color w:val="000000"/>
          <w:shd w:val="clear" w:color="auto" w:fill="FFFFFF"/>
          <w:lang w:val="es-CR"/>
        </w:rPr>
        <w:t xml:space="preserve">, y </w:t>
      </w:r>
      <w:r w:rsidRPr="00333304">
        <w:rPr>
          <w:rStyle w:val="Strong"/>
          <w:b w:val="0"/>
          <w:i/>
          <w:color w:val="000000"/>
          <w:shd w:val="clear" w:color="auto" w:fill="FFFFFF"/>
          <w:lang w:val="es-CR"/>
        </w:rPr>
        <w:t>Caso Tenorio Roca y otros Vs. Perú. Excepciones Preliminares, Fondo, Reparaciones y Costas</w:t>
      </w:r>
      <w:r w:rsidRPr="004C3F47">
        <w:rPr>
          <w:rStyle w:val="Strong"/>
          <w:b w:val="0"/>
          <w:color w:val="000000"/>
          <w:shd w:val="clear" w:color="auto" w:fill="FFFFFF"/>
          <w:lang w:val="es-CR"/>
        </w:rPr>
        <w:t>. Sentencia de 22 de junio de 2016. Serie C No. 314, párr. 21.</w:t>
      </w:r>
    </w:p>
  </w:footnote>
  <w:footnote w:id="14">
    <w:p w14:paraId="139A6CB0" w14:textId="18A9AE28" w:rsidR="00D86616" w:rsidRPr="00517952" w:rsidRDefault="00D86616" w:rsidP="00E677C5">
      <w:pPr>
        <w:jc w:val="both"/>
        <w:rPr>
          <w:rFonts w:ascii="Verdana" w:hAnsi="Verdana"/>
          <w:b/>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 xml:space="preserve">Cfr. </w:t>
      </w:r>
      <w:r w:rsidRPr="00517952">
        <w:rPr>
          <w:rStyle w:val="Strong"/>
          <w:rFonts w:ascii="Verdana" w:hAnsi="Verdana"/>
          <w:b w:val="0"/>
          <w:i/>
          <w:color w:val="000000"/>
          <w:sz w:val="16"/>
          <w:szCs w:val="16"/>
          <w:shd w:val="clear" w:color="auto" w:fill="FFFFFF"/>
          <w:lang w:val="es-CR"/>
        </w:rPr>
        <w:t xml:space="preserve">Caso </w:t>
      </w:r>
      <w:proofErr w:type="spellStart"/>
      <w:r w:rsidRPr="00517952">
        <w:rPr>
          <w:rStyle w:val="Strong"/>
          <w:rFonts w:ascii="Verdana" w:hAnsi="Verdana"/>
          <w:b w:val="0"/>
          <w:i/>
          <w:color w:val="000000"/>
          <w:sz w:val="16"/>
          <w:szCs w:val="16"/>
          <w:shd w:val="clear" w:color="auto" w:fill="FFFFFF"/>
          <w:lang w:val="es-CR"/>
        </w:rPr>
        <w:t>Furlan</w:t>
      </w:r>
      <w:proofErr w:type="spellEnd"/>
      <w:r w:rsidRPr="00517952">
        <w:rPr>
          <w:rStyle w:val="Strong"/>
          <w:rFonts w:ascii="Verdana" w:hAnsi="Verdana"/>
          <w:b w:val="0"/>
          <w:i/>
          <w:color w:val="000000"/>
          <w:sz w:val="16"/>
          <w:szCs w:val="16"/>
          <w:shd w:val="clear" w:color="auto" w:fill="FFFFFF"/>
          <w:lang w:val="es-CR"/>
        </w:rPr>
        <w:t xml:space="preserve"> y familiares Vs. Argentina. Excepciones Preliminares, Fondo, Reparaciones y Costas.</w:t>
      </w:r>
      <w:r w:rsidRPr="00517952">
        <w:rPr>
          <w:rStyle w:val="Strong"/>
          <w:rFonts w:ascii="Verdana" w:hAnsi="Verdana"/>
          <w:b w:val="0"/>
          <w:color w:val="000000"/>
          <w:sz w:val="16"/>
          <w:szCs w:val="16"/>
          <w:shd w:val="clear" w:color="auto" w:fill="FFFFFF"/>
          <w:lang w:val="es-CR"/>
        </w:rPr>
        <w:t xml:space="preserve"> Sentencia de 31 de agosto de 2012. Serie C No. 246, párr. 52.</w:t>
      </w:r>
    </w:p>
  </w:footnote>
  <w:footnote w:id="15">
    <w:p w14:paraId="26485F73" w14:textId="7992B760" w:rsidR="00D86616" w:rsidRPr="004C3F47" w:rsidRDefault="00D86616" w:rsidP="00E677C5">
      <w:pPr>
        <w:pStyle w:val="NormalWeb"/>
        <w:spacing w:before="0" w:beforeAutospacing="0" w:after="0" w:afterAutospacing="0"/>
        <w:jc w:val="both"/>
        <w:rPr>
          <w:rFonts w:ascii="Verdana" w:hAnsi="Verdana"/>
          <w:sz w:val="16"/>
          <w:szCs w:val="16"/>
          <w:lang w:val="es-CO"/>
        </w:rPr>
      </w:pPr>
      <w:r w:rsidRPr="00517952">
        <w:rPr>
          <w:rStyle w:val="FootnoteReference"/>
          <w:rFonts w:eastAsiaTheme="majorEastAsia"/>
          <w:sz w:val="16"/>
          <w:szCs w:val="16"/>
        </w:rPr>
        <w:footnoteRef/>
      </w:r>
      <w:r w:rsidRPr="00517952">
        <w:rPr>
          <w:rFonts w:ascii="Verdana" w:hAnsi="Verdana"/>
          <w:sz w:val="16"/>
          <w:szCs w:val="16"/>
          <w:lang w:val="es-CO"/>
        </w:rPr>
        <w:t xml:space="preserve"> </w:t>
      </w:r>
      <w:r w:rsidRPr="00517952">
        <w:rPr>
          <w:rFonts w:ascii="Verdana" w:hAnsi="Verdana"/>
          <w:sz w:val="16"/>
          <w:szCs w:val="16"/>
          <w:lang w:val="es-CO"/>
        </w:rPr>
        <w:tab/>
        <w:t>El</w:t>
      </w:r>
      <w:r w:rsidRPr="004C3F47">
        <w:rPr>
          <w:rFonts w:ascii="Verdana" w:hAnsi="Verdana"/>
          <w:sz w:val="16"/>
          <w:szCs w:val="16"/>
          <w:lang w:val="es-CO"/>
        </w:rPr>
        <w:t xml:space="preserve"> artículo 46 de la Convención establece que: </w:t>
      </w:r>
      <w:r>
        <w:rPr>
          <w:rFonts w:ascii="Verdana" w:hAnsi="Verdana"/>
          <w:sz w:val="16"/>
          <w:szCs w:val="16"/>
          <w:lang w:val="es-CO"/>
        </w:rPr>
        <w:t>“</w:t>
      </w:r>
      <w:r w:rsidRPr="004C3F47">
        <w:rPr>
          <w:rFonts w:ascii="Verdana" w:hAnsi="Verdana" w:cs="Tahoma"/>
          <w:sz w:val="16"/>
          <w:szCs w:val="16"/>
          <w:lang w:val="es-CO"/>
        </w:rPr>
        <w:t>1. Para que una petición o comunicación presentada conforme a los artículos 44 o 45 sea admitida por la Comisión, se requ</w:t>
      </w:r>
      <w:r>
        <w:rPr>
          <w:rFonts w:ascii="Verdana" w:hAnsi="Verdana" w:cs="Tahoma"/>
          <w:sz w:val="16"/>
          <w:szCs w:val="16"/>
          <w:lang w:val="es-CO"/>
        </w:rPr>
        <w:t xml:space="preserve">erirá: </w:t>
      </w:r>
      <w:r w:rsidRPr="004C3F47">
        <w:rPr>
          <w:rFonts w:ascii="Verdana" w:hAnsi="Verdana" w:cs="Tahoma"/>
          <w:sz w:val="16"/>
          <w:szCs w:val="16"/>
          <w:lang w:val="es-CO"/>
        </w:rPr>
        <w:t>a) que se hayan interpuesto y agotado los recursos de jurisdicción interna, conforme a los principios del Derecho Internacional generalmente reconocidos; b) que sea presentada dentro del plazo de seis meses, a partir de la fecha en que el presunto lesionado en sus derechos haya sido notificado de la decisión definitiva; c) que la materia de la petición o comunicación no esté pendiente de otro procedimien</w:t>
      </w:r>
      <w:r>
        <w:rPr>
          <w:rFonts w:ascii="Verdana" w:hAnsi="Verdana" w:cs="Tahoma"/>
          <w:sz w:val="16"/>
          <w:szCs w:val="16"/>
          <w:lang w:val="es-CO"/>
        </w:rPr>
        <w:t xml:space="preserve">to de arreglo internacional, y </w:t>
      </w:r>
      <w:r w:rsidRPr="004C3F47">
        <w:rPr>
          <w:rFonts w:ascii="Verdana" w:hAnsi="Verdana" w:cs="Tahoma"/>
          <w:sz w:val="16"/>
          <w:szCs w:val="16"/>
          <w:lang w:val="es-CO"/>
        </w:rPr>
        <w:t>d) que en el caso del artículo 44 la petición contenga el nombre, la nacionalidad, la profesión, el domicilio y la firma de la persona o personas o del representante legal de la entidad que somete la petición</w:t>
      </w:r>
      <w:r>
        <w:rPr>
          <w:rFonts w:ascii="Verdana" w:hAnsi="Verdana" w:cs="Tahoma"/>
          <w:sz w:val="16"/>
          <w:szCs w:val="16"/>
          <w:lang w:val="es-CO"/>
        </w:rPr>
        <w:t>;</w:t>
      </w:r>
      <w:r w:rsidRPr="004C3F47">
        <w:rPr>
          <w:rFonts w:ascii="Verdana" w:hAnsi="Verdana" w:cs="Tahoma"/>
          <w:sz w:val="16"/>
          <w:szCs w:val="16"/>
          <w:lang w:val="es-CO"/>
        </w:rPr>
        <w:t xml:space="preserve"> 2. Las disposiciones de los incisos 1.a. y 1.b. del presente artículo no se aplicarán cuando: a) no exista en la legislación interna del Estado de que se trata el debido proceso legal para la protección del derecho o derechos que se alega han sido violados; b) no se haya permitido al presunto lesionado en sus derechos el acceso a los recursos de la jurisdicción interna, o haya sido impedido de agotarlos, y c) haya retardo injustificado en la decisión sobre los mencionados recursos</w:t>
      </w:r>
      <w:r>
        <w:rPr>
          <w:rFonts w:ascii="Verdana" w:hAnsi="Verdana" w:cs="Tahoma"/>
          <w:sz w:val="16"/>
          <w:szCs w:val="16"/>
          <w:lang w:val="es-CO"/>
        </w:rPr>
        <w:t>”.</w:t>
      </w:r>
    </w:p>
  </w:footnote>
  <w:footnote w:id="16">
    <w:p w14:paraId="41828B81" w14:textId="003D3A20" w:rsidR="00D86616" w:rsidRPr="004C3F47" w:rsidRDefault="00D86616" w:rsidP="00E677C5">
      <w:pPr>
        <w:pStyle w:val="NormalWeb"/>
        <w:spacing w:before="0" w:beforeAutospacing="0" w:after="0" w:afterAutospacing="0"/>
        <w:jc w:val="both"/>
        <w:rPr>
          <w:rFonts w:ascii="Verdana" w:hAnsi="Verdana"/>
          <w:sz w:val="16"/>
          <w:szCs w:val="16"/>
          <w:lang w:val="es-CO"/>
        </w:rPr>
      </w:pPr>
      <w:r w:rsidRPr="004C3F47">
        <w:rPr>
          <w:rStyle w:val="FootnoteReference"/>
          <w:rFonts w:eastAsiaTheme="majorEastAsia"/>
          <w:sz w:val="16"/>
          <w:szCs w:val="16"/>
        </w:rPr>
        <w:footnoteRef/>
      </w:r>
      <w:r w:rsidRPr="004C3F47">
        <w:rPr>
          <w:rFonts w:ascii="Verdana" w:hAnsi="Verdana"/>
          <w:sz w:val="16"/>
          <w:szCs w:val="16"/>
          <w:lang w:val="es-CO"/>
        </w:rPr>
        <w:t xml:space="preserve"> </w:t>
      </w:r>
      <w:r>
        <w:rPr>
          <w:rFonts w:ascii="Verdana" w:hAnsi="Verdana"/>
          <w:sz w:val="16"/>
          <w:szCs w:val="16"/>
          <w:lang w:val="es-CO"/>
        </w:rPr>
        <w:t>El artículo 47 de la CADH establece que: “</w:t>
      </w:r>
      <w:r>
        <w:rPr>
          <w:rFonts w:ascii="Verdana" w:hAnsi="Verdana" w:cs="Tahoma"/>
          <w:sz w:val="16"/>
          <w:szCs w:val="16"/>
          <w:lang w:val="es-CO"/>
        </w:rPr>
        <w:t>l</w:t>
      </w:r>
      <w:r w:rsidRPr="004C3F47">
        <w:rPr>
          <w:rFonts w:ascii="Verdana" w:hAnsi="Verdana" w:cs="Tahoma"/>
          <w:sz w:val="16"/>
          <w:szCs w:val="16"/>
          <w:lang w:val="es-CO"/>
        </w:rPr>
        <w:t xml:space="preserve">a Comisión declarará inadmisible toda petición o comunicación presentada de acuerdo con los artículos 44 </w:t>
      </w:r>
      <w:proofErr w:type="spellStart"/>
      <w:r w:rsidRPr="004C3F47">
        <w:rPr>
          <w:rFonts w:ascii="Verdana" w:hAnsi="Verdana" w:cs="Tahoma"/>
          <w:sz w:val="16"/>
          <w:szCs w:val="16"/>
          <w:lang w:val="es-CO"/>
        </w:rPr>
        <w:t>ó</w:t>
      </w:r>
      <w:proofErr w:type="spellEnd"/>
      <w:r w:rsidRPr="004C3F47">
        <w:rPr>
          <w:rFonts w:ascii="Verdana" w:hAnsi="Verdana" w:cs="Tahoma"/>
          <w:sz w:val="16"/>
          <w:szCs w:val="16"/>
          <w:lang w:val="es-CO"/>
        </w:rPr>
        <w:t xml:space="preserve"> 45 cuando: a) falte alguno de los requisitos indicados en el artículo 46; b) no exponga hechos que caractericen una violación de los derechos garantizados por esta Convención; c) resulte de la exposición del propio peticionario o del Estado manifiestamente infundada la petición o comunicación o sea evidente su total improcedencia, y d) sea sustancialmente la reproducción de petición o comunicación anterior ya examinada por la Comisión u otro organismo internacional</w:t>
      </w:r>
      <w:r>
        <w:rPr>
          <w:rFonts w:ascii="Verdana" w:hAnsi="Verdana" w:cs="Tahoma"/>
          <w:sz w:val="16"/>
          <w:szCs w:val="16"/>
          <w:lang w:val="es-CO"/>
        </w:rPr>
        <w:t>”.</w:t>
      </w:r>
    </w:p>
  </w:footnote>
  <w:footnote w:id="17">
    <w:p w14:paraId="482EADB4" w14:textId="716E8E02" w:rsidR="00D86616" w:rsidRPr="00517952" w:rsidRDefault="00D86616" w:rsidP="00E677C5">
      <w:pPr>
        <w:jc w:val="both"/>
        <w:rPr>
          <w:rFonts w:ascii="Verdana" w:hAnsi="Verdana"/>
          <w:b/>
          <w:sz w:val="16"/>
          <w:szCs w:val="16"/>
          <w:lang w:val="es-CR"/>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 xml:space="preserve">Cfr. </w:t>
      </w:r>
      <w:r w:rsidRPr="00517952">
        <w:rPr>
          <w:rStyle w:val="Strong"/>
          <w:rFonts w:ascii="Verdana" w:hAnsi="Verdana"/>
          <w:b w:val="0"/>
          <w:i/>
          <w:color w:val="000000"/>
          <w:sz w:val="16"/>
          <w:szCs w:val="16"/>
          <w:shd w:val="clear" w:color="auto" w:fill="FFFFFF"/>
          <w:lang w:val="es-CR"/>
        </w:rPr>
        <w:t xml:space="preserve">Caso </w:t>
      </w:r>
      <w:proofErr w:type="spellStart"/>
      <w:r w:rsidRPr="00517952">
        <w:rPr>
          <w:rStyle w:val="Strong"/>
          <w:rFonts w:ascii="Verdana" w:hAnsi="Verdana"/>
          <w:b w:val="0"/>
          <w:i/>
          <w:color w:val="000000"/>
          <w:sz w:val="16"/>
          <w:szCs w:val="16"/>
          <w:shd w:val="clear" w:color="auto" w:fill="FFFFFF"/>
          <w:lang w:val="es-CR"/>
        </w:rPr>
        <w:t>Furlan</w:t>
      </w:r>
      <w:proofErr w:type="spellEnd"/>
      <w:r w:rsidRPr="00517952">
        <w:rPr>
          <w:rStyle w:val="Strong"/>
          <w:rFonts w:ascii="Verdana" w:hAnsi="Verdana"/>
          <w:b w:val="0"/>
          <w:i/>
          <w:color w:val="000000"/>
          <w:sz w:val="16"/>
          <w:szCs w:val="16"/>
          <w:shd w:val="clear" w:color="auto" w:fill="FFFFFF"/>
          <w:lang w:val="es-CR"/>
        </w:rPr>
        <w:t xml:space="preserve"> y familiares Vs. Argentina, supra, </w:t>
      </w:r>
      <w:r w:rsidRPr="00517952">
        <w:rPr>
          <w:rStyle w:val="Strong"/>
          <w:rFonts w:ascii="Verdana" w:hAnsi="Verdana"/>
          <w:b w:val="0"/>
          <w:color w:val="000000"/>
          <w:sz w:val="16"/>
          <w:szCs w:val="16"/>
          <w:shd w:val="clear" w:color="auto" w:fill="FFFFFF"/>
          <w:lang w:val="es-CR"/>
        </w:rPr>
        <w:t>párr. 52.</w:t>
      </w:r>
    </w:p>
  </w:footnote>
  <w:footnote w:id="18">
    <w:p w14:paraId="41CAA410" w14:textId="47EB954C" w:rsidR="00D86616" w:rsidRPr="00517952" w:rsidRDefault="00D86616" w:rsidP="00E677C5">
      <w:pPr>
        <w:jc w:val="both"/>
        <w:rPr>
          <w:rFonts w:ascii="Verdana" w:hAnsi="Verdana"/>
          <w:sz w:val="16"/>
          <w:szCs w:val="16"/>
          <w:lang w:val="es-CR"/>
        </w:rPr>
      </w:pPr>
      <w:r w:rsidRPr="00517952">
        <w:rPr>
          <w:rStyle w:val="FootnoteReference"/>
          <w:sz w:val="16"/>
          <w:szCs w:val="16"/>
        </w:rPr>
        <w:footnoteRef/>
      </w:r>
      <w:r w:rsidRPr="00517952">
        <w:rPr>
          <w:rFonts w:ascii="Verdana" w:hAnsi="Verdana"/>
          <w:sz w:val="16"/>
          <w:szCs w:val="16"/>
          <w:lang w:val="es-CR"/>
        </w:rPr>
        <w:t xml:space="preserve"> </w:t>
      </w:r>
      <w:r w:rsidRPr="00517952">
        <w:rPr>
          <w:rFonts w:ascii="Verdana" w:hAnsi="Verdana"/>
          <w:sz w:val="16"/>
          <w:szCs w:val="16"/>
          <w:lang w:val="es-CR"/>
        </w:rPr>
        <w:tab/>
      </w:r>
      <w:r w:rsidRPr="00517952">
        <w:rPr>
          <w:rFonts w:ascii="Verdana" w:hAnsi="Verdana"/>
          <w:i/>
          <w:sz w:val="16"/>
          <w:szCs w:val="16"/>
          <w:lang w:val="es-CR"/>
        </w:rPr>
        <w:t xml:space="preserve">Cfr. </w:t>
      </w:r>
      <w:r w:rsidRPr="00517952">
        <w:rPr>
          <w:rFonts w:ascii="Verdana" w:hAnsi="Verdana"/>
          <w:sz w:val="16"/>
          <w:szCs w:val="16"/>
          <w:lang w:val="es-CR"/>
        </w:rPr>
        <w:t>Escrito de 13 de octubre de 1993 (expediente de prueba, anexos al Informe de Fondo, f. 588).</w:t>
      </w:r>
    </w:p>
  </w:footnote>
  <w:footnote w:id="19">
    <w:p w14:paraId="1604D334" w14:textId="423AE627" w:rsidR="00D86616" w:rsidRPr="00517952" w:rsidRDefault="00D86616" w:rsidP="00E677C5">
      <w:pPr>
        <w:jc w:val="both"/>
        <w:rPr>
          <w:rFonts w:ascii="Verdana" w:hAnsi="Verdana"/>
          <w:sz w:val="16"/>
          <w:szCs w:val="16"/>
          <w:lang w:val="es-CO"/>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Observaciones de la CIDH a las Excepciones Preliminares interpuestas por el Estado </w:t>
      </w:r>
      <w:r w:rsidRPr="00517952">
        <w:rPr>
          <w:rFonts w:ascii="Verdana" w:hAnsi="Verdana"/>
          <w:sz w:val="16"/>
          <w:szCs w:val="16"/>
          <w:lang w:val="es-CO"/>
        </w:rPr>
        <w:t>(expediente de prueba, anexos al Informe de Fondo f. 361, párr. 33)</w:t>
      </w:r>
    </w:p>
  </w:footnote>
  <w:footnote w:id="20">
    <w:p w14:paraId="5227401D" w14:textId="61763182" w:rsidR="00D86616" w:rsidRPr="004C3F47" w:rsidRDefault="00D86616" w:rsidP="00E677C5">
      <w:pPr>
        <w:jc w:val="both"/>
        <w:rPr>
          <w:rFonts w:ascii="Verdana" w:hAnsi="Verdana"/>
          <w:sz w:val="16"/>
          <w:szCs w:val="16"/>
          <w:lang w:val="es-CR"/>
        </w:rPr>
      </w:pPr>
      <w:r w:rsidRPr="00517952">
        <w:rPr>
          <w:rStyle w:val="FootnoteReference"/>
          <w:sz w:val="16"/>
          <w:szCs w:val="16"/>
        </w:rPr>
        <w:footnoteRef/>
      </w:r>
      <w:r w:rsidRPr="00517952">
        <w:rPr>
          <w:rFonts w:ascii="Verdana" w:hAnsi="Verdana"/>
          <w:sz w:val="16"/>
          <w:szCs w:val="16"/>
          <w:lang w:val="es-CR"/>
        </w:rPr>
        <w:t xml:space="preserve"> </w:t>
      </w:r>
      <w:r w:rsidRPr="00517952">
        <w:rPr>
          <w:rFonts w:ascii="Verdana" w:hAnsi="Verdana"/>
          <w:sz w:val="16"/>
          <w:szCs w:val="16"/>
          <w:lang w:val="es-CR"/>
        </w:rPr>
        <w:tab/>
      </w:r>
      <w:r w:rsidRPr="00F77B70">
        <w:rPr>
          <w:rFonts w:ascii="Verdana" w:hAnsi="Verdana"/>
          <w:i/>
          <w:sz w:val="16"/>
          <w:szCs w:val="16"/>
          <w:lang w:val="es-CR"/>
        </w:rPr>
        <w:t>Cfr.</w:t>
      </w:r>
      <w:r w:rsidRPr="004C3F47">
        <w:rPr>
          <w:rFonts w:ascii="Verdana" w:hAnsi="Verdana"/>
          <w:sz w:val="16"/>
          <w:szCs w:val="16"/>
          <w:lang w:val="es-CR"/>
        </w:rPr>
        <w:t xml:space="preserve"> Escrito de 13 de octubre de 1993 (expediente de </w:t>
      </w:r>
      <w:r>
        <w:rPr>
          <w:rFonts w:ascii="Verdana" w:hAnsi="Verdana"/>
          <w:sz w:val="16"/>
          <w:szCs w:val="16"/>
          <w:lang w:val="es-CR"/>
        </w:rPr>
        <w:t>prueba, anexos</w:t>
      </w:r>
      <w:r w:rsidRPr="004C3F47">
        <w:rPr>
          <w:rFonts w:ascii="Verdana" w:hAnsi="Verdana"/>
          <w:sz w:val="16"/>
          <w:szCs w:val="16"/>
          <w:lang w:val="es-CR"/>
        </w:rPr>
        <w:t xml:space="preserve"> al </w:t>
      </w:r>
      <w:r>
        <w:rPr>
          <w:rFonts w:ascii="Verdana" w:hAnsi="Verdana"/>
          <w:sz w:val="16"/>
          <w:szCs w:val="16"/>
          <w:lang w:val="es-CR"/>
        </w:rPr>
        <w:t>I</w:t>
      </w:r>
      <w:r w:rsidRPr="004C3F47">
        <w:rPr>
          <w:rFonts w:ascii="Verdana" w:hAnsi="Verdana"/>
          <w:sz w:val="16"/>
          <w:szCs w:val="16"/>
          <w:lang w:val="es-CR"/>
        </w:rPr>
        <w:t xml:space="preserve">nforme de </w:t>
      </w:r>
      <w:r>
        <w:rPr>
          <w:rFonts w:ascii="Verdana" w:hAnsi="Verdana"/>
          <w:sz w:val="16"/>
          <w:szCs w:val="16"/>
          <w:lang w:val="es-CR"/>
        </w:rPr>
        <w:t>F</w:t>
      </w:r>
      <w:r w:rsidRPr="004C3F47">
        <w:rPr>
          <w:rFonts w:ascii="Verdana" w:hAnsi="Verdana"/>
          <w:sz w:val="16"/>
          <w:szCs w:val="16"/>
          <w:lang w:val="es-CR"/>
        </w:rPr>
        <w:t xml:space="preserve">ondo, </w:t>
      </w:r>
      <w:r w:rsidRPr="004E7321">
        <w:rPr>
          <w:rFonts w:ascii="Verdana" w:hAnsi="Verdana"/>
          <w:sz w:val="16"/>
          <w:szCs w:val="16"/>
          <w:lang w:val="es-CR"/>
        </w:rPr>
        <w:t>f.</w:t>
      </w:r>
      <w:r w:rsidRPr="004C3F47">
        <w:rPr>
          <w:rFonts w:ascii="Verdana" w:hAnsi="Verdana"/>
          <w:sz w:val="16"/>
          <w:szCs w:val="16"/>
          <w:lang w:val="es-CR"/>
        </w:rPr>
        <w:t xml:space="preserve"> 588)</w:t>
      </w:r>
      <w:r>
        <w:rPr>
          <w:rFonts w:ascii="Verdana" w:hAnsi="Verdana"/>
          <w:sz w:val="16"/>
          <w:szCs w:val="16"/>
          <w:lang w:val="es-CR"/>
        </w:rPr>
        <w:t>.</w:t>
      </w:r>
    </w:p>
  </w:footnote>
  <w:footnote w:id="21">
    <w:p w14:paraId="13090587" w14:textId="0E5635DA" w:rsidR="00D86616" w:rsidRPr="004C3F47" w:rsidRDefault="00D86616" w:rsidP="00E677C5">
      <w:pPr>
        <w:jc w:val="both"/>
        <w:rPr>
          <w:rFonts w:ascii="Verdana" w:hAnsi="Verdana"/>
          <w:sz w:val="16"/>
          <w:szCs w:val="16"/>
          <w:lang w:val="es-CR"/>
        </w:rPr>
      </w:pPr>
      <w:r w:rsidRPr="00517952">
        <w:rPr>
          <w:rStyle w:val="FootnoteReference"/>
          <w:sz w:val="16"/>
          <w:szCs w:val="16"/>
        </w:rPr>
        <w:footnoteRef/>
      </w:r>
      <w:r w:rsidRPr="006B10D1">
        <w:rPr>
          <w:rFonts w:ascii="Verdana" w:hAnsi="Verdana"/>
          <w:sz w:val="20"/>
          <w:szCs w:val="20"/>
          <w:lang w:val="es-CR"/>
        </w:rPr>
        <w:t xml:space="preserve"> </w:t>
      </w:r>
      <w:r w:rsidRPr="004C3F47">
        <w:rPr>
          <w:rFonts w:ascii="Verdana" w:hAnsi="Verdana"/>
          <w:sz w:val="16"/>
          <w:szCs w:val="16"/>
          <w:lang w:val="es-CR"/>
        </w:rPr>
        <w:tab/>
      </w:r>
      <w:r w:rsidRPr="00F77B70">
        <w:rPr>
          <w:rFonts w:ascii="Verdana" w:hAnsi="Verdana"/>
          <w:i/>
          <w:sz w:val="16"/>
          <w:szCs w:val="16"/>
          <w:lang w:val="es-CR"/>
        </w:rPr>
        <w:t>Cfr.</w:t>
      </w:r>
      <w:r w:rsidRPr="004C3F47">
        <w:rPr>
          <w:rFonts w:ascii="Verdana" w:hAnsi="Verdana"/>
          <w:sz w:val="16"/>
          <w:szCs w:val="16"/>
          <w:lang w:val="es-CR"/>
        </w:rPr>
        <w:t xml:space="preserve"> Demanda de 26 de julio de 1989 (expediente de </w:t>
      </w:r>
      <w:r>
        <w:rPr>
          <w:rFonts w:ascii="Verdana" w:hAnsi="Verdana"/>
          <w:sz w:val="16"/>
          <w:szCs w:val="16"/>
          <w:lang w:val="es-CR"/>
        </w:rPr>
        <w:t>prueba, anexos</w:t>
      </w:r>
      <w:r w:rsidRPr="004C3F47">
        <w:rPr>
          <w:rFonts w:ascii="Verdana" w:hAnsi="Verdana"/>
          <w:sz w:val="16"/>
          <w:szCs w:val="16"/>
          <w:lang w:val="es-CR"/>
        </w:rPr>
        <w:t xml:space="preserve"> al </w:t>
      </w:r>
      <w:r>
        <w:rPr>
          <w:rFonts w:ascii="Verdana" w:hAnsi="Verdana"/>
          <w:sz w:val="16"/>
          <w:szCs w:val="16"/>
          <w:lang w:val="es-CR"/>
        </w:rPr>
        <w:t>I</w:t>
      </w:r>
      <w:r w:rsidRPr="004C3F47">
        <w:rPr>
          <w:rFonts w:ascii="Verdana" w:hAnsi="Verdana"/>
          <w:sz w:val="16"/>
          <w:szCs w:val="16"/>
          <w:lang w:val="es-CR"/>
        </w:rPr>
        <w:t xml:space="preserve">nforme de </w:t>
      </w:r>
      <w:r>
        <w:rPr>
          <w:rFonts w:ascii="Verdana" w:hAnsi="Verdana"/>
          <w:sz w:val="16"/>
          <w:szCs w:val="16"/>
          <w:lang w:val="es-CR"/>
        </w:rPr>
        <w:t>F</w:t>
      </w:r>
      <w:r w:rsidRPr="004C3F47">
        <w:rPr>
          <w:rFonts w:ascii="Verdana" w:hAnsi="Verdana"/>
          <w:sz w:val="16"/>
          <w:szCs w:val="16"/>
          <w:lang w:val="es-CR"/>
        </w:rPr>
        <w:t xml:space="preserve">ondo, </w:t>
      </w:r>
      <w:proofErr w:type="spellStart"/>
      <w:r w:rsidRPr="004E7321">
        <w:rPr>
          <w:rFonts w:ascii="Verdana" w:hAnsi="Verdana"/>
          <w:sz w:val="16"/>
          <w:szCs w:val="16"/>
          <w:lang w:val="es-CR"/>
        </w:rPr>
        <w:t>f</w:t>
      </w:r>
      <w:r>
        <w:rPr>
          <w:rFonts w:ascii="Verdana" w:hAnsi="Verdana"/>
          <w:sz w:val="16"/>
          <w:szCs w:val="16"/>
          <w:lang w:val="es-CR"/>
        </w:rPr>
        <w:t>f</w:t>
      </w:r>
      <w:proofErr w:type="spellEnd"/>
      <w:r>
        <w:rPr>
          <w:rFonts w:ascii="Verdana" w:hAnsi="Verdana"/>
          <w:sz w:val="16"/>
          <w:szCs w:val="16"/>
          <w:lang w:val="es-CR"/>
        </w:rPr>
        <w:t>. 231 y</w:t>
      </w:r>
      <w:r w:rsidRPr="004C3F47">
        <w:rPr>
          <w:rFonts w:ascii="Verdana" w:hAnsi="Verdana"/>
          <w:sz w:val="16"/>
          <w:szCs w:val="16"/>
          <w:lang w:val="es-CR"/>
        </w:rPr>
        <w:t xml:space="preserve"> 232)</w:t>
      </w:r>
      <w:r>
        <w:rPr>
          <w:rFonts w:ascii="Verdana" w:hAnsi="Verdana"/>
          <w:sz w:val="16"/>
          <w:szCs w:val="16"/>
          <w:lang w:val="es-CR"/>
        </w:rPr>
        <w:t>.</w:t>
      </w:r>
    </w:p>
  </w:footnote>
  <w:footnote w:id="22">
    <w:p w14:paraId="46D38AA7" w14:textId="3F6D0507" w:rsidR="00D86616" w:rsidRPr="00801513" w:rsidRDefault="00D86616" w:rsidP="00334B6C">
      <w:pPr>
        <w:pStyle w:val="FootnoteText"/>
        <w:rPr>
          <w:lang w:val="es-MX"/>
        </w:rPr>
      </w:pPr>
      <w:r w:rsidRPr="00517952">
        <w:rPr>
          <w:rStyle w:val="FootnoteReference"/>
          <w:rFonts w:eastAsia="Calibri"/>
          <w:sz w:val="16"/>
          <w:lang w:val="es-ES_tradnl" w:eastAsia="en-US"/>
        </w:rPr>
        <w:footnoteRef/>
      </w:r>
      <w:r w:rsidRPr="006B10D1">
        <w:rPr>
          <w:rStyle w:val="FootnoteReference"/>
          <w:rFonts w:eastAsia="Calibri"/>
          <w:szCs w:val="20"/>
          <w:lang w:val="es-ES_tradnl" w:eastAsia="en-US"/>
        </w:rPr>
        <w:t xml:space="preserve"> </w:t>
      </w:r>
      <w:r>
        <w:rPr>
          <w:rFonts w:eastAsia="Calibri"/>
          <w:szCs w:val="20"/>
          <w:lang w:val="es-ES_tradnl" w:eastAsia="en-US"/>
        </w:rPr>
        <w:t xml:space="preserve">       </w:t>
      </w:r>
      <w:r w:rsidRPr="00801513">
        <w:rPr>
          <w:lang w:val="es-MX"/>
        </w:rPr>
        <w:tab/>
      </w:r>
      <w:r w:rsidRPr="00A532BE">
        <w:rPr>
          <w:i/>
          <w:lang w:val="es-MX"/>
        </w:rPr>
        <w:t>Cfr.</w:t>
      </w:r>
      <w:r w:rsidRPr="00801513">
        <w:rPr>
          <w:lang w:val="es-MX"/>
        </w:rPr>
        <w:t xml:space="preserve"> </w:t>
      </w:r>
      <w:r w:rsidRPr="00333304">
        <w:rPr>
          <w:rStyle w:val="Strong"/>
          <w:b w:val="0"/>
          <w:i/>
          <w:color w:val="000000"/>
          <w:shd w:val="clear" w:color="auto" w:fill="FFFFFF"/>
          <w:lang w:val="es-CR"/>
        </w:rPr>
        <w:t>Caso Veliz Franco y otros Vs. Guatemala.</w:t>
      </w:r>
      <w:r w:rsidRPr="004C3F47">
        <w:rPr>
          <w:rStyle w:val="Strong"/>
          <w:b w:val="0"/>
          <w:color w:val="000000"/>
          <w:shd w:val="clear" w:color="auto" w:fill="FFFFFF"/>
          <w:lang w:val="es-CR"/>
        </w:rPr>
        <w:t xml:space="preserve"> </w:t>
      </w:r>
      <w:r w:rsidRPr="00333304">
        <w:rPr>
          <w:rStyle w:val="Strong"/>
          <w:b w:val="0"/>
          <w:i/>
          <w:color w:val="000000"/>
          <w:shd w:val="clear" w:color="auto" w:fill="FFFFFF"/>
          <w:lang w:val="es-CR"/>
        </w:rPr>
        <w:t>Excepciones Preliminares, Fondo, Reparaciones y Costas.</w:t>
      </w:r>
      <w:r w:rsidRPr="004C3F47">
        <w:rPr>
          <w:rStyle w:val="Strong"/>
          <w:b w:val="0"/>
          <w:color w:val="000000"/>
          <w:shd w:val="clear" w:color="auto" w:fill="FFFFFF"/>
          <w:lang w:val="es-CR"/>
        </w:rPr>
        <w:t xml:space="preserve"> Sentencia de 19 d</w:t>
      </w:r>
      <w:r>
        <w:rPr>
          <w:rStyle w:val="Strong"/>
          <w:b w:val="0"/>
          <w:color w:val="000000"/>
          <w:shd w:val="clear" w:color="auto" w:fill="FFFFFF"/>
          <w:lang w:val="es-CR"/>
        </w:rPr>
        <w:t>e mayo de 2014. Serie C No. 277</w:t>
      </w:r>
      <w:r w:rsidRPr="004C3F47">
        <w:rPr>
          <w:rStyle w:val="Strong"/>
          <w:b w:val="0"/>
          <w:color w:val="000000"/>
          <w:shd w:val="clear" w:color="auto" w:fill="FFFFFF"/>
          <w:lang w:val="es-CR"/>
        </w:rPr>
        <w:t xml:space="preserve">, párr. 25, y </w:t>
      </w:r>
      <w:r w:rsidRPr="00333304">
        <w:rPr>
          <w:rStyle w:val="Strong"/>
          <w:b w:val="0"/>
          <w:i/>
          <w:color w:val="000000"/>
          <w:shd w:val="clear" w:color="auto" w:fill="FFFFFF"/>
          <w:lang w:val="es-CR"/>
        </w:rPr>
        <w:t>Caso I.V. Vs. Bolivia</w:t>
      </w:r>
      <w:r w:rsidRPr="004C3F47">
        <w:rPr>
          <w:rStyle w:val="Strong"/>
          <w:b w:val="0"/>
          <w:color w:val="000000"/>
          <w:shd w:val="clear" w:color="auto" w:fill="FFFFFF"/>
          <w:lang w:val="es-CR"/>
        </w:rPr>
        <w:t xml:space="preserve">. </w:t>
      </w:r>
      <w:r w:rsidRPr="00333304">
        <w:rPr>
          <w:rStyle w:val="Strong"/>
          <w:b w:val="0"/>
          <w:i/>
          <w:color w:val="000000"/>
          <w:shd w:val="clear" w:color="auto" w:fill="FFFFFF"/>
          <w:lang w:val="es-CR"/>
        </w:rPr>
        <w:t>Excepciones Preliminares, Fondo, Reparaciones y Costas.</w:t>
      </w:r>
      <w:r w:rsidRPr="004C3F47">
        <w:rPr>
          <w:rStyle w:val="Strong"/>
          <w:b w:val="0"/>
          <w:color w:val="000000"/>
          <w:shd w:val="clear" w:color="auto" w:fill="FFFFFF"/>
          <w:lang w:val="es-CR"/>
        </w:rPr>
        <w:t xml:space="preserve"> Sentencia de 30 de noviembre de 2016. Serie C No. 329, párr. 45.</w:t>
      </w:r>
    </w:p>
  </w:footnote>
  <w:footnote w:id="23">
    <w:p w14:paraId="2143C715" w14:textId="0EC7C1EB" w:rsidR="00D86616" w:rsidRPr="009E6ED2" w:rsidRDefault="00D86616" w:rsidP="006A2D03">
      <w:pPr>
        <w:pStyle w:val="FootnoteText"/>
        <w:spacing w:after="0"/>
        <w:rPr>
          <w:lang w:val="es-MX"/>
        </w:rPr>
      </w:pPr>
      <w:r w:rsidRPr="00517952">
        <w:rPr>
          <w:rStyle w:val="FootnoteReference"/>
          <w:sz w:val="16"/>
        </w:rPr>
        <w:footnoteRef/>
      </w:r>
      <w:r w:rsidRPr="009E6ED2">
        <w:rPr>
          <w:lang w:val="es-MX"/>
        </w:rPr>
        <w:t xml:space="preserve"> </w:t>
      </w:r>
      <w:r w:rsidRPr="009E6ED2">
        <w:rPr>
          <w:lang w:val="es-MX"/>
        </w:rPr>
        <w:tab/>
      </w:r>
      <w:r w:rsidRPr="009E6ED2">
        <w:rPr>
          <w:i/>
          <w:lang w:val="es-MX"/>
        </w:rPr>
        <w:t>Caso Lagos del Campo Vs. Perú</w:t>
      </w:r>
      <w:r w:rsidRPr="009E6ED2">
        <w:rPr>
          <w:lang w:val="es-MX"/>
        </w:rPr>
        <w:t xml:space="preserve">. Convocatoria a Audiencia, </w:t>
      </w:r>
      <w:r w:rsidRPr="009E6ED2">
        <w:rPr>
          <w:i/>
          <w:lang w:val="es-MX"/>
        </w:rPr>
        <w:t>supra</w:t>
      </w:r>
      <w:r w:rsidRPr="009E6ED2">
        <w:rPr>
          <w:lang w:val="es-MX"/>
        </w:rPr>
        <w:t>, párr. 9.</w:t>
      </w:r>
    </w:p>
  </w:footnote>
  <w:footnote w:id="24">
    <w:p w14:paraId="403923A8" w14:textId="1C5C95B5" w:rsidR="00D86616" w:rsidRPr="009E6ED2"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9E6ED2">
        <w:rPr>
          <w:lang w:val="es-MX"/>
        </w:rPr>
        <w:tab/>
      </w:r>
      <w:r w:rsidRPr="00A532BE">
        <w:rPr>
          <w:i/>
          <w:lang w:val="es-MX"/>
        </w:rPr>
        <w:t xml:space="preserve">Cfr. Caso Velásquez Rodríguez Vs. Honduras. Fondo. </w:t>
      </w:r>
      <w:r w:rsidRPr="009E6ED2">
        <w:rPr>
          <w:lang w:val="es-MX"/>
        </w:rPr>
        <w:t xml:space="preserve">Sentencia de 29 de julio de 1988. Serie 04, párr. 140, </w:t>
      </w:r>
      <w:r w:rsidRPr="00A532BE">
        <w:rPr>
          <w:i/>
          <w:lang w:val="es-MX"/>
        </w:rPr>
        <w:t>Caso Tenorio Roca y otros Vs. Perú, supra</w:t>
      </w:r>
      <w:r>
        <w:rPr>
          <w:i/>
          <w:lang w:val="es-MX"/>
        </w:rPr>
        <w:t>,</w:t>
      </w:r>
      <w:r w:rsidRPr="009E6ED2">
        <w:rPr>
          <w:lang w:val="es-MX"/>
        </w:rPr>
        <w:t xml:space="preserve"> párr. 36</w:t>
      </w:r>
      <w:r>
        <w:rPr>
          <w:rStyle w:val="apple-converted-space"/>
          <w:lang w:val="es-CR"/>
        </w:rPr>
        <w:t xml:space="preserve"> y </w:t>
      </w:r>
      <w:r w:rsidRPr="00333304">
        <w:rPr>
          <w:rStyle w:val="apple-converted-space"/>
          <w:i/>
          <w:lang w:val="es-CR"/>
        </w:rPr>
        <w:t>Caso Zegarra Marín Vs. Perú</w:t>
      </w:r>
      <w:r>
        <w:rPr>
          <w:rStyle w:val="apple-converted-space"/>
          <w:lang w:val="es-CR"/>
        </w:rPr>
        <w:t>,</w:t>
      </w:r>
      <w:r w:rsidRPr="00333304">
        <w:rPr>
          <w:rStyle w:val="apple-converted-space"/>
          <w:i/>
          <w:lang w:val="es-CR"/>
        </w:rPr>
        <w:t xml:space="preserve"> </w:t>
      </w:r>
      <w:r w:rsidRPr="00A532BE">
        <w:rPr>
          <w:i/>
          <w:lang w:val="es-MX"/>
        </w:rPr>
        <w:t>supra,</w:t>
      </w:r>
      <w:r>
        <w:rPr>
          <w:lang w:val="es-MX"/>
        </w:rPr>
        <w:t xml:space="preserve"> párr. 58.</w:t>
      </w:r>
    </w:p>
  </w:footnote>
  <w:footnote w:id="25">
    <w:p w14:paraId="53D859BA" w14:textId="03276EEC" w:rsidR="00D86616" w:rsidRPr="009E6ED2" w:rsidRDefault="00D86616" w:rsidP="006A2D03">
      <w:pPr>
        <w:pStyle w:val="FootnoteText"/>
        <w:spacing w:after="0"/>
        <w:rPr>
          <w:lang w:val="es-MX"/>
        </w:rPr>
      </w:pPr>
      <w:r w:rsidRPr="00517952">
        <w:rPr>
          <w:rStyle w:val="FootnoteReference"/>
          <w:sz w:val="16"/>
        </w:rPr>
        <w:footnoteRef/>
      </w:r>
      <w:r w:rsidRPr="00954C4C">
        <w:rPr>
          <w:sz w:val="20"/>
          <w:szCs w:val="20"/>
          <w:lang w:val="es-MX"/>
        </w:rPr>
        <w:t xml:space="preserve"> </w:t>
      </w:r>
      <w:r w:rsidRPr="009E6ED2">
        <w:rPr>
          <w:lang w:val="es-MX"/>
        </w:rPr>
        <w:tab/>
      </w:r>
      <w:r w:rsidRPr="009E6ED2">
        <w:rPr>
          <w:i/>
          <w:lang w:val="es-MX"/>
        </w:rPr>
        <w:t xml:space="preserve">Cfr. Caso </w:t>
      </w:r>
      <w:proofErr w:type="spellStart"/>
      <w:r w:rsidRPr="009E6ED2">
        <w:rPr>
          <w:i/>
          <w:lang w:val="es-MX"/>
        </w:rPr>
        <w:t>Reverón</w:t>
      </w:r>
      <w:proofErr w:type="spellEnd"/>
      <w:r w:rsidRPr="009E6ED2">
        <w:rPr>
          <w:i/>
          <w:lang w:val="es-MX"/>
        </w:rPr>
        <w:t xml:space="preserve"> Trujillo Vs. Venezuela. </w:t>
      </w:r>
      <w:r w:rsidRPr="009E6ED2">
        <w:rPr>
          <w:lang w:val="es-MX"/>
        </w:rPr>
        <w:t>Convocatoria a Audiencia Pública.</w:t>
      </w:r>
      <w:r w:rsidRPr="009E6ED2">
        <w:rPr>
          <w:i/>
          <w:lang w:val="es-MX"/>
        </w:rPr>
        <w:t xml:space="preserve"> </w:t>
      </w:r>
      <w:r w:rsidRPr="009E6ED2">
        <w:rPr>
          <w:lang w:val="es-MX"/>
        </w:rPr>
        <w:t>Resolución de la Presidenta de la Corte de 24 de septiembre de 2008, considerando décimo octavo</w:t>
      </w:r>
      <w:r w:rsidRPr="009E6ED2">
        <w:rPr>
          <w:i/>
          <w:lang w:val="es-MX"/>
        </w:rPr>
        <w:t xml:space="preserve"> </w:t>
      </w:r>
      <w:r w:rsidRPr="009E6ED2">
        <w:rPr>
          <w:lang w:val="es-MX"/>
        </w:rPr>
        <w:t xml:space="preserve">y </w:t>
      </w:r>
      <w:r w:rsidRPr="009E6ED2">
        <w:rPr>
          <w:bCs/>
          <w:i/>
          <w:lang w:val="es-MX"/>
        </w:rPr>
        <w:t xml:space="preserve">Caso </w:t>
      </w:r>
      <w:proofErr w:type="spellStart"/>
      <w:r w:rsidRPr="009E6ED2">
        <w:rPr>
          <w:bCs/>
          <w:i/>
          <w:lang w:val="es-MX"/>
        </w:rPr>
        <w:t>Castilllo</w:t>
      </w:r>
      <w:proofErr w:type="spellEnd"/>
      <w:r w:rsidRPr="009E6ED2">
        <w:rPr>
          <w:bCs/>
          <w:i/>
          <w:lang w:val="es-MX"/>
        </w:rPr>
        <w:t xml:space="preserve"> González y otros Vs. Venezuela. Fondo </w:t>
      </w:r>
      <w:r w:rsidRPr="009E6ED2">
        <w:rPr>
          <w:bCs/>
          <w:lang w:val="es-MX"/>
        </w:rPr>
        <w:t>Sentencia 27 de noviembre de 2012. Serie C No. 256, párr. 33</w:t>
      </w:r>
      <w:r w:rsidRPr="009E6ED2">
        <w:rPr>
          <w:bCs/>
          <w:i/>
          <w:lang w:val="es-MX"/>
        </w:rPr>
        <w:t>.</w:t>
      </w:r>
      <w:r w:rsidRPr="009E6ED2">
        <w:rPr>
          <w:bCs/>
          <w:lang w:val="es-MX"/>
        </w:rPr>
        <w:t xml:space="preserve"> </w:t>
      </w:r>
    </w:p>
  </w:footnote>
  <w:footnote w:id="26">
    <w:p w14:paraId="2DF726FD" w14:textId="443CCB50" w:rsidR="00D86616" w:rsidRPr="004C3F47" w:rsidRDefault="00D86616" w:rsidP="006A2D03">
      <w:pPr>
        <w:widowControl w:val="0"/>
        <w:suppressLineNumbers/>
        <w:tabs>
          <w:tab w:val="left" w:pos="567"/>
          <w:tab w:val="left" w:pos="709"/>
        </w:tabs>
        <w:suppressAutoHyphens/>
        <w:jc w:val="both"/>
        <w:rPr>
          <w:rFonts w:ascii="Verdana" w:hAnsi="Verdana"/>
          <w:i/>
          <w:sz w:val="16"/>
          <w:szCs w:val="16"/>
        </w:rPr>
      </w:pPr>
      <w:r w:rsidRPr="00517952">
        <w:rPr>
          <w:rStyle w:val="FootnoteReference"/>
          <w:sz w:val="16"/>
          <w:szCs w:val="16"/>
        </w:rPr>
        <w:footnoteRef/>
      </w:r>
      <w:r w:rsidRPr="00954C4C">
        <w:rPr>
          <w:rFonts w:ascii="Verdana" w:hAnsi="Verdana"/>
          <w:sz w:val="20"/>
          <w:szCs w:val="20"/>
          <w:vertAlign w:val="superscript"/>
        </w:rPr>
        <w:t xml:space="preserve"> </w:t>
      </w:r>
      <w:r w:rsidRPr="004C3F47">
        <w:rPr>
          <w:rFonts w:ascii="Verdana" w:hAnsi="Verdana"/>
          <w:sz w:val="16"/>
          <w:szCs w:val="16"/>
        </w:rPr>
        <w:tab/>
      </w:r>
      <w:r w:rsidRPr="00F77B70">
        <w:rPr>
          <w:rFonts w:ascii="Verdana" w:hAnsi="Verdana"/>
          <w:i/>
          <w:sz w:val="16"/>
          <w:szCs w:val="16"/>
        </w:rPr>
        <w:t>Cfr.</w:t>
      </w:r>
      <w:r w:rsidRPr="004C3F47">
        <w:rPr>
          <w:rFonts w:ascii="Verdana" w:hAnsi="Verdana"/>
          <w:sz w:val="16"/>
          <w:szCs w:val="16"/>
        </w:rPr>
        <w:t xml:space="preserve"> </w:t>
      </w:r>
      <w:r w:rsidRPr="004C3F47">
        <w:rPr>
          <w:rFonts w:ascii="Verdana" w:hAnsi="Verdana"/>
          <w:i/>
          <w:sz w:val="16"/>
          <w:szCs w:val="16"/>
        </w:rPr>
        <w:t xml:space="preserve">Caso de la “Panel Blanca” (Paniagua Morales y otros) Vs. Guatemala. Fondo. </w:t>
      </w:r>
      <w:r w:rsidRPr="004C3F47">
        <w:rPr>
          <w:rFonts w:ascii="Verdana" w:hAnsi="Verdana"/>
          <w:sz w:val="16"/>
          <w:szCs w:val="16"/>
        </w:rPr>
        <w:t>Sentencia de 8 de marzo de 1998. Serie C No. 37, párr. 76, y</w:t>
      </w:r>
      <w:r w:rsidRPr="004C3F47">
        <w:rPr>
          <w:rStyle w:val="apple-converted-space"/>
          <w:rFonts w:ascii="Verdana" w:hAnsi="Verdana"/>
          <w:sz w:val="16"/>
          <w:szCs w:val="16"/>
        </w:rPr>
        <w:t xml:space="preserve"> </w:t>
      </w:r>
      <w:r w:rsidRPr="004C3F47">
        <w:rPr>
          <w:rStyle w:val="apple-converted-space"/>
          <w:rFonts w:ascii="Verdana" w:hAnsi="Verdana"/>
          <w:i/>
          <w:sz w:val="16"/>
          <w:szCs w:val="16"/>
        </w:rPr>
        <w:t xml:space="preserve">Caso Tenorio Roca y otros Vs. Perú, </w:t>
      </w:r>
      <w:r w:rsidRPr="002F31BD">
        <w:rPr>
          <w:rStyle w:val="apple-converted-space"/>
          <w:rFonts w:ascii="Verdana" w:hAnsi="Verdana"/>
          <w:i/>
          <w:sz w:val="16"/>
          <w:szCs w:val="16"/>
        </w:rPr>
        <w:t>supra</w:t>
      </w:r>
      <w:r w:rsidRPr="004C3F47">
        <w:rPr>
          <w:rStyle w:val="apple-converted-space"/>
          <w:rFonts w:ascii="Verdana" w:hAnsi="Verdana"/>
          <w:i/>
          <w:sz w:val="16"/>
          <w:szCs w:val="16"/>
        </w:rPr>
        <w:t xml:space="preserve"> </w:t>
      </w:r>
      <w:r w:rsidRPr="004C3F47">
        <w:rPr>
          <w:rStyle w:val="apple-converted-space"/>
          <w:rFonts w:ascii="Verdana" w:hAnsi="Verdana"/>
          <w:sz w:val="16"/>
          <w:szCs w:val="16"/>
        </w:rPr>
        <w:t>párr. 45.</w:t>
      </w:r>
    </w:p>
  </w:footnote>
  <w:footnote w:id="27">
    <w:p w14:paraId="7D9F7965" w14:textId="1BB6E48E" w:rsidR="00D86616" w:rsidRPr="004C3F47" w:rsidRDefault="00D86616" w:rsidP="006A2D03">
      <w:pPr>
        <w:widowControl w:val="0"/>
        <w:suppressLineNumbers/>
        <w:tabs>
          <w:tab w:val="left" w:pos="567"/>
          <w:tab w:val="left" w:pos="709"/>
        </w:tabs>
        <w:suppressAutoHyphens/>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4C3F47">
        <w:rPr>
          <w:rFonts w:ascii="Verdana" w:hAnsi="Verdana"/>
          <w:sz w:val="16"/>
          <w:szCs w:val="16"/>
        </w:rPr>
        <w:tab/>
      </w:r>
      <w:r w:rsidRPr="00F77B70">
        <w:rPr>
          <w:rFonts w:ascii="Verdana" w:hAnsi="Verdana"/>
          <w:i/>
          <w:sz w:val="16"/>
          <w:szCs w:val="16"/>
        </w:rPr>
        <w:t>Cfr.</w:t>
      </w:r>
      <w:r w:rsidRPr="004C3F47">
        <w:rPr>
          <w:rFonts w:ascii="Verdana" w:hAnsi="Verdana"/>
          <w:i/>
          <w:sz w:val="16"/>
          <w:szCs w:val="16"/>
        </w:rPr>
        <w:t xml:space="preserve"> Caso Loayza Tamayo Vs. Perú. Fondo. </w:t>
      </w:r>
      <w:r w:rsidRPr="004C3F47">
        <w:rPr>
          <w:rFonts w:ascii="Verdana" w:hAnsi="Verdana"/>
          <w:sz w:val="16"/>
          <w:szCs w:val="16"/>
        </w:rPr>
        <w:t xml:space="preserve">Sentencia de 17 de septiembre de 1997. Serie C No. 33, párr. 43, y </w:t>
      </w:r>
      <w:r w:rsidRPr="00333304">
        <w:rPr>
          <w:rFonts w:ascii="Verdana" w:hAnsi="Verdana"/>
          <w:i/>
          <w:sz w:val="16"/>
          <w:szCs w:val="16"/>
        </w:rPr>
        <w:t>Caso Favela Nova Brasilia Vs. Brasil.</w:t>
      </w:r>
      <w:r w:rsidRPr="00462432">
        <w:rPr>
          <w:rFonts w:ascii="Verdana" w:hAnsi="Verdana"/>
          <w:sz w:val="16"/>
          <w:szCs w:val="16"/>
        </w:rPr>
        <w:t xml:space="preserve"> </w:t>
      </w:r>
      <w:r w:rsidRPr="00333304">
        <w:rPr>
          <w:rFonts w:ascii="Verdana" w:hAnsi="Verdana"/>
          <w:i/>
          <w:sz w:val="16"/>
          <w:szCs w:val="16"/>
        </w:rPr>
        <w:t xml:space="preserve">Excepciones Preliminares, Fondo, Reparaciones y Costas. </w:t>
      </w:r>
      <w:r>
        <w:rPr>
          <w:rFonts w:ascii="Verdana" w:hAnsi="Verdana"/>
          <w:sz w:val="16"/>
          <w:szCs w:val="16"/>
        </w:rPr>
        <w:t>Sentencia de 16 de febrero de 2017. Serie C No. 333, párr. 98.</w:t>
      </w:r>
    </w:p>
  </w:footnote>
  <w:footnote w:id="28">
    <w:p w14:paraId="5C7C1BB8" w14:textId="77777777" w:rsidR="00D86616" w:rsidRPr="004C3F47" w:rsidRDefault="00D86616" w:rsidP="006A2D03">
      <w:pPr>
        <w:autoSpaceDE w:val="0"/>
        <w:autoSpaceDN w:val="0"/>
        <w:adjustRightInd w:val="0"/>
        <w:jc w:val="both"/>
        <w:rPr>
          <w:rFonts w:ascii="Verdana" w:hAnsi="Verdana"/>
          <w:sz w:val="16"/>
          <w:szCs w:val="16"/>
        </w:rPr>
      </w:pPr>
      <w:r w:rsidRPr="00517952">
        <w:rPr>
          <w:rStyle w:val="FootnoteReference"/>
          <w:sz w:val="16"/>
          <w:szCs w:val="16"/>
        </w:rPr>
        <w:footnoteRef/>
      </w:r>
      <w:r w:rsidRPr="00954C4C">
        <w:rPr>
          <w:rFonts w:ascii="Verdana" w:hAnsi="Verdana"/>
          <w:sz w:val="20"/>
          <w:szCs w:val="20"/>
        </w:rPr>
        <w:t xml:space="preserve"> </w:t>
      </w:r>
      <w:r w:rsidRPr="004C3F47">
        <w:rPr>
          <w:rFonts w:ascii="Verdana" w:hAnsi="Verdana"/>
          <w:sz w:val="16"/>
          <w:szCs w:val="16"/>
        </w:rPr>
        <w:tab/>
        <w:t xml:space="preserve">Presidente de la República de Perú. Decreto-Ley 18350 Ley General de Industrias. 7 de julio de 1970. Disponible para consulta en: </w:t>
      </w:r>
      <w:hyperlink r:id="rId3" w:history="1">
        <w:r w:rsidRPr="004C3F47">
          <w:rPr>
            <w:rStyle w:val="Hyperlink"/>
            <w:rFonts w:ascii="Verdana" w:hAnsi="Verdana"/>
            <w:sz w:val="16"/>
            <w:szCs w:val="16"/>
          </w:rPr>
          <w:t>http://peru.justia.com/federales/decretos-leyes/18350-jul-27-1970/gdoc/</w:t>
        </w:r>
      </w:hyperlink>
      <w:r w:rsidRPr="004C3F47">
        <w:rPr>
          <w:rFonts w:ascii="Verdana" w:hAnsi="Verdana"/>
          <w:sz w:val="16"/>
          <w:szCs w:val="16"/>
        </w:rPr>
        <w:t xml:space="preserve"> </w:t>
      </w:r>
    </w:p>
  </w:footnote>
  <w:footnote w:id="29">
    <w:p w14:paraId="26E80C5C" w14:textId="38CE0519" w:rsidR="00D86616" w:rsidRPr="009E6ED2"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9E6ED2">
        <w:rPr>
          <w:lang w:val="es-MX"/>
        </w:rPr>
        <w:tab/>
        <w:t xml:space="preserve">Objetivos: a) el fortalecimiento de la empresa industrial mediante la participación de los trabajadores en la gestión, el proceso productivo, la propiedad y reinversión; b) unificación de los trabajadores en la gestión de la empresa industrial para cautelar sus derechos e intereses; c) administración de los bienes que adquiera, en beneficio de los trabajadores; y d) promoción del desarrollo social, cultural, profesional y técnico de los trabajadores. Presidente de la República de Perú. Decreto-Ley 18384 Ley General de Industrias. 1 de septiembre de 1970. Art.3 Disponible para consulta en: </w:t>
      </w:r>
      <w:hyperlink r:id="rId4" w:history="1">
        <w:r w:rsidRPr="002E34D8">
          <w:rPr>
            <w:rStyle w:val="Hyperlink"/>
            <w:lang w:val="es-MX"/>
          </w:rPr>
          <w:t>http://docs.peru.justia.com/federales/decretos-leyes/18384-sep-1-1970.pdf</w:t>
        </w:r>
      </w:hyperlink>
    </w:p>
  </w:footnote>
  <w:footnote w:id="30">
    <w:p w14:paraId="5F77499E" w14:textId="1477B133" w:rsidR="00D86616" w:rsidRPr="004C3F47" w:rsidRDefault="00D86616" w:rsidP="006A2D03">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4C3F47">
        <w:rPr>
          <w:rFonts w:ascii="Verdana" w:hAnsi="Verdana"/>
          <w:sz w:val="16"/>
          <w:szCs w:val="16"/>
        </w:rPr>
        <w:tab/>
      </w:r>
      <w:r w:rsidRPr="00F77B70">
        <w:rPr>
          <w:rFonts w:ascii="Verdana" w:hAnsi="Verdana"/>
          <w:i/>
          <w:sz w:val="16"/>
          <w:szCs w:val="16"/>
        </w:rPr>
        <w:t>Cfr.</w:t>
      </w:r>
      <w:r w:rsidRPr="004C3F47">
        <w:rPr>
          <w:rFonts w:ascii="Verdana" w:hAnsi="Verdana"/>
          <w:sz w:val="16"/>
          <w:szCs w:val="16"/>
        </w:rPr>
        <w:t xml:space="preserve"> Presidente de la República de Perú. Decreto-Ley 21789. Ley de la Comunidad Industrial. 1 de febrero de 1977. Disponible para consulta: http: //www4.congreso.gob.pe/ntley/imagenes/Leyes/21789.pdf (expediente de prueba anexo 1 del Informe de Fondo, </w:t>
      </w:r>
      <w:proofErr w:type="spellStart"/>
      <w:r w:rsidRPr="004C3F47">
        <w:rPr>
          <w:rFonts w:ascii="Verdana" w:hAnsi="Verdana"/>
          <w:sz w:val="16"/>
          <w:szCs w:val="16"/>
        </w:rPr>
        <w:t>ff</w:t>
      </w:r>
      <w:proofErr w:type="spellEnd"/>
      <w:r w:rsidRPr="004C3F47">
        <w:rPr>
          <w:rFonts w:ascii="Verdana" w:hAnsi="Verdana"/>
          <w:sz w:val="16"/>
          <w:szCs w:val="16"/>
        </w:rPr>
        <w:t>. 5bis a 14bis).</w:t>
      </w:r>
    </w:p>
  </w:footnote>
  <w:footnote w:id="31">
    <w:p w14:paraId="7E502329" w14:textId="526AD3A2" w:rsidR="00D86616" w:rsidRPr="004C3F47" w:rsidRDefault="00D86616" w:rsidP="006A2D03">
      <w:pPr>
        <w:autoSpaceDE w:val="0"/>
        <w:autoSpaceDN w:val="0"/>
        <w:adjustRightInd w:val="0"/>
        <w:jc w:val="both"/>
        <w:rPr>
          <w:rFonts w:ascii="Verdana" w:hAnsi="Verdana"/>
          <w:sz w:val="16"/>
          <w:szCs w:val="16"/>
        </w:rPr>
      </w:pPr>
      <w:r w:rsidRPr="00517952">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El Artículo 1</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 establecía lo siguiente:</w:t>
      </w:r>
      <w:r w:rsidRPr="004C3F47">
        <w:rPr>
          <w:rFonts w:ascii="Verdana" w:hAnsi="Verdana"/>
          <w:color w:val="000000"/>
          <w:sz w:val="16"/>
          <w:szCs w:val="16"/>
        </w:rPr>
        <w:t xml:space="preserve"> </w:t>
      </w:r>
      <w:r w:rsidRPr="004C3F47">
        <w:rPr>
          <w:rFonts w:ascii="Verdana" w:hAnsi="Verdana"/>
          <w:sz w:val="16"/>
          <w:szCs w:val="16"/>
        </w:rPr>
        <w:t>“</w:t>
      </w:r>
      <w:r w:rsidRPr="004C3F47">
        <w:rPr>
          <w:rFonts w:ascii="Verdana" w:hAnsi="Verdana"/>
          <w:color w:val="000000"/>
          <w:sz w:val="16"/>
          <w:szCs w:val="16"/>
        </w:rPr>
        <w:t>Artículo 1</w:t>
      </w:r>
      <w:r w:rsidRPr="004C3F47">
        <w:rPr>
          <w:rStyle w:val="st1"/>
          <w:rFonts w:ascii="Verdana" w:hAnsi="Verdana" w:cs="Arial"/>
          <w:color w:val="000000"/>
          <w:sz w:val="16"/>
          <w:szCs w:val="16"/>
        </w:rPr>
        <w:t>º</w:t>
      </w:r>
      <w:r w:rsidRPr="004C3F47">
        <w:rPr>
          <w:rFonts w:ascii="Verdana" w:hAnsi="Verdana"/>
          <w:color w:val="000000"/>
          <w:sz w:val="16"/>
          <w:szCs w:val="16"/>
        </w:rPr>
        <w:t xml:space="preserve"> – La Comunidad Industrial de una empresa industrial del Sector Privado Reformado, está conformada por todos los trabajadores estables que laboran en ella, los que participan en su propiedad, gestión y utilidades. La Comunidad Industrial es persona jurídica de derecho privado y se rige por lo dispuesto en la presente Ley y las demás que le sean aplicables</w:t>
      </w:r>
      <w:r w:rsidRPr="004C3F47">
        <w:rPr>
          <w:rFonts w:ascii="Verdana" w:eastAsia="Times New Roman" w:hAnsi="Verdana" w:cs="Arial"/>
          <w:iCs/>
          <w:color w:val="000000"/>
          <w:sz w:val="16"/>
          <w:szCs w:val="16"/>
          <w:lang w:eastAsia="es-CR"/>
        </w:rPr>
        <w:t>”</w:t>
      </w:r>
      <w:r>
        <w:rPr>
          <w:rFonts w:ascii="Verdana" w:eastAsia="Times New Roman" w:hAnsi="Verdana" w:cs="Arial"/>
          <w:iCs/>
          <w:color w:val="000000"/>
          <w:sz w:val="16"/>
          <w:szCs w:val="16"/>
          <w:lang w:eastAsia="es-CR"/>
        </w:rPr>
        <w:t>.</w:t>
      </w:r>
    </w:p>
  </w:footnote>
  <w:footnote w:id="32">
    <w:p w14:paraId="6361EA42" w14:textId="4ED5BF01" w:rsidR="00D86616" w:rsidRPr="004C3F47" w:rsidRDefault="00D86616" w:rsidP="006A2D03">
      <w:pPr>
        <w:contextualSpacing/>
        <w:jc w:val="both"/>
        <w:rPr>
          <w:rFonts w:ascii="Verdana" w:hAnsi="Verdana"/>
          <w:color w:val="000000"/>
          <w:sz w:val="16"/>
          <w:szCs w:val="16"/>
        </w:rPr>
      </w:pPr>
      <w:r w:rsidRPr="00517952">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 xml:space="preserve">La legislación dispone que la empresa industrial deducirá anualmente el quince por ciento de su Renta </w:t>
      </w:r>
      <w:r w:rsidRPr="004C3F47">
        <w:rPr>
          <w:rFonts w:ascii="Verdana" w:hAnsi="Verdana" w:cs="Arial"/>
          <w:i/>
          <w:iCs/>
          <w:sz w:val="16"/>
          <w:szCs w:val="16"/>
        </w:rPr>
        <w:t xml:space="preserve">Neta, </w:t>
      </w:r>
      <w:r w:rsidRPr="004C3F47">
        <w:rPr>
          <w:rFonts w:ascii="Verdana" w:hAnsi="Verdana"/>
          <w:sz w:val="16"/>
          <w:szCs w:val="16"/>
        </w:rPr>
        <w:t>libre de impuestos, para la formación del patrimonio de sus trabajadores y para aportar recursos a la Comunidad Industrial hasta alcanzar una suma equivalente al cincuenta por ciento del monto del Capital Social de la Empresa: “</w:t>
      </w:r>
      <w:r w:rsidRPr="004C3F47">
        <w:rPr>
          <w:rFonts w:ascii="Verdana" w:hAnsi="Verdana"/>
          <w:color w:val="000000"/>
          <w:sz w:val="16"/>
          <w:szCs w:val="16"/>
        </w:rPr>
        <w:t>Artículo 38</w:t>
      </w:r>
      <w:r w:rsidRPr="004C3F47">
        <w:rPr>
          <w:rStyle w:val="st1"/>
          <w:rFonts w:ascii="Verdana" w:hAnsi="Verdana" w:cs="Arial"/>
          <w:color w:val="000000"/>
          <w:sz w:val="16"/>
          <w:szCs w:val="16"/>
        </w:rPr>
        <w:t>º</w:t>
      </w:r>
      <w:r w:rsidRPr="004C3F47">
        <w:rPr>
          <w:rFonts w:ascii="Verdana" w:hAnsi="Verdana"/>
          <w:color w:val="000000"/>
          <w:sz w:val="16"/>
          <w:szCs w:val="16"/>
        </w:rPr>
        <w:t xml:space="preserve"> – La empresa industrial deducirá anualmente el quince por ciento (15%) de su Renta Neta, libre de impuestos, para la formación del patrimonio de sus trabajadores y para aportar recursos a la Comunidad Industrial de la siguiente forma: a) Trece y medio por ciento (13.5%) de la Renta neta para la formación e incremento del patrimonio de los trabajadores de acuerdo a las alternativas de inversión enunciadas en el Artículo 40</w:t>
      </w:r>
      <w:r w:rsidRPr="004C3F47">
        <w:rPr>
          <w:rStyle w:val="st1"/>
          <w:rFonts w:ascii="Verdana" w:hAnsi="Verdana" w:cs="Arial"/>
          <w:color w:val="000000"/>
          <w:sz w:val="16"/>
          <w:szCs w:val="16"/>
        </w:rPr>
        <w:t>º</w:t>
      </w:r>
      <w:r w:rsidRPr="004C3F47">
        <w:rPr>
          <w:rFonts w:ascii="Verdana" w:hAnsi="Verdana"/>
          <w:color w:val="000000"/>
          <w:sz w:val="16"/>
          <w:szCs w:val="16"/>
        </w:rPr>
        <w:t xml:space="preserve"> de la presente Ley, hasta alcanzar una suma equivalente al cincuenta por ciento (50%) del monto del Capital Social de la empresa. El cumplimiento de lo dispuesto en el presente inciso se efectuará de acuerdo a los dispositivos reglamentarios correspondientes a cada alternativa de inversión; b) Uno y medio por ciento (1.5%) de la Renta neta para formar y fortalecer el patrimonio de la Comunidad Industrial, el cual será presentado a esta en efectivo dentro de los treinta (30) días del presentado el Balance del Ejercicio a la autoridad fiscal. Artículo 39</w:t>
      </w:r>
      <w:r w:rsidRPr="004C3F47">
        <w:rPr>
          <w:rStyle w:val="st1"/>
          <w:rFonts w:ascii="Verdana" w:hAnsi="Verdana" w:cs="Arial"/>
          <w:color w:val="000000"/>
          <w:sz w:val="16"/>
          <w:szCs w:val="16"/>
        </w:rPr>
        <w:t>º</w:t>
      </w:r>
      <w:r w:rsidRPr="004C3F47">
        <w:rPr>
          <w:rFonts w:ascii="Verdana" w:hAnsi="Verdana"/>
          <w:color w:val="000000"/>
          <w:sz w:val="16"/>
          <w:szCs w:val="16"/>
        </w:rPr>
        <w:t xml:space="preserve"> – Cuando el monto de la Cuenta Participación Patrimonial del Trabajo, cuya composición se establece en el artículo siguiente, alcance una cifra equivalente al cincuenta por ciento (50%) del monto del Capital Social de la empresa, salvo el caso del Artículo 53, se deducirá únicamente el uno y medio por ciento (1.5%) de la Renta neta a que se refiere el inciso b) del artículo anterior. En casos de aumento del Capital Social no comprendidos en el párrafo siguiente, o cuando por redención de los diferentes valores que constituyen la Cuenta Participación Patrimonial del Trabajo, esta sume cifra inferior al cincuenta por ciento (50%) del Capital Social, la empresa volverá a deducir parte o la totalidad del porcentaje a que se refiere el inciso a) del Artículo 38</w:t>
      </w:r>
      <w:r w:rsidRPr="004C3F47">
        <w:rPr>
          <w:rStyle w:val="st1"/>
          <w:rFonts w:ascii="Verdana" w:hAnsi="Verdana" w:cs="Arial"/>
          <w:color w:val="000000"/>
          <w:sz w:val="16"/>
          <w:szCs w:val="16"/>
        </w:rPr>
        <w:t>º</w:t>
      </w:r>
      <w:r w:rsidRPr="004C3F47">
        <w:rPr>
          <w:rFonts w:ascii="Verdana" w:hAnsi="Verdana"/>
          <w:color w:val="000000"/>
          <w:sz w:val="16"/>
          <w:szCs w:val="16"/>
        </w:rPr>
        <w:t xml:space="preserve"> hasta que el monto de dicha cuenta alcance nuevamente una suma equivalente al cincuenta por ciento (50%) del Capital Social. Cuando el aumento del Capital Social se efectúe por revalorización del patrimonio o capitalización de reservas, la empresa emitirá Acciones Laborales por un monto proporcional al grado de propiedad que sobre el patrimonio de la empresa posean los trabajadores al momento del aumento del capital, distribuyéndolas entre ellos en la proporción que corresponda</w:t>
      </w:r>
      <w:r w:rsidRPr="004C3F47">
        <w:rPr>
          <w:rFonts w:ascii="Verdana" w:eastAsia="Times New Roman" w:hAnsi="Verdana" w:cs="Arial"/>
          <w:iCs/>
          <w:color w:val="000000"/>
          <w:sz w:val="16"/>
          <w:szCs w:val="16"/>
          <w:lang w:eastAsia="es-CR"/>
        </w:rPr>
        <w:t>”</w:t>
      </w:r>
      <w:r>
        <w:rPr>
          <w:rFonts w:ascii="Verdana" w:eastAsia="Times New Roman" w:hAnsi="Verdana" w:cs="Arial"/>
          <w:iCs/>
          <w:color w:val="000000"/>
          <w:sz w:val="16"/>
          <w:szCs w:val="16"/>
          <w:lang w:eastAsia="es-CR"/>
        </w:rPr>
        <w:t>.</w:t>
      </w:r>
      <w:r w:rsidRPr="004C3F47">
        <w:rPr>
          <w:rFonts w:ascii="Verdana" w:hAnsi="Verdana"/>
          <w:color w:val="000000"/>
          <w:sz w:val="16"/>
          <w:szCs w:val="16"/>
        </w:rPr>
        <w:t xml:space="preserve"> </w:t>
      </w:r>
    </w:p>
  </w:footnote>
  <w:footnote w:id="33">
    <w:p w14:paraId="3E64C450" w14:textId="6650A896" w:rsidR="00D86616" w:rsidRPr="00333304" w:rsidRDefault="00D86616" w:rsidP="006A2D03">
      <w:pPr>
        <w:autoSpaceDE w:val="0"/>
        <w:autoSpaceDN w:val="0"/>
        <w:adjustRightInd w:val="0"/>
        <w:jc w:val="both"/>
        <w:rPr>
          <w:rFonts w:ascii="Verdana" w:hAnsi="Verdana"/>
          <w:strike/>
          <w:sz w:val="16"/>
          <w:szCs w:val="16"/>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Artículo 3</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w:t>
      </w:r>
      <w:r>
        <w:rPr>
          <w:rFonts w:ascii="Verdana" w:hAnsi="Verdana"/>
          <w:sz w:val="16"/>
          <w:szCs w:val="16"/>
        </w:rPr>
        <w:t>.</w:t>
      </w:r>
    </w:p>
  </w:footnote>
  <w:footnote w:id="34">
    <w:p w14:paraId="3EFC4669" w14:textId="3CFA0BB2" w:rsidR="00D86616" w:rsidRPr="00333304" w:rsidRDefault="00D86616" w:rsidP="006A2D03">
      <w:pPr>
        <w:autoSpaceDE w:val="0"/>
        <w:autoSpaceDN w:val="0"/>
        <w:adjustRightInd w:val="0"/>
        <w:jc w:val="both"/>
        <w:rPr>
          <w:rFonts w:ascii="Verdana" w:hAnsi="Verdana"/>
          <w:strike/>
          <w:sz w:val="16"/>
          <w:szCs w:val="16"/>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Artículo 2</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w:t>
      </w:r>
      <w:r>
        <w:rPr>
          <w:rFonts w:ascii="Verdana" w:hAnsi="Verdana"/>
          <w:sz w:val="16"/>
          <w:szCs w:val="16"/>
        </w:rPr>
        <w:t>.</w:t>
      </w:r>
      <w:r w:rsidRPr="004C3F47">
        <w:rPr>
          <w:rFonts w:ascii="Verdana" w:hAnsi="Verdana"/>
          <w:sz w:val="16"/>
          <w:szCs w:val="16"/>
        </w:rPr>
        <w:t xml:space="preserve"> </w:t>
      </w:r>
    </w:p>
  </w:footnote>
  <w:footnote w:id="35">
    <w:p w14:paraId="6F260ED8" w14:textId="34A349C6" w:rsidR="00D86616" w:rsidRPr="00333304" w:rsidRDefault="00D86616" w:rsidP="006A2D03">
      <w:pPr>
        <w:autoSpaceDE w:val="0"/>
        <w:autoSpaceDN w:val="0"/>
        <w:adjustRightInd w:val="0"/>
        <w:jc w:val="both"/>
        <w:rPr>
          <w:rFonts w:ascii="Verdana" w:hAnsi="Verdana"/>
          <w:strike/>
          <w:sz w:val="16"/>
          <w:szCs w:val="16"/>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Artículo 20</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w:t>
      </w:r>
      <w:r>
        <w:rPr>
          <w:rFonts w:ascii="Verdana" w:hAnsi="Verdana"/>
          <w:sz w:val="16"/>
          <w:szCs w:val="16"/>
        </w:rPr>
        <w:t>.</w:t>
      </w:r>
      <w:r w:rsidRPr="004C3F47">
        <w:rPr>
          <w:rFonts w:ascii="Verdana" w:hAnsi="Verdana"/>
          <w:sz w:val="16"/>
          <w:szCs w:val="16"/>
        </w:rPr>
        <w:t xml:space="preserve"> </w:t>
      </w:r>
    </w:p>
  </w:footnote>
  <w:footnote w:id="36">
    <w:p w14:paraId="22147978" w14:textId="1578A96A" w:rsidR="00D86616" w:rsidRPr="004C3F47" w:rsidRDefault="00D86616" w:rsidP="006A2D03">
      <w:pPr>
        <w:autoSpaceDE w:val="0"/>
        <w:autoSpaceDN w:val="0"/>
        <w:adjustRightInd w:val="0"/>
        <w:jc w:val="both"/>
        <w:rPr>
          <w:rFonts w:ascii="Verdana" w:hAnsi="Verdana"/>
          <w:sz w:val="16"/>
          <w:szCs w:val="16"/>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Artículo 29</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w:t>
      </w:r>
      <w:r>
        <w:rPr>
          <w:rFonts w:ascii="Verdana" w:hAnsi="Verdana"/>
          <w:sz w:val="16"/>
          <w:szCs w:val="16"/>
        </w:rPr>
        <w:t>.</w:t>
      </w:r>
      <w:r w:rsidRPr="004C3F47">
        <w:rPr>
          <w:rFonts w:ascii="Verdana" w:hAnsi="Verdana"/>
          <w:sz w:val="16"/>
          <w:szCs w:val="16"/>
        </w:rPr>
        <w:t xml:space="preserve"> </w:t>
      </w:r>
    </w:p>
  </w:footnote>
  <w:footnote w:id="37">
    <w:p w14:paraId="0684B3F5" w14:textId="70ABD031" w:rsidR="00D86616" w:rsidRPr="00333304" w:rsidRDefault="00D86616" w:rsidP="006A2D03">
      <w:pPr>
        <w:autoSpaceDE w:val="0"/>
        <w:autoSpaceDN w:val="0"/>
        <w:adjustRightInd w:val="0"/>
        <w:jc w:val="both"/>
        <w:rPr>
          <w:rFonts w:ascii="Verdana" w:eastAsia="Times New Roman" w:hAnsi="Verdana" w:cs="Arial"/>
          <w:iCs/>
          <w:strike/>
          <w:color w:val="000000"/>
          <w:sz w:val="16"/>
          <w:szCs w:val="16"/>
          <w:lang w:eastAsia="es-CR"/>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Artículo 33</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w:t>
      </w:r>
      <w:r>
        <w:rPr>
          <w:rFonts w:ascii="Verdana" w:hAnsi="Verdana"/>
          <w:sz w:val="16"/>
          <w:szCs w:val="16"/>
        </w:rPr>
        <w:t>.</w:t>
      </w:r>
      <w:r w:rsidRPr="004C3F47">
        <w:rPr>
          <w:rFonts w:ascii="Verdana" w:hAnsi="Verdana"/>
          <w:sz w:val="16"/>
          <w:szCs w:val="16"/>
        </w:rPr>
        <w:t xml:space="preserve"> </w:t>
      </w:r>
    </w:p>
  </w:footnote>
  <w:footnote w:id="38">
    <w:p w14:paraId="2BF87CCC" w14:textId="5304FB26" w:rsidR="00D86616" w:rsidRPr="00333304" w:rsidRDefault="00D86616" w:rsidP="006A2D03">
      <w:pPr>
        <w:autoSpaceDE w:val="0"/>
        <w:autoSpaceDN w:val="0"/>
        <w:adjustRightInd w:val="0"/>
        <w:jc w:val="both"/>
        <w:rPr>
          <w:rFonts w:ascii="Verdana" w:eastAsia="Times New Roman" w:hAnsi="Verdana" w:cs="Arial"/>
          <w:iCs/>
          <w:strike/>
          <w:color w:val="000000"/>
          <w:sz w:val="16"/>
          <w:szCs w:val="16"/>
          <w:lang w:eastAsia="es-CR"/>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Artículo 67</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w:t>
      </w:r>
      <w:r>
        <w:rPr>
          <w:rFonts w:ascii="Verdana" w:hAnsi="Verdana"/>
          <w:sz w:val="16"/>
          <w:szCs w:val="16"/>
        </w:rPr>
        <w:t>.</w:t>
      </w:r>
      <w:r w:rsidRPr="004C3F47">
        <w:rPr>
          <w:rFonts w:ascii="Verdana" w:hAnsi="Verdana"/>
          <w:sz w:val="16"/>
          <w:szCs w:val="16"/>
        </w:rPr>
        <w:t xml:space="preserve"> </w:t>
      </w:r>
    </w:p>
  </w:footnote>
  <w:footnote w:id="39">
    <w:p w14:paraId="76D859D3" w14:textId="01690A3D" w:rsidR="00D86616" w:rsidRPr="004C3F47" w:rsidRDefault="00D86616" w:rsidP="006A2D03">
      <w:pPr>
        <w:autoSpaceDE w:val="0"/>
        <w:autoSpaceDN w:val="0"/>
        <w:adjustRightInd w:val="0"/>
        <w:jc w:val="both"/>
        <w:rPr>
          <w:rFonts w:ascii="Verdana" w:eastAsia="Times New Roman" w:hAnsi="Verdana" w:cs="Arial"/>
          <w:iCs/>
          <w:color w:val="000000"/>
          <w:sz w:val="16"/>
          <w:szCs w:val="16"/>
          <w:lang w:eastAsia="es-CR"/>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Artículo 61</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w:t>
      </w:r>
      <w:r>
        <w:rPr>
          <w:rFonts w:ascii="Verdana" w:hAnsi="Verdana"/>
          <w:sz w:val="16"/>
          <w:szCs w:val="16"/>
        </w:rPr>
        <w:t>.</w:t>
      </w:r>
      <w:r w:rsidRPr="004C3F47">
        <w:rPr>
          <w:rFonts w:ascii="Verdana" w:hAnsi="Verdana"/>
          <w:sz w:val="16"/>
          <w:szCs w:val="16"/>
        </w:rPr>
        <w:t xml:space="preserve"> </w:t>
      </w:r>
    </w:p>
  </w:footnote>
  <w:footnote w:id="40">
    <w:p w14:paraId="64FAEAF0" w14:textId="3C20F78C" w:rsidR="00D86616" w:rsidRPr="004C3F47" w:rsidRDefault="00D86616" w:rsidP="006A2D03">
      <w:pPr>
        <w:autoSpaceDE w:val="0"/>
        <w:autoSpaceDN w:val="0"/>
        <w:adjustRightInd w:val="0"/>
        <w:jc w:val="both"/>
        <w:rPr>
          <w:rFonts w:ascii="Verdana" w:eastAsia="Times New Roman" w:hAnsi="Verdana" w:cs="Arial"/>
          <w:iCs/>
          <w:color w:val="000000"/>
          <w:sz w:val="16"/>
          <w:szCs w:val="16"/>
          <w:lang w:eastAsia="es-CR"/>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Artículo 16</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w:t>
      </w:r>
      <w:r>
        <w:rPr>
          <w:rFonts w:ascii="Verdana" w:hAnsi="Verdana"/>
          <w:sz w:val="16"/>
          <w:szCs w:val="16"/>
        </w:rPr>
        <w:t>.</w:t>
      </w:r>
      <w:r w:rsidRPr="004C3F47">
        <w:rPr>
          <w:rFonts w:ascii="Verdana" w:hAnsi="Verdana"/>
          <w:sz w:val="16"/>
          <w:szCs w:val="16"/>
        </w:rPr>
        <w:t xml:space="preserve"> </w:t>
      </w:r>
    </w:p>
  </w:footnote>
  <w:footnote w:id="41">
    <w:p w14:paraId="0913D9A0" w14:textId="57C59791" w:rsidR="00D86616" w:rsidRPr="004C3F47" w:rsidRDefault="00D86616" w:rsidP="00E677C5">
      <w:pPr>
        <w:autoSpaceDE w:val="0"/>
        <w:autoSpaceDN w:val="0"/>
        <w:adjustRightInd w:val="0"/>
        <w:jc w:val="both"/>
        <w:rPr>
          <w:rFonts w:ascii="Verdana" w:eastAsia="Times New Roman" w:hAnsi="Verdana" w:cs="Arial"/>
          <w:iCs/>
          <w:color w:val="000000"/>
          <w:sz w:val="16"/>
          <w:szCs w:val="16"/>
          <w:lang w:eastAsia="es-CR"/>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t>Artículo 26</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 establecía lo siguiente:</w:t>
      </w:r>
      <w:r w:rsidRPr="004C3F47">
        <w:rPr>
          <w:rFonts w:ascii="Verdana" w:hAnsi="Verdana"/>
          <w:color w:val="000000"/>
          <w:sz w:val="16"/>
          <w:szCs w:val="16"/>
        </w:rPr>
        <w:t xml:space="preserve"> </w:t>
      </w:r>
      <w:r w:rsidRPr="004C3F47">
        <w:rPr>
          <w:rFonts w:ascii="Verdana" w:hAnsi="Verdana"/>
          <w:sz w:val="16"/>
          <w:szCs w:val="16"/>
        </w:rPr>
        <w:t>“</w:t>
      </w:r>
      <w:r w:rsidRPr="004C3F47">
        <w:rPr>
          <w:rFonts w:ascii="Verdana" w:hAnsi="Verdana"/>
          <w:color w:val="000000"/>
          <w:sz w:val="16"/>
          <w:szCs w:val="16"/>
        </w:rPr>
        <w:t>Artículo 26</w:t>
      </w:r>
      <w:r w:rsidRPr="004C3F47">
        <w:rPr>
          <w:rStyle w:val="st1"/>
          <w:rFonts w:ascii="Verdana" w:hAnsi="Verdana" w:cs="Arial"/>
          <w:color w:val="000000"/>
          <w:sz w:val="16"/>
          <w:szCs w:val="16"/>
        </w:rPr>
        <w:t>º</w:t>
      </w:r>
      <w:r w:rsidRPr="004C3F47">
        <w:rPr>
          <w:rFonts w:ascii="Verdana" w:hAnsi="Verdana"/>
          <w:color w:val="000000"/>
          <w:sz w:val="16"/>
          <w:szCs w:val="16"/>
        </w:rPr>
        <w:t xml:space="preserve"> – La Asamblea general designará anualmente un Comité Electoral, el cual se encargará de llevar a cabo las elecciones de los miembros del Consejo de la Comunidad y de los representantes ante el Directorio de la empresa, para cada periodo, así como aquellas elecciones que sea necesarias para elegir reemplazantes de cualquiera de estos en casos de renuncia, vacancia o remoción de acuerdo a la Ley y a los Estatutos, por el término que falta para completar el periodo que corresponda”.</w:t>
      </w:r>
    </w:p>
  </w:footnote>
  <w:footnote w:id="42">
    <w:p w14:paraId="599079D5" w14:textId="7A472BC3" w:rsidR="00D86616" w:rsidRPr="00517952" w:rsidRDefault="00D86616" w:rsidP="00E677C5">
      <w:pPr>
        <w:autoSpaceDE w:val="0"/>
        <w:autoSpaceDN w:val="0"/>
        <w:adjustRightInd w:val="0"/>
        <w:jc w:val="both"/>
        <w:rPr>
          <w:rFonts w:ascii="Verdana" w:eastAsia="Times New Roman" w:hAnsi="Verdana" w:cs="Arial"/>
          <w:iCs/>
          <w:color w:val="000000"/>
          <w:sz w:val="16"/>
          <w:szCs w:val="16"/>
          <w:lang w:eastAsia="es-CR"/>
        </w:rPr>
      </w:pPr>
      <w:r w:rsidRPr="00954C4C">
        <w:rPr>
          <w:rStyle w:val="FootnoteReference"/>
          <w:szCs w:val="20"/>
        </w:rPr>
        <w:footnoteRef/>
      </w:r>
      <w:r w:rsidRPr="004C3F47">
        <w:rPr>
          <w:rFonts w:ascii="Verdana" w:hAnsi="Verdana"/>
          <w:sz w:val="16"/>
          <w:szCs w:val="16"/>
        </w:rPr>
        <w:t xml:space="preserve"> </w:t>
      </w:r>
      <w:r w:rsidRPr="004C3F47">
        <w:rPr>
          <w:rFonts w:ascii="Verdana" w:hAnsi="Verdana"/>
          <w:sz w:val="16"/>
          <w:szCs w:val="16"/>
        </w:rPr>
        <w:tab/>
        <w:t>El Artículo 23</w:t>
      </w:r>
      <w:r w:rsidRPr="004C3F47">
        <w:rPr>
          <w:rStyle w:val="st1"/>
          <w:rFonts w:ascii="Verdana" w:hAnsi="Verdana" w:cs="Arial"/>
          <w:color w:val="000000"/>
          <w:sz w:val="16"/>
          <w:szCs w:val="16"/>
        </w:rPr>
        <w:t>º</w:t>
      </w:r>
      <w:r w:rsidRPr="004C3F47">
        <w:rPr>
          <w:rFonts w:ascii="Verdana" w:hAnsi="Verdana"/>
          <w:color w:val="000000"/>
          <w:sz w:val="16"/>
          <w:szCs w:val="16"/>
        </w:rPr>
        <w:t xml:space="preserve"> </w:t>
      </w:r>
      <w:r w:rsidRPr="004C3F47">
        <w:rPr>
          <w:rFonts w:ascii="Verdana" w:hAnsi="Verdana"/>
          <w:sz w:val="16"/>
          <w:szCs w:val="16"/>
        </w:rPr>
        <w:t>del Decreto-Ley vigente en la época de los hechos establecía lo siguiente:</w:t>
      </w:r>
      <w:r w:rsidRPr="004C3F47">
        <w:rPr>
          <w:rFonts w:ascii="Verdana" w:hAnsi="Verdana"/>
          <w:color w:val="000000"/>
          <w:sz w:val="16"/>
          <w:szCs w:val="16"/>
        </w:rPr>
        <w:t xml:space="preserve"> </w:t>
      </w:r>
      <w:r w:rsidRPr="004C3F47">
        <w:rPr>
          <w:rFonts w:ascii="Verdana" w:hAnsi="Verdana"/>
          <w:sz w:val="16"/>
          <w:szCs w:val="16"/>
        </w:rPr>
        <w:t>“</w:t>
      </w:r>
      <w:r w:rsidRPr="004C3F47">
        <w:rPr>
          <w:rFonts w:ascii="Verdana" w:hAnsi="Verdana"/>
          <w:color w:val="000000"/>
          <w:sz w:val="16"/>
          <w:szCs w:val="16"/>
        </w:rPr>
        <w:t>Artículo 23</w:t>
      </w:r>
      <w:r w:rsidRPr="004C3F47">
        <w:rPr>
          <w:rStyle w:val="st1"/>
          <w:rFonts w:ascii="Verdana" w:hAnsi="Verdana" w:cs="Arial"/>
          <w:color w:val="000000"/>
          <w:sz w:val="16"/>
          <w:szCs w:val="16"/>
        </w:rPr>
        <w:t>º</w:t>
      </w:r>
      <w:r w:rsidRPr="004C3F47">
        <w:rPr>
          <w:rFonts w:ascii="Verdana" w:hAnsi="Verdana"/>
          <w:color w:val="000000"/>
          <w:sz w:val="16"/>
          <w:szCs w:val="16"/>
        </w:rPr>
        <w:t xml:space="preserve"> – Compete a la Asamblea General de la Comunidad Industrial : a) Pronunciarse sobre la gestión, cuentas y balances del ejercicio de la Comunidad; b) Aprobar el Estatuto de la Comunidad y modificarlo en su caso; c) Solicitar al Órgano Competente investigaciones sobre las gestiones del Consejo de la Comunidad; d) Disponer auditorias sobre el patrimonio de la Comunidad; e) Designar al Comité Electoral para la elección de los miembros del Consejo de la </w:t>
      </w:r>
      <w:r w:rsidRPr="00517952">
        <w:rPr>
          <w:rFonts w:ascii="Verdana" w:hAnsi="Verdana"/>
          <w:color w:val="000000"/>
          <w:sz w:val="16"/>
          <w:szCs w:val="16"/>
        </w:rPr>
        <w:t>Comunidad y de los representantes ante el Directorio; e) Designar el Comité Electoral para la elección de los miembros del Consejo de la Comunidad y de los representantes ante el Directorio; f) Remover al Presidente y demás miembros del Consejo de la Comunidad; g) Remover a los representantes de los trabajadores ante el Directorio; h) Revocar los acuerdos o decisiones del Consejo de la comunidad, cuando sean contrarias a Ley o al Estatuto de la Comunidad; i) Designar la Comisión Liquidadora del patrimonio de la Comunidad en el caso de liquidación; j) Tomar acuerdos en los casos en que la Ley o el Estatuto lo dispongan, o en cualquier otro asunto de importancia relacionado con la Comunidad; y k) Aprobar el Plan de Inversión anual de la participación patrimonial de la Comunidad Industrial</w:t>
      </w:r>
      <w:r w:rsidRPr="00517952">
        <w:rPr>
          <w:rFonts w:ascii="Verdana" w:eastAsia="Times New Roman" w:hAnsi="Verdana" w:cs="Arial"/>
          <w:iCs/>
          <w:color w:val="000000"/>
          <w:sz w:val="16"/>
          <w:szCs w:val="16"/>
          <w:lang w:eastAsia="es-CR"/>
        </w:rPr>
        <w:t>”.</w:t>
      </w:r>
    </w:p>
  </w:footnote>
  <w:footnote w:id="43">
    <w:p w14:paraId="169ECEC0" w14:textId="79D1DF8E" w:rsidR="00D86616" w:rsidRPr="00517952" w:rsidRDefault="00D86616" w:rsidP="00E677C5">
      <w:pPr>
        <w:autoSpaceDE w:val="0"/>
        <w:autoSpaceDN w:val="0"/>
        <w:adjustRightInd w:val="0"/>
        <w:jc w:val="both"/>
        <w:rPr>
          <w:rFonts w:ascii="Verdana" w:eastAsia="Times New Roman" w:hAnsi="Verdana" w:cs="Arial"/>
          <w:iCs/>
          <w:color w:val="000000"/>
          <w:sz w:val="16"/>
          <w:szCs w:val="16"/>
          <w:lang w:eastAsia="es-CR"/>
        </w:rPr>
      </w:pPr>
      <w:r w:rsidRPr="00517952">
        <w:rPr>
          <w:rStyle w:val="FootnoteReference"/>
          <w:sz w:val="16"/>
          <w:szCs w:val="16"/>
        </w:rPr>
        <w:footnoteRef/>
      </w:r>
      <w:r w:rsidRPr="00517952">
        <w:rPr>
          <w:rStyle w:val="FootnoteReference"/>
          <w:sz w:val="16"/>
          <w:szCs w:val="16"/>
        </w:rPr>
        <w:t xml:space="preserve"> </w:t>
      </w:r>
      <w:r w:rsidRPr="00517952">
        <w:rPr>
          <w:rFonts w:ascii="Verdana" w:hAnsi="Verdana"/>
          <w:sz w:val="16"/>
          <w:szCs w:val="16"/>
        </w:rPr>
        <w:tab/>
        <w:t>El Artículo 28</w:t>
      </w:r>
      <w:r w:rsidRPr="00517952">
        <w:rPr>
          <w:rStyle w:val="st1"/>
          <w:rFonts w:ascii="Verdana" w:hAnsi="Verdana" w:cs="Arial"/>
          <w:color w:val="000000"/>
          <w:sz w:val="16"/>
          <w:szCs w:val="16"/>
        </w:rPr>
        <w:t>º</w:t>
      </w:r>
      <w:r w:rsidRPr="00517952">
        <w:rPr>
          <w:rFonts w:ascii="Verdana" w:hAnsi="Verdana"/>
          <w:color w:val="000000"/>
          <w:sz w:val="16"/>
          <w:szCs w:val="16"/>
        </w:rPr>
        <w:t xml:space="preserve"> </w:t>
      </w:r>
      <w:r w:rsidRPr="00517952">
        <w:rPr>
          <w:rFonts w:ascii="Verdana" w:hAnsi="Verdana"/>
          <w:sz w:val="16"/>
          <w:szCs w:val="16"/>
        </w:rPr>
        <w:t>del Decreto-Ley vigente en la época de los hechos establecía lo siguiente:</w:t>
      </w:r>
      <w:r w:rsidRPr="00517952">
        <w:rPr>
          <w:rFonts w:ascii="Verdana" w:hAnsi="Verdana"/>
          <w:color w:val="000000"/>
          <w:sz w:val="16"/>
          <w:szCs w:val="16"/>
        </w:rPr>
        <w:t xml:space="preserve"> </w:t>
      </w:r>
      <w:r w:rsidRPr="00517952">
        <w:rPr>
          <w:rFonts w:ascii="Verdana" w:hAnsi="Verdana"/>
          <w:sz w:val="16"/>
          <w:szCs w:val="16"/>
        </w:rPr>
        <w:t>“</w:t>
      </w:r>
      <w:r w:rsidRPr="00517952">
        <w:rPr>
          <w:rFonts w:ascii="Verdana" w:hAnsi="Verdana"/>
          <w:color w:val="000000"/>
          <w:sz w:val="16"/>
          <w:szCs w:val="16"/>
        </w:rPr>
        <w:t>Artículo 28</w:t>
      </w:r>
      <w:r w:rsidRPr="00517952">
        <w:rPr>
          <w:rStyle w:val="st1"/>
          <w:rFonts w:ascii="Verdana" w:hAnsi="Verdana" w:cs="Arial"/>
          <w:color w:val="000000"/>
          <w:sz w:val="16"/>
          <w:szCs w:val="16"/>
        </w:rPr>
        <w:t>º - El número de miembros del Comité Electoral deberá señalarse en el Estatuto de la Comunidad, debiendo estar compuesto por trabajadores empleados y obreros en proporción a su número total en la empresa. Cuando menos uno (1) de los miembros deberá ser trabajador empleado”.</w:t>
      </w:r>
    </w:p>
  </w:footnote>
  <w:footnote w:id="44">
    <w:p w14:paraId="656E6494" w14:textId="1766E349"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t xml:space="preserve">Presidente: Alfredo Lagos del Campo (Obrero), Secretaria: Yolanda </w:t>
      </w:r>
      <w:proofErr w:type="spellStart"/>
      <w:r w:rsidRPr="00517952">
        <w:rPr>
          <w:rFonts w:ascii="Verdana" w:hAnsi="Verdana"/>
          <w:sz w:val="16"/>
          <w:szCs w:val="16"/>
        </w:rPr>
        <w:t>Ismodes</w:t>
      </w:r>
      <w:proofErr w:type="spellEnd"/>
      <w:r w:rsidRPr="00517952">
        <w:rPr>
          <w:rFonts w:ascii="Verdana" w:hAnsi="Verdana"/>
          <w:sz w:val="16"/>
          <w:szCs w:val="16"/>
        </w:rPr>
        <w:t xml:space="preserve"> </w:t>
      </w:r>
      <w:proofErr w:type="spellStart"/>
      <w:r w:rsidRPr="00517952">
        <w:rPr>
          <w:rFonts w:ascii="Verdana" w:hAnsi="Verdana"/>
          <w:sz w:val="16"/>
          <w:szCs w:val="16"/>
        </w:rPr>
        <w:t>Ramíres</w:t>
      </w:r>
      <w:proofErr w:type="spellEnd"/>
      <w:r w:rsidRPr="00517952">
        <w:rPr>
          <w:rFonts w:ascii="Verdana" w:hAnsi="Verdana"/>
          <w:sz w:val="16"/>
          <w:szCs w:val="16"/>
        </w:rPr>
        <w:t xml:space="preserve"> (Empleada), 1er. Vocal: Mercedes Mera Jiménez (Empleada), 2do Vocal: Teodomiro Vizcarra Salinas (Obrero), 3er Vocal: </w:t>
      </w:r>
      <w:proofErr w:type="spellStart"/>
      <w:r w:rsidRPr="00517952">
        <w:rPr>
          <w:rFonts w:ascii="Verdana" w:hAnsi="Verdana"/>
          <w:sz w:val="16"/>
          <w:szCs w:val="16"/>
        </w:rPr>
        <w:t>Aristedes</w:t>
      </w:r>
      <w:proofErr w:type="spellEnd"/>
      <w:r w:rsidRPr="00517952">
        <w:rPr>
          <w:rFonts w:ascii="Verdana" w:hAnsi="Verdana"/>
          <w:sz w:val="16"/>
          <w:szCs w:val="16"/>
        </w:rPr>
        <w:t xml:space="preserve"> Quispe Altamirano (Obrero). (expediente de prueba, anexo 4 del Informe de Fondo, f. 11.).</w:t>
      </w:r>
    </w:p>
  </w:footnote>
  <w:footnote w:id="45">
    <w:p w14:paraId="571570E2" w14:textId="0A6150F3"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Ministerio de Industria. Oficio No. 1526 ICTI/OGP-38. Inscripción del Comité Electoral. 9 de agosto de 1988. Anexos a la comunicación de los peticionarios de fecha 23 de julio de 1998 (expediente de prueba, anexo 4 del Informe de Fondo, f. 11). </w:t>
      </w:r>
    </w:p>
  </w:footnote>
  <w:footnote w:id="46">
    <w:p w14:paraId="6C987640" w14:textId="30679749"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t xml:space="preserve">Decreto- Ley 21789. Artículo 27 “Las elecciones se desarrollarán en un solo día y sin afectar las horas de trabajo, siguiendo el procedimiento señalado en el reglamento que sobre el particular apruebe el órgano Competente. El voto será personal, secreto, universal y obligatorio”. </w:t>
      </w:r>
    </w:p>
  </w:footnote>
  <w:footnote w:id="47">
    <w:p w14:paraId="21F92BD0" w14:textId="4BF3F07C" w:rsidR="00D86616" w:rsidRPr="00517952" w:rsidRDefault="00D86616" w:rsidP="00E677C5">
      <w:pPr>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t xml:space="preserve">El Artículo 3 del Decreto-Ley 21789 vigente en la época de los hechos establecía lo siguiente: </w:t>
      </w:r>
      <w:r w:rsidRPr="00517952">
        <w:rPr>
          <w:rStyle w:val="st1"/>
          <w:rFonts w:ascii="Verdana" w:hAnsi="Verdana" w:cs="Arial"/>
          <w:color w:val="000000"/>
          <w:sz w:val="16"/>
          <w:szCs w:val="16"/>
          <w:lang w:val="es-CR"/>
        </w:rPr>
        <w:t>“</w:t>
      </w:r>
      <w:r w:rsidRPr="00517952">
        <w:rPr>
          <w:rFonts w:ascii="Verdana" w:hAnsi="Verdana"/>
          <w:sz w:val="16"/>
          <w:szCs w:val="16"/>
        </w:rPr>
        <w:t>Son fines de la Comunidad Industrial: a) Contribuir al establecimiento de formas constructivas de interrelación en la empresa industrial; Fortalecer la empresa, mediante la acción unitaria de sus miembros en la gestión y proceso productivo, y su participación en la propiedad del patrimonio empresarial; c) Establecer una adecuada y racional distribución de los beneficios entre los inversionistas y trabajadores de una empresa industrial; y d) Promover la capacitación permanente y el estímulo a la creatividad de los trabajadores de la empresa”.</w:t>
      </w:r>
    </w:p>
  </w:footnote>
  <w:footnote w:id="48">
    <w:p w14:paraId="6F1294F7" w14:textId="7425A837" w:rsidR="00D86616" w:rsidRPr="004C3F47" w:rsidRDefault="00D86616" w:rsidP="00E677C5">
      <w:pPr>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t xml:space="preserve">El Artículo 8 del Texto Único Ordenado de la Ley 25593 de Relaciones Colectivas de Trabajo dispone que: </w:t>
      </w:r>
      <w:r w:rsidRPr="00517952">
        <w:rPr>
          <w:rStyle w:val="st1"/>
          <w:rFonts w:ascii="Verdana" w:hAnsi="Verdana" w:cs="Arial"/>
          <w:color w:val="000000"/>
          <w:sz w:val="16"/>
          <w:szCs w:val="16"/>
          <w:lang w:val="es-CR"/>
        </w:rPr>
        <w:t>“</w:t>
      </w:r>
      <w:r w:rsidRPr="00517952">
        <w:rPr>
          <w:rFonts w:ascii="Verdana" w:hAnsi="Verdana"/>
          <w:sz w:val="16"/>
          <w:szCs w:val="16"/>
        </w:rPr>
        <w:t>Son fines y funciones de las organizaciones sindicales: a) Representar el conjunto de trabajadores comprendidos dentro de su ámbito, en los conflictos, controversias o reclamaciones de naturaleza colectiva; b) Celebrar convenciones colectivas de trabajo,</w:t>
      </w:r>
      <w:r w:rsidRPr="004C3F47">
        <w:rPr>
          <w:rFonts w:ascii="Verdana" w:hAnsi="Verdana"/>
          <w:sz w:val="16"/>
          <w:szCs w:val="16"/>
        </w:rPr>
        <w:t xml:space="preserve"> exigir su cumplimiento y ejercer los derechos y acciones que de tales convenciones se originen; c) Representar o defender a sus miembros en las controversias o reclamaciones de carácter individual, salvo que el trabajador accione directamente en forma voluntaria o por mandato de la ley, caso en el cual el sindicato podrá actuar en calidad de asesor; d) Promover la creación y fomentar el desarrollo de cooperativas, cajas, fondos y, en general, organismos de auxilio y promoción social de sus miembros; e) Promover el mejoramiento cultural, la educación general, técnica y gremial de sus miembros; f) En general, todos los que no estén reñidos con sus fines esenciales ni con las leyes”.</w:t>
      </w:r>
    </w:p>
  </w:footnote>
  <w:footnote w:id="49">
    <w:p w14:paraId="1E545F3F" w14:textId="3D4C38F2"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t xml:space="preserve">Declaración pericial de Omar </w:t>
      </w:r>
      <w:proofErr w:type="spellStart"/>
      <w:r w:rsidRPr="00517952">
        <w:rPr>
          <w:lang w:val="es-MX"/>
        </w:rPr>
        <w:t>Sar</w:t>
      </w:r>
      <w:proofErr w:type="spellEnd"/>
      <w:r w:rsidRPr="00517952">
        <w:rPr>
          <w:lang w:val="es-MX"/>
        </w:rPr>
        <w:t xml:space="preserve"> Suárez. “En este apartado ha quedado establecido que existen diferencias entre los sindicatos y las comunidades industriales, pero corresponde advertir que en ambos casos los representantes de los trabajadores figuran el interés sectorial de éste grupo frente al empleador”. “(…) en relación con el derecho a la libertad de expresión estas diferencias, propias de la naturaleza de dichas instituciones, no afectan su contenido prima facie pues en ambos casos se ejerce una función representativa de los trabajadores” (expediente de fondo, </w:t>
      </w:r>
      <w:proofErr w:type="spellStart"/>
      <w:r w:rsidRPr="00517952">
        <w:rPr>
          <w:lang w:val="es-MX"/>
        </w:rPr>
        <w:t>ff</w:t>
      </w:r>
      <w:proofErr w:type="spellEnd"/>
      <w:r w:rsidRPr="00517952">
        <w:rPr>
          <w:lang w:val="es-MX"/>
        </w:rPr>
        <w:t>. 524 a 525).</w:t>
      </w:r>
    </w:p>
    <w:p w14:paraId="36E9AFBB" w14:textId="37E7E08F" w:rsidR="00D86616" w:rsidRPr="00517952" w:rsidRDefault="00D86616" w:rsidP="00334B6C">
      <w:pPr>
        <w:pStyle w:val="FootnoteText"/>
        <w:rPr>
          <w:lang w:val="es-ES"/>
        </w:rPr>
      </w:pPr>
      <w:r w:rsidRPr="00517952">
        <w:rPr>
          <w:lang w:val="es-MX"/>
        </w:rPr>
        <w:t xml:space="preserve">Por su parte, el perito Dr. César González </w:t>
      </w:r>
      <w:proofErr w:type="spellStart"/>
      <w:r w:rsidRPr="00517952">
        <w:rPr>
          <w:lang w:val="es-MX"/>
        </w:rPr>
        <w:t>Hunt</w:t>
      </w:r>
      <w:proofErr w:type="spellEnd"/>
      <w:r w:rsidRPr="00517952">
        <w:rPr>
          <w:lang w:val="es-MX"/>
        </w:rPr>
        <w:t xml:space="preserve"> explicó en su declaración ante la Corte en la audiencia pública del 7 de febrero de 2017 que, aunque existen varias diferencias entre las entidades, tanto las comunidades industriales como los sindicatos de trabajadores “son entidades que representan a los trabajadores ante el empleador” (Transcripción de la audiencia de fecha 7 de febrero de 2017, pág. 73).</w:t>
      </w:r>
    </w:p>
  </w:footnote>
  <w:footnote w:id="50">
    <w:p w14:paraId="0D52A931" w14:textId="5EFAB6DA" w:rsidR="00D86616" w:rsidRPr="00517952" w:rsidRDefault="00D86616" w:rsidP="00E677C5">
      <w:pPr>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sz w:val="16"/>
          <w:szCs w:val="16"/>
          <w:lang w:eastAsia="es-MX"/>
        </w:rPr>
        <w:t xml:space="preserve">Registro Nacional de Identificación y Estado Civil. DNI de Alfredo Lagos del Campo. </w:t>
      </w:r>
      <w:r w:rsidRPr="00517952">
        <w:rPr>
          <w:rFonts w:ascii="Verdana" w:hAnsi="Verdana"/>
          <w:sz w:val="16"/>
          <w:szCs w:val="16"/>
        </w:rPr>
        <w:t>(expediente de prueba, anexo 30 del Informe de Fondo, f. 102).</w:t>
      </w:r>
    </w:p>
  </w:footnote>
  <w:footnote w:id="51">
    <w:p w14:paraId="373184A8" w14:textId="7D2BF315"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CEPER-PIRELLI. Boleta de Pago de Alfredo Lagos del Campo. Semana del 26 de junio al 2 de julio de 1989 (expediente de prueba, anexo 2 del Informe de Fondo, f. 5), y Sentencia 225-91 dictada el 5 de marzo de 1991. </w:t>
      </w:r>
      <w:r w:rsidRPr="00517952">
        <w:rPr>
          <w:rFonts w:ascii="Verdana" w:hAnsi="Verdana"/>
          <w:sz w:val="16"/>
          <w:szCs w:val="16"/>
        </w:rPr>
        <w:t>(</w:t>
      </w:r>
      <w:r w:rsidRPr="00517952">
        <w:rPr>
          <w:rFonts w:ascii="Verdana" w:hAnsi="Verdana"/>
          <w:sz w:val="16"/>
          <w:szCs w:val="16"/>
          <w:lang w:eastAsia="es-MX"/>
        </w:rPr>
        <w:t xml:space="preserve">expediente de prueba, </w:t>
      </w:r>
      <w:r w:rsidRPr="00517952">
        <w:rPr>
          <w:rFonts w:ascii="Verdana" w:hAnsi="Verdana"/>
          <w:sz w:val="16"/>
          <w:szCs w:val="16"/>
        </w:rPr>
        <w:t>anexo 8 del Informe de Fondo, f. 29).</w:t>
      </w:r>
    </w:p>
  </w:footnote>
  <w:footnote w:id="52">
    <w:p w14:paraId="336CB8DC" w14:textId="708B5B2F"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Nota titulada ''Relación de Dirigentes con sus respectivos cargos. Periodo 1,982 - 1,983". Sin fecha; Sindicato de Trabajadores de "CEPER". Nota dirigida al jefe de la División de registro Sindical. Junio 1983; Sindicato de Trabajadores de "CEPER'. Nota dirigida al jefe de la División de registro Sindical. Junio 1985. anexos a la comunicación de los peticionarios de fecha 16 de marzo de 2011 </w:t>
      </w:r>
      <w:r w:rsidRPr="00517952">
        <w:rPr>
          <w:rFonts w:ascii="Verdana" w:hAnsi="Verdana"/>
          <w:sz w:val="16"/>
          <w:szCs w:val="16"/>
        </w:rPr>
        <w:t xml:space="preserve">(expediente de prueba, anexo 3 del Informe de Fondo, </w:t>
      </w:r>
      <w:proofErr w:type="spellStart"/>
      <w:r w:rsidRPr="00517952">
        <w:rPr>
          <w:rFonts w:ascii="Verdana" w:hAnsi="Verdana"/>
          <w:sz w:val="16"/>
          <w:szCs w:val="16"/>
        </w:rPr>
        <w:t>ff</w:t>
      </w:r>
      <w:proofErr w:type="spellEnd"/>
      <w:r w:rsidRPr="00517952">
        <w:rPr>
          <w:rFonts w:ascii="Verdana" w:hAnsi="Verdana"/>
          <w:sz w:val="16"/>
          <w:szCs w:val="16"/>
        </w:rPr>
        <w:t>. 7 a 9).</w:t>
      </w:r>
    </w:p>
  </w:footnote>
  <w:footnote w:id="53">
    <w:p w14:paraId="6CFCA0D8" w14:textId="0C91CD26"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Ministerio de Industria. Dirección General de Participación. Oficio No. 1526 ICTI/OGP-38. Inscripción del Comité Electoral. 9 de agosto de 1988. </w:t>
      </w:r>
      <w:r w:rsidRPr="00517952">
        <w:rPr>
          <w:rFonts w:ascii="Verdana" w:hAnsi="Verdana"/>
          <w:sz w:val="16"/>
          <w:szCs w:val="16"/>
        </w:rPr>
        <w:t>(expediente de prueba, anexo 4 del Informe de Fondo, f. 11).</w:t>
      </w:r>
    </w:p>
  </w:footnote>
  <w:footnote w:id="54">
    <w:p w14:paraId="32B35EE7" w14:textId="3FA35B49" w:rsidR="00D86616" w:rsidRPr="009E6ED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t xml:space="preserve">  Secretaria: Yolanda </w:t>
      </w:r>
      <w:proofErr w:type="spellStart"/>
      <w:r w:rsidRPr="00517952">
        <w:rPr>
          <w:lang w:val="es-MX"/>
        </w:rPr>
        <w:t>Ismodes</w:t>
      </w:r>
      <w:proofErr w:type="spellEnd"/>
      <w:r w:rsidRPr="00517952">
        <w:rPr>
          <w:lang w:val="es-MX"/>
        </w:rPr>
        <w:t xml:space="preserve"> </w:t>
      </w:r>
      <w:proofErr w:type="spellStart"/>
      <w:r w:rsidRPr="00517952">
        <w:rPr>
          <w:lang w:val="es-MX"/>
        </w:rPr>
        <w:t>Ramíres</w:t>
      </w:r>
      <w:proofErr w:type="spellEnd"/>
      <w:r w:rsidRPr="00517952">
        <w:rPr>
          <w:lang w:val="es-MX"/>
        </w:rPr>
        <w:t xml:space="preserve"> (Empleada), 1er. Vocal: Mercedes Mera Jiménez (Empleada), 2do Vocal: Teodomiro Vizcarra</w:t>
      </w:r>
      <w:r w:rsidRPr="009E6ED2">
        <w:rPr>
          <w:lang w:val="es-MX"/>
        </w:rPr>
        <w:t xml:space="preserve"> Salinas (Obrero), 3er Vocal: </w:t>
      </w:r>
      <w:proofErr w:type="spellStart"/>
      <w:r w:rsidRPr="009E6ED2">
        <w:rPr>
          <w:lang w:val="es-MX"/>
        </w:rPr>
        <w:t>Aristedes</w:t>
      </w:r>
      <w:proofErr w:type="spellEnd"/>
      <w:r w:rsidRPr="009E6ED2">
        <w:rPr>
          <w:lang w:val="es-MX"/>
        </w:rPr>
        <w:t xml:space="preserve"> Quispe Altamirano (Obrero).</w:t>
      </w:r>
    </w:p>
  </w:footnote>
  <w:footnote w:id="55">
    <w:p w14:paraId="264C9511" w14:textId="60DDFF98" w:rsidR="00D86616" w:rsidRPr="00517952"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517952">
        <w:rPr>
          <w:lang w:val="es-MX"/>
        </w:rPr>
        <w:tab/>
        <w:t xml:space="preserve">  Carta</w:t>
      </w:r>
      <w:r w:rsidRPr="009E6ED2">
        <w:rPr>
          <w:lang w:val="es-MX"/>
        </w:rPr>
        <w:t xml:space="preserve"> de 28 de abril de 1989, dirigida a la Dirección General de participación del Ministerio de Industria, adjunto a la carta de descargos presentada a la Empresa. Mediante la cual denunció a tres miembros de dicho Comité </w:t>
      </w:r>
      <w:r w:rsidRPr="00517952">
        <w:rPr>
          <w:lang w:val="es-MX"/>
        </w:rPr>
        <w:t xml:space="preserve">por atentar contra las normas orgánicas y de funcionamiento, al pretender desconocer la figura del presidente; efectuar reuniones al margen de la convocatoria, y dar la impresión que obedecieron a presiones ajenas, con pretensión de imponer un proceso electoral que favorezca a una determinada lista de candidatos promovidos por la patronal. (expediente de prueba de la Comisión, anexos a la contestación, f. 1450). </w:t>
      </w:r>
    </w:p>
  </w:footnote>
  <w:footnote w:id="56">
    <w:p w14:paraId="00213C1C" w14:textId="71D7B51A" w:rsidR="00D86616" w:rsidRPr="00517952" w:rsidRDefault="00D86616" w:rsidP="006A2D03">
      <w:pPr>
        <w:pStyle w:val="FootnoteText"/>
        <w:spacing w:after="0"/>
        <w:rPr>
          <w:lang w:val="es-MX"/>
        </w:rPr>
      </w:pPr>
      <w:r w:rsidRPr="00517952">
        <w:rPr>
          <w:rStyle w:val="FootnoteReference"/>
          <w:sz w:val="16"/>
          <w:lang w:val="es-MX"/>
        </w:rPr>
        <w:footnoteRef/>
      </w:r>
      <w:r w:rsidRPr="00517952">
        <w:rPr>
          <w:lang w:val="es-MX"/>
        </w:rPr>
        <w:t xml:space="preserve"> </w:t>
      </w:r>
      <w:r w:rsidRPr="00517952">
        <w:rPr>
          <w:lang w:val="es-MX"/>
        </w:rPr>
        <w:tab/>
      </w:r>
      <w:r w:rsidRPr="00517952">
        <w:rPr>
          <w:lang w:val="es-MX"/>
        </w:rPr>
        <w:tab/>
        <w:t xml:space="preserve">Signado por José Vargas </w:t>
      </w:r>
      <w:proofErr w:type="spellStart"/>
      <w:r w:rsidRPr="00517952">
        <w:rPr>
          <w:lang w:val="es-MX"/>
        </w:rPr>
        <w:t>Purizaga</w:t>
      </w:r>
      <w:proofErr w:type="spellEnd"/>
      <w:r w:rsidRPr="00517952">
        <w:rPr>
          <w:lang w:val="es-MX"/>
        </w:rPr>
        <w:t xml:space="preserve">, </w:t>
      </w:r>
      <w:proofErr w:type="spellStart"/>
      <w:r w:rsidRPr="00517952">
        <w:rPr>
          <w:lang w:val="es-MX"/>
        </w:rPr>
        <w:t>Leonidas</w:t>
      </w:r>
      <w:proofErr w:type="spellEnd"/>
      <w:r w:rsidRPr="00517952">
        <w:rPr>
          <w:lang w:val="es-MX"/>
        </w:rPr>
        <w:t xml:space="preserve"> Valdivia Mendoza, Alberto Sánchez </w:t>
      </w:r>
      <w:proofErr w:type="spellStart"/>
      <w:r w:rsidRPr="00517952">
        <w:rPr>
          <w:lang w:val="es-MX"/>
        </w:rPr>
        <w:t>Maravi</w:t>
      </w:r>
      <w:proofErr w:type="spellEnd"/>
      <w:r w:rsidRPr="00517952">
        <w:rPr>
          <w:lang w:val="es-MX"/>
        </w:rPr>
        <w:t xml:space="preserve"> y otros miembros de la Comunidad Industrial </w:t>
      </w:r>
      <w:proofErr w:type="spellStart"/>
      <w:r w:rsidRPr="00517952">
        <w:rPr>
          <w:lang w:val="es-MX"/>
        </w:rPr>
        <w:t>Ceper-Pirelli</w:t>
      </w:r>
      <w:proofErr w:type="spellEnd"/>
      <w:r w:rsidRPr="00517952">
        <w:rPr>
          <w:lang w:val="es-MX"/>
        </w:rPr>
        <w:t xml:space="preserve"> (expediente de prueba, anexo 3 a la contestación del Estado. f.1455). </w:t>
      </w:r>
    </w:p>
  </w:footnote>
  <w:footnote w:id="57">
    <w:p w14:paraId="7E4AA8E0" w14:textId="7B4BA884" w:rsidR="00D86616" w:rsidRPr="00517952" w:rsidRDefault="00D86616" w:rsidP="006A2D03">
      <w:pPr>
        <w:autoSpaceDE w:val="0"/>
        <w:autoSpaceDN w:val="0"/>
        <w:adjustRightInd w:val="0"/>
        <w:jc w:val="both"/>
        <w:rPr>
          <w:rFonts w:ascii="Verdana" w:hAnsi="Verdana" w:cs="Arial"/>
          <w:color w:val="000000"/>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cs="Arial"/>
          <w:i/>
          <w:color w:val="000000"/>
          <w:sz w:val="16"/>
          <w:szCs w:val="16"/>
        </w:rPr>
        <w:t>Cfr.</w:t>
      </w:r>
      <w:r w:rsidRPr="00517952">
        <w:rPr>
          <w:rFonts w:ascii="Verdana" w:hAnsi="Verdana" w:cs="Arial"/>
          <w:color w:val="000000"/>
          <w:sz w:val="16"/>
          <w:szCs w:val="16"/>
        </w:rPr>
        <w:t xml:space="preserve"> Dirección General de Participación del Ministerio de Industria. Resolución Directoral N 23-ICTI/OGP/89 de fecha 9 de junio de 1989 </w:t>
      </w:r>
      <w:r w:rsidRPr="00517952">
        <w:rPr>
          <w:rFonts w:ascii="Verdana" w:hAnsi="Verdana"/>
          <w:sz w:val="16"/>
          <w:szCs w:val="16"/>
        </w:rPr>
        <w:t>(expediente de prueba Anexo 3 contestación del Estado, f.1455). Mediante resolución directoral la Ofician General de Participación determinó que todo lo relacionado con el proceso electoral realizado el 28 de abril de 1989, se efectuó de acuerdo al Reglamento de elecciones; no obstante, declaró fundado el recurso y se instruyó convocar a un nuevo proceso electoral.</w:t>
      </w:r>
    </w:p>
  </w:footnote>
  <w:footnote w:id="58">
    <w:p w14:paraId="113D88DF" w14:textId="2E0715D9" w:rsidR="00D86616" w:rsidRPr="00517952"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517952">
        <w:rPr>
          <w:lang w:val="es-MX"/>
        </w:rPr>
        <w:tab/>
        <w:t xml:space="preserve">   Citación a reunión del Comité electoral de fecha 22 de junio de 1989, adjunto a la carta aclaratoria de 28 de junio de 1989. </w:t>
      </w:r>
    </w:p>
  </w:footnote>
  <w:footnote w:id="59">
    <w:p w14:paraId="00B89148" w14:textId="3C946815" w:rsidR="00D86616" w:rsidRPr="00517952" w:rsidRDefault="00D86616" w:rsidP="006A2D03">
      <w:pPr>
        <w:contextualSpacing/>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La Razón. Junio de 1989. </w:t>
      </w:r>
      <w:r w:rsidRPr="00517952">
        <w:rPr>
          <w:rFonts w:ascii="Verdana" w:hAnsi="Verdana"/>
          <w:i/>
          <w:iCs/>
          <w:sz w:val="16"/>
          <w:szCs w:val="16"/>
          <w:lang w:eastAsia="es-MX"/>
        </w:rPr>
        <w:t xml:space="preserve">CEPER. Patrona/y Amarillos pretenden liquidar CI. </w:t>
      </w:r>
      <w:r w:rsidRPr="00517952">
        <w:rPr>
          <w:rFonts w:ascii="Verdana" w:hAnsi="Verdana"/>
          <w:sz w:val="16"/>
          <w:szCs w:val="16"/>
          <w:lang w:eastAsia="es-MX"/>
        </w:rPr>
        <w:t xml:space="preserve">pág. 10 </w:t>
      </w:r>
      <w:r w:rsidRPr="00517952">
        <w:rPr>
          <w:rFonts w:ascii="Verdana" w:hAnsi="Verdana"/>
          <w:sz w:val="16"/>
          <w:szCs w:val="16"/>
        </w:rPr>
        <w:t>(expediente de prueba, anexo 5 del Informe de Fondo, f. 13).</w:t>
      </w:r>
    </w:p>
  </w:footnote>
  <w:footnote w:id="60">
    <w:p w14:paraId="12CDACB5" w14:textId="5511B562" w:rsidR="00D86616" w:rsidRPr="00517952"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517952">
        <w:rPr>
          <w:lang w:val="es-MX"/>
        </w:rPr>
        <w:tab/>
        <w:t xml:space="preserve">   </w:t>
      </w:r>
      <w:r w:rsidRPr="00517952">
        <w:rPr>
          <w:i/>
          <w:lang w:val="es-MX"/>
        </w:rPr>
        <w:t>Cfr.</w:t>
      </w:r>
      <w:r w:rsidRPr="00517952">
        <w:rPr>
          <w:lang w:val="es-MX"/>
        </w:rPr>
        <w:t xml:space="preserve"> </w:t>
      </w:r>
      <w:proofErr w:type="spellStart"/>
      <w:r w:rsidRPr="00517952">
        <w:rPr>
          <w:i/>
          <w:lang w:val="es-MX"/>
        </w:rPr>
        <w:t>Ibid</w:t>
      </w:r>
      <w:proofErr w:type="spellEnd"/>
      <w:r w:rsidRPr="00517952">
        <w:rPr>
          <w:i/>
          <w:lang w:val="es-MX"/>
        </w:rPr>
        <w:t>.</w:t>
      </w:r>
    </w:p>
  </w:footnote>
  <w:footnote w:id="61">
    <w:p w14:paraId="7767572B" w14:textId="12D24157" w:rsidR="00D86616" w:rsidRPr="004C3F47" w:rsidRDefault="00D86616" w:rsidP="006A2D03">
      <w:pPr>
        <w:autoSpaceDE w:val="0"/>
        <w:autoSpaceDN w:val="0"/>
        <w:adjustRightInd w:val="0"/>
        <w:jc w:val="both"/>
        <w:rPr>
          <w:rFonts w:ascii="Verdana" w:hAnsi="Verdana"/>
          <w:sz w:val="16"/>
          <w:szCs w:val="16"/>
        </w:rPr>
      </w:pPr>
      <w:r w:rsidRPr="00517952">
        <w:rPr>
          <w:rStyle w:val="FootnoteReference"/>
          <w:color w:val="000000"/>
          <w:sz w:val="16"/>
          <w:szCs w:val="16"/>
        </w:rPr>
        <w:footnoteRef/>
      </w:r>
      <w:r w:rsidRPr="00517952">
        <w:rPr>
          <w:rFonts w:ascii="Verdana" w:hAnsi="Verdana"/>
          <w:i/>
          <w:color w:val="000000"/>
          <w:sz w:val="16"/>
          <w:szCs w:val="16"/>
          <w:lang w:eastAsia="es-MX"/>
        </w:rPr>
        <w:t xml:space="preserve"> </w:t>
      </w:r>
      <w:r w:rsidRPr="00517952">
        <w:rPr>
          <w:rFonts w:ascii="Verdana" w:hAnsi="Verdana"/>
          <w:i/>
          <w:color w:val="000000"/>
          <w:sz w:val="16"/>
          <w:szCs w:val="16"/>
          <w:lang w:eastAsia="es-MX"/>
        </w:rPr>
        <w:tab/>
        <w:t>Cfr.</w:t>
      </w:r>
      <w:r w:rsidRPr="00517952">
        <w:rPr>
          <w:rFonts w:ascii="Verdana" w:hAnsi="Verdana"/>
          <w:color w:val="000000"/>
          <w:sz w:val="16"/>
          <w:szCs w:val="16"/>
          <w:lang w:eastAsia="es-MX"/>
        </w:rPr>
        <w:t xml:space="preserve"> </w:t>
      </w:r>
      <w:proofErr w:type="spellStart"/>
      <w:r w:rsidRPr="00517952">
        <w:rPr>
          <w:rFonts w:ascii="Verdana" w:hAnsi="Verdana"/>
          <w:i/>
          <w:color w:val="000000"/>
          <w:sz w:val="16"/>
          <w:szCs w:val="16"/>
          <w:lang w:eastAsia="es-MX"/>
        </w:rPr>
        <w:t>Ibid</w:t>
      </w:r>
      <w:proofErr w:type="spellEnd"/>
      <w:r w:rsidRPr="00A532BE">
        <w:rPr>
          <w:rFonts w:ascii="Verdana" w:hAnsi="Verdana"/>
          <w:i/>
          <w:color w:val="000000"/>
          <w:sz w:val="16"/>
          <w:szCs w:val="16"/>
          <w:lang w:eastAsia="es-MX"/>
        </w:rPr>
        <w:t>.</w:t>
      </w:r>
    </w:p>
  </w:footnote>
  <w:footnote w:id="62">
    <w:p w14:paraId="52880E65" w14:textId="3373F461" w:rsidR="00D86616" w:rsidRPr="00517952" w:rsidRDefault="00D86616" w:rsidP="00E677C5">
      <w:pPr>
        <w:jc w:val="both"/>
        <w:rPr>
          <w:rFonts w:ascii="Verdana" w:hAnsi="Verdana"/>
          <w:b/>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t>La comunicación notarial se le curso de acuerdo con lo establecido en el Artículo 6 de la Ley N</w:t>
      </w:r>
      <w:r w:rsidRPr="00517952">
        <w:rPr>
          <w:rStyle w:val="st1"/>
          <w:rFonts w:ascii="Verdana" w:hAnsi="Verdana" w:cs="Arial"/>
          <w:color w:val="000000"/>
          <w:sz w:val="16"/>
          <w:szCs w:val="16"/>
        </w:rPr>
        <w:t>º</w:t>
      </w:r>
      <w:r w:rsidRPr="00517952">
        <w:rPr>
          <w:rFonts w:ascii="Verdana" w:hAnsi="Verdana"/>
          <w:sz w:val="16"/>
          <w:szCs w:val="16"/>
        </w:rPr>
        <w:t xml:space="preserve"> 24514 y el Artículo 11 del Decreto Supremo N</w:t>
      </w:r>
      <w:r w:rsidRPr="00517952">
        <w:rPr>
          <w:rStyle w:val="st1"/>
          <w:rFonts w:ascii="Verdana" w:hAnsi="Verdana" w:cs="Arial"/>
          <w:color w:val="000000"/>
          <w:sz w:val="16"/>
          <w:szCs w:val="16"/>
        </w:rPr>
        <w:t>º</w:t>
      </w:r>
      <w:r w:rsidRPr="00517952">
        <w:rPr>
          <w:rFonts w:ascii="Verdana" w:hAnsi="Verdana"/>
          <w:sz w:val="16"/>
          <w:szCs w:val="16"/>
        </w:rPr>
        <w:t xml:space="preserve"> 03-88-TR </w:t>
      </w:r>
      <w:r w:rsidRPr="00517952">
        <w:rPr>
          <w:rFonts w:ascii="Verdana" w:hAnsi="Verdana"/>
          <w:color w:val="000000"/>
          <w:sz w:val="16"/>
          <w:szCs w:val="16"/>
        </w:rPr>
        <w:t>(expediente de prueba anexo 34 la contestación del Estado, f. 1457)</w:t>
      </w:r>
      <w:r w:rsidRPr="00517952">
        <w:rPr>
          <w:rFonts w:ascii="Verdana" w:hAnsi="Verdana"/>
          <w:sz w:val="16"/>
          <w:szCs w:val="16"/>
        </w:rPr>
        <w:t xml:space="preserve">. </w:t>
      </w:r>
    </w:p>
  </w:footnote>
  <w:footnote w:id="63">
    <w:p w14:paraId="489D299C" w14:textId="08E7E152" w:rsidR="00D86616" w:rsidRPr="009E6ED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r>
      <w:r w:rsidRPr="00517952">
        <w:rPr>
          <w:lang w:val="es-MX"/>
        </w:rPr>
        <w:tab/>
      </w:r>
      <w:r w:rsidRPr="00517952">
        <w:rPr>
          <w:i/>
          <w:lang w:val="es-MX"/>
        </w:rPr>
        <w:t>Cfr.</w:t>
      </w:r>
      <w:r w:rsidRPr="00517952">
        <w:rPr>
          <w:lang w:val="es-MX"/>
        </w:rPr>
        <w:t xml:space="preserve"> </w:t>
      </w:r>
      <w:r w:rsidRPr="00517952">
        <w:rPr>
          <w:lang w:val="es-MX" w:eastAsia="es-MX"/>
        </w:rPr>
        <w:t xml:space="preserve">CEPER-PIRELLI. Carta </w:t>
      </w:r>
      <w:r w:rsidRPr="00517952">
        <w:rPr>
          <w:lang w:val="es-MX"/>
        </w:rPr>
        <w:t>de notarial de fecha 26 de junio de 1989 (expediente de prueba, anexo 4 la contestación</w:t>
      </w:r>
      <w:r w:rsidRPr="009E6ED2">
        <w:rPr>
          <w:lang w:val="es-MX"/>
        </w:rPr>
        <w:t xml:space="preserve"> del Estado, f. 1457 y 1458).</w:t>
      </w:r>
    </w:p>
  </w:footnote>
  <w:footnote w:id="64">
    <w:p w14:paraId="5052153F" w14:textId="011C2671" w:rsidR="00D86616" w:rsidRPr="00517952" w:rsidRDefault="00D86616" w:rsidP="00E677C5">
      <w:pPr>
        <w:autoSpaceDE w:val="0"/>
        <w:autoSpaceDN w:val="0"/>
        <w:adjustRightInd w:val="0"/>
        <w:jc w:val="both"/>
        <w:rPr>
          <w:rFonts w:ascii="Verdana" w:hAnsi="Verdana"/>
          <w:sz w:val="16"/>
          <w:szCs w:val="16"/>
        </w:rPr>
      </w:pPr>
      <w:r w:rsidRPr="00517952">
        <w:rPr>
          <w:rStyle w:val="FootnoteReference"/>
          <w:color w:val="000000"/>
          <w:sz w:val="16"/>
          <w:szCs w:val="16"/>
        </w:rPr>
        <w:footnoteRef/>
      </w:r>
      <w:r w:rsidRPr="00517952">
        <w:rPr>
          <w:rFonts w:ascii="Verdana" w:hAnsi="Verdana"/>
          <w:i/>
          <w:color w:val="000000"/>
          <w:sz w:val="16"/>
          <w:szCs w:val="16"/>
        </w:rPr>
        <w:t xml:space="preserve"> </w:t>
      </w:r>
      <w:r w:rsidRPr="00517952">
        <w:rPr>
          <w:rFonts w:ascii="Verdana" w:hAnsi="Verdana"/>
          <w:i/>
          <w:color w:val="000000"/>
          <w:sz w:val="16"/>
          <w:szCs w:val="16"/>
        </w:rPr>
        <w:tab/>
        <w:t>Cfr.</w:t>
      </w:r>
      <w:r w:rsidRPr="00517952">
        <w:rPr>
          <w:rFonts w:ascii="Verdana" w:hAnsi="Verdana"/>
          <w:color w:val="000000"/>
          <w:sz w:val="16"/>
          <w:szCs w:val="16"/>
        </w:rPr>
        <w:t xml:space="preserve"> </w:t>
      </w:r>
      <w:r w:rsidRPr="00517952">
        <w:rPr>
          <w:rFonts w:ascii="Verdana" w:hAnsi="Verdana"/>
          <w:color w:val="000000"/>
          <w:sz w:val="16"/>
          <w:szCs w:val="16"/>
          <w:lang w:eastAsia="es-MX"/>
        </w:rPr>
        <w:t xml:space="preserve">CEPER-PIRELLI. Carta </w:t>
      </w:r>
      <w:r w:rsidRPr="00517952">
        <w:rPr>
          <w:rFonts w:ascii="Verdana" w:hAnsi="Verdana"/>
          <w:color w:val="000000"/>
          <w:sz w:val="16"/>
          <w:szCs w:val="16"/>
        </w:rPr>
        <w:t>de notarial de fecha 26 de junio de 1989 (expediente de prueba, anexo 4 la contestación del Estado, f. 1457 y 1458).</w:t>
      </w:r>
    </w:p>
  </w:footnote>
  <w:footnote w:id="65">
    <w:p w14:paraId="7805E7FA" w14:textId="0A41387B"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r>
      <w:r w:rsidRPr="00517952">
        <w:rPr>
          <w:lang w:val="es-MX"/>
        </w:rPr>
        <w:tab/>
      </w:r>
      <w:r w:rsidRPr="00517952">
        <w:rPr>
          <w:i/>
          <w:lang w:val="es-MX"/>
        </w:rPr>
        <w:t>Cfr.</w:t>
      </w:r>
      <w:r w:rsidRPr="00517952">
        <w:rPr>
          <w:lang w:val="es-MX"/>
        </w:rPr>
        <w:t xml:space="preserve"> Escrito de descargos presentado a la empresa el 30 de junio de 1989 por el señor Lagos del Campo. (expediente de prueba, anexo 5, f.1460).</w:t>
      </w:r>
    </w:p>
  </w:footnote>
  <w:footnote w:id="66">
    <w:p w14:paraId="15A156B6" w14:textId="5DE0B188"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CEPER-PIRELLI. Carta notarial de 1 de julio de 1989, con sello de recepción de notaría de Javier </w:t>
      </w:r>
      <w:proofErr w:type="spellStart"/>
      <w:r w:rsidRPr="00517952">
        <w:rPr>
          <w:rFonts w:ascii="Verdana" w:hAnsi="Verdana"/>
          <w:sz w:val="16"/>
          <w:szCs w:val="16"/>
          <w:lang w:eastAsia="es-MX"/>
        </w:rPr>
        <w:t>Aspauza</w:t>
      </w:r>
      <w:proofErr w:type="spellEnd"/>
      <w:r w:rsidRPr="00517952">
        <w:rPr>
          <w:rFonts w:ascii="Verdana" w:hAnsi="Verdana"/>
          <w:sz w:val="16"/>
          <w:szCs w:val="16"/>
          <w:lang w:eastAsia="es-MX"/>
        </w:rPr>
        <w:t xml:space="preserve"> Gamarra, de 3 de Julio de 1989. </w:t>
      </w:r>
      <w:r w:rsidRPr="00517952">
        <w:rPr>
          <w:rFonts w:ascii="Verdana" w:hAnsi="Verdana"/>
          <w:sz w:val="16"/>
          <w:szCs w:val="16"/>
        </w:rPr>
        <w:t xml:space="preserve">(expediente de prueba, anexo 6 del Informe de Fondo, ff.15 y 16). </w:t>
      </w:r>
    </w:p>
  </w:footnote>
  <w:footnote w:id="67">
    <w:p w14:paraId="69884561" w14:textId="01376F87"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r>
      <w:r w:rsidRPr="00517952">
        <w:rPr>
          <w:lang w:val="es-MX"/>
        </w:rPr>
        <w:tab/>
        <w:t xml:space="preserve">La Ley 24514 establecía 4 tipos de causales de despido consideradas justas. </w:t>
      </w:r>
    </w:p>
  </w:footnote>
  <w:footnote w:id="68">
    <w:p w14:paraId="2266B6E1" w14:textId="0DB7A10A" w:rsidR="00D86616" w:rsidRPr="004C3F47"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Congreso de la República de Perú. Ley 24514. Ley del derecho de estabilidad en el trabajo. 4 de junio de 1986. Artículo 4.a. Disponible para consulta en: http://www4.congreso.gob.pe/ntley/imagenes/Leyes/24514.pdf</w:t>
      </w:r>
      <w:r w:rsidRPr="004C3F47">
        <w:rPr>
          <w:rFonts w:ascii="Verdana" w:hAnsi="Verdana"/>
          <w:sz w:val="16"/>
          <w:szCs w:val="16"/>
          <w:lang w:eastAsia="es-MX"/>
        </w:rPr>
        <w:t xml:space="preserve">  </w:t>
      </w:r>
      <w:r w:rsidRPr="004C3F47">
        <w:rPr>
          <w:rFonts w:ascii="Verdana" w:hAnsi="Verdana"/>
          <w:sz w:val="16"/>
          <w:szCs w:val="16"/>
        </w:rPr>
        <w:t xml:space="preserve">(expediente de prueba anexo 9 del Informe de Fondo, </w:t>
      </w:r>
      <w:proofErr w:type="spellStart"/>
      <w:r w:rsidRPr="004C3F47">
        <w:rPr>
          <w:rFonts w:ascii="Verdana" w:hAnsi="Verdana"/>
          <w:sz w:val="16"/>
          <w:szCs w:val="16"/>
        </w:rPr>
        <w:t>ff</w:t>
      </w:r>
      <w:proofErr w:type="spellEnd"/>
      <w:r w:rsidRPr="004C3F47">
        <w:rPr>
          <w:rFonts w:ascii="Verdana" w:hAnsi="Verdana"/>
          <w:sz w:val="16"/>
          <w:szCs w:val="16"/>
        </w:rPr>
        <w:t>. 33bis a 38bis).</w:t>
      </w:r>
    </w:p>
  </w:footnote>
  <w:footnote w:id="69">
    <w:p w14:paraId="5982A5AF" w14:textId="0F618E13" w:rsidR="00D86616" w:rsidRPr="00517952" w:rsidRDefault="00D86616" w:rsidP="00E677C5">
      <w:pPr>
        <w:autoSpaceDE w:val="0"/>
        <w:autoSpaceDN w:val="0"/>
        <w:adjustRightInd w:val="0"/>
        <w:jc w:val="both"/>
        <w:rPr>
          <w:rFonts w:ascii="Verdana" w:eastAsia="Times New Roman" w:hAnsi="Verdana" w:cs="Arial"/>
          <w:iCs/>
          <w:color w:val="000000"/>
          <w:sz w:val="16"/>
          <w:szCs w:val="16"/>
          <w:lang w:eastAsia="es-CR"/>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t>El Artículo 3</w:t>
      </w:r>
      <w:r w:rsidRPr="00517952">
        <w:rPr>
          <w:rStyle w:val="st1"/>
          <w:rFonts w:ascii="Verdana" w:hAnsi="Verdana" w:cs="Arial"/>
          <w:color w:val="000000"/>
          <w:sz w:val="16"/>
          <w:szCs w:val="16"/>
        </w:rPr>
        <w:t>º</w:t>
      </w:r>
      <w:r w:rsidRPr="00517952">
        <w:rPr>
          <w:rFonts w:ascii="Verdana" w:hAnsi="Verdana"/>
          <w:color w:val="000000"/>
          <w:sz w:val="16"/>
          <w:szCs w:val="16"/>
        </w:rPr>
        <w:t xml:space="preserve"> </w:t>
      </w:r>
      <w:r w:rsidRPr="00517952">
        <w:rPr>
          <w:rFonts w:ascii="Verdana" w:hAnsi="Verdana"/>
          <w:sz w:val="16"/>
          <w:szCs w:val="16"/>
        </w:rPr>
        <w:t>del Decreto-Ley vigente en la época de los hechos establecía lo siguiente:</w:t>
      </w:r>
      <w:r w:rsidRPr="00517952">
        <w:rPr>
          <w:rFonts w:ascii="Verdana" w:hAnsi="Verdana"/>
          <w:color w:val="000000"/>
          <w:sz w:val="16"/>
          <w:szCs w:val="16"/>
        </w:rPr>
        <w:t xml:space="preserve"> </w:t>
      </w:r>
      <w:r w:rsidRPr="00517952">
        <w:rPr>
          <w:rFonts w:ascii="Verdana" w:hAnsi="Verdana"/>
          <w:sz w:val="16"/>
          <w:szCs w:val="16"/>
        </w:rPr>
        <w:t>“</w:t>
      </w:r>
      <w:r w:rsidRPr="00517952">
        <w:rPr>
          <w:rFonts w:ascii="Verdana" w:hAnsi="Verdana"/>
          <w:color w:val="000000"/>
          <w:sz w:val="16"/>
          <w:szCs w:val="16"/>
        </w:rPr>
        <w:t>Artículo 3</w:t>
      </w:r>
      <w:r w:rsidRPr="00517952">
        <w:rPr>
          <w:rStyle w:val="st1"/>
          <w:rFonts w:ascii="Verdana" w:hAnsi="Verdana" w:cs="Arial"/>
          <w:color w:val="000000"/>
          <w:sz w:val="16"/>
          <w:szCs w:val="16"/>
        </w:rPr>
        <w:t>º</w:t>
      </w:r>
      <w:r w:rsidRPr="00517952">
        <w:rPr>
          <w:rFonts w:ascii="Verdana" w:hAnsi="Verdana"/>
          <w:color w:val="000000"/>
          <w:sz w:val="16"/>
          <w:szCs w:val="16"/>
        </w:rPr>
        <w:t xml:space="preserve"> – Los trabajadores a que se refiere el Artículo 2</w:t>
      </w:r>
      <w:r w:rsidRPr="00517952">
        <w:rPr>
          <w:rStyle w:val="st1"/>
          <w:rFonts w:ascii="Verdana" w:hAnsi="Verdana" w:cs="Arial"/>
          <w:color w:val="000000"/>
          <w:sz w:val="16"/>
          <w:szCs w:val="16"/>
        </w:rPr>
        <w:t>º</w:t>
      </w:r>
      <w:r w:rsidRPr="00517952">
        <w:rPr>
          <w:rFonts w:ascii="Verdana" w:hAnsi="Verdana"/>
          <w:color w:val="000000"/>
          <w:sz w:val="16"/>
          <w:szCs w:val="16"/>
        </w:rPr>
        <w:t xml:space="preserve"> solo podrán ser despedidos por causa justa señalada en la presente Ley y debidamente comprobada”.</w:t>
      </w:r>
    </w:p>
  </w:footnote>
  <w:footnote w:id="70">
    <w:p w14:paraId="041B2383" w14:textId="0933509A" w:rsidR="00D86616" w:rsidRPr="00517952" w:rsidRDefault="00D86616" w:rsidP="00334B6C">
      <w:pPr>
        <w:pStyle w:val="FootnoteText"/>
        <w:rPr>
          <w:lang w:val="es-MX"/>
        </w:rPr>
      </w:pPr>
      <w:r w:rsidRPr="00517952">
        <w:rPr>
          <w:rStyle w:val="FootnoteReference"/>
          <w:sz w:val="16"/>
          <w:lang w:val="es-MX"/>
        </w:rPr>
        <w:footnoteRef/>
      </w:r>
      <w:r w:rsidRPr="00517952">
        <w:rPr>
          <w:lang w:val="es-MX"/>
        </w:rPr>
        <w:t xml:space="preserve"> </w:t>
      </w:r>
      <w:r w:rsidRPr="00517952">
        <w:rPr>
          <w:lang w:val="es-MX"/>
        </w:rPr>
        <w:tab/>
        <w:t xml:space="preserve">  </w:t>
      </w:r>
      <w:r w:rsidRPr="00517952">
        <w:rPr>
          <w:i/>
          <w:lang w:val="es-MX"/>
        </w:rPr>
        <w:t>Cfr.</w:t>
      </w:r>
      <w:r w:rsidRPr="00517952">
        <w:rPr>
          <w:lang w:val="es-MX"/>
        </w:rPr>
        <w:t xml:space="preserve"> Congreso de la República de Perú. Ley 24514. Ley del derecho de estabilidad en el trabajo. 4 de junio de 1986. Artículo 5. Disponible para consulta en: http://www4.congreso.gob.pe/ntley/imagenes/Leyes/24514.pdf  (expediente de prueba anexo 9 del Informe de Fondo, </w:t>
      </w:r>
      <w:proofErr w:type="spellStart"/>
      <w:r w:rsidRPr="00517952">
        <w:rPr>
          <w:lang w:val="es-MX"/>
        </w:rPr>
        <w:t>ff</w:t>
      </w:r>
      <w:proofErr w:type="spellEnd"/>
      <w:r w:rsidRPr="00517952">
        <w:rPr>
          <w:lang w:val="es-MX"/>
        </w:rPr>
        <w:t>. 33bis a 38bis).</w:t>
      </w:r>
    </w:p>
  </w:footnote>
  <w:footnote w:id="71">
    <w:p w14:paraId="2F460F71" w14:textId="7945E371" w:rsidR="00D86616" w:rsidRPr="00517952" w:rsidRDefault="00D86616" w:rsidP="00E677C5">
      <w:pPr>
        <w:autoSpaceDE w:val="0"/>
        <w:autoSpaceDN w:val="0"/>
        <w:adjustRightInd w:val="0"/>
        <w:jc w:val="both"/>
        <w:rPr>
          <w:rFonts w:ascii="Verdana" w:eastAsia="Times New Roman" w:hAnsi="Verdana" w:cs="Arial"/>
          <w:iCs/>
          <w:color w:val="000000"/>
          <w:sz w:val="16"/>
          <w:szCs w:val="16"/>
          <w:lang w:eastAsia="es-CR"/>
        </w:rPr>
      </w:pPr>
      <w:r w:rsidRPr="00517952">
        <w:rPr>
          <w:rStyle w:val="FootnoteReference"/>
          <w:sz w:val="16"/>
          <w:szCs w:val="16"/>
        </w:rPr>
        <w:footnoteRef/>
      </w:r>
      <w:r w:rsidRPr="00517952">
        <w:rPr>
          <w:rFonts w:ascii="Verdana" w:hAnsi="Verdana"/>
          <w:i/>
          <w:sz w:val="16"/>
          <w:szCs w:val="16"/>
        </w:rPr>
        <w:t xml:space="preserve">      Cfr.</w:t>
      </w:r>
      <w:r w:rsidRPr="00517952">
        <w:rPr>
          <w:rFonts w:ascii="Verdana" w:hAnsi="Verdana"/>
          <w:sz w:val="16"/>
          <w:szCs w:val="16"/>
        </w:rPr>
        <w:t xml:space="preserve"> Congreso de la República de Perú. Ley 24514. Ley del derecho de estabilidad en el trabajo. 4 de junio de 1986 Artículo 6</w:t>
      </w:r>
      <w:r w:rsidRPr="00517952">
        <w:rPr>
          <w:rFonts w:ascii="Verdana" w:hAnsi="Verdana"/>
          <w:color w:val="000000"/>
          <w:sz w:val="16"/>
          <w:szCs w:val="16"/>
        </w:rPr>
        <w:t>.- “El empleador inmediatamente después de conocida o investigada la falta que dé lugar al despido, deberá comunicar por escrito esta situación al trabajar afectado. No se podrá dar por terminada la relación laboral de un trabajador, sin que previamente se le haya ofrecido la posibilidad de defenderse de los cargos formulados contra él a menos que se trata de hechos de tal gravedad que no pueda pedirse razonablemente al empleador que se le conceda esa posibilidad. En el ejercicio del derecho de defensa, el trabajador podrá ser asistido por la representación sindical o por un profesional abogado, según decida”.</w:t>
      </w:r>
    </w:p>
  </w:footnote>
  <w:footnote w:id="72">
    <w:p w14:paraId="2DCB29C2" w14:textId="56BDC8E8" w:rsidR="00D86616" w:rsidRPr="00517952" w:rsidRDefault="00D86616" w:rsidP="00334B6C">
      <w:pPr>
        <w:pStyle w:val="FootnoteText"/>
        <w:rPr>
          <w:lang w:val="es-MX"/>
        </w:rPr>
      </w:pPr>
      <w:r w:rsidRPr="00517952">
        <w:rPr>
          <w:rStyle w:val="FootnoteReference"/>
          <w:sz w:val="16"/>
          <w:lang w:val="es-MX"/>
        </w:rPr>
        <w:footnoteRef/>
      </w:r>
      <w:r w:rsidRPr="00517952">
        <w:rPr>
          <w:lang w:val="es-MX"/>
        </w:rPr>
        <w:t xml:space="preserve"> </w:t>
      </w:r>
      <w:r w:rsidRPr="00517952">
        <w:rPr>
          <w:lang w:val="es-MX"/>
        </w:rPr>
        <w:tab/>
      </w:r>
      <w:r w:rsidRPr="00517952">
        <w:rPr>
          <w:i/>
          <w:lang w:val="es-MX"/>
        </w:rPr>
        <w:t>Cfr.</w:t>
      </w:r>
      <w:r w:rsidRPr="00517952">
        <w:rPr>
          <w:lang w:val="es-MX"/>
        </w:rPr>
        <w:t xml:space="preserve"> </w:t>
      </w:r>
      <w:r w:rsidRPr="00517952">
        <w:rPr>
          <w:lang w:val="es-MX" w:eastAsia="es-MX"/>
        </w:rPr>
        <w:t>Congreso de la República de Perú. Ley 24514. Ley del derecho de estabilidad en el trabajo. 4 de junio de 1986.</w:t>
      </w:r>
      <w:r w:rsidRPr="00517952" w:rsidDel="00712E9F">
        <w:rPr>
          <w:lang w:val="es-MX"/>
        </w:rPr>
        <w:t xml:space="preserve"> </w:t>
      </w:r>
      <w:r w:rsidRPr="00517952">
        <w:rPr>
          <w:lang w:val="es-MX"/>
        </w:rPr>
        <w:t>Artículo 7 “Concluido el trámite previo de conformidad con lo establecido en el artículo anterior, sin que el trabajador hubiera desvirtuado los hechos que configuran la falta grave, el empleador le notificara el despido mediante de Juez de Paz a falta de Notario, con indicación precisa de la causa del despido y la fecha en que debe cesar. Dicho despido será comunicado simultáneamente a la Autoridad Administrativa de Trabajo</w:t>
      </w:r>
      <w:r w:rsidRPr="00517952">
        <w:rPr>
          <w:rFonts w:cs="Arial"/>
          <w:iCs/>
          <w:lang w:val="es-MX" w:eastAsia="es-CR"/>
        </w:rPr>
        <w:t>”.</w:t>
      </w:r>
    </w:p>
  </w:footnote>
  <w:footnote w:id="73">
    <w:p w14:paraId="660DCACB" w14:textId="13AF4883" w:rsidR="00D86616" w:rsidRPr="00517952" w:rsidRDefault="00D86616" w:rsidP="00E677C5">
      <w:pPr>
        <w:autoSpaceDE w:val="0"/>
        <w:autoSpaceDN w:val="0"/>
        <w:adjustRightInd w:val="0"/>
        <w:jc w:val="both"/>
        <w:rPr>
          <w:rFonts w:ascii="Verdana" w:eastAsia="Times New Roman" w:hAnsi="Verdana" w:cs="Arial"/>
          <w:iCs/>
          <w:color w:val="000000"/>
          <w:sz w:val="16"/>
          <w:szCs w:val="16"/>
          <w:lang w:eastAsia="es-CR"/>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Congreso de la República de Perú. Ley 24514. Ley del derecho de estabilidad en el trabajo. 4 de junio de 1986.</w:t>
      </w:r>
      <w:r w:rsidRPr="00517952" w:rsidDel="00CF3233">
        <w:rPr>
          <w:rFonts w:ascii="Verdana" w:hAnsi="Verdana"/>
          <w:sz w:val="16"/>
          <w:szCs w:val="16"/>
        </w:rPr>
        <w:t xml:space="preserve"> </w:t>
      </w:r>
      <w:r w:rsidRPr="00517952">
        <w:rPr>
          <w:rFonts w:ascii="Verdana" w:hAnsi="Verdana"/>
          <w:color w:val="000000"/>
          <w:sz w:val="16"/>
          <w:szCs w:val="16"/>
        </w:rPr>
        <w:t>Artículo 8 “El trabajador que considere que el despido es injustificado o no cumple con los requisitos formales exigidos por esta Ley, podrá recurrir al Fuero de Trabajo y Comunidades Laborales para que lo declare injustificado o improcedente. A solicitud del trabajador afectado, en el acto del comparendo o después de esta diligencia, sin interrumpir la secuela del procedimiento el Juez podrá preventivamente disponer la suspensión; del despido y la reincorporación de aquel en su puesto habitual de trabajo cuando por la conducta del trabajador y las características del hecho imputado exista la presunción razonable de que el actor no ha incurrido en falta grave o cuando el despido se hubiera producido sin las formalidades señaladas en esta Ley”.</w:t>
      </w:r>
    </w:p>
  </w:footnote>
  <w:footnote w:id="74">
    <w:p w14:paraId="3A29CD5A" w14:textId="7D64BA74" w:rsidR="00D86616" w:rsidRPr="004C3F47" w:rsidRDefault="00D86616" w:rsidP="00E677C5">
      <w:pPr>
        <w:autoSpaceDE w:val="0"/>
        <w:autoSpaceDN w:val="0"/>
        <w:adjustRightInd w:val="0"/>
        <w:jc w:val="both"/>
        <w:rPr>
          <w:rFonts w:ascii="Verdana" w:hAnsi="Verdana"/>
          <w:color w:val="000000"/>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Congreso de la República de Perú. Ley 24514. Ley del derecho de estabilidad en el trabajo. 4 de junio de 1986. </w:t>
      </w:r>
      <w:r w:rsidRPr="00517952">
        <w:rPr>
          <w:rFonts w:ascii="Verdana" w:hAnsi="Verdana"/>
          <w:color w:val="000000"/>
          <w:sz w:val="16"/>
          <w:szCs w:val="16"/>
        </w:rPr>
        <w:t>Artículo 11 “La acción a que se refieren los artículos anteriores, se sujetará en general al procedimiento que rige las acciones que, en materia de trabajo, se tramitan ante el Fuero de Trabajo y Comunidades Laborales, con las particularidades que se establecen en la presente Ley. El Fuero de Trabajo y Comunidades Laborales resolverá este procedimiento dentro de un término no mayor de cuatro meses. La carga de la prueba con motivo del despido, en todo caso, corresponde al empleador</w:t>
      </w:r>
      <w:r w:rsidRPr="004C3F47">
        <w:rPr>
          <w:rFonts w:ascii="Verdana" w:hAnsi="Verdana"/>
          <w:color w:val="000000"/>
          <w:sz w:val="16"/>
          <w:szCs w:val="16"/>
        </w:rPr>
        <w:t>”.</w:t>
      </w:r>
    </w:p>
  </w:footnote>
  <w:footnote w:id="75">
    <w:p w14:paraId="70B7B5FB" w14:textId="1C51FF5C" w:rsidR="00D86616" w:rsidRPr="00517952" w:rsidRDefault="00D86616" w:rsidP="00E677C5">
      <w:pPr>
        <w:autoSpaceDE w:val="0"/>
        <w:autoSpaceDN w:val="0"/>
        <w:adjustRightInd w:val="0"/>
        <w:jc w:val="both"/>
        <w:rPr>
          <w:rFonts w:ascii="Verdana" w:eastAsia="Times New Roman" w:hAnsi="Verdana" w:cs="Arial"/>
          <w:iCs/>
          <w:color w:val="000000"/>
          <w:sz w:val="16"/>
          <w:szCs w:val="16"/>
          <w:lang w:eastAsia="es-CR"/>
        </w:rPr>
      </w:pPr>
      <w:r w:rsidRPr="00517952">
        <w:rPr>
          <w:rStyle w:val="FootnoteReference"/>
          <w:sz w:val="16"/>
          <w:szCs w:val="16"/>
        </w:rPr>
        <w:footnoteRef/>
      </w:r>
      <w:r w:rsidRPr="00517952">
        <w:rPr>
          <w:rFonts w:ascii="Verdana" w:hAnsi="Verdana"/>
          <w:sz w:val="16"/>
          <w:szCs w:val="16"/>
        </w:rPr>
        <w:t xml:space="preserve"> </w:t>
      </w:r>
      <w:r w:rsidRPr="004C3F47">
        <w:rPr>
          <w:rFonts w:ascii="Verdana" w:hAnsi="Verdana"/>
          <w:sz w:val="16"/>
          <w:szCs w:val="16"/>
        </w:rPr>
        <w:tab/>
      </w:r>
      <w:r w:rsidRPr="00F77B70">
        <w:rPr>
          <w:rFonts w:ascii="Verdana" w:hAnsi="Verdana"/>
          <w:i/>
          <w:sz w:val="16"/>
          <w:szCs w:val="16"/>
        </w:rPr>
        <w:t>Cfr.</w:t>
      </w:r>
      <w:r w:rsidRPr="004C3F47">
        <w:rPr>
          <w:rFonts w:ascii="Verdana" w:hAnsi="Verdana"/>
          <w:sz w:val="16"/>
          <w:szCs w:val="16"/>
        </w:rPr>
        <w:t xml:space="preserve"> </w:t>
      </w:r>
      <w:r w:rsidRPr="004C3F47">
        <w:rPr>
          <w:rFonts w:ascii="Verdana" w:hAnsi="Verdana"/>
          <w:sz w:val="16"/>
          <w:szCs w:val="16"/>
          <w:lang w:eastAsia="es-MX"/>
        </w:rPr>
        <w:t>Congreso de la República de Perú. Ley 24514. Ley del derecho de estabilidad en el trabajo. 4 de junio de 1986.</w:t>
      </w:r>
      <w:r w:rsidRPr="004C3F47" w:rsidDel="00CF3233">
        <w:rPr>
          <w:rFonts w:ascii="Verdana" w:hAnsi="Verdana"/>
          <w:sz w:val="16"/>
          <w:szCs w:val="16"/>
        </w:rPr>
        <w:t xml:space="preserve"> </w:t>
      </w:r>
      <w:r w:rsidRPr="004C3F47">
        <w:rPr>
          <w:rFonts w:ascii="Verdana" w:hAnsi="Verdana"/>
          <w:color w:val="000000"/>
          <w:sz w:val="16"/>
          <w:szCs w:val="16"/>
        </w:rPr>
        <w:t xml:space="preserve">Artículo 12 “Consentida o ejecutoriada que sea la resolución que declare injustificado o improcedente el despido, el trabajador en ejecución de resolución y en el plazo de ocho días desde la notificación, podrá optar entre su reposición inmediata o la terminación del contrato de trabajo, si ejercitare esta última opción, demandará el pago de la </w:t>
      </w:r>
      <w:r w:rsidRPr="00517952">
        <w:rPr>
          <w:rFonts w:ascii="Verdana" w:hAnsi="Verdana"/>
          <w:color w:val="000000"/>
          <w:sz w:val="16"/>
          <w:szCs w:val="16"/>
        </w:rPr>
        <w:t>indemnización especial a que se refiera el Artículo 14, así como la compensación por tiempo de servicios y demás beneficios sociales que pudieran corresponderle”.</w:t>
      </w:r>
    </w:p>
  </w:footnote>
  <w:footnote w:id="76">
    <w:p w14:paraId="77F9D011" w14:textId="5405CF20" w:rsidR="00D86616" w:rsidRPr="00517952" w:rsidRDefault="00D86616" w:rsidP="00E677C5">
      <w:pPr>
        <w:autoSpaceDE w:val="0"/>
        <w:autoSpaceDN w:val="0"/>
        <w:adjustRightInd w:val="0"/>
        <w:jc w:val="both"/>
        <w:rPr>
          <w:rFonts w:ascii="Verdana" w:hAnsi="Verdana"/>
          <w:color w:val="000000"/>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color w:val="000000"/>
          <w:sz w:val="16"/>
          <w:szCs w:val="16"/>
        </w:rPr>
        <w:t>Cfr.</w:t>
      </w:r>
      <w:r w:rsidRPr="00517952">
        <w:rPr>
          <w:rFonts w:ascii="Verdana" w:hAnsi="Verdana"/>
          <w:color w:val="000000"/>
          <w:sz w:val="16"/>
          <w:szCs w:val="16"/>
        </w:rPr>
        <w:t xml:space="preserve"> </w:t>
      </w:r>
      <w:r w:rsidRPr="00517952">
        <w:rPr>
          <w:rFonts w:ascii="Verdana" w:hAnsi="Verdana"/>
          <w:color w:val="000000"/>
          <w:sz w:val="16"/>
          <w:szCs w:val="16"/>
          <w:lang w:eastAsia="es-MX"/>
        </w:rPr>
        <w:t xml:space="preserve">Demanda interpuesta por el señor Lagos del Campo por despido injustificado ante el Juzgado de Trabajo de Lima. 26 de julio de 1989 </w:t>
      </w:r>
      <w:r w:rsidRPr="00517952">
        <w:rPr>
          <w:rFonts w:ascii="Verdana" w:hAnsi="Verdana"/>
          <w:color w:val="000000"/>
          <w:sz w:val="16"/>
          <w:szCs w:val="16"/>
        </w:rPr>
        <w:t xml:space="preserve">(expediente de prueba, anexo 7 del Informe de Fondo, </w:t>
      </w:r>
      <w:proofErr w:type="spellStart"/>
      <w:r w:rsidRPr="00517952">
        <w:rPr>
          <w:rFonts w:ascii="Verdana" w:hAnsi="Verdana"/>
          <w:color w:val="000000"/>
          <w:sz w:val="16"/>
          <w:szCs w:val="16"/>
        </w:rPr>
        <w:t>ff</w:t>
      </w:r>
      <w:proofErr w:type="spellEnd"/>
      <w:r w:rsidRPr="00517952">
        <w:rPr>
          <w:rFonts w:ascii="Verdana" w:hAnsi="Verdana"/>
          <w:color w:val="000000"/>
          <w:sz w:val="16"/>
          <w:szCs w:val="16"/>
        </w:rPr>
        <w:t>. 18 a 27).</w:t>
      </w:r>
    </w:p>
  </w:footnote>
  <w:footnote w:id="77">
    <w:p w14:paraId="420186F1" w14:textId="33442570"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iCs/>
          <w:sz w:val="16"/>
          <w:szCs w:val="16"/>
          <w:lang w:eastAsia="es-MX"/>
        </w:rPr>
        <w:t xml:space="preserve">Juez </w:t>
      </w:r>
      <w:r w:rsidRPr="00517952">
        <w:rPr>
          <w:rFonts w:ascii="Verdana" w:hAnsi="Verdana"/>
          <w:sz w:val="16"/>
          <w:szCs w:val="16"/>
          <w:lang w:eastAsia="es-MX"/>
        </w:rPr>
        <w:t xml:space="preserve">Décimo Quinto del juzgado de Trabajo de Lima. Sentencia 25-91 de 5 de marzo de 1991. </w:t>
      </w:r>
      <w:r w:rsidRPr="00517952">
        <w:rPr>
          <w:rFonts w:ascii="Verdana" w:hAnsi="Verdana"/>
          <w:sz w:val="16"/>
          <w:szCs w:val="16"/>
        </w:rPr>
        <w:t xml:space="preserve">(expediente de prueba, anexo 8 del Informe de Fondo, </w:t>
      </w:r>
      <w:proofErr w:type="spellStart"/>
      <w:r w:rsidRPr="00517952">
        <w:rPr>
          <w:rFonts w:ascii="Verdana" w:hAnsi="Verdana"/>
          <w:sz w:val="16"/>
          <w:szCs w:val="16"/>
        </w:rPr>
        <w:t>ff</w:t>
      </w:r>
      <w:proofErr w:type="spellEnd"/>
      <w:r w:rsidRPr="00517952">
        <w:rPr>
          <w:rFonts w:ascii="Verdana" w:hAnsi="Verdana"/>
          <w:sz w:val="16"/>
          <w:szCs w:val="16"/>
        </w:rPr>
        <w:t>. 29 a 31).</w:t>
      </w:r>
    </w:p>
  </w:footnote>
  <w:footnote w:id="78">
    <w:p w14:paraId="0BA371B7" w14:textId="62FB292A"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Escrito de contestación al recurso de apelación dirigido por el señor Lagos del Campo al Segundo Tribunal de Trabajo de Lima. 1 de agosto de 1991, Expediente No. 839-91. </w:t>
      </w:r>
      <w:r w:rsidRPr="00517952">
        <w:rPr>
          <w:rFonts w:ascii="Verdana" w:hAnsi="Verdana"/>
          <w:sz w:val="16"/>
          <w:szCs w:val="16"/>
        </w:rPr>
        <w:t xml:space="preserve">(expediente de prueba anexo 11 del Informe de Fondo, </w:t>
      </w:r>
      <w:proofErr w:type="spellStart"/>
      <w:r w:rsidRPr="00517952">
        <w:rPr>
          <w:rFonts w:ascii="Verdana" w:hAnsi="Verdana"/>
          <w:sz w:val="16"/>
          <w:szCs w:val="16"/>
        </w:rPr>
        <w:t>ff</w:t>
      </w:r>
      <w:proofErr w:type="spellEnd"/>
      <w:r w:rsidRPr="00517952">
        <w:rPr>
          <w:rFonts w:ascii="Verdana" w:hAnsi="Verdana"/>
          <w:sz w:val="16"/>
          <w:szCs w:val="16"/>
        </w:rPr>
        <w:t xml:space="preserve">. 43 a 45).  </w:t>
      </w:r>
    </w:p>
  </w:footnote>
  <w:footnote w:id="79">
    <w:p w14:paraId="184E2817" w14:textId="20AA61A3"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Segundo Tribunal de Trabajo de Lima. Sentencia 08-0891 de 8 de agosto de 1991. </w:t>
      </w:r>
      <w:r w:rsidRPr="00517952">
        <w:rPr>
          <w:rFonts w:ascii="Verdana" w:hAnsi="Verdana"/>
          <w:sz w:val="16"/>
          <w:szCs w:val="16"/>
        </w:rPr>
        <w:t xml:space="preserve">(expediente de prueba, anexo 12 del Informe de Fondo, </w:t>
      </w:r>
      <w:proofErr w:type="spellStart"/>
      <w:r w:rsidRPr="00517952">
        <w:rPr>
          <w:rFonts w:ascii="Verdana" w:hAnsi="Verdana"/>
          <w:sz w:val="16"/>
          <w:szCs w:val="16"/>
        </w:rPr>
        <w:t>ff</w:t>
      </w:r>
      <w:proofErr w:type="spellEnd"/>
      <w:r w:rsidRPr="00517952">
        <w:rPr>
          <w:rFonts w:ascii="Verdana" w:hAnsi="Verdana"/>
          <w:sz w:val="16"/>
          <w:szCs w:val="16"/>
        </w:rPr>
        <w:t xml:space="preserve">. 47 y 48).  </w:t>
      </w:r>
    </w:p>
  </w:footnote>
  <w:footnote w:id="80">
    <w:p w14:paraId="0964AD16" w14:textId="25D13F57" w:rsidR="00D86616" w:rsidRPr="004C3F47" w:rsidRDefault="00D86616" w:rsidP="00E677C5">
      <w:pPr>
        <w:autoSpaceDE w:val="0"/>
        <w:autoSpaceDN w:val="0"/>
        <w:adjustRightInd w:val="0"/>
        <w:jc w:val="both"/>
        <w:rPr>
          <w:rFonts w:ascii="Verdana" w:hAnsi="Verdana"/>
          <w:sz w:val="16"/>
          <w:szCs w:val="16"/>
        </w:rPr>
      </w:pPr>
      <w:r w:rsidRPr="00517952">
        <w:rPr>
          <w:rStyle w:val="FootnoteReference"/>
          <w:rFonts w:eastAsia="MS Mincho"/>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Segundo Tribunal de Trabajo de Lima. Sentencia 08-0891 de 8 de agosto de 1991. </w:t>
      </w:r>
      <w:r w:rsidRPr="00517952">
        <w:rPr>
          <w:rFonts w:ascii="Verdana" w:hAnsi="Verdana"/>
          <w:sz w:val="16"/>
          <w:szCs w:val="16"/>
        </w:rPr>
        <w:t xml:space="preserve">(expediente de prueba, anexo 11 del Informe de Fondo, </w:t>
      </w:r>
      <w:proofErr w:type="spellStart"/>
      <w:r w:rsidRPr="00517952">
        <w:rPr>
          <w:rFonts w:ascii="Verdana" w:hAnsi="Verdana"/>
          <w:sz w:val="16"/>
          <w:szCs w:val="16"/>
        </w:rPr>
        <w:t>ff</w:t>
      </w:r>
      <w:proofErr w:type="spellEnd"/>
      <w:r w:rsidRPr="00517952">
        <w:rPr>
          <w:rFonts w:ascii="Verdana" w:hAnsi="Verdana"/>
          <w:sz w:val="16"/>
          <w:szCs w:val="16"/>
        </w:rPr>
        <w:t>. 47 y 48</w:t>
      </w:r>
      <w:r w:rsidRPr="004C3F47">
        <w:rPr>
          <w:rFonts w:ascii="Verdana" w:hAnsi="Verdana"/>
          <w:sz w:val="16"/>
          <w:szCs w:val="16"/>
        </w:rPr>
        <w:t xml:space="preserve">).  </w:t>
      </w:r>
    </w:p>
  </w:footnote>
  <w:footnote w:id="81">
    <w:p w14:paraId="30D21FB1" w14:textId="31EA1818" w:rsidR="00D86616" w:rsidRPr="00517952" w:rsidRDefault="00D86616" w:rsidP="00E677C5">
      <w:pPr>
        <w:autoSpaceDE w:val="0"/>
        <w:autoSpaceDN w:val="0"/>
        <w:adjustRightInd w:val="0"/>
        <w:contextualSpacing/>
        <w:jc w:val="both"/>
        <w:rPr>
          <w:rFonts w:ascii="Verdana" w:hAnsi="Verdana"/>
          <w:b/>
          <w:sz w:val="16"/>
          <w:szCs w:val="16"/>
          <w:lang w:eastAsia="es-MX"/>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iCs/>
          <w:sz w:val="16"/>
          <w:szCs w:val="16"/>
          <w:lang w:eastAsia="es-MX"/>
        </w:rPr>
        <w:t>Cfr.</w:t>
      </w:r>
      <w:r w:rsidRPr="00517952">
        <w:rPr>
          <w:rFonts w:ascii="Verdana" w:hAnsi="Verdana"/>
          <w:iCs/>
          <w:sz w:val="16"/>
          <w:szCs w:val="16"/>
          <w:lang w:eastAsia="es-MX"/>
        </w:rPr>
        <w:t xml:space="preserve"> </w:t>
      </w:r>
      <w:r w:rsidRPr="00517952">
        <w:rPr>
          <w:rFonts w:ascii="Verdana" w:hAnsi="Verdana"/>
          <w:sz w:val="16"/>
          <w:szCs w:val="16"/>
          <w:lang w:eastAsia="es-MX"/>
        </w:rPr>
        <w:t xml:space="preserve">Recurso de revisión y reconsideración interpuesto por el señor Lagos del Campo ante el Segundo Tribunal de Trabajo de Lima. Expediente No. 839-91. 26 de agosto de 1991, </w:t>
      </w:r>
      <w:r w:rsidRPr="00517952">
        <w:rPr>
          <w:rFonts w:ascii="Verdana" w:hAnsi="Verdana" w:cs="Arial"/>
          <w:sz w:val="16"/>
          <w:szCs w:val="16"/>
          <w:lang w:eastAsia="es-MX"/>
        </w:rPr>
        <w:t xml:space="preserve">y </w:t>
      </w:r>
      <w:r w:rsidRPr="00517952">
        <w:rPr>
          <w:rFonts w:ascii="Verdana" w:hAnsi="Verdana"/>
          <w:sz w:val="16"/>
          <w:szCs w:val="16"/>
          <w:lang w:eastAsia="es-MX"/>
        </w:rPr>
        <w:t xml:space="preserve">Auto emitido por el Segundo Tribunal de Trabajo de Lima. Expediente No. 839-91. 21 de agosto de 1991. </w:t>
      </w:r>
      <w:r w:rsidRPr="00517952">
        <w:rPr>
          <w:rFonts w:ascii="Verdana" w:hAnsi="Verdana"/>
          <w:sz w:val="16"/>
          <w:szCs w:val="16"/>
        </w:rPr>
        <w:t xml:space="preserve">(expediente de prueba, anexo 11 del Informe de Fondo, </w:t>
      </w:r>
      <w:proofErr w:type="spellStart"/>
      <w:r w:rsidRPr="00517952">
        <w:rPr>
          <w:rFonts w:ascii="Verdana" w:hAnsi="Verdana"/>
          <w:sz w:val="16"/>
          <w:szCs w:val="16"/>
        </w:rPr>
        <w:t>ff</w:t>
      </w:r>
      <w:proofErr w:type="spellEnd"/>
      <w:r w:rsidRPr="00517952">
        <w:rPr>
          <w:rFonts w:ascii="Verdana" w:hAnsi="Verdana"/>
          <w:sz w:val="16"/>
          <w:szCs w:val="16"/>
        </w:rPr>
        <w:t>. 50 y 51). Mediante dicho recurso de revisión y reconsideración Lagos alegó “al amparo de los artículos 1, 2, 4, 15 y 18 de la Constitución Política”, su disconformidad con el fallo emitido el 8 de agosto de 1991, por considerarlo atentatorio a sus derechos, intereses y beneficios como trabajador, ya que en dicha resolución no se contemplaba lo estipulado en la legislación interna del Perú  para la buena administración de justicia. Al respecto, el Segundo Tribunal de Trabajo concluyó: “No haber lugar a la revisión y reconsideración interpuesta por improcedente y devuélvase en el día los de la materia al Juzgado de origen”.</w:t>
      </w:r>
    </w:p>
  </w:footnote>
  <w:footnote w:id="82">
    <w:p w14:paraId="264A1B45" w14:textId="483E4325"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Recurso de nulidad interpuesto por el señor Lagos del Campo ante el Segundo Tribunal de Trabajo de Lima. Expediente No. 839-91. 2 de septiembre de 1991; y Auto emitido por el Segundo Tribunal de Trabajo de Lima. Expediente No. 839- 91. 3 de septiembre de 1991. </w:t>
      </w:r>
      <w:r w:rsidRPr="00517952">
        <w:rPr>
          <w:rFonts w:ascii="Verdana" w:hAnsi="Verdana"/>
          <w:sz w:val="16"/>
          <w:szCs w:val="16"/>
        </w:rPr>
        <w:t xml:space="preserve">(expediente de prueba anexo 14 del Informe de Fondo, </w:t>
      </w:r>
      <w:proofErr w:type="spellStart"/>
      <w:r w:rsidRPr="00517952">
        <w:rPr>
          <w:rFonts w:ascii="Verdana" w:hAnsi="Verdana"/>
          <w:sz w:val="16"/>
          <w:szCs w:val="16"/>
        </w:rPr>
        <w:t>ff</w:t>
      </w:r>
      <w:proofErr w:type="spellEnd"/>
      <w:r w:rsidRPr="00517952">
        <w:rPr>
          <w:rFonts w:ascii="Verdana" w:hAnsi="Verdana"/>
          <w:sz w:val="16"/>
          <w:szCs w:val="16"/>
        </w:rPr>
        <w:t>. 53 a 56). Dicho recurso se interpuso con fundamento en los Artículos 59, 60 y 61 del Decreto Supremo 03-80, mediante el cual solicitó la nulidad de la resolución de 8 de agosto de 1991, tras no ser aceptado su recurso de revisión y reconsideración emitido por el mismo Tribunal.</w:t>
      </w:r>
    </w:p>
  </w:footnote>
  <w:footnote w:id="83">
    <w:p w14:paraId="123FB04D" w14:textId="586719C1" w:rsidR="00D86616" w:rsidRPr="00517952" w:rsidRDefault="00D86616" w:rsidP="00334B6C">
      <w:pPr>
        <w:pStyle w:val="FootnoteText"/>
        <w:rPr>
          <w:i/>
          <w:lang w:val="es-MX"/>
        </w:rPr>
      </w:pPr>
      <w:r w:rsidRPr="00517952">
        <w:rPr>
          <w:rStyle w:val="FootnoteReference"/>
          <w:sz w:val="16"/>
        </w:rPr>
        <w:footnoteRef/>
      </w:r>
      <w:r w:rsidRPr="00517952">
        <w:rPr>
          <w:lang w:val="es-MX"/>
        </w:rPr>
        <w:t xml:space="preserve"> </w:t>
      </w:r>
      <w:r w:rsidRPr="00517952">
        <w:rPr>
          <w:lang w:val="es-MX"/>
        </w:rPr>
        <w:tab/>
      </w:r>
      <w:r w:rsidRPr="00517952">
        <w:rPr>
          <w:i/>
          <w:lang w:val="es-MX"/>
        </w:rPr>
        <w:t>Cfr.</w:t>
      </w:r>
      <w:r w:rsidRPr="00517952">
        <w:rPr>
          <w:lang w:val="es-MX"/>
        </w:rPr>
        <w:t xml:space="preserve"> Congreso de la República de Perú. Código de Procedimiento Civil DL 12760 de 6 de Agosto de 1975. Artículo 1085, nulidad de resoluciones: 9o. El auto o sentencia en la parte que resuelve sobre punto no demandado o no controvertido; 10º. La sentencia que no resuelva alguno o algunos de los puntos controvertidos, salvo lo dispuesto en la última parte del Artículo 1086.  </w:t>
      </w:r>
    </w:p>
    <w:p w14:paraId="305B3ED5" w14:textId="46D5D018" w:rsidR="00D86616" w:rsidRPr="00517952" w:rsidRDefault="00D86616" w:rsidP="00334B6C">
      <w:pPr>
        <w:pStyle w:val="FootnoteText"/>
        <w:rPr>
          <w:i/>
          <w:lang w:val="es-MX"/>
        </w:rPr>
      </w:pPr>
      <w:r w:rsidRPr="00517952">
        <w:rPr>
          <w:lang w:val="es-MX"/>
        </w:rPr>
        <w:t>Artículo 250.- I. El recurso de casación o de nulidad se concederá para invalidar una sentencia o auto definitivo en los casos expresamente señalados por la ley. Podrá ser de casación en el fondo y de casación en la forma. II. Estos recursos podrán ser interpuestos al mismo tiempo.</w:t>
      </w:r>
    </w:p>
  </w:footnote>
  <w:footnote w:id="84">
    <w:p w14:paraId="4EF0C66C" w14:textId="0653F7BB"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Acción de amparo interpuesta por el señor Lagos del Campo ante la Sala Civil de la Corte Superior de Lima. Expediente. No. 2615-91. 21 de octubre de 1991. </w:t>
      </w:r>
      <w:r w:rsidRPr="00517952">
        <w:rPr>
          <w:rFonts w:ascii="Verdana" w:hAnsi="Verdana"/>
          <w:sz w:val="16"/>
          <w:szCs w:val="16"/>
        </w:rPr>
        <w:t xml:space="preserve">(expediente de prueba, anexo 15 del Informe de Fondo, </w:t>
      </w:r>
      <w:proofErr w:type="spellStart"/>
      <w:r w:rsidRPr="00517952">
        <w:rPr>
          <w:rFonts w:ascii="Verdana" w:hAnsi="Verdana"/>
          <w:sz w:val="16"/>
          <w:szCs w:val="16"/>
        </w:rPr>
        <w:t>ff</w:t>
      </w:r>
      <w:proofErr w:type="spellEnd"/>
      <w:r w:rsidRPr="00517952">
        <w:rPr>
          <w:rFonts w:ascii="Verdana" w:hAnsi="Verdana"/>
          <w:sz w:val="16"/>
          <w:szCs w:val="16"/>
        </w:rPr>
        <w:t xml:space="preserve">. 58 a 61).  </w:t>
      </w:r>
    </w:p>
    <w:p w14:paraId="736BB951" w14:textId="065A702A" w:rsidR="00D86616" w:rsidRPr="00F656E0" w:rsidRDefault="00D86616" w:rsidP="00E677C5">
      <w:pPr>
        <w:autoSpaceDE w:val="0"/>
        <w:autoSpaceDN w:val="0"/>
        <w:adjustRightInd w:val="0"/>
        <w:jc w:val="both"/>
        <w:rPr>
          <w:rFonts w:ascii="Verdana" w:hAnsi="Verdana"/>
          <w:sz w:val="16"/>
          <w:szCs w:val="16"/>
        </w:rPr>
      </w:pPr>
      <w:r w:rsidRPr="00333304">
        <w:rPr>
          <w:rFonts w:ascii="Verdana" w:hAnsi="Verdana"/>
          <w:sz w:val="16"/>
          <w:szCs w:val="16"/>
        </w:rPr>
        <w:t>Lagos solicitó al amparo del Artículo 295 de la Constitución que se declarara fundada su acción y se ordenara al Segundo Tribunal de Trabajo de Lima declarar nula la sentencia y emitir un nuevo pronunciamiento, en contra de la sentencia del Segundo Tribunal de Trabajo de fecha 8 de agosto de 1991, que resolvió el recurso de apelación en el procedimiento de calificación de despido, mediante la cual alegó, entre otros, violaciones de su derecho a la estabilidad laboral y debido proceso legal, consagrados en los Artículos 48 y 233 de la Constitución</w:t>
      </w:r>
      <w:r w:rsidRPr="00F656E0">
        <w:rPr>
          <w:rFonts w:ascii="Verdana" w:hAnsi="Verdana"/>
          <w:sz w:val="16"/>
          <w:szCs w:val="16"/>
        </w:rPr>
        <w:t>.</w:t>
      </w:r>
    </w:p>
  </w:footnote>
  <w:footnote w:id="85">
    <w:p w14:paraId="535FF509" w14:textId="3FA3E7D6" w:rsidR="00D86616" w:rsidRPr="00517952" w:rsidRDefault="00D86616" w:rsidP="00E677C5">
      <w:pPr>
        <w:autoSpaceDE w:val="0"/>
        <w:autoSpaceDN w:val="0"/>
        <w:adjustRightInd w:val="0"/>
        <w:jc w:val="both"/>
        <w:rPr>
          <w:rFonts w:ascii="Verdana" w:hAnsi="Verdana"/>
          <w:sz w:val="16"/>
          <w:szCs w:val="16"/>
        </w:rPr>
      </w:pPr>
      <w:r w:rsidRPr="00517952">
        <w:rPr>
          <w:rStyle w:val="FootnoteReference"/>
          <w:rFonts w:eastAsia="MS Mincho"/>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cs="Verdana"/>
          <w:bCs/>
          <w:i/>
          <w:sz w:val="16"/>
          <w:szCs w:val="16"/>
          <w:lang w:eastAsia="es-MX"/>
        </w:rPr>
        <w:t xml:space="preserve">Caso Trabajadores Cesados del Congreso (Aguado Alfaro y otros) </w:t>
      </w:r>
      <w:r w:rsidRPr="00517952">
        <w:rPr>
          <w:rFonts w:ascii="Verdana" w:hAnsi="Verdana" w:cs="Verdana"/>
          <w:bCs/>
          <w:i/>
          <w:iCs/>
          <w:sz w:val="16"/>
          <w:szCs w:val="16"/>
          <w:lang w:eastAsia="es-MX"/>
        </w:rPr>
        <w:t>Vs.</w:t>
      </w:r>
      <w:r w:rsidRPr="00517952">
        <w:rPr>
          <w:rFonts w:ascii="Verdana" w:hAnsi="Verdana" w:cs="Verdana"/>
          <w:bCs/>
          <w:i/>
          <w:sz w:val="16"/>
          <w:szCs w:val="16"/>
          <w:lang w:eastAsia="es-MX"/>
        </w:rPr>
        <w:t xml:space="preserve"> Perú. </w:t>
      </w:r>
      <w:r w:rsidRPr="00517952">
        <w:rPr>
          <w:rFonts w:ascii="Verdana" w:hAnsi="Verdana" w:cs="Verdana"/>
          <w:bCs/>
          <w:i/>
          <w:iCs/>
          <w:sz w:val="16"/>
          <w:szCs w:val="16"/>
          <w:lang w:eastAsia="es-MX"/>
        </w:rPr>
        <w:t>Excepciones Preliminares, Fondo, Reparaciones y Costas</w:t>
      </w:r>
      <w:r w:rsidRPr="00517952">
        <w:rPr>
          <w:rFonts w:ascii="Verdana" w:hAnsi="Verdana" w:cs="Verdana"/>
          <w:bCs/>
          <w:iCs/>
          <w:sz w:val="16"/>
          <w:szCs w:val="16"/>
          <w:lang w:eastAsia="es-MX"/>
        </w:rPr>
        <w:t>.</w:t>
      </w:r>
      <w:r w:rsidRPr="00517952">
        <w:rPr>
          <w:rFonts w:ascii="Verdana" w:hAnsi="Verdana" w:cs="Verdana"/>
          <w:bCs/>
          <w:sz w:val="16"/>
          <w:szCs w:val="16"/>
          <w:lang w:eastAsia="es-MX"/>
        </w:rPr>
        <w:t xml:space="preserve"> Sentencia de 24 de noviembre de 2006. Párr</w:t>
      </w:r>
      <w:r w:rsidRPr="00517952">
        <w:rPr>
          <w:rFonts w:ascii="Verdana" w:hAnsi="Verdana" w:cs="Verdana"/>
          <w:bCs/>
          <w:i/>
          <w:sz w:val="16"/>
          <w:szCs w:val="16"/>
          <w:lang w:eastAsia="es-MX"/>
        </w:rPr>
        <w:t>.</w:t>
      </w:r>
      <w:r w:rsidRPr="00517952">
        <w:rPr>
          <w:rFonts w:ascii="Verdana" w:hAnsi="Verdana" w:cs="Verdana"/>
          <w:bCs/>
          <w:sz w:val="16"/>
          <w:szCs w:val="16"/>
          <w:lang w:eastAsia="es-MX"/>
        </w:rPr>
        <w:t xml:space="preserve"> 89.2 </w:t>
      </w:r>
      <w:r w:rsidRPr="00517952">
        <w:rPr>
          <w:rStyle w:val="st1"/>
          <w:rFonts w:ascii="Verdana" w:hAnsi="Verdana" w:cs="Arial"/>
          <w:color w:val="000000"/>
          <w:sz w:val="16"/>
          <w:szCs w:val="16"/>
          <w:lang w:val="es-CR"/>
        </w:rPr>
        <w:t>“</w:t>
      </w:r>
      <w:r w:rsidRPr="00517952">
        <w:rPr>
          <w:rFonts w:ascii="Verdana" w:hAnsi="Verdana" w:cs="Verdana"/>
          <w:sz w:val="16"/>
          <w:szCs w:val="16"/>
          <w:lang w:eastAsia="es-MX"/>
        </w:rPr>
        <w:t>El 5 de abril de 1992 el Presidente Fujimori transmitió el “Manifiesto</w:t>
      </w:r>
      <w:r w:rsidRPr="00517952">
        <w:rPr>
          <w:rFonts w:ascii="Verdana" w:hAnsi="Verdana" w:cs="Verdana"/>
          <w:bCs/>
          <w:sz w:val="16"/>
          <w:szCs w:val="16"/>
          <w:lang w:eastAsia="es-MX"/>
        </w:rPr>
        <w:t xml:space="preserve"> </w:t>
      </w:r>
      <w:r w:rsidRPr="00517952">
        <w:rPr>
          <w:rFonts w:ascii="Verdana" w:hAnsi="Verdana" w:cs="Verdana"/>
          <w:sz w:val="16"/>
          <w:szCs w:val="16"/>
          <w:lang w:eastAsia="es-MX"/>
        </w:rPr>
        <w:t xml:space="preserve">a la Nación” en el cual expresó, </w:t>
      </w:r>
      <w:r w:rsidRPr="00517952">
        <w:rPr>
          <w:rFonts w:ascii="Verdana" w:hAnsi="Verdana" w:cs="Verdana"/>
          <w:i/>
          <w:iCs/>
          <w:sz w:val="16"/>
          <w:szCs w:val="16"/>
          <w:lang w:eastAsia="es-MX"/>
        </w:rPr>
        <w:t xml:space="preserve">inter </w:t>
      </w:r>
      <w:proofErr w:type="spellStart"/>
      <w:r w:rsidRPr="00517952">
        <w:rPr>
          <w:rFonts w:ascii="Verdana" w:hAnsi="Verdana" w:cs="Verdana"/>
          <w:i/>
          <w:iCs/>
          <w:sz w:val="16"/>
          <w:szCs w:val="16"/>
          <w:lang w:eastAsia="es-MX"/>
        </w:rPr>
        <w:t>alia</w:t>
      </w:r>
      <w:proofErr w:type="spellEnd"/>
      <w:r w:rsidRPr="00517952">
        <w:rPr>
          <w:rFonts w:ascii="Verdana" w:hAnsi="Verdana" w:cs="Verdana"/>
          <w:sz w:val="16"/>
          <w:szCs w:val="16"/>
          <w:lang w:eastAsia="es-MX"/>
        </w:rPr>
        <w:t>, que se sentía “en la responsabilidad de</w:t>
      </w:r>
      <w:r w:rsidRPr="00517952">
        <w:rPr>
          <w:rFonts w:ascii="Verdana" w:hAnsi="Verdana" w:cs="Verdana"/>
          <w:bCs/>
          <w:sz w:val="16"/>
          <w:szCs w:val="16"/>
          <w:lang w:eastAsia="es-MX"/>
        </w:rPr>
        <w:t xml:space="preserve"> </w:t>
      </w:r>
      <w:r w:rsidRPr="00517952">
        <w:rPr>
          <w:rFonts w:ascii="Verdana" w:hAnsi="Verdana" w:cs="Verdana"/>
          <w:sz w:val="16"/>
          <w:szCs w:val="16"/>
          <w:lang w:eastAsia="es-MX"/>
        </w:rPr>
        <w:t>asumir una actitud de excepción para procurar aligerar el proceso de […]</w:t>
      </w:r>
      <w:r w:rsidRPr="00517952">
        <w:rPr>
          <w:rFonts w:ascii="Verdana" w:hAnsi="Verdana" w:cs="Verdana"/>
          <w:bCs/>
          <w:sz w:val="16"/>
          <w:szCs w:val="16"/>
          <w:lang w:eastAsia="es-MX"/>
        </w:rPr>
        <w:t xml:space="preserve"> </w:t>
      </w:r>
      <w:r w:rsidRPr="00517952">
        <w:rPr>
          <w:rFonts w:ascii="Verdana" w:hAnsi="Verdana" w:cs="Verdana"/>
          <w:sz w:val="16"/>
          <w:szCs w:val="16"/>
          <w:lang w:eastAsia="es-MX"/>
        </w:rPr>
        <w:t>reconstrucción nacional, por lo que […] decidió […] disolver temporalmente el</w:t>
      </w:r>
      <w:r w:rsidRPr="00517952">
        <w:rPr>
          <w:rFonts w:ascii="Verdana" w:hAnsi="Verdana" w:cs="Verdana"/>
          <w:bCs/>
          <w:sz w:val="16"/>
          <w:szCs w:val="16"/>
          <w:lang w:eastAsia="es-MX"/>
        </w:rPr>
        <w:t xml:space="preserve"> </w:t>
      </w:r>
      <w:r w:rsidRPr="00517952">
        <w:rPr>
          <w:rFonts w:ascii="Verdana" w:hAnsi="Verdana" w:cs="Verdana"/>
          <w:sz w:val="16"/>
          <w:szCs w:val="16"/>
          <w:lang w:eastAsia="es-MX"/>
        </w:rPr>
        <w:t>Congreso de la República […] modernizar la administración pública y reorganizar</w:t>
      </w:r>
      <w:r w:rsidRPr="00517952">
        <w:rPr>
          <w:rFonts w:ascii="Verdana" w:hAnsi="Verdana" w:cs="Verdana"/>
          <w:bCs/>
          <w:sz w:val="16"/>
          <w:szCs w:val="16"/>
          <w:lang w:eastAsia="es-MX"/>
        </w:rPr>
        <w:t xml:space="preserve"> </w:t>
      </w:r>
      <w:r w:rsidRPr="00517952">
        <w:rPr>
          <w:rFonts w:ascii="Verdana" w:hAnsi="Verdana" w:cs="Verdana"/>
          <w:sz w:val="16"/>
          <w:szCs w:val="16"/>
          <w:lang w:eastAsia="es-MX"/>
        </w:rPr>
        <w:t xml:space="preserve">totalmente el Poder Judicial”.  </w:t>
      </w:r>
    </w:p>
  </w:footnote>
  <w:footnote w:id="86">
    <w:p w14:paraId="23484126" w14:textId="17F3BE21" w:rsidR="00D86616" w:rsidRPr="00517952" w:rsidRDefault="00D86616" w:rsidP="00E677C5">
      <w:pPr>
        <w:autoSpaceDE w:val="0"/>
        <w:autoSpaceDN w:val="0"/>
        <w:adjustRightInd w:val="0"/>
        <w:jc w:val="both"/>
        <w:rPr>
          <w:rFonts w:ascii="Verdana" w:hAnsi="Verdana"/>
          <w:b/>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Quinta Sala Civil de la Corte Superior de Lima. Resolución de 3 de agosto de 1992. Expediente. 2615-9. </w:t>
      </w:r>
      <w:r w:rsidRPr="00517952">
        <w:rPr>
          <w:rFonts w:ascii="Verdana" w:hAnsi="Verdana"/>
          <w:sz w:val="16"/>
          <w:szCs w:val="16"/>
        </w:rPr>
        <w:t xml:space="preserve">(expediente de prueba, anexo 16 del Informe de Fondo, </w:t>
      </w:r>
      <w:proofErr w:type="spellStart"/>
      <w:r w:rsidRPr="00517952">
        <w:rPr>
          <w:rFonts w:ascii="Verdana" w:hAnsi="Verdana"/>
          <w:sz w:val="16"/>
          <w:szCs w:val="16"/>
        </w:rPr>
        <w:t>ff</w:t>
      </w:r>
      <w:proofErr w:type="spellEnd"/>
      <w:r w:rsidRPr="00517952">
        <w:rPr>
          <w:rFonts w:ascii="Verdana" w:hAnsi="Verdana"/>
          <w:sz w:val="16"/>
          <w:szCs w:val="16"/>
        </w:rPr>
        <w:t>. 63 y 64). La Quinta Sala Civil de la Corte Superior de Lima sostuvo que los fundamentos expresados en ella, se referían a la ineficacia de la decisión judicial, además de que el escrito al que hacía mención Lagos, el cual habría sido proveído posterior a la sentencia, únicamente correspondían a alegatos, más no a medios probatorios, que en tal virtud no se determinaba un agravio a su derecho a un debido proceso que deba ser resarcido en vía de amparo, por ende concluyó improcedente la acción de amparo.</w:t>
      </w:r>
    </w:p>
  </w:footnote>
  <w:footnote w:id="87">
    <w:p w14:paraId="0965CD67" w14:textId="5E5362A6"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r>
      <w:r w:rsidRPr="00517952">
        <w:rPr>
          <w:i/>
          <w:lang w:val="es-MX"/>
        </w:rPr>
        <w:t>Cfr.</w:t>
      </w:r>
      <w:r w:rsidRPr="00517952">
        <w:rPr>
          <w:lang w:val="es-MX"/>
        </w:rPr>
        <w:t xml:space="preserve"> Solicitud de nulidad interpuesta por el señor Lagos del Campo ante la Quinta Sala Civil de la Corte Superior de Lima. Expediente. No. 2615-91. 26 de agosto de 1992. (expediente de prueba, anexo 17 del Informe de Fondo, f. 66). Mediante este recurso Lagos del Campo, solicitó que se concediera el recurso de nulidad interpuesto y disponer que los autos sean elevados al Supremo Tribunal.</w:t>
      </w:r>
    </w:p>
  </w:footnote>
  <w:footnote w:id="88">
    <w:p w14:paraId="05E1D464" w14:textId="2DBEFCAE" w:rsidR="00D86616" w:rsidRPr="00517952" w:rsidRDefault="00D86616" w:rsidP="00AD0A6C">
      <w:pPr>
        <w:pStyle w:val="Default"/>
        <w:jc w:val="both"/>
        <w:rPr>
          <w:rFonts w:ascii="Verdana" w:hAnsi="Verdana"/>
          <w:sz w:val="16"/>
          <w:szCs w:val="16"/>
          <w:lang w:val="es-ES_tradnl"/>
        </w:rPr>
      </w:pPr>
      <w:r w:rsidRPr="00517952">
        <w:rPr>
          <w:rStyle w:val="FootnoteReference"/>
          <w:sz w:val="16"/>
          <w:szCs w:val="16"/>
        </w:rPr>
        <w:footnoteRef/>
      </w:r>
      <w:r w:rsidRPr="00517952">
        <w:rPr>
          <w:rFonts w:ascii="Verdana" w:hAnsi="Verdana"/>
          <w:sz w:val="16"/>
          <w:szCs w:val="16"/>
          <w:lang w:val="es-EC"/>
        </w:rPr>
        <w:t xml:space="preserve"> </w:t>
      </w:r>
      <w:r w:rsidRPr="00517952">
        <w:rPr>
          <w:rFonts w:ascii="Verdana" w:hAnsi="Verdana"/>
          <w:b/>
          <w:sz w:val="16"/>
          <w:szCs w:val="16"/>
          <w:lang w:val="es-EC"/>
        </w:rPr>
        <w:tab/>
      </w:r>
      <w:r w:rsidRPr="00517952">
        <w:rPr>
          <w:rFonts w:ascii="Verdana" w:hAnsi="Verdana"/>
          <w:i/>
          <w:sz w:val="16"/>
          <w:szCs w:val="16"/>
          <w:lang w:val="es-EC"/>
        </w:rPr>
        <w:t>Cfr.</w:t>
      </w:r>
      <w:r w:rsidRPr="00517952">
        <w:rPr>
          <w:rFonts w:ascii="Verdana" w:hAnsi="Verdana"/>
          <w:color w:val="auto"/>
          <w:sz w:val="16"/>
          <w:szCs w:val="16"/>
          <w:lang w:val="es-EC"/>
        </w:rPr>
        <w:t xml:space="preserve"> Recurso de Nulidad y Auto de la Corte Suprema de Justicia de la República. Expediente 1811-92. 15 de marzo de 1993.</w:t>
      </w:r>
      <w:r w:rsidRPr="00517952">
        <w:rPr>
          <w:rFonts w:ascii="Verdana" w:hAnsi="Verdana"/>
          <w:color w:val="FF0000"/>
          <w:sz w:val="16"/>
          <w:szCs w:val="16"/>
          <w:lang w:val="es-EC"/>
        </w:rPr>
        <w:t xml:space="preserve"> </w:t>
      </w:r>
      <w:r w:rsidRPr="00517952">
        <w:rPr>
          <w:rFonts w:ascii="Verdana" w:hAnsi="Verdana"/>
          <w:color w:val="auto"/>
          <w:sz w:val="16"/>
          <w:szCs w:val="16"/>
          <w:lang w:val="es-EC"/>
        </w:rPr>
        <w:t>(</w:t>
      </w:r>
      <w:r w:rsidRPr="00517952">
        <w:rPr>
          <w:rFonts w:ascii="Verdana" w:hAnsi="Verdana"/>
          <w:sz w:val="16"/>
          <w:szCs w:val="16"/>
          <w:lang w:val="es-EC"/>
        </w:rPr>
        <w:t>expediente de prueba anexo 18 del Informe de Fondo, f. 67). En dicho escrito Lagos fundamentó que se vulneró su derecho constitucional a la legítima defensa y debido proceso, al no ser proveído oportunamente su escrito presentado y recibido el 1 de agosto de 1991 ante el Segundo Tribunal del Trabajo.</w:t>
      </w:r>
    </w:p>
  </w:footnote>
  <w:footnote w:id="89">
    <w:p w14:paraId="38BE1BD6" w14:textId="47F30740"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t xml:space="preserve">Resolución de la Corte Suprema de Justicia de la Republica. Expediente No 1811-92, la Sala señaló “que conforme a lo dictaminado por el señor Fiscal [Supremo de lo Contencioso Administrativo]; [tomando en cuenta] sus </w:t>
      </w:r>
      <w:proofErr w:type="gramStart"/>
      <w:r w:rsidRPr="00517952">
        <w:rPr>
          <w:lang w:val="es-MX"/>
        </w:rPr>
        <w:t>fundamentos[</w:t>
      </w:r>
      <w:proofErr w:type="gramEnd"/>
      <w:r w:rsidRPr="00517952">
        <w:rPr>
          <w:lang w:val="es-MX"/>
        </w:rPr>
        <w:t xml:space="preserve">,] </w:t>
      </w:r>
      <w:proofErr w:type="spellStart"/>
      <w:r w:rsidRPr="00517952">
        <w:rPr>
          <w:lang w:val="es-MX"/>
        </w:rPr>
        <w:t>declar</w:t>
      </w:r>
      <w:proofErr w:type="spellEnd"/>
      <w:r w:rsidRPr="00517952">
        <w:rPr>
          <w:lang w:val="es-MX"/>
        </w:rPr>
        <w:t>[</w:t>
      </w:r>
      <w:proofErr w:type="spellStart"/>
      <w:r w:rsidRPr="00517952">
        <w:rPr>
          <w:lang w:val="es-MX"/>
        </w:rPr>
        <w:t>ó</w:t>
      </w:r>
      <w:proofErr w:type="spellEnd"/>
      <w:r w:rsidRPr="00517952">
        <w:rPr>
          <w:lang w:val="es-MX"/>
        </w:rPr>
        <w:t xml:space="preserve">] no haber nulidad”. Dicho dictamen del Fiscal señaló que “las decisiones judiciales del Fuero de Trabajo y Comunidades Laborales que queden consentidas y ejecutoriadas tienen autoridad de cosa juzgada”, por lo que revisarla comportaría revivir un proceso fenecido y por ende un atentado contra la cosa juzgada. Agregó que “consentida o ejecutoriada que sea la presente resolución se publique en el Diario Oficial “El Peruano”, dentro del término previsto por el artículo 42 de la Ley 23506. Cita de la Resolución </w:t>
      </w:r>
      <w:r w:rsidRPr="00517952">
        <w:rPr>
          <w:i/>
          <w:lang w:val="es-MX"/>
        </w:rPr>
        <w:t>Cfr.</w:t>
      </w:r>
      <w:r w:rsidRPr="00517952">
        <w:rPr>
          <w:lang w:val="es-MX"/>
        </w:rPr>
        <w:t xml:space="preserve"> Congreso de la República de Perú. Ley de Habeas Corpus y Amparo. Ley 23506. Artículo 42.- Todas las resoluciones finales recaídas en las acciones de Habeas Corpus y Amparo, una vez que queden consentidas y ejecutoriadas, serán publicadas obligatoriamente dentro de los quince días siguientes, en el Diario Oficial “El Peruano”. </w:t>
      </w:r>
    </w:p>
  </w:footnote>
  <w:footnote w:id="90">
    <w:p w14:paraId="2E107FC4" w14:textId="5169FA71" w:rsidR="00D86616" w:rsidRPr="00801513" w:rsidRDefault="00D86616" w:rsidP="00E677C5">
      <w:pPr>
        <w:pStyle w:val="Default"/>
        <w:jc w:val="both"/>
        <w:rPr>
          <w:rFonts w:ascii="Verdana" w:hAnsi="Verdana"/>
          <w:color w:val="auto"/>
          <w:sz w:val="16"/>
          <w:szCs w:val="16"/>
          <w:lang w:val="es-EC"/>
        </w:rPr>
      </w:pPr>
      <w:r w:rsidRPr="00517952">
        <w:rPr>
          <w:rStyle w:val="FootnoteReference"/>
          <w:sz w:val="16"/>
          <w:szCs w:val="16"/>
        </w:rPr>
        <w:footnoteRef/>
      </w:r>
      <w:r w:rsidRPr="00517952">
        <w:rPr>
          <w:rFonts w:ascii="Verdana" w:hAnsi="Verdana"/>
          <w:color w:val="0000FF"/>
          <w:sz w:val="16"/>
          <w:szCs w:val="16"/>
          <w:lang w:val="es-EC"/>
        </w:rPr>
        <w:t xml:space="preserve"> </w:t>
      </w:r>
      <w:r w:rsidRPr="00517952">
        <w:rPr>
          <w:rFonts w:ascii="Verdana" w:hAnsi="Verdana"/>
          <w:color w:val="0000FF"/>
          <w:sz w:val="16"/>
          <w:szCs w:val="16"/>
          <w:lang w:val="es-EC"/>
        </w:rPr>
        <w:tab/>
      </w:r>
      <w:r w:rsidRPr="00517952">
        <w:rPr>
          <w:rFonts w:ascii="Verdana" w:hAnsi="Verdana"/>
          <w:i/>
          <w:color w:val="auto"/>
          <w:sz w:val="16"/>
          <w:szCs w:val="16"/>
          <w:lang w:val="es-EC"/>
        </w:rPr>
        <w:t>Cfr.</w:t>
      </w:r>
      <w:r w:rsidRPr="00517952">
        <w:rPr>
          <w:rFonts w:ascii="Verdana" w:hAnsi="Verdana"/>
          <w:color w:val="auto"/>
          <w:sz w:val="16"/>
          <w:szCs w:val="16"/>
          <w:lang w:val="es-EC"/>
        </w:rPr>
        <w:t xml:space="preserve"> Escrito dirigido a la Sala de la Corte Suprema de Derecho Constitucional y Social de la Corte Suprema de Justicia. Expediente No. 1811-92. 28 de Abril de 1993. Anexos a la comunicación de los peticionarios de fecha 23 de julio de 199</w:t>
      </w:r>
      <w:r w:rsidRPr="004C3F47">
        <w:rPr>
          <w:rFonts w:ascii="Verdana" w:hAnsi="Verdana"/>
          <w:color w:val="auto"/>
          <w:sz w:val="16"/>
          <w:szCs w:val="16"/>
          <w:lang w:val="es-EC"/>
        </w:rPr>
        <w:t>8. (expediente de prueba</w:t>
      </w:r>
      <w:r>
        <w:rPr>
          <w:rFonts w:ascii="Verdana" w:hAnsi="Verdana"/>
          <w:color w:val="auto"/>
          <w:sz w:val="16"/>
          <w:szCs w:val="16"/>
          <w:lang w:val="es-EC"/>
        </w:rPr>
        <w:t>,</w:t>
      </w:r>
      <w:r w:rsidRPr="004C3F47">
        <w:rPr>
          <w:rFonts w:ascii="Verdana" w:hAnsi="Verdana"/>
          <w:color w:val="auto"/>
          <w:sz w:val="16"/>
          <w:szCs w:val="16"/>
          <w:lang w:val="es-EC"/>
        </w:rPr>
        <w:t xml:space="preserve"> anexo 20 del Informe de Fondo, f. 75).</w:t>
      </w:r>
    </w:p>
  </w:footnote>
  <w:footnote w:id="91">
    <w:p w14:paraId="0616D731" w14:textId="07737A5C" w:rsidR="00D86616" w:rsidRPr="00517952" w:rsidRDefault="00D86616" w:rsidP="006A2D03">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Solicitud dirigida a la Quinta Sala Civil de la Corte Superior de Lima. Expediente No. 2615-91. 26 de Julio de 1996 (expediente de prueba, anexo 21 del Informe de Fondo, f. 77). El señor Lagos invocó, con sustento de esta solicitud, los artículos 2.2 y 202.2) de la Constitución Política que disponen que:</w:t>
      </w:r>
      <w:r w:rsidRPr="00517952">
        <w:rPr>
          <w:rFonts w:ascii="Verdana" w:hAnsi="Verdana"/>
          <w:i/>
          <w:sz w:val="16"/>
          <w:szCs w:val="16"/>
          <w:lang w:eastAsia="es-MX"/>
        </w:rPr>
        <w:t xml:space="preserve"> </w:t>
      </w:r>
      <w:r w:rsidRPr="00517952">
        <w:rPr>
          <w:rFonts w:ascii="Verdana" w:hAnsi="Verdana"/>
          <w:sz w:val="16"/>
          <w:szCs w:val="16"/>
          <w:lang w:eastAsia="es-MX"/>
        </w:rPr>
        <w:t xml:space="preserve">Artículo 2°.- Derechos fundamentales de la persona Toda persona tiene derecho: 2. A la igualdad ante la ley. Nadie debe ser discriminado por motivo de origen, raza, sexo, idioma, religión, opinión, condición económica o de cualquiera otra índole. Artículo 202°.- Atribuciones del Tribunal Constitucional Corresponde al Tribunal Constitucional: 2. Conocer, en última y definitiva instancia, las resoluciones de Conocer, en última y definitiva instancia, las resoluciones denegatorias de hábeas corpus, amparo, hábeas data, y acción de cumplimiento. </w:t>
      </w:r>
      <w:r w:rsidRPr="00517952">
        <w:rPr>
          <w:rFonts w:ascii="Verdana" w:hAnsi="Verdana"/>
          <w:sz w:val="16"/>
          <w:szCs w:val="16"/>
        </w:rPr>
        <w:t xml:space="preserve">(expediente de prueba, anexo 21 del Informe de Fondo, </w:t>
      </w:r>
      <w:proofErr w:type="spellStart"/>
      <w:r w:rsidRPr="00517952">
        <w:rPr>
          <w:rFonts w:ascii="Verdana" w:hAnsi="Verdana"/>
          <w:sz w:val="16"/>
          <w:szCs w:val="16"/>
        </w:rPr>
        <w:t>ff</w:t>
      </w:r>
      <w:proofErr w:type="spellEnd"/>
      <w:r w:rsidRPr="00517952">
        <w:rPr>
          <w:rFonts w:ascii="Verdana" w:hAnsi="Verdana"/>
          <w:sz w:val="16"/>
          <w:szCs w:val="16"/>
        </w:rPr>
        <w:t>. 77 y 78).</w:t>
      </w:r>
    </w:p>
  </w:footnote>
  <w:footnote w:id="92">
    <w:p w14:paraId="354A259A" w14:textId="05D85185" w:rsidR="00D86616" w:rsidRPr="00517952" w:rsidRDefault="00D86616" w:rsidP="006A2D03">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Pr="00517952">
        <w:rPr>
          <w:rFonts w:ascii="Verdana" w:hAnsi="Verdana"/>
          <w:sz w:val="16"/>
          <w:szCs w:val="16"/>
        </w:rPr>
        <w:tab/>
      </w:r>
      <w:r w:rsidRPr="00517952">
        <w:rPr>
          <w:rFonts w:ascii="Verdana" w:hAnsi="Verdana"/>
          <w:i/>
          <w:sz w:val="16"/>
          <w:szCs w:val="16"/>
        </w:rPr>
        <w:t>Cfr.</w:t>
      </w:r>
      <w:r w:rsidRPr="00517952">
        <w:rPr>
          <w:rFonts w:ascii="Verdana" w:hAnsi="Verdana"/>
          <w:sz w:val="16"/>
          <w:szCs w:val="16"/>
        </w:rPr>
        <w:t xml:space="preserve"> Solicitud dirigida a la Quinta Sala Civil de la Corte Superior de Lima. Expediente No. 2615-91. 13 de enero de 1997 (expediente de prueba, anexo 21 del Informe de Fondo, </w:t>
      </w:r>
      <w:proofErr w:type="spellStart"/>
      <w:r w:rsidRPr="00517952">
        <w:rPr>
          <w:rFonts w:ascii="Verdana" w:hAnsi="Verdana"/>
          <w:sz w:val="16"/>
          <w:szCs w:val="16"/>
        </w:rPr>
        <w:t>ff</w:t>
      </w:r>
      <w:proofErr w:type="spellEnd"/>
      <w:r w:rsidRPr="00517952">
        <w:rPr>
          <w:rFonts w:ascii="Verdana" w:hAnsi="Verdana"/>
          <w:sz w:val="16"/>
          <w:szCs w:val="16"/>
        </w:rPr>
        <w:t>. 79 y 80).</w:t>
      </w:r>
    </w:p>
  </w:footnote>
  <w:footnote w:id="93">
    <w:p w14:paraId="6518AEB7" w14:textId="18B20EC2" w:rsidR="00D86616" w:rsidRPr="00517952" w:rsidRDefault="00D86616" w:rsidP="006A2D03">
      <w:pPr>
        <w:pStyle w:val="FootnoteText"/>
        <w:spacing w:after="0"/>
        <w:rPr>
          <w:i/>
          <w:lang w:val="es-MX"/>
        </w:rPr>
      </w:pPr>
      <w:r w:rsidRPr="00517952">
        <w:rPr>
          <w:rStyle w:val="FootnoteReference"/>
          <w:sz w:val="16"/>
        </w:rPr>
        <w:footnoteRef/>
      </w:r>
      <w:r w:rsidRPr="00517952">
        <w:rPr>
          <w:lang w:val="es-MX"/>
        </w:rPr>
        <w:t xml:space="preserve"> </w:t>
      </w:r>
      <w:r w:rsidRPr="00517952">
        <w:rPr>
          <w:lang w:val="es-MX"/>
        </w:rPr>
        <w:tab/>
      </w:r>
      <w:r w:rsidR="00024D13" w:rsidRPr="00517952">
        <w:rPr>
          <w:lang w:val="es-MX"/>
        </w:rPr>
        <w:t xml:space="preserve">  </w:t>
      </w:r>
      <w:r w:rsidRPr="00517952">
        <w:rPr>
          <w:i/>
          <w:lang w:val="es-MX"/>
        </w:rPr>
        <w:t>Cfr.</w:t>
      </w:r>
      <w:r w:rsidRPr="00517952">
        <w:rPr>
          <w:lang w:val="es-MX"/>
        </w:rPr>
        <w:t xml:space="preserve"> Congreso de la República de Perú. Constitución Política del Perú 12 de julio de 1979. Artículo 298.- Artículo 298.El Tribunal de Garantía tiene jurisdicción en todo el territorio de la República. Es competente para:</w:t>
      </w:r>
    </w:p>
    <w:p w14:paraId="7EF38887" w14:textId="77777777" w:rsidR="00D86616" w:rsidRPr="00517952" w:rsidRDefault="00D86616" w:rsidP="006A2D03">
      <w:pPr>
        <w:pStyle w:val="FootnoteText"/>
        <w:spacing w:after="0"/>
        <w:rPr>
          <w:i/>
          <w:lang w:val="es-MX"/>
        </w:rPr>
      </w:pPr>
      <w:r w:rsidRPr="00517952">
        <w:rPr>
          <w:lang w:val="es-MX"/>
        </w:rPr>
        <w:t>1.- Declarar, a petición de parte, la inconstitucionalidad parcial o total de las leyes, decretos legislativos, normas regionales de carácter general y ordenanzas municipales que contravienen la Constitución por la forma o por el fondo y 2.- Conocer en casación las resoluciones denegatorias de la acción de habeas corpus y la acción de amparo agotada la vía judicial.</w:t>
      </w:r>
    </w:p>
    <w:p w14:paraId="74BF5523" w14:textId="638B791D" w:rsidR="00D86616" w:rsidRPr="00517952" w:rsidRDefault="00D86616" w:rsidP="006A2D03">
      <w:pPr>
        <w:pStyle w:val="NormalWeb"/>
        <w:spacing w:before="0" w:beforeAutospacing="0" w:after="0" w:afterAutospacing="0"/>
        <w:jc w:val="both"/>
        <w:rPr>
          <w:rFonts w:ascii="Verdana" w:hAnsi="Verdana"/>
          <w:color w:val="000000"/>
          <w:sz w:val="16"/>
          <w:szCs w:val="16"/>
          <w:lang w:val="es-EC"/>
        </w:rPr>
      </w:pPr>
      <w:r w:rsidRPr="00517952">
        <w:rPr>
          <w:rFonts w:ascii="Verdana" w:hAnsi="Verdana"/>
          <w:bCs/>
          <w:color w:val="000000"/>
          <w:sz w:val="16"/>
          <w:szCs w:val="16"/>
        </w:rPr>
        <w:t xml:space="preserve">El </w:t>
      </w:r>
      <w:r w:rsidRPr="00517952">
        <w:rPr>
          <w:rFonts w:ascii="Verdana" w:hAnsi="Verdana"/>
          <w:bCs/>
          <w:color w:val="000000"/>
          <w:sz w:val="16"/>
          <w:szCs w:val="16"/>
          <w:lang w:val="es-EC"/>
        </w:rPr>
        <w:t>artículo 295.</w:t>
      </w:r>
      <w:r w:rsidRPr="00517952">
        <w:rPr>
          <w:rFonts w:ascii="Verdana" w:hAnsi="Verdana"/>
          <w:bCs/>
          <w:color w:val="000000"/>
          <w:sz w:val="16"/>
          <w:szCs w:val="16"/>
          <w:lang w:val="es-EC"/>
        </w:rPr>
        <w:softHyphen/>
      </w:r>
      <w:r w:rsidRPr="00517952">
        <w:rPr>
          <w:rFonts w:ascii="Verdana" w:hAnsi="Verdana"/>
          <w:color w:val="000000"/>
          <w:sz w:val="16"/>
          <w:szCs w:val="16"/>
          <w:lang w:val="es-EC"/>
        </w:rPr>
        <w:t xml:space="preserve"> La acción de amparo cautela los derechos reconocidos por la Constitución que sean vulnerados o amenazados por cualquier autoridad, funcionario o persona. La acción de amparo tiene el mismo trámite que la acción de habeas corpus en los que es aplicable.</w:t>
      </w:r>
    </w:p>
  </w:footnote>
  <w:footnote w:id="94">
    <w:p w14:paraId="789164A0" w14:textId="461E0F7E" w:rsidR="00D86616" w:rsidRPr="00517952" w:rsidRDefault="00D86616" w:rsidP="006A2D03">
      <w:pPr>
        <w:autoSpaceDE w:val="0"/>
        <w:autoSpaceDN w:val="0"/>
        <w:adjustRightInd w:val="0"/>
        <w:contextualSpacing/>
        <w:jc w:val="both"/>
        <w:rPr>
          <w:rFonts w:ascii="Verdana" w:hAnsi="Verdana"/>
          <w:sz w:val="16"/>
          <w:szCs w:val="16"/>
        </w:rPr>
      </w:pPr>
      <w:r w:rsidRPr="00517952">
        <w:rPr>
          <w:rStyle w:val="FootnoteReference"/>
          <w:sz w:val="16"/>
          <w:szCs w:val="16"/>
        </w:rPr>
        <w:footnoteRef/>
      </w:r>
      <w:r w:rsidRPr="00517952">
        <w:rPr>
          <w:rFonts w:ascii="Verdana" w:hAnsi="Verdana"/>
          <w:i/>
          <w:sz w:val="16"/>
          <w:szCs w:val="16"/>
        </w:rPr>
        <w:t xml:space="preserve"> </w:t>
      </w:r>
      <w:r w:rsidRPr="00517952">
        <w:rPr>
          <w:rFonts w:ascii="Verdana" w:hAnsi="Verdana"/>
          <w:i/>
          <w:sz w:val="16"/>
          <w:szCs w:val="16"/>
        </w:rPr>
        <w:tab/>
        <w:t>Cfr.</w:t>
      </w:r>
      <w:r w:rsidRPr="00517952">
        <w:rPr>
          <w:rFonts w:ascii="Verdana" w:hAnsi="Verdana"/>
          <w:sz w:val="16"/>
          <w:szCs w:val="16"/>
        </w:rPr>
        <w:t xml:space="preserve"> </w:t>
      </w:r>
      <w:r w:rsidRPr="00517952">
        <w:rPr>
          <w:rFonts w:ascii="Verdana" w:hAnsi="Verdana"/>
          <w:sz w:val="16"/>
          <w:szCs w:val="16"/>
          <w:lang w:eastAsia="es-MX"/>
        </w:rPr>
        <w:t xml:space="preserve">Tercera Sala Civil Especializada de la Corte Superior de Justicia de Lima. Expediente. No. 2625-91. Resolución de 24 de Junio de 1997. </w:t>
      </w:r>
      <w:r w:rsidRPr="00517952">
        <w:rPr>
          <w:rFonts w:ascii="Verdana" w:hAnsi="Verdana"/>
          <w:sz w:val="16"/>
          <w:szCs w:val="16"/>
        </w:rPr>
        <w:t>(expediente de prueba, anexo 23 del Informe de Fondo, f. 82).</w:t>
      </w:r>
    </w:p>
  </w:footnote>
  <w:footnote w:id="95">
    <w:p w14:paraId="7CCE4C9A" w14:textId="76A898C7" w:rsidR="00D86616" w:rsidRPr="00517952" w:rsidRDefault="00D86616" w:rsidP="006A2D03">
      <w:pPr>
        <w:pStyle w:val="FootnoteText"/>
        <w:spacing w:after="0"/>
        <w:rPr>
          <w:lang w:val="es-MX"/>
        </w:rPr>
      </w:pPr>
      <w:r w:rsidRPr="00517952">
        <w:rPr>
          <w:rStyle w:val="FootnoteReference"/>
          <w:sz w:val="16"/>
          <w:lang w:val="es-MX"/>
        </w:rPr>
        <w:footnoteRef/>
      </w:r>
      <w:r w:rsidRPr="00517952">
        <w:rPr>
          <w:lang w:val="es-MX"/>
        </w:rPr>
        <w:t xml:space="preserve"> </w:t>
      </w:r>
      <w:r w:rsidRPr="00517952">
        <w:rPr>
          <w:lang w:val="es-MX"/>
        </w:rPr>
        <w:tab/>
      </w:r>
      <w:r w:rsidR="00024D13" w:rsidRPr="00517952">
        <w:rPr>
          <w:lang w:val="es-MX"/>
        </w:rPr>
        <w:t xml:space="preserve">  </w:t>
      </w:r>
      <w:r w:rsidRPr="00517952">
        <w:rPr>
          <w:i/>
          <w:lang w:val="es-MX"/>
        </w:rPr>
        <w:t>Cfr.</w:t>
      </w:r>
      <w:r w:rsidRPr="00517952">
        <w:rPr>
          <w:lang w:val="es-MX"/>
        </w:rPr>
        <w:t xml:space="preserve"> Recurso de apelación interpuesto por el señor Lagos del Campo a la Tercera Sala Civil Especializada de la Corte Superior de Lima. A.A.2615-91 18 de julio de 1997. (expediente de prueba, anexo 24 del Informe de Fondo, </w:t>
      </w:r>
      <w:proofErr w:type="spellStart"/>
      <w:r w:rsidRPr="00517952">
        <w:rPr>
          <w:lang w:val="es-MX"/>
        </w:rPr>
        <w:t>ff</w:t>
      </w:r>
      <w:proofErr w:type="spellEnd"/>
      <w:r w:rsidRPr="00517952">
        <w:rPr>
          <w:lang w:val="es-MX"/>
        </w:rPr>
        <w:t xml:space="preserve">. 85 y 86). </w:t>
      </w:r>
    </w:p>
  </w:footnote>
  <w:footnote w:id="96">
    <w:p w14:paraId="115DA12A" w14:textId="57360D7E" w:rsidR="00D86616" w:rsidRPr="00517952" w:rsidRDefault="00D86616" w:rsidP="006A2D03">
      <w:pPr>
        <w:pStyle w:val="FootnoteText"/>
        <w:spacing w:after="0"/>
        <w:rPr>
          <w:lang w:val="es-MX"/>
        </w:rPr>
      </w:pPr>
      <w:r w:rsidRPr="00517952">
        <w:rPr>
          <w:rStyle w:val="FootnoteReference"/>
          <w:sz w:val="16"/>
          <w:lang w:val="es-MX"/>
        </w:rPr>
        <w:footnoteRef/>
      </w:r>
      <w:r w:rsidRPr="00517952">
        <w:rPr>
          <w:lang w:val="es-MX"/>
        </w:rPr>
        <w:tab/>
      </w:r>
      <w:r w:rsidRPr="00517952">
        <w:rPr>
          <w:i/>
          <w:lang w:val="es-MX"/>
        </w:rPr>
        <w:t>Cfr.</w:t>
      </w:r>
      <w:r w:rsidRPr="00517952">
        <w:rPr>
          <w:lang w:val="es-MX"/>
        </w:rPr>
        <w:t xml:space="preserve"> Tercera Sala Civil Especializada de la Corte Superior de Justicia de Lima. Expediente. No. 839-97. Resolución de 25 de Julio de 1997. (expediente de prueba, anexo 25 del Informe de Fondo, f. 88).</w:t>
      </w:r>
    </w:p>
  </w:footnote>
  <w:footnote w:id="97">
    <w:p w14:paraId="4FFC8D6A" w14:textId="3D14037C" w:rsidR="00D86616" w:rsidRPr="004C3F47" w:rsidRDefault="00D86616" w:rsidP="006A2D03">
      <w:pPr>
        <w:autoSpaceDE w:val="0"/>
        <w:autoSpaceDN w:val="0"/>
        <w:adjustRightInd w:val="0"/>
        <w:jc w:val="both"/>
        <w:rPr>
          <w:rFonts w:ascii="Verdana" w:hAnsi="Verdana"/>
          <w:sz w:val="16"/>
          <w:szCs w:val="16"/>
        </w:rPr>
      </w:pPr>
      <w:r w:rsidRPr="00517952">
        <w:rPr>
          <w:rStyle w:val="FootnoteReference"/>
          <w:sz w:val="16"/>
          <w:szCs w:val="16"/>
        </w:rPr>
        <w:footnoteRef/>
      </w:r>
      <w:r w:rsidRPr="00517952">
        <w:rPr>
          <w:rFonts w:ascii="Verdana" w:hAnsi="Verdana"/>
          <w:sz w:val="16"/>
          <w:szCs w:val="16"/>
        </w:rPr>
        <w:t xml:space="preserve"> </w:t>
      </w:r>
      <w:r w:rsidR="00C72F54" w:rsidRPr="00517952">
        <w:rPr>
          <w:rFonts w:ascii="Verdana" w:hAnsi="Verdana"/>
          <w:sz w:val="16"/>
          <w:szCs w:val="16"/>
        </w:rPr>
        <w:t xml:space="preserve">    </w:t>
      </w:r>
      <w:r w:rsidRPr="00517952">
        <w:rPr>
          <w:rFonts w:ascii="Verdana" w:hAnsi="Verdana"/>
          <w:sz w:val="16"/>
          <w:szCs w:val="16"/>
        </w:rPr>
        <w:t>El Artículo 403 del Nuevo Código Procesal Civil vigente en la época de los hechos establecía lo siguiente: “La queja se interpone ante el superior del que se negó la apelación o concedió en efecto distinto al pedido, o ante la corte de casación en el caso</w:t>
      </w:r>
      <w:r>
        <w:rPr>
          <w:rFonts w:ascii="Verdana" w:hAnsi="Verdana"/>
          <w:sz w:val="16"/>
          <w:szCs w:val="16"/>
        </w:rPr>
        <w:t xml:space="preserve"> respectivo”.</w:t>
      </w:r>
    </w:p>
  </w:footnote>
  <w:footnote w:id="98">
    <w:p w14:paraId="26CA0E73" w14:textId="47744203"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00C72F54" w:rsidRPr="00517952">
        <w:rPr>
          <w:rFonts w:ascii="Verdana" w:hAnsi="Verdana"/>
          <w:sz w:val="16"/>
          <w:szCs w:val="16"/>
        </w:rPr>
        <w:t xml:space="preserve">    </w:t>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Sala de Derecho Constitucional y Social de la Corte Suprema de justicia. Queja. 447-97. </w:t>
      </w:r>
      <w:r w:rsidRPr="00517952">
        <w:rPr>
          <w:rFonts w:ascii="Verdana" w:hAnsi="Verdana"/>
          <w:sz w:val="16"/>
          <w:szCs w:val="16"/>
        </w:rPr>
        <w:t>(expediente de prueba anexo 28 del Informe de Fondo, f. 97).</w:t>
      </w:r>
    </w:p>
  </w:footnote>
  <w:footnote w:id="99">
    <w:p w14:paraId="30991DAE" w14:textId="3349FECC"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00C72F54" w:rsidRPr="00517952">
        <w:rPr>
          <w:rFonts w:ascii="Verdana" w:hAnsi="Verdana"/>
          <w:i/>
          <w:iCs/>
          <w:sz w:val="16"/>
          <w:szCs w:val="16"/>
          <w:lang w:eastAsia="es-MX"/>
        </w:rPr>
        <w:t xml:space="preserve">    </w:t>
      </w:r>
      <w:r w:rsidRPr="00517952">
        <w:rPr>
          <w:rFonts w:ascii="Verdana" w:hAnsi="Verdana"/>
          <w:i/>
          <w:sz w:val="16"/>
          <w:szCs w:val="16"/>
        </w:rPr>
        <w:t>Cfr.</w:t>
      </w:r>
      <w:r w:rsidRPr="00517952">
        <w:rPr>
          <w:rFonts w:ascii="Verdana" w:hAnsi="Verdana"/>
          <w:sz w:val="16"/>
          <w:szCs w:val="16"/>
        </w:rPr>
        <w:t xml:space="preserve"> </w:t>
      </w:r>
      <w:r w:rsidRPr="00517952">
        <w:rPr>
          <w:rFonts w:ascii="Verdana" w:hAnsi="Verdana"/>
          <w:sz w:val="16"/>
          <w:szCs w:val="16"/>
          <w:lang w:eastAsia="es-MX"/>
        </w:rPr>
        <w:t xml:space="preserve">Recurso de queja dirigido a la Sala de Derecho Constitucional y Social de la Corte Suprema de justicia. Expediente No 839-97. A.A. 2615-91. </w:t>
      </w:r>
      <w:r w:rsidRPr="00517952">
        <w:rPr>
          <w:rFonts w:ascii="Verdana" w:hAnsi="Verdana"/>
          <w:sz w:val="16"/>
          <w:szCs w:val="16"/>
        </w:rPr>
        <w:t xml:space="preserve">(expediente de prueba anexo 29 del Informe de Fondo, </w:t>
      </w:r>
      <w:proofErr w:type="spellStart"/>
      <w:r w:rsidRPr="00517952">
        <w:rPr>
          <w:rFonts w:ascii="Verdana" w:hAnsi="Verdana"/>
          <w:sz w:val="16"/>
          <w:szCs w:val="16"/>
        </w:rPr>
        <w:t>ff</w:t>
      </w:r>
      <w:proofErr w:type="spellEnd"/>
      <w:r w:rsidRPr="00517952">
        <w:rPr>
          <w:rFonts w:ascii="Verdana" w:hAnsi="Verdana"/>
          <w:sz w:val="16"/>
          <w:szCs w:val="16"/>
        </w:rPr>
        <w:t>. 99 a 101).</w:t>
      </w:r>
    </w:p>
  </w:footnote>
  <w:footnote w:id="100">
    <w:p w14:paraId="4F2D6A7C" w14:textId="5AB32151" w:rsidR="00D86616" w:rsidRPr="0051795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t xml:space="preserve">Las referencias a la jubilación se desprenden de la “Ley que implementa las recomendaciones derivadas de las comisiones creadas por las leyes N° 27452 y N° 27586, encargadas de revisar los ceses colectivos efectuados en las empresas del Estado sujetas a procesos de promoción de la inversión privada y en las entidades del sector público y gobiernos locales”. El señor Lagos también hizo mención a las siguientes leyes: “me adeuda el integro de mis beneficios sociales y demás derechos que me corresponde de acuerdo a la ley desde el año 1976”, para poder ampararme al derecho de jubilación según Ley N° 19990 (expediente de trámite  ante la  Comisión, f. 151). </w:t>
      </w:r>
    </w:p>
  </w:footnote>
  <w:footnote w:id="101">
    <w:p w14:paraId="20BD2EAE" w14:textId="1083800E" w:rsidR="00D86616" w:rsidRPr="00517952" w:rsidRDefault="00D86616" w:rsidP="00E677C5">
      <w:pPr>
        <w:autoSpaceDE w:val="0"/>
        <w:autoSpaceDN w:val="0"/>
        <w:adjustRightInd w:val="0"/>
        <w:jc w:val="both"/>
        <w:rPr>
          <w:rFonts w:ascii="Verdana" w:hAnsi="Verdana"/>
          <w:sz w:val="16"/>
          <w:szCs w:val="16"/>
        </w:rPr>
      </w:pPr>
      <w:r w:rsidRPr="00517952">
        <w:rPr>
          <w:rStyle w:val="FootnoteReference"/>
          <w:sz w:val="16"/>
          <w:szCs w:val="16"/>
        </w:rPr>
        <w:footnoteRef/>
      </w:r>
      <w:r w:rsidR="00C72F54" w:rsidRPr="00517952">
        <w:rPr>
          <w:rFonts w:ascii="Verdana" w:hAnsi="Verdana"/>
          <w:sz w:val="16"/>
          <w:szCs w:val="16"/>
        </w:rPr>
        <w:t xml:space="preserve">    </w:t>
      </w:r>
      <w:r w:rsidRPr="00517952">
        <w:rPr>
          <w:rFonts w:ascii="Verdana" w:hAnsi="Verdana"/>
          <w:i/>
          <w:sz w:val="16"/>
          <w:szCs w:val="16"/>
        </w:rPr>
        <w:t>Cfr.</w:t>
      </w:r>
      <w:r w:rsidRPr="00517952">
        <w:rPr>
          <w:rFonts w:ascii="Verdana" w:hAnsi="Verdana"/>
          <w:i/>
          <w:iCs/>
          <w:sz w:val="16"/>
          <w:szCs w:val="16"/>
          <w:lang w:eastAsia="es-MX"/>
        </w:rPr>
        <w:t xml:space="preserve"> </w:t>
      </w:r>
      <w:r w:rsidRPr="00517952">
        <w:rPr>
          <w:rFonts w:ascii="Verdana" w:hAnsi="Verdana"/>
          <w:sz w:val="16"/>
          <w:szCs w:val="16"/>
          <w:lang w:eastAsia="es-MX"/>
        </w:rPr>
        <w:t xml:space="preserve">Constancia de Pobreza expedida por la Parroquia Santísimo Sacramento de la Arquidiócesis de Lima, de 10 de septiembre de 2003. anexo al escrito de los peticionarios de 28 de mayo de 2004; Carta de solicitud de apoyo social dirigida por el señor Lagos del Campo al Ministerio de la Mujer y Desarrollo Social el 21 de abril de 2005. anexo a la comunicación de Lagos del Campo de 2 de junio de 2005 </w:t>
      </w:r>
      <w:r w:rsidRPr="00517952">
        <w:rPr>
          <w:rFonts w:ascii="Verdana" w:hAnsi="Verdana"/>
          <w:sz w:val="16"/>
          <w:szCs w:val="16"/>
        </w:rPr>
        <w:t xml:space="preserve">(expediente de prueba, anexo 31 del Informe de Fondo, </w:t>
      </w:r>
      <w:proofErr w:type="spellStart"/>
      <w:r w:rsidRPr="00517952">
        <w:rPr>
          <w:rFonts w:ascii="Verdana" w:hAnsi="Verdana"/>
          <w:sz w:val="16"/>
          <w:szCs w:val="16"/>
        </w:rPr>
        <w:t>ff</w:t>
      </w:r>
      <w:proofErr w:type="spellEnd"/>
      <w:r w:rsidRPr="00517952">
        <w:rPr>
          <w:rFonts w:ascii="Verdana" w:hAnsi="Verdana"/>
          <w:sz w:val="16"/>
          <w:szCs w:val="16"/>
        </w:rPr>
        <w:t>. 106 y 107).</w:t>
      </w:r>
    </w:p>
  </w:footnote>
  <w:footnote w:id="102">
    <w:p w14:paraId="47738BDD" w14:textId="01EF4BA2" w:rsidR="00D86616" w:rsidRPr="009E6ED2" w:rsidRDefault="00D86616" w:rsidP="00334B6C">
      <w:pPr>
        <w:pStyle w:val="FootnoteText"/>
        <w:rPr>
          <w:lang w:val="es-MX"/>
        </w:rPr>
      </w:pPr>
      <w:r w:rsidRPr="00517952">
        <w:rPr>
          <w:rStyle w:val="FootnoteReference"/>
          <w:sz w:val="16"/>
        </w:rPr>
        <w:footnoteRef/>
      </w:r>
      <w:r w:rsidRPr="00517952">
        <w:rPr>
          <w:lang w:val="es-MX"/>
        </w:rPr>
        <w:t xml:space="preserve"> </w:t>
      </w:r>
      <w:r w:rsidRPr="00517952">
        <w:rPr>
          <w:lang w:val="es-MX"/>
        </w:rPr>
        <w:tab/>
        <w:t>En septiembre</w:t>
      </w:r>
      <w:r w:rsidRPr="009E6ED2">
        <w:rPr>
          <w:lang w:val="es-MX"/>
        </w:rPr>
        <w:t xml:space="preserve"> 2014, el señor Lagos del Campo tuvo un accidente cerebrovascular hemorrágico que requirió una hospitalización de 20 días y que le dejo varias secuelas.</w:t>
      </w:r>
    </w:p>
  </w:footnote>
  <w:footnote w:id="103">
    <w:p w14:paraId="077164D3" w14:textId="77777777" w:rsidR="00D86616" w:rsidRPr="009E6ED2" w:rsidRDefault="00D86616" w:rsidP="006A2D03">
      <w:pPr>
        <w:pStyle w:val="FootnoteText"/>
        <w:spacing w:after="0"/>
        <w:rPr>
          <w:i/>
          <w:lang w:val="es-MX"/>
        </w:rPr>
      </w:pPr>
      <w:r w:rsidRPr="00517952">
        <w:rPr>
          <w:rStyle w:val="FootnoteReference"/>
          <w:sz w:val="16"/>
        </w:rPr>
        <w:footnoteRef/>
      </w:r>
      <w:r w:rsidRPr="00517952">
        <w:rPr>
          <w:lang w:val="es-MX"/>
        </w:rPr>
        <w:t xml:space="preserve"> </w:t>
      </w:r>
      <w:r w:rsidRPr="00517952">
        <w:rPr>
          <w:lang w:val="es-MX"/>
        </w:rPr>
        <w:tab/>
        <w:t>Artículo 13. Libertad de Pensamiento y Expresión. 1. Toda persona tiene derecho a la libertad de pensamiento y de expresión</w:t>
      </w:r>
      <w:r w:rsidRPr="009E6ED2">
        <w:rPr>
          <w:lang w:val="es-MX"/>
        </w:rPr>
        <w:t>.  Este derecho comprende la libertad de buscar, recibir y difundir informaciones e ideas de toda índole, sin consideración de fronteras, ya sea oralmente, por escrito o en forma impresa o artística, o por cualquier otro procedimiento de su elección.</w:t>
      </w:r>
    </w:p>
    <w:p w14:paraId="2435A8E7" w14:textId="77777777" w:rsidR="00D86616" w:rsidRPr="009E6ED2" w:rsidRDefault="00D86616" w:rsidP="006A2D03">
      <w:pPr>
        <w:pStyle w:val="FootnoteText"/>
        <w:spacing w:after="0"/>
        <w:rPr>
          <w:i/>
          <w:lang w:val="es-MX"/>
        </w:rPr>
      </w:pPr>
      <w:r w:rsidRPr="009E6ED2">
        <w:rPr>
          <w:lang w:val="es-MX"/>
        </w:rPr>
        <w:t> 2. El ejercicio del derecho previsto en el inciso precedente no puede estar sujeto a previa censura sino a responsabilidades ulteriores, las que deben estar expresamente fijadas por la ley y ser necesarias para asegurar:</w:t>
      </w:r>
    </w:p>
    <w:p w14:paraId="399D6CE0" w14:textId="41752970" w:rsidR="00D86616" w:rsidRPr="009E6ED2" w:rsidRDefault="00D86616" w:rsidP="006A2D03">
      <w:pPr>
        <w:pStyle w:val="FootnoteText"/>
        <w:spacing w:after="0"/>
        <w:rPr>
          <w:i/>
          <w:lang w:val="es-MX"/>
        </w:rPr>
      </w:pPr>
      <w:r w:rsidRPr="009E6ED2">
        <w:rPr>
          <w:lang w:val="es-MX"/>
        </w:rPr>
        <w:t> a) el respeto a los derechos o a la reputación de los demás, o</w:t>
      </w:r>
    </w:p>
    <w:p w14:paraId="6766A7BD" w14:textId="77777777" w:rsidR="00D86616" w:rsidRPr="009E6ED2" w:rsidRDefault="00D86616" w:rsidP="006A2D03">
      <w:pPr>
        <w:pStyle w:val="FootnoteText"/>
        <w:spacing w:after="0"/>
        <w:rPr>
          <w:i/>
          <w:lang w:val="es-MX"/>
        </w:rPr>
      </w:pPr>
      <w:r w:rsidRPr="009E6ED2">
        <w:rPr>
          <w:lang w:val="es-MX"/>
        </w:rPr>
        <w:t> b) la protección de la seguridad nacional, el orden público o la salud o la moral públicas.</w:t>
      </w:r>
    </w:p>
    <w:p w14:paraId="683DD9BF" w14:textId="77777777" w:rsidR="00D86616" w:rsidRPr="009E6ED2" w:rsidRDefault="00D86616" w:rsidP="006A2D03">
      <w:pPr>
        <w:pStyle w:val="FootnoteText"/>
        <w:spacing w:after="0"/>
        <w:rPr>
          <w:i/>
          <w:lang w:val="es-MX"/>
        </w:rPr>
      </w:pPr>
      <w:r w:rsidRPr="009E6ED2">
        <w:rPr>
          <w:lang w:val="es-MX"/>
        </w:rPr>
        <w:t>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27D7574B" w14:textId="77777777" w:rsidR="00D86616" w:rsidRPr="009E6ED2" w:rsidRDefault="00D86616" w:rsidP="006A2D03">
      <w:pPr>
        <w:pStyle w:val="FootnoteText"/>
        <w:spacing w:after="0"/>
        <w:rPr>
          <w:i/>
          <w:lang w:val="es-MX"/>
        </w:rPr>
      </w:pPr>
      <w:r w:rsidRPr="009E6ED2">
        <w:rPr>
          <w:lang w:val="es-MX"/>
        </w:rPr>
        <w:t> 4. Los espectáculos públicos pueden ser sometidos por la ley a censura previa con el exclusivo objeto de regular el acceso a ellos para la protección moral de la infancia y la adolescencia, sin perjuicio de lo establecido en el inciso 2.</w:t>
      </w:r>
    </w:p>
    <w:p w14:paraId="0B3CA919" w14:textId="77777777" w:rsidR="00D86616" w:rsidRPr="009E6ED2" w:rsidRDefault="00D86616" w:rsidP="006A2D03">
      <w:pPr>
        <w:pStyle w:val="FootnoteText"/>
        <w:spacing w:after="0"/>
        <w:rPr>
          <w:i/>
          <w:lang w:val="es-MX"/>
        </w:rPr>
      </w:pPr>
      <w:r w:rsidRPr="009E6ED2">
        <w:rPr>
          <w:lang w:val="es-MX"/>
        </w:rPr>
        <w:t>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footnote>
  <w:footnote w:id="104">
    <w:p w14:paraId="0AA5F6A4" w14:textId="77777777" w:rsidR="00D86616" w:rsidRPr="00517952" w:rsidRDefault="00D86616" w:rsidP="006A2D03">
      <w:pPr>
        <w:pStyle w:val="Footnotes"/>
        <w:spacing w:before="0" w:after="0"/>
        <w:rPr>
          <w:i/>
          <w:lang w:val="es-MX"/>
        </w:rPr>
      </w:pPr>
      <w:r w:rsidRPr="00517952">
        <w:rPr>
          <w:rStyle w:val="FootnoteReference"/>
          <w:sz w:val="16"/>
        </w:rPr>
        <w:footnoteRef/>
      </w:r>
      <w:r w:rsidRPr="00517952">
        <w:rPr>
          <w:lang w:val="es-MX"/>
        </w:rPr>
        <w:t xml:space="preserve"> </w:t>
      </w:r>
      <w:r w:rsidRPr="00517952">
        <w:rPr>
          <w:lang w:val="es-MX"/>
        </w:rPr>
        <w:tab/>
      </w:r>
      <w:r w:rsidRPr="00517952">
        <w:rPr>
          <w:bCs/>
          <w:lang w:val="es-MX"/>
        </w:rPr>
        <w:t xml:space="preserve">Artículo 8. Garantías </w:t>
      </w:r>
      <w:r w:rsidRPr="00517952">
        <w:rPr>
          <w:lang w:val="es-MX"/>
        </w:rPr>
        <w:t>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05">
    <w:p w14:paraId="78B1488D" w14:textId="77777777" w:rsidR="00D86616" w:rsidRPr="00517952" w:rsidRDefault="00D86616" w:rsidP="006A2D03">
      <w:pPr>
        <w:pStyle w:val="FootnoteText"/>
        <w:spacing w:after="0"/>
        <w:rPr>
          <w:i/>
          <w:lang w:val="es-MX"/>
        </w:rPr>
      </w:pPr>
      <w:r w:rsidRPr="00517952">
        <w:rPr>
          <w:rStyle w:val="FootnoteReference"/>
          <w:sz w:val="16"/>
        </w:rPr>
        <w:footnoteRef/>
      </w:r>
      <w:r w:rsidRPr="00517952">
        <w:rPr>
          <w:lang w:val="es-MX"/>
        </w:rPr>
        <w:t xml:space="preserve"> </w:t>
      </w:r>
      <w:r w:rsidRPr="00517952">
        <w:rPr>
          <w:lang w:val="es-MX"/>
        </w:rPr>
        <w:tab/>
      </w:r>
      <w:r w:rsidRPr="00517952">
        <w:rPr>
          <w:bCs/>
          <w:lang w:val="es-MX"/>
        </w:rPr>
        <w:t>Artículo 16.  Libertad de Asociación.</w:t>
      </w:r>
      <w:r w:rsidRPr="00517952">
        <w:rPr>
          <w:lang w:val="es-MX"/>
        </w:rPr>
        <w:t xml:space="preserve"> 1. Todas las personas tienen derecho a asociarse libremente con fines ideológicos, religiosos, políticos, económicos, laborales, sociales, culturales, deportivos o de cualquiera otra índole.</w:t>
      </w:r>
    </w:p>
  </w:footnote>
  <w:footnote w:id="106">
    <w:p w14:paraId="3BE6C987" w14:textId="3A5C7114" w:rsidR="00D86616" w:rsidRPr="00517952" w:rsidRDefault="00D86616" w:rsidP="006A2D03">
      <w:pPr>
        <w:pStyle w:val="FootnoteText"/>
        <w:spacing w:after="0"/>
        <w:rPr>
          <w:lang w:val="es-CR"/>
        </w:rPr>
      </w:pPr>
      <w:r w:rsidRPr="00517952">
        <w:rPr>
          <w:rStyle w:val="FootnoteReference"/>
          <w:sz w:val="16"/>
        </w:rPr>
        <w:footnoteRef/>
      </w:r>
      <w:r w:rsidRPr="00517952">
        <w:rPr>
          <w:lang w:val="es-CR"/>
        </w:rPr>
        <w:t xml:space="preserve"> </w:t>
      </w:r>
      <w:r w:rsidRPr="00517952">
        <w:rPr>
          <w:lang w:val="es-CR"/>
        </w:rPr>
        <w:tab/>
        <w:t>Artículo 26.  Desarrollo Progresivo.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footnote>
  <w:footnote w:id="107">
    <w:p w14:paraId="4AE02642" w14:textId="4C80FFF2" w:rsidR="00D86616" w:rsidRPr="00517952" w:rsidRDefault="00D86616" w:rsidP="006A2D03">
      <w:pPr>
        <w:pStyle w:val="FootnoteText"/>
        <w:spacing w:after="0"/>
        <w:rPr>
          <w:i/>
          <w:lang w:val="es-CR"/>
        </w:rPr>
      </w:pPr>
      <w:r w:rsidRPr="00517952">
        <w:rPr>
          <w:rStyle w:val="FootnoteReference"/>
          <w:sz w:val="16"/>
        </w:rPr>
        <w:footnoteRef/>
      </w:r>
      <w:r w:rsidRPr="00517952">
        <w:rPr>
          <w:lang w:val="es-CR"/>
        </w:rPr>
        <w:t xml:space="preserve"> </w:t>
      </w:r>
      <w:r w:rsidRPr="00517952">
        <w:rPr>
          <w:lang w:val="es-CR"/>
        </w:rPr>
        <w:tab/>
        <w:t>El artículo 1.1 de la Convención establece que: “Los Estados […] se comprometen a respetar los derechos y libertades reconocidos en ella y a garantizar su libre y pleno ejercicio a toda persona que esté sujeta a su jurisdicción […]”.</w:t>
      </w:r>
    </w:p>
  </w:footnote>
  <w:footnote w:id="108">
    <w:p w14:paraId="6BCB981F" w14:textId="440D336D" w:rsidR="00D86616" w:rsidRPr="00517952" w:rsidRDefault="00D86616" w:rsidP="006A2D03">
      <w:pPr>
        <w:pStyle w:val="FootnoteText"/>
        <w:spacing w:after="0"/>
        <w:rPr>
          <w:i/>
          <w:lang w:val="es-MX"/>
        </w:rPr>
      </w:pPr>
      <w:r w:rsidRPr="00517952">
        <w:rPr>
          <w:rStyle w:val="FootnoteReference"/>
          <w:sz w:val="16"/>
        </w:rPr>
        <w:footnoteRef/>
      </w:r>
      <w:r w:rsidRPr="00517952">
        <w:rPr>
          <w:lang w:val="es-MX"/>
        </w:rPr>
        <w:t xml:space="preserve"> </w:t>
      </w:r>
      <w:r w:rsidRPr="00517952">
        <w:rPr>
          <w:lang w:val="es-MX"/>
        </w:rPr>
        <w:tab/>
        <w:t>Artículo 2. Deber de Adoptar Disposiciones de Derecho Interno. Si el ejercicio de los derechos y libertades mencionados en el artículo 1 no estuviere ya garantizado por disposiciones legislativas o de otro carácter, los Estados Partes se comprometen</w:t>
      </w:r>
      <w:r w:rsidRPr="009E6ED2">
        <w:rPr>
          <w:lang w:val="es-MX"/>
        </w:rPr>
        <w:t xml:space="preserve"> a adoptar, con arreglo a sus procedimientos constitucionales y a las disposiciones de esta Convención, las medidas legislativas o de otro carácter que fueren necesarias para hacer efectivos tales derechos y </w:t>
      </w:r>
      <w:r w:rsidRPr="00517952">
        <w:rPr>
          <w:lang w:val="es-MX"/>
        </w:rPr>
        <w:t>libertades.</w:t>
      </w:r>
    </w:p>
  </w:footnote>
  <w:footnote w:id="109">
    <w:p w14:paraId="0BC3EEF6" w14:textId="00D0BAC6" w:rsidR="00D86616" w:rsidRPr="00801513"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517952">
        <w:rPr>
          <w:lang w:val="es-MX"/>
        </w:rPr>
        <w:tab/>
        <w:t>Artículo 25.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w:t>
      </w:r>
      <w:r w:rsidRPr="009E6ED2">
        <w:rPr>
          <w:lang w:val="es-MX"/>
        </w:rPr>
        <w:t xml:space="preserve">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110">
    <w:p w14:paraId="3A763409" w14:textId="210D1905" w:rsidR="00D86616" w:rsidRPr="00333304" w:rsidRDefault="00D86616" w:rsidP="006A2D03">
      <w:pPr>
        <w:pStyle w:val="ListParagraph"/>
        <w:autoSpaceDE w:val="0"/>
        <w:autoSpaceDN w:val="0"/>
        <w:adjustRightInd w:val="0"/>
        <w:ind w:left="0"/>
        <w:jc w:val="both"/>
        <w:rPr>
          <w:rFonts w:ascii="Verdana" w:hAnsi="Verdana"/>
          <w:sz w:val="16"/>
          <w:szCs w:val="16"/>
          <w:lang w:val="es-MX"/>
        </w:rPr>
      </w:pPr>
      <w:r w:rsidRPr="00450C8D">
        <w:rPr>
          <w:rStyle w:val="FootnoteReference"/>
          <w:szCs w:val="20"/>
        </w:rPr>
        <w:footnoteRef/>
      </w:r>
      <w:r w:rsidRPr="00450C8D">
        <w:rPr>
          <w:rFonts w:ascii="Verdana" w:hAnsi="Verdana"/>
          <w:sz w:val="20"/>
          <w:szCs w:val="20"/>
        </w:rPr>
        <w:t xml:space="preserve"> </w:t>
      </w:r>
      <w:r w:rsidRPr="004C3F47">
        <w:rPr>
          <w:rFonts w:ascii="Verdana" w:hAnsi="Verdana"/>
          <w:sz w:val="16"/>
          <w:szCs w:val="16"/>
        </w:rPr>
        <w:tab/>
      </w:r>
      <w:r w:rsidRPr="004C3F47">
        <w:rPr>
          <w:rFonts w:ascii="Verdana" w:hAnsi="Verdana"/>
          <w:sz w:val="16"/>
          <w:szCs w:val="16"/>
          <w:lang w:val="es-MX"/>
        </w:rPr>
        <w:t>De manera central, la Comisión tomó en cuenta el cargo que ocupaba el señor Lagos del Campo, el contexto en que se dieron las declaraciones, así como la naturaleza y gravedad de la medida, atendiendo la relación entre la libertad de expresión de representantes de trabajadores y la reivindicación de derechos en ese ámbito</w:t>
      </w:r>
      <w:r>
        <w:rPr>
          <w:rFonts w:ascii="Verdana" w:hAnsi="Verdana"/>
          <w:sz w:val="16"/>
          <w:szCs w:val="16"/>
          <w:lang w:val="es-MX"/>
        </w:rPr>
        <w:t xml:space="preserve">. </w:t>
      </w:r>
      <w:r w:rsidRPr="004C3F47">
        <w:rPr>
          <w:rFonts w:ascii="Verdana" w:hAnsi="Verdana"/>
          <w:sz w:val="16"/>
          <w:szCs w:val="16"/>
          <w:lang w:val="es-ES" w:eastAsia="es-ES"/>
        </w:rPr>
        <w:t>Asimismo, el despido como castigo tan severo tanto para la presunta víctima como para los trabajadores y su derecho a la información, tampoco se puede justificar en la gravedad del daño causado, sobre todo considerando que éste no fue acreditado en juicio</w:t>
      </w:r>
      <w:r>
        <w:rPr>
          <w:rFonts w:ascii="Verdana" w:hAnsi="Verdana"/>
          <w:sz w:val="16"/>
          <w:szCs w:val="16"/>
          <w:lang w:val="es-ES" w:eastAsia="es-ES"/>
        </w:rPr>
        <w:t>.</w:t>
      </w:r>
    </w:p>
  </w:footnote>
  <w:footnote w:id="111">
    <w:p w14:paraId="1BAF58BB" w14:textId="39546BB9" w:rsidR="00D86616" w:rsidRPr="00517952" w:rsidRDefault="00D86616" w:rsidP="006A2D03">
      <w:pPr>
        <w:tabs>
          <w:tab w:val="left" w:pos="567"/>
        </w:tabs>
        <w:jc w:val="both"/>
        <w:rPr>
          <w:rFonts w:ascii="Verdana" w:hAnsi="Verdana"/>
          <w:i/>
          <w:spacing w:val="-4"/>
          <w:sz w:val="16"/>
          <w:szCs w:val="16"/>
          <w:lang w:val="es-ES"/>
        </w:rPr>
      </w:pPr>
      <w:r w:rsidRPr="00517952">
        <w:rPr>
          <w:rStyle w:val="FootnoteReference"/>
          <w:spacing w:val="-4"/>
          <w:sz w:val="16"/>
          <w:szCs w:val="16"/>
        </w:rPr>
        <w:footnoteRef/>
      </w:r>
      <w:r w:rsidRPr="00517952">
        <w:rPr>
          <w:rFonts w:ascii="Verdana" w:hAnsi="Verdana"/>
          <w:i/>
          <w:spacing w:val="-4"/>
          <w:sz w:val="16"/>
          <w:szCs w:val="16"/>
          <w:lang w:val="es-ES"/>
        </w:rPr>
        <w:t xml:space="preserve"> </w:t>
      </w:r>
      <w:r w:rsidRPr="00517952">
        <w:rPr>
          <w:rFonts w:ascii="Verdana" w:hAnsi="Verdana"/>
          <w:i/>
          <w:spacing w:val="-4"/>
          <w:sz w:val="16"/>
          <w:szCs w:val="16"/>
          <w:lang w:val="es-ES"/>
        </w:rPr>
        <w:tab/>
        <w:t>Cfr. La Colegiación Obligatoria de Periodistas (arts. 13 y 29 Convención Americana sobre Derechos Humanos). Opinión</w:t>
      </w:r>
    </w:p>
    <w:p w14:paraId="2B37AA7A" w14:textId="70F4A218" w:rsidR="00D86616" w:rsidRPr="00517952" w:rsidRDefault="00D86616" w:rsidP="006A2D03">
      <w:pPr>
        <w:tabs>
          <w:tab w:val="left" w:pos="567"/>
        </w:tabs>
        <w:jc w:val="both"/>
        <w:rPr>
          <w:rFonts w:ascii="Verdana" w:hAnsi="Verdana"/>
          <w:i/>
          <w:spacing w:val="-4"/>
          <w:sz w:val="16"/>
          <w:szCs w:val="16"/>
          <w:lang w:val="es-ES"/>
        </w:rPr>
      </w:pPr>
      <w:r w:rsidRPr="00517952">
        <w:rPr>
          <w:rFonts w:ascii="Verdana" w:hAnsi="Verdana"/>
          <w:i/>
          <w:spacing w:val="-4"/>
          <w:sz w:val="16"/>
          <w:szCs w:val="16"/>
          <w:lang w:val="es-ES"/>
        </w:rPr>
        <w:t xml:space="preserve">Consultiva OC-5/85, del 13 de noviembre de 1985. Serie A No. 5, </w:t>
      </w:r>
      <w:r w:rsidRPr="00517952">
        <w:rPr>
          <w:rFonts w:ascii="Verdana" w:hAnsi="Verdana"/>
          <w:spacing w:val="-4"/>
          <w:sz w:val="16"/>
          <w:szCs w:val="16"/>
          <w:lang w:val="es-ES"/>
        </w:rPr>
        <w:t>párr. 30, y</w:t>
      </w:r>
      <w:r w:rsidRPr="00517952">
        <w:rPr>
          <w:rFonts w:ascii="Verdana" w:hAnsi="Verdana"/>
          <w:i/>
          <w:spacing w:val="-4"/>
          <w:sz w:val="16"/>
          <w:szCs w:val="16"/>
          <w:lang w:val="es-ES"/>
        </w:rPr>
        <w:t xml:space="preserve"> </w:t>
      </w:r>
      <w:r w:rsidRPr="00517952">
        <w:rPr>
          <w:rStyle w:val="Strong"/>
          <w:rFonts w:ascii="Verdana" w:hAnsi="Verdana"/>
          <w:b w:val="0"/>
          <w:i/>
          <w:sz w:val="16"/>
          <w:szCs w:val="16"/>
          <w:shd w:val="clear" w:color="auto" w:fill="FFFFFF"/>
        </w:rPr>
        <w:t xml:space="preserve">Caso López </w:t>
      </w:r>
      <w:proofErr w:type="spellStart"/>
      <w:r w:rsidRPr="00517952">
        <w:rPr>
          <w:rStyle w:val="Strong"/>
          <w:rFonts w:ascii="Verdana" w:hAnsi="Verdana"/>
          <w:b w:val="0"/>
          <w:i/>
          <w:sz w:val="16"/>
          <w:szCs w:val="16"/>
          <w:shd w:val="clear" w:color="auto" w:fill="FFFFFF"/>
        </w:rPr>
        <w:t>Lone</w:t>
      </w:r>
      <w:proofErr w:type="spellEnd"/>
      <w:r w:rsidRPr="00517952">
        <w:rPr>
          <w:rStyle w:val="Strong"/>
          <w:rFonts w:ascii="Verdana" w:hAnsi="Verdana"/>
          <w:b w:val="0"/>
          <w:i/>
          <w:sz w:val="16"/>
          <w:szCs w:val="16"/>
          <w:shd w:val="clear" w:color="auto" w:fill="FFFFFF"/>
        </w:rPr>
        <w:t xml:space="preserve"> y otros Vs. Honduras</w:t>
      </w:r>
      <w:r w:rsidRPr="00517952">
        <w:rPr>
          <w:rStyle w:val="Strong"/>
          <w:rFonts w:ascii="Verdana" w:hAnsi="Verdana"/>
          <w:b w:val="0"/>
          <w:sz w:val="16"/>
          <w:szCs w:val="16"/>
          <w:shd w:val="clear" w:color="auto" w:fill="FFFFFF"/>
        </w:rPr>
        <w:t xml:space="preserve">. </w:t>
      </w:r>
      <w:r w:rsidRPr="00517952">
        <w:rPr>
          <w:rStyle w:val="Strong"/>
          <w:rFonts w:ascii="Verdana" w:hAnsi="Verdana"/>
          <w:b w:val="0"/>
          <w:i/>
          <w:sz w:val="16"/>
          <w:szCs w:val="16"/>
          <w:shd w:val="clear" w:color="auto" w:fill="FFFFFF"/>
        </w:rPr>
        <w:t>Excepción Preliminar, Fondo, Reparaciones y Costas</w:t>
      </w:r>
      <w:r w:rsidRPr="00517952">
        <w:rPr>
          <w:rStyle w:val="Strong"/>
          <w:rFonts w:ascii="Verdana" w:hAnsi="Verdana"/>
          <w:b w:val="0"/>
          <w:sz w:val="16"/>
          <w:szCs w:val="16"/>
          <w:shd w:val="clear" w:color="auto" w:fill="FFFFFF"/>
        </w:rPr>
        <w:t>. Sentencia 5 de octubre de 2015. Serie 302, párr.166.</w:t>
      </w:r>
    </w:p>
  </w:footnote>
  <w:footnote w:id="112">
    <w:p w14:paraId="1193D660" w14:textId="07D83030" w:rsidR="00D86616" w:rsidRPr="00517952" w:rsidRDefault="00D86616" w:rsidP="006A2D03">
      <w:pPr>
        <w:tabs>
          <w:tab w:val="left" w:pos="567"/>
        </w:tabs>
        <w:jc w:val="both"/>
        <w:rPr>
          <w:rFonts w:ascii="Verdana" w:hAnsi="Verdana"/>
          <w:spacing w:val="-4"/>
          <w:sz w:val="16"/>
          <w:szCs w:val="16"/>
          <w:lang w:val="es-ES"/>
        </w:rPr>
      </w:pPr>
      <w:r w:rsidRPr="00517952">
        <w:rPr>
          <w:rStyle w:val="FootnoteReference"/>
          <w:spacing w:val="-4"/>
          <w:sz w:val="16"/>
          <w:szCs w:val="16"/>
        </w:rPr>
        <w:footnoteRef/>
      </w:r>
      <w:r w:rsidRPr="00517952">
        <w:rPr>
          <w:rFonts w:ascii="Verdana" w:hAnsi="Verdana"/>
          <w:spacing w:val="-4"/>
          <w:sz w:val="16"/>
          <w:szCs w:val="16"/>
        </w:rPr>
        <w:t xml:space="preserve"> </w:t>
      </w:r>
      <w:r w:rsidRPr="00517952">
        <w:rPr>
          <w:rFonts w:ascii="Verdana" w:hAnsi="Verdana"/>
          <w:spacing w:val="-4"/>
          <w:sz w:val="16"/>
          <w:szCs w:val="16"/>
        </w:rPr>
        <w:tab/>
      </w:r>
      <w:r w:rsidRPr="00517952">
        <w:rPr>
          <w:rFonts w:ascii="Verdana" w:hAnsi="Verdana"/>
          <w:i/>
          <w:spacing w:val="-4"/>
          <w:sz w:val="16"/>
          <w:szCs w:val="16"/>
          <w:lang w:val="es-ES"/>
        </w:rPr>
        <w:t>Cfr. La Colegiación Obligatoria de Periodistas OC-5/85, supra</w:t>
      </w:r>
      <w:r w:rsidRPr="00517952">
        <w:rPr>
          <w:rFonts w:ascii="Verdana" w:hAnsi="Verdana"/>
          <w:spacing w:val="-4"/>
          <w:sz w:val="16"/>
          <w:szCs w:val="16"/>
          <w:lang w:val="es-ES"/>
        </w:rPr>
        <w:t xml:space="preserve">, </w:t>
      </w:r>
      <w:proofErr w:type="spellStart"/>
      <w:r w:rsidRPr="00517952">
        <w:rPr>
          <w:rFonts w:ascii="Verdana" w:hAnsi="Verdana"/>
          <w:spacing w:val="-4"/>
          <w:sz w:val="16"/>
          <w:szCs w:val="16"/>
          <w:lang w:val="es-ES"/>
        </w:rPr>
        <w:t>párrs</w:t>
      </w:r>
      <w:proofErr w:type="spellEnd"/>
      <w:r w:rsidRPr="00517952">
        <w:rPr>
          <w:rFonts w:ascii="Verdana" w:hAnsi="Verdana"/>
          <w:spacing w:val="-4"/>
          <w:sz w:val="16"/>
          <w:szCs w:val="16"/>
          <w:lang w:val="es-ES"/>
        </w:rPr>
        <w:t>. 31 y 32, y</w:t>
      </w:r>
      <w:r w:rsidRPr="00517952">
        <w:rPr>
          <w:rFonts w:ascii="Verdana" w:hAnsi="Verdana"/>
          <w:i/>
          <w:spacing w:val="-4"/>
          <w:sz w:val="16"/>
          <w:szCs w:val="16"/>
          <w:lang w:val="es-ES"/>
        </w:rPr>
        <w:t xml:space="preserve"> </w:t>
      </w:r>
      <w:r w:rsidRPr="00517952">
        <w:rPr>
          <w:rStyle w:val="Strong"/>
          <w:rFonts w:ascii="Verdana" w:hAnsi="Verdana"/>
          <w:b w:val="0"/>
          <w:i/>
          <w:sz w:val="16"/>
          <w:szCs w:val="16"/>
          <w:shd w:val="clear" w:color="auto" w:fill="FFFFFF"/>
        </w:rPr>
        <w:t xml:space="preserve">Caso López </w:t>
      </w:r>
      <w:proofErr w:type="spellStart"/>
      <w:r w:rsidRPr="00517952">
        <w:rPr>
          <w:rStyle w:val="Strong"/>
          <w:rFonts w:ascii="Verdana" w:hAnsi="Verdana"/>
          <w:b w:val="0"/>
          <w:i/>
          <w:sz w:val="16"/>
          <w:szCs w:val="16"/>
          <w:shd w:val="clear" w:color="auto" w:fill="FFFFFF"/>
        </w:rPr>
        <w:t>Lone</w:t>
      </w:r>
      <w:proofErr w:type="spellEnd"/>
      <w:r w:rsidRPr="00517952">
        <w:rPr>
          <w:rStyle w:val="Strong"/>
          <w:rFonts w:ascii="Verdana" w:hAnsi="Verdana"/>
          <w:b w:val="0"/>
          <w:i/>
          <w:sz w:val="16"/>
          <w:szCs w:val="16"/>
          <w:shd w:val="clear" w:color="auto" w:fill="FFFFFF"/>
        </w:rPr>
        <w:t xml:space="preserve"> Vs. Honduras</w:t>
      </w:r>
      <w:r w:rsidRPr="00517952">
        <w:rPr>
          <w:rStyle w:val="Strong"/>
          <w:rFonts w:ascii="Verdana" w:hAnsi="Verdana"/>
          <w:b w:val="0"/>
          <w:sz w:val="16"/>
          <w:szCs w:val="16"/>
          <w:shd w:val="clear" w:color="auto" w:fill="FFFFFF"/>
        </w:rPr>
        <w:t xml:space="preserve">, </w:t>
      </w:r>
      <w:r w:rsidRPr="00517952">
        <w:rPr>
          <w:rStyle w:val="Strong"/>
          <w:rFonts w:ascii="Verdana" w:hAnsi="Verdana"/>
          <w:b w:val="0"/>
          <w:i/>
          <w:sz w:val="16"/>
          <w:szCs w:val="16"/>
          <w:shd w:val="clear" w:color="auto" w:fill="FFFFFF"/>
        </w:rPr>
        <w:t>supra</w:t>
      </w:r>
      <w:r w:rsidRPr="00517952">
        <w:rPr>
          <w:rStyle w:val="Strong"/>
          <w:rFonts w:ascii="Verdana" w:hAnsi="Verdana"/>
          <w:b w:val="0"/>
          <w:sz w:val="16"/>
          <w:szCs w:val="16"/>
          <w:shd w:val="clear" w:color="auto" w:fill="FFFFFF"/>
        </w:rPr>
        <w:t>, párr. 166.</w:t>
      </w:r>
    </w:p>
  </w:footnote>
  <w:footnote w:id="113">
    <w:p w14:paraId="6F93E25C" w14:textId="1F8E00BB" w:rsidR="00D86616" w:rsidRPr="00517952" w:rsidRDefault="00D86616" w:rsidP="006A2D03">
      <w:pPr>
        <w:tabs>
          <w:tab w:val="left" w:pos="567"/>
        </w:tabs>
        <w:jc w:val="both"/>
        <w:rPr>
          <w:rFonts w:ascii="Verdana" w:hAnsi="Verdana"/>
          <w:i/>
          <w:spacing w:val="-4"/>
          <w:sz w:val="16"/>
          <w:szCs w:val="16"/>
        </w:rPr>
      </w:pPr>
      <w:r w:rsidRPr="00517952">
        <w:rPr>
          <w:rStyle w:val="FootnoteReference"/>
          <w:spacing w:val="-4"/>
          <w:sz w:val="16"/>
          <w:szCs w:val="16"/>
        </w:rPr>
        <w:footnoteRef/>
      </w:r>
      <w:r w:rsidRPr="00517952">
        <w:rPr>
          <w:rFonts w:ascii="Verdana" w:hAnsi="Verdana"/>
          <w:spacing w:val="-4"/>
          <w:sz w:val="16"/>
          <w:szCs w:val="16"/>
        </w:rPr>
        <w:t xml:space="preserve"> </w:t>
      </w:r>
      <w:r w:rsidRPr="00517952">
        <w:rPr>
          <w:rFonts w:ascii="Verdana" w:hAnsi="Verdana"/>
          <w:spacing w:val="-4"/>
          <w:sz w:val="16"/>
          <w:szCs w:val="16"/>
        </w:rPr>
        <w:tab/>
      </w:r>
      <w:r w:rsidRPr="00517952">
        <w:rPr>
          <w:rFonts w:ascii="Verdana" w:hAnsi="Verdana"/>
          <w:i/>
          <w:spacing w:val="-4"/>
          <w:sz w:val="16"/>
          <w:szCs w:val="16"/>
        </w:rPr>
        <w:t>Cfr</w:t>
      </w:r>
      <w:r w:rsidRPr="00517952">
        <w:rPr>
          <w:rFonts w:ascii="Verdana" w:hAnsi="Verdana"/>
          <w:spacing w:val="-4"/>
          <w:sz w:val="16"/>
          <w:szCs w:val="16"/>
        </w:rPr>
        <w:t xml:space="preserve">. </w:t>
      </w:r>
      <w:r w:rsidRPr="00517952">
        <w:rPr>
          <w:rFonts w:ascii="Verdana" w:hAnsi="Verdana"/>
          <w:i/>
          <w:spacing w:val="-4"/>
          <w:sz w:val="16"/>
          <w:szCs w:val="16"/>
        </w:rPr>
        <w:t xml:space="preserve">Caso “La Última Tentación de Cristo” (Olmedo Bustos y otros) Vs. Chile. Fondo, Reparaciones y Costas. </w:t>
      </w:r>
      <w:r w:rsidRPr="00517952">
        <w:rPr>
          <w:rFonts w:ascii="Verdana" w:hAnsi="Verdana"/>
          <w:spacing w:val="-4"/>
          <w:sz w:val="16"/>
          <w:szCs w:val="16"/>
        </w:rPr>
        <w:t xml:space="preserve">Sentencia de 5 de febrero de 2001. Serie C No. 73 </w:t>
      </w:r>
      <w:r w:rsidRPr="00517952">
        <w:rPr>
          <w:rFonts w:ascii="Verdana" w:hAnsi="Verdana"/>
          <w:i/>
          <w:sz w:val="16"/>
          <w:szCs w:val="16"/>
        </w:rPr>
        <w:t>supra</w:t>
      </w:r>
      <w:r w:rsidRPr="00517952">
        <w:rPr>
          <w:rFonts w:ascii="Verdana" w:hAnsi="Verdana"/>
          <w:sz w:val="16"/>
          <w:szCs w:val="16"/>
        </w:rPr>
        <w:t xml:space="preserve">, párr. 67, y </w:t>
      </w:r>
      <w:r w:rsidRPr="00517952">
        <w:rPr>
          <w:rStyle w:val="Strong"/>
          <w:rFonts w:ascii="Verdana" w:hAnsi="Verdana"/>
          <w:b w:val="0"/>
          <w:i/>
          <w:sz w:val="16"/>
          <w:szCs w:val="16"/>
          <w:shd w:val="clear" w:color="auto" w:fill="FFFFFF"/>
        </w:rPr>
        <w:t xml:space="preserve">Caso López </w:t>
      </w:r>
      <w:proofErr w:type="spellStart"/>
      <w:r w:rsidRPr="00517952">
        <w:rPr>
          <w:rStyle w:val="Strong"/>
          <w:rFonts w:ascii="Verdana" w:hAnsi="Verdana"/>
          <w:b w:val="0"/>
          <w:i/>
          <w:sz w:val="16"/>
          <w:szCs w:val="16"/>
          <w:shd w:val="clear" w:color="auto" w:fill="FFFFFF"/>
        </w:rPr>
        <w:t>Lone</w:t>
      </w:r>
      <w:proofErr w:type="spellEnd"/>
      <w:r w:rsidRPr="00517952">
        <w:rPr>
          <w:rStyle w:val="Strong"/>
          <w:rFonts w:ascii="Verdana" w:hAnsi="Verdana"/>
          <w:b w:val="0"/>
          <w:i/>
          <w:sz w:val="16"/>
          <w:szCs w:val="16"/>
          <w:shd w:val="clear" w:color="auto" w:fill="FFFFFF"/>
        </w:rPr>
        <w:t xml:space="preserve"> Vs. Honduras</w:t>
      </w:r>
      <w:r w:rsidRPr="00517952">
        <w:rPr>
          <w:rStyle w:val="Strong"/>
          <w:rFonts w:ascii="Verdana" w:hAnsi="Verdana"/>
          <w:b w:val="0"/>
          <w:sz w:val="16"/>
          <w:szCs w:val="16"/>
          <w:shd w:val="clear" w:color="auto" w:fill="FFFFFF"/>
        </w:rPr>
        <w:t xml:space="preserve">, </w:t>
      </w:r>
      <w:r w:rsidRPr="00517952">
        <w:rPr>
          <w:rStyle w:val="Strong"/>
          <w:rFonts w:ascii="Verdana" w:hAnsi="Verdana"/>
          <w:b w:val="0"/>
          <w:i/>
          <w:sz w:val="16"/>
          <w:szCs w:val="16"/>
          <w:shd w:val="clear" w:color="auto" w:fill="FFFFFF"/>
        </w:rPr>
        <w:t>supra</w:t>
      </w:r>
      <w:r w:rsidRPr="00517952">
        <w:rPr>
          <w:rStyle w:val="Strong"/>
          <w:rFonts w:ascii="Verdana" w:hAnsi="Verdana"/>
          <w:b w:val="0"/>
          <w:sz w:val="16"/>
          <w:szCs w:val="16"/>
          <w:shd w:val="clear" w:color="auto" w:fill="FFFFFF"/>
        </w:rPr>
        <w:t>, párr.166</w:t>
      </w:r>
    </w:p>
  </w:footnote>
  <w:footnote w:id="114">
    <w:p w14:paraId="175FDA30" w14:textId="0BBD6088" w:rsidR="00D86616" w:rsidRPr="004C3F47" w:rsidRDefault="00D86616" w:rsidP="006A2D03">
      <w:pPr>
        <w:pStyle w:val="FootnoteText"/>
        <w:spacing w:after="0"/>
        <w:rPr>
          <w:spacing w:val="-4"/>
          <w:lang w:val="es-ES_tradnl"/>
        </w:rPr>
      </w:pPr>
      <w:r w:rsidRPr="00517952">
        <w:rPr>
          <w:rStyle w:val="FootnoteReference"/>
          <w:spacing w:val="-4"/>
          <w:sz w:val="16"/>
        </w:rPr>
        <w:footnoteRef/>
      </w:r>
      <w:r w:rsidRPr="00517952">
        <w:rPr>
          <w:spacing w:val="-4"/>
          <w:lang w:val="es-MX"/>
        </w:rPr>
        <w:t xml:space="preserve"> </w:t>
      </w:r>
      <w:r w:rsidRPr="00517952">
        <w:rPr>
          <w:spacing w:val="-4"/>
          <w:lang w:val="es-MX"/>
        </w:rPr>
        <w:tab/>
      </w:r>
      <w:r w:rsidRPr="00517952">
        <w:rPr>
          <w:i/>
          <w:spacing w:val="-4"/>
          <w:lang w:val="es-MX"/>
        </w:rPr>
        <w:t xml:space="preserve">Cfr. </w:t>
      </w:r>
      <w:r w:rsidRPr="00517952">
        <w:rPr>
          <w:i/>
          <w:lang w:val="es-MX"/>
        </w:rPr>
        <w:t xml:space="preserve">Caso “La Última Tentación de Cristo” Vs. Chile, supra, </w:t>
      </w:r>
      <w:r w:rsidRPr="00517952">
        <w:rPr>
          <w:lang w:val="es-MX"/>
        </w:rPr>
        <w:t xml:space="preserve">párr. 66, y </w:t>
      </w:r>
      <w:r w:rsidRPr="00517952">
        <w:rPr>
          <w:i/>
          <w:lang w:val="es-MX"/>
        </w:rPr>
        <w:t xml:space="preserve">Caso López </w:t>
      </w:r>
      <w:proofErr w:type="spellStart"/>
      <w:r w:rsidRPr="00517952">
        <w:rPr>
          <w:i/>
          <w:lang w:val="es-MX"/>
        </w:rPr>
        <w:t>Lone</w:t>
      </w:r>
      <w:proofErr w:type="spellEnd"/>
      <w:r w:rsidRPr="00517952">
        <w:rPr>
          <w:i/>
          <w:lang w:val="es-MX"/>
        </w:rPr>
        <w:t xml:space="preserve"> Vs. Honduras, supra</w:t>
      </w:r>
      <w:r w:rsidRPr="00517952">
        <w:rPr>
          <w:lang w:val="es-MX"/>
        </w:rPr>
        <w:t>, párr. 166</w:t>
      </w:r>
      <w:r>
        <w:rPr>
          <w:lang w:val="es-MX"/>
        </w:rPr>
        <w:t>.</w:t>
      </w:r>
    </w:p>
  </w:footnote>
  <w:footnote w:id="115">
    <w:p w14:paraId="5342132A" w14:textId="066517A8" w:rsidR="00D86616" w:rsidRPr="00517952" w:rsidRDefault="00D86616" w:rsidP="006A2D03">
      <w:pPr>
        <w:pStyle w:val="FootnoteText"/>
        <w:spacing w:after="0"/>
        <w:rPr>
          <w:lang w:val="es-MX"/>
        </w:rPr>
      </w:pPr>
      <w:r w:rsidRPr="00517952">
        <w:rPr>
          <w:rStyle w:val="FootnoteReference"/>
          <w:rFonts w:eastAsiaTheme="majorEastAsia"/>
          <w:spacing w:val="-4"/>
          <w:sz w:val="16"/>
        </w:rPr>
        <w:footnoteRef/>
      </w:r>
      <w:r w:rsidRPr="00517952">
        <w:rPr>
          <w:lang w:val="es-MX"/>
        </w:rPr>
        <w:t xml:space="preserve"> </w:t>
      </w:r>
      <w:r w:rsidRPr="00517952">
        <w:rPr>
          <w:lang w:val="es-MX"/>
        </w:rPr>
        <w:tab/>
      </w:r>
      <w:r w:rsidRPr="00517952">
        <w:rPr>
          <w:i/>
          <w:lang w:val="es-MX"/>
        </w:rPr>
        <w:t xml:space="preserve">Cfr. La Colegiación Obligatoria de Periodistas </w:t>
      </w:r>
      <w:r w:rsidRPr="00517952">
        <w:rPr>
          <w:i/>
          <w:spacing w:val="-4"/>
          <w:lang w:val="es-ES"/>
        </w:rPr>
        <w:t>OC-5/85,</w:t>
      </w:r>
      <w:r w:rsidRPr="00517952">
        <w:rPr>
          <w:i/>
          <w:lang w:val="es-MX"/>
        </w:rPr>
        <w:t xml:space="preserve"> supra</w:t>
      </w:r>
      <w:r w:rsidRPr="00517952">
        <w:rPr>
          <w:lang w:val="es-MX"/>
        </w:rPr>
        <w:t xml:space="preserve">, párr. 30, y </w:t>
      </w:r>
      <w:r w:rsidRPr="00517952">
        <w:rPr>
          <w:i/>
          <w:lang w:val="es-MX"/>
        </w:rPr>
        <w:t xml:space="preserve">Caso López </w:t>
      </w:r>
      <w:proofErr w:type="spellStart"/>
      <w:r w:rsidRPr="00517952">
        <w:rPr>
          <w:i/>
          <w:lang w:val="es-MX"/>
        </w:rPr>
        <w:t>Lone</w:t>
      </w:r>
      <w:proofErr w:type="spellEnd"/>
      <w:r w:rsidRPr="00517952">
        <w:rPr>
          <w:i/>
          <w:lang w:val="es-MX"/>
        </w:rPr>
        <w:t xml:space="preserve"> Vs. Honduras, supra,</w:t>
      </w:r>
      <w:r w:rsidRPr="00517952">
        <w:rPr>
          <w:lang w:val="es-MX"/>
        </w:rPr>
        <w:t xml:space="preserve"> párr. 166.</w:t>
      </w:r>
    </w:p>
  </w:footnote>
  <w:footnote w:id="116">
    <w:p w14:paraId="28E62726" w14:textId="3C402120" w:rsidR="00D86616" w:rsidRPr="00517952"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517952">
        <w:rPr>
          <w:lang w:val="es-MX"/>
        </w:rPr>
        <w:tab/>
      </w:r>
      <w:r w:rsidRPr="00517952">
        <w:rPr>
          <w:i/>
          <w:lang w:val="es-MX"/>
        </w:rPr>
        <w:t>Caso Tristán Donoso Vs. Panamá. Excepción Preliminar, Fondo, Reparaciones y Costas</w:t>
      </w:r>
      <w:r w:rsidRPr="00517952">
        <w:rPr>
          <w:lang w:val="es-MX"/>
        </w:rPr>
        <w:t xml:space="preserve">. Sentencia de 27 de enero de 2009. Serie C No. 193, párr. 114 y </w:t>
      </w:r>
      <w:r w:rsidRPr="00517952">
        <w:rPr>
          <w:i/>
          <w:lang w:val="es-MX"/>
        </w:rPr>
        <w:t xml:space="preserve">Caso López </w:t>
      </w:r>
      <w:proofErr w:type="spellStart"/>
      <w:r w:rsidRPr="00517952">
        <w:rPr>
          <w:i/>
          <w:lang w:val="es-MX"/>
        </w:rPr>
        <w:t>Lone</w:t>
      </w:r>
      <w:proofErr w:type="spellEnd"/>
      <w:r w:rsidRPr="00517952">
        <w:rPr>
          <w:i/>
          <w:lang w:val="es-MX"/>
        </w:rPr>
        <w:t xml:space="preserve"> Vs Honduras, supra,</w:t>
      </w:r>
      <w:r w:rsidRPr="00517952">
        <w:rPr>
          <w:lang w:val="es-MX"/>
        </w:rPr>
        <w:t xml:space="preserve"> párr. 169. </w:t>
      </w:r>
    </w:p>
  </w:footnote>
  <w:footnote w:id="117">
    <w:p w14:paraId="202DA394" w14:textId="3FFC7078" w:rsidR="00D86616" w:rsidRPr="00517952"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517952">
        <w:rPr>
          <w:lang w:val="es-MX"/>
        </w:rPr>
        <w:tab/>
      </w:r>
      <w:r w:rsidRPr="00517952">
        <w:rPr>
          <w:i/>
          <w:lang w:val="es-MX"/>
        </w:rPr>
        <w:t>La Colegiación obligatoria de periodistas OC-5/85, supra</w:t>
      </w:r>
      <w:r w:rsidRPr="00517952">
        <w:rPr>
          <w:lang w:val="es-MX"/>
        </w:rPr>
        <w:t xml:space="preserve">, párr. 70, y </w:t>
      </w:r>
      <w:r w:rsidRPr="00517952">
        <w:rPr>
          <w:i/>
          <w:lang w:val="es-MX"/>
        </w:rPr>
        <w:t xml:space="preserve">Cfr. Caso </w:t>
      </w:r>
      <w:proofErr w:type="spellStart"/>
      <w:r w:rsidRPr="00517952">
        <w:rPr>
          <w:i/>
          <w:lang w:val="es-MX"/>
        </w:rPr>
        <w:t>Granier</w:t>
      </w:r>
      <w:proofErr w:type="spellEnd"/>
      <w:r w:rsidRPr="00517952">
        <w:rPr>
          <w:i/>
          <w:lang w:val="es-MX"/>
        </w:rPr>
        <w:t xml:space="preserve"> y otros (Radio Caracas Televisión) Vs. Venezuela. Excepciones Preliminares, Fondo, Reparaciones y Costas</w:t>
      </w:r>
      <w:r w:rsidRPr="00517952">
        <w:rPr>
          <w:lang w:val="es-MX"/>
        </w:rPr>
        <w:t>. Sentencia de 22 de junio de 2015. Serie C No. 293, párr. 22. Por su parte, los artículos 3 y 4 de la Carta Democrática Interamericana resaltan que “[s]</w:t>
      </w:r>
      <w:proofErr w:type="spellStart"/>
      <w:r w:rsidRPr="00517952">
        <w:rPr>
          <w:lang w:val="es-MX"/>
        </w:rPr>
        <w:t>on</w:t>
      </w:r>
      <w:proofErr w:type="spellEnd"/>
      <w:r w:rsidRPr="00517952">
        <w:rPr>
          <w:lang w:val="es-MX"/>
        </w:rPr>
        <w:t xml:space="preserve"> componentes fundamentales del ejercicio de la democracia […] el respeto por los derechos sociales y la libertad de expresión y de prensa”; </w:t>
      </w:r>
      <w:r w:rsidRPr="00517952">
        <w:rPr>
          <w:i/>
          <w:lang w:val="es-MX"/>
        </w:rPr>
        <w:t xml:space="preserve">Cfr. Caso López </w:t>
      </w:r>
      <w:proofErr w:type="spellStart"/>
      <w:r w:rsidRPr="00517952">
        <w:rPr>
          <w:i/>
          <w:lang w:val="es-MX"/>
        </w:rPr>
        <w:t>Lone</w:t>
      </w:r>
      <w:proofErr w:type="spellEnd"/>
      <w:r w:rsidRPr="00517952">
        <w:rPr>
          <w:i/>
          <w:lang w:val="es-MX"/>
        </w:rPr>
        <w:t xml:space="preserve"> y otros Vs. Honduras, supra</w:t>
      </w:r>
      <w:r w:rsidRPr="00517952">
        <w:rPr>
          <w:lang w:val="es-MX"/>
        </w:rPr>
        <w:t>, párr. 164.</w:t>
      </w:r>
    </w:p>
  </w:footnote>
  <w:footnote w:id="118">
    <w:p w14:paraId="52E7FF87" w14:textId="6998EDD1" w:rsidR="00D86616" w:rsidRPr="00517952" w:rsidRDefault="00D86616" w:rsidP="006A2D03">
      <w:pPr>
        <w:autoSpaceDE w:val="0"/>
        <w:autoSpaceDN w:val="0"/>
        <w:adjustRightInd w:val="0"/>
        <w:jc w:val="both"/>
        <w:rPr>
          <w:rFonts w:ascii="Verdana" w:hAnsi="Verdana" w:cs="Cambria"/>
          <w:sz w:val="16"/>
          <w:szCs w:val="16"/>
        </w:rPr>
      </w:pPr>
      <w:r w:rsidRPr="00517952">
        <w:rPr>
          <w:rStyle w:val="FootnoteReference"/>
          <w:sz w:val="16"/>
          <w:szCs w:val="16"/>
        </w:rPr>
        <w:footnoteRef/>
      </w:r>
      <w:r w:rsidRPr="00517952">
        <w:rPr>
          <w:rFonts w:ascii="Verdana" w:hAnsi="Verdana"/>
          <w:sz w:val="16"/>
          <w:szCs w:val="16"/>
        </w:rPr>
        <w:t xml:space="preserve"> </w:t>
      </w:r>
      <w:r w:rsidR="00450C8D" w:rsidRPr="00517952">
        <w:rPr>
          <w:rFonts w:ascii="Verdana" w:hAnsi="Verdana"/>
          <w:sz w:val="16"/>
          <w:szCs w:val="16"/>
        </w:rPr>
        <w:t xml:space="preserve">   </w:t>
      </w:r>
      <w:r w:rsidRPr="00517952">
        <w:rPr>
          <w:rFonts w:ascii="Verdana" w:hAnsi="Verdana"/>
          <w:sz w:val="16"/>
          <w:szCs w:val="16"/>
        </w:rPr>
        <w:t xml:space="preserve">El Tribunal </w:t>
      </w:r>
      <w:r w:rsidRPr="00517952">
        <w:rPr>
          <w:rFonts w:ascii="Verdana" w:hAnsi="Verdana" w:cs="Cambria"/>
          <w:sz w:val="16"/>
          <w:szCs w:val="16"/>
        </w:rPr>
        <w:t>Europeo de Derechos Humanos, por su parte, ha reconocido en su jurisprudencia que el derecho a la libertad de expresión protege el derecho de los miembros de un sindicato a expresar sus demandas, a efectos de mejorar sus condiciones laborales. De acuerdo con el Tribunal Europeo la libertad de expresión de las organizaciones sindicales y sus dirigentes constituye un medio de acción esencial, sin el cual perderían su eficacia y razón de ser.</w:t>
      </w:r>
    </w:p>
    <w:p w14:paraId="2757194A" w14:textId="5273703A" w:rsidR="00D86616" w:rsidRPr="00517952" w:rsidRDefault="00D86616" w:rsidP="006A2D03">
      <w:pPr>
        <w:autoSpaceDE w:val="0"/>
        <w:autoSpaceDN w:val="0"/>
        <w:adjustRightInd w:val="0"/>
        <w:jc w:val="both"/>
        <w:rPr>
          <w:rFonts w:ascii="Verdana" w:hAnsi="Verdana" w:cs="Cambria"/>
          <w:sz w:val="16"/>
          <w:szCs w:val="16"/>
        </w:rPr>
      </w:pPr>
      <w:r w:rsidRPr="00517952">
        <w:rPr>
          <w:rFonts w:ascii="Verdana" w:hAnsi="Verdana" w:cs="Cambria"/>
          <w:sz w:val="16"/>
          <w:szCs w:val="16"/>
          <w:lang w:val="en-US"/>
        </w:rPr>
        <w:t>TEDH</w:t>
      </w:r>
      <w:r w:rsidRPr="00517952">
        <w:rPr>
          <w:rFonts w:ascii="Verdana" w:hAnsi="Verdana" w:cs="Cambria"/>
          <w:i/>
          <w:sz w:val="16"/>
          <w:szCs w:val="16"/>
          <w:lang w:val="en-US"/>
        </w:rPr>
        <w:t>,</w:t>
      </w:r>
      <w:r w:rsidRPr="00517952">
        <w:rPr>
          <w:rFonts w:ascii="Verdana" w:hAnsi="Verdana" w:cs="Cambria"/>
          <w:sz w:val="16"/>
          <w:szCs w:val="16"/>
          <w:lang w:val="en-US"/>
        </w:rPr>
        <w:t xml:space="preserve"> </w:t>
      </w:r>
      <w:proofErr w:type="spellStart"/>
      <w:r w:rsidRPr="00517952">
        <w:rPr>
          <w:rFonts w:ascii="Verdana" w:hAnsi="Verdana"/>
          <w:i/>
          <w:sz w:val="16"/>
          <w:szCs w:val="16"/>
          <w:lang w:val="en-US"/>
        </w:rPr>
        <w:t>Caso</w:t>
      </w:r>
      <w:proofErr w:type="spellEnd"/>
      <w:r w:rsidRPr="00517952">
        <w:rPr>
          <w:rFonts w:ascii="Verdana" w:hAnsi="Verdana"/>
          <w:i/>
          <w:sz w:val="16"/>
          <w:szCs w:val="16"/>
          <w:lang w:val="en-US"/>
        </w:rPr>
        <w:t xml:space="preserve"> </w:t>
      </w:r>
      <w:proofErr w:type="spellStart"/>
      <w:r w:rsidRPr="00517952">
        <w:rPr>
          <w:rFonts w:ascii="Verdana" w:hAnsi="Verdana"/>
          <w:i/>
          <w:sz w:val="16"/>
          <w:szCs w:val="16"/>
          <w:lang w:val="en-US"/>
        </w:rPr>
        <w:t>Vereinigung</w:t>
      </w:r>
      <w:proofErr w:type="spellEnd"/>
      <w:r w:rsidRPr="00517952">
        <w:rPr>
          <w:rFonts w:ascii="Verdana" w:hAnsi="Verdana"/>
          <w:i/>
          <w:sz w:val="16"/>
          <w:szCs w:val="16"/>
          <w:lang w:val="en-US"/>
        </w:rPr>
        <w:t xml:space="preserve"> </w:t>
      </w:r>
      <w:proofErr w:type="spellStart"/>
      <w:r w:rsidRPr="00517952">
        <w:rPr>
          <w:rFonts w:ascii="Verdana" w:hAnsi="Verdana"/>
          <w:i/>
          <w:sz w:val="16"/>
          <w:szCs w:val="16"/>
          <w:lang w:val="en-US"/>
        </w:rPr>
        <w:t>Demokratischer</w:t>
      </w:r>
      <w:proofErr w:type="spellEnd"/>
      <w:r w:rsidRPr="00517952">
        <w:rPr>
          <w:rFonts w:ascii="Verdana" w:hAnsi="Verdana"/>
          <w:i/>
          <w:sz w:val="16"/>
          <w:szCs w:val="16"/>
          <w:lang w:val="en-US"/>
        </w:rPr>
        <w:t xml:space="preserve"> </w:t>
      </w:r>
      <w:proofErr w:type="spellStart"/>
      <w:r w:rsidRPr="00517952">
        <w:rPr>
          <w:rFonts w:ascii="Verdana" w:hAnsi="Verdana"/>
          <w:i/>
          <w:sz w:val="16"/>
          <w:szCs w:val="16"/>
          <w:lang w:val="en-US"/>
        </w:rPr>
        <w:t>Soldaten</w:t>
      </w:r>
      <w:proofErr w:type="spellEnd"/>
      <w:r w:rsidRPr="00517952">
        <w:rPr>
          <w:rFonts w:ascii="Verdana" w:hAnsi="Verdana"/>
          <w:i/>
          <w:sz w:val="16"/>
          <w:szCs w:val="16"/>
          <w:lang w:val="en-US"/>
        </w:rPr>
        <w:t xml:space="preserve"> </w:t>
      </w:r>
      <w:proofErr w:type="spellStart"/>
      <w:r w:rsidRPr="00517952">
        <w:rPr>
          <w:rFonts w:ascii="Verdana" w:hAnsi="Verdana"/>
          <w:i/>
          <w:sz w:val="16"/>
          <w:szCs w:val="16"/>
          <w:lang w:val="en-US"/>
        </w:rPr>
        <w:t>österreichs</w:t>
      </w:r>
      <w:proofErr w:type="spellEnd"/>
      <w:r w:rsidRPr="00517952">
        <w:rPr>
          <w:rFonts w:ascii="Verdana" w:hAnsi="Verdana"/>
          <w:i/>
          <w:sz w:val="16"/>
          <w:szCs w:val="16"/>
          <w:lang w:val="en-US"/>
        </w:rPr>
        <w:t xml:space="preserve"> and </w:t>
      </w:r>
      <w:proofErr w:type="spellStart"/>
      <w:r w:rsidRPr="00517952">
        <w:rPr>
          <w:rFonts w:ascii="Verdana" w:hAnsi="Verdana"/>
          <w:i/>
          <w:sz w:val="16"/>
          <w:szCs w:val="16"/>
          <w:lang w:val="en-US"/>
        </w:rPr>
        <w:t>Gubi</w:t>
      </w:r>
      <w:proofErr w:type="spellEnd"/>
      <w:r w:rsidRPr="00517952">
        <w:rPr>
          <w:rFonts w:ascii="Verdana" w:hAnsi="Verdana"/>
          <w:i/>
          <w:sz w:val="16"/>
          <w:szCs w:val="16"/>
          <w:lang w:val="en-US"/>
        </w:rPr>
        <w:t xml:space="preserve"> </w:t>
      </w:r>
      <w:proofErr w:type="gramStart"/>
      <w:r w:rsidRPr="00517952">
        <w:rPr>
          <w:rFonts w:ascii="Verdana" w:hAnsi="Verdana"/>
          <w:i/>
          <w:sz w:val="16"/>
          <w:szCs w:val="16"/>
          <w:lang w:val="en-US"/>
        </w:rPr>
        <w:t>Vs</w:t>
      </w:r>
      <w:proofErr w:type="gramEnd"/>
      <w:r w:rsidRPr="00517952">
        <w:rPr>
          <w:rFonts w:ascii="Verdana" w:hAnsi="Verdana"/>
          <w:i/>
          <w:sz w:val="16"/>
          <w:szCs w:val="16"/>
          <w:lang w:val="en-US"/>
        </w:rPr>
        <w:t xml:space="preserve">. </w:t>
      </w:r>
      <w:r w:rsidRPr="00517952">
        <w:rPr>
          <w:rFonts w:ascii="Verdana" w:hAnsi="Verdana"/>
          <w:i/>
          <w:sz w:val="16"/>
          <w:szCs w:val="16"/>
          <w:lang w:val="es-MX"/>
        </w:rPr>
        <w:t>Austria</w:t>
      </w:r>
      <w:r w:rsidRPr="00517952">
        <w:rPr>
          <w:rFonts w:ascii="Verdana" w:hAnsi="Verdana"/>
          <w:sz w:val="16"/>
          <w:szCs w:val="16"/>
          <w:lang w:val="es-MX"/>
        </w:rPr>
        <w:t>, No. 15153/89. Sentencia de 19 de diciembre 1994 y TEDH,</w:t>
      </w:r>
      <w:r w:rsidRPr="00517952">
        <w:rPr>
          <w:rFonts w:ascii="Verdana" w:hAnsi="Verdana"/>
          <w:i/>
          <w:sz w:val="16"/>
          <w:szCs w:val="16"/>
          <w:lang w:val="es-MX"/>
        </w:rPr>
        <w:t xml:space="preserve"> </w:t>
      </w:r>
      <w:r w:rsidRPr="00517952">
        <w:rPr>
          <w:rFonts w:ascii="Verdana" w:hAnsi="Verdana"/>
          <w:i/>
          <w:sz w:val="16"/>
          <w:szCs w:val="16"/>
          <w:lang w:val="es-CR"/>
        </w:rPr>
        <w:t>Caso Palomo Sánchez y otros Vs. España,</w:t>
      </w:r>
      <w:r w:rsidRPr="00517952">
        <w:rPr>
          <w:rFonts w:ascii="Verdana" w:hAnsi="Verdana"/>
          <w:sz w:val="16"/>
          <w:szCs w:val="16"/>
          <w:lang w:val="es-CR"/>
        </w:rPr>
        <w:t xml:space="preserve"> </w:t>
      </w:r>
      <w:r w:rsidRPr="00517952">
        <w:rPr>
          <w:rFonts w:ascii="Verdana" w:hAnsi="Verdana"/>
          <w:i/>
          <w:sz w:val="16"/>
          <w:szCs w:val="16"/>
          <w:lang w:val="es-CR"/>
        </w:rPr>
        <w:t>[GS]</w:t>
      </w:r>
      <w:r w:rsidRPr="00517952">
        <w:rPr>
          <w:rFonts w:ascii="Verdana" w:hAnsi="Verdana"/>
          <w:sz w:val="16"/>
          <w:szCs w:val="16"/>
          <w:lang w:val="es-CR"/>
        </w:rPr>
        <w:t xml:space="preserve"> No. 28955/06, 28957/06, 28959/06 y 28964/06. Sentencia de 12 de septiembre de 2011, párr. 56.</w:t>
      </w:r>
    </w:p>
  </w:footnote>
  <w:footnote w:id="119">
    <w:p w14:paraId="50B97950" w14:textId="4143CD15" w:rsidR="00D86616" w:rsidRPr="00517952" w:rsidRDefault="00D86616" w:rsidP="006A2D03">
      <w:pPr>
        <w:pStyle w:val="FootnoteText"/>
        <w:spacing w:after="0"/>
        <w:rPr>
          <w:lang w:val="es-CR"/>
        </w:rPr>
      </w:pPr>
      <w:r w:rsidRPr="00517952">
        <w:rPr>
          <w:rStyle w:val="FootnoteReference"/>
          <w:rFonts w:eastAsia="MS Gothic"/>
          <w:sz w:val="16"/>
        </w:rPr>
        <w:footnoteRef/>
      </w:r>
      <w:r w:rsidRPr="00517952">
        <w:rPr>
          <w:lang w:val="es-CR"/>
        </w:rPr>
        <w:t xml:space="preserve"> </w:t>
      </w:r>
      <w:r w:rsidRPr="00517952">
        <w:rPr>
          <w:lang w:val="es-CR"/>
        </w:rPr>
        <w:tab/>
      </w:r>
      <w:r w:rsidRPr="00517952">
        <w:rPr>
          <w:i/>
          <w:lang w:val="es-CR"/>
        </w:rPr>
        <w:t>Cfr. Caso Velásquez Rodríguez Vs. Honduras. Fondo, supra,</w:t>
      </w:r>
      <w:r w:rsidRPr="00517952">
        <w:rPr>
          <w:lang w:val="es-CR"/>
        </w:rPr>
        <w:t xml:space="preserve"> párr. 166, y </w:t>
      </w:r>
      <w:r w:rsidRPr="00517952">
        <w:rPr>
          <w:i/>
          <w:lang w:val="es-CR"/>
        </w:rPr>
        <w:t xml:space="preserve">Caso Vásquez Durand y otros Vs. Ecuador. </w:t>
      </w:r>
      <w:r w:rsidRPr="00517952">
        <w:rPr>
          <w:i/>
          <w:lang w:val="es-MX"/>
        </w:rPr>
        <w:t>Excepciones Preliminares, Fondo, Reparaciones y Costas</w:t>
      </w:r>
      <w:r w:rsidRPr="00517952">
        <w:rPr>
          <w:lang w:val="es-MX"/>
        </w:rPr>
        <w:t>. Sentencia de 15 de febrero de 2017. Serie C. No. 332, párr. 141.</w:t>
      </w:r>
    </w:p>
  </w:footnote>
  <w:footnote w:id="120">
    <w:p w14:paraId="1751CC30" w14:textId="09AE278D" w:rsidR="00D86616" w:rsidRPr="00517952"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517952">
        <w:rPr>
          <w:lang w:val="es-MX"/>
        </w:rPr>
        <w:tab/>
      </w:r>
      <w:r w:rsidRPr="00517952">
        <w:rPr>
          <w:i/>
          <w:lang w:val="es-MX"/>
        </w:rPr>
        <w:t>La Colegiación Obligatoria de Periodistas OC-5/85, supra</w:t>
      </w:r>
      <w:r w:rsidRPr="00517952">
        <w:rPr>
          <w:lang w:val="es-MX"/>
        </w:rPr>
        <w:t xml:space="preserve">, párr. 56 y </w:t>
      </w:r>
      <w:r w:rsidRPr="00517952">
        <w:rPr>
          <w:i/>
          <w:lang w:val="es-MX"/>
        </w:rPr>
        <w:t xml:space="preserve">Cfr. Caso </w:t>
      </w:r>
      <w:proofErr w:type="spellStart"/>
      <w:r w:rsidRPr="00517952">
        <w:rPr>
          <w:i/>
          <w:lang w:val="es-MX"/>
        </w:rPr>
        <w:t>Granier</w:t>
      </w:r>
      <w:proofErr w:type="spellEnd"/>
      <w:r w:rsidRPr="00517952">
        <w:rPr>
          <w:i/>
          <w:lang w:val="es-MX"/>
        </w:rPr>
        <w:t xml:space="preserve"> y otros Vs. Venezuela</w:t>
      </w:r>
      <w:r w:rsidRPr="00517952">
        <w:rPr>
          <w:lang w:val="es-MX"/>
        </w:rPr>
        <w:t xml:space="preserve">, </w:t>
      </w:r>
      <w:r w:rsidRPr="00517952">
        <w:rPr>
          <w:i/>
          <w:lang w:val="es-MX"/>
        </w:rPr>
        <w:t>supra</w:t>
      </w:r>
      <w:r w:rsidRPr="00517952">
        <w:rPr>
          <w:lang w:val="es-MX"/>
        </w:rPr>
        <w:t>, párr. 143.</w:t>
      </w:r>
    </w:p>
  </w:footnote>
  <w:footnote w:id="121">
    <w:p w14:paraId="11E919D1" w14:textId="31A54999" w:rsidR="00D86616" w:rsidRPr="009E6ED2" w:rsidRDefault="00D86616" w:rsidP="006A2D03">
      <w:pPr>
        <w:pStyle w:val="FootnoteText"/>
        <w:spacing w:after="0"/>
        <w:rPr>
          <w:lang w:val="es-MX"/>
        </w:rPr>
      </w:pPr>
      <w:r w:rsidRPr="00517952">
        <w:rPr>
          <w:rStyle w:val="FootnoteReference"/>
          <w:sz w:val="16"/>
        </w:rPr>
        <w:footnoteRef/>
      </w:r>
      <w:r w:rsidRPr="00517952">
        <w:rPr>
          <w:lang w:val="es-MX"/>
        </w:rPr>
        <w:t xml:space="preserve"> </w:t>
      </w:r>
      <w:r w:rsidRPr="00517952">
        <w:rPr>
          <w:lang w:val="es-MX"/>
        </w:rPr>
        <w:tab/>
      </w:r>
      <w:r w:rsidRPr="00517952">
        <w:rPr>
          <w:i/>
          <w:lang w:val="es-MX"/>
        </w:rPr>
        <w:t>Cfr. Caso Ríos y otros Vs. Venezuela. Excepciones Preliminares, Fondo, Reparaciones y Costas</w:t>
      </w:r>
      <w:r w:rsidRPr="00517952">
        <w:rPr>
          <w:lang w:val="es-MX"/>
        </w:rPr>
        <w:t xml:space="preserve">. Sentencia de 28 de enero de 2009. Serie C No. 194, párr.107; </w:t>
      </w:r>
      <w:r w:rsidRPr="00517952">
        <w:rPr>
          <w:i/>
          <w:lang w:val="es-MX"/>
        </w:rPr>
        <w:t xml:space="preserve">Caso Perozo y otros Vs. Venezuela. Excepciones Preliminares, Fondo, Reparaciones y Costas. </w:t>
      </w:r>
      <w:r w:rsidRPr="00517952">
        <w:rPr>
          <w:lang w:val="es-MX"/>
        </w:rPr>
        <w:t xml:space="preserve">Sentencia de 28 de enero de 2009. Serie C No. 195, párr. 118; </w:t>
      </w:r>
      <w:r w:rsidRPr="00517952">
        <w:rPr>
          <w:i/>
          <w:lang w:val="es-MX"/>
        </w:rPr>
        <w:t>Caso Manuel Cepeda Vargas Vs. Colombia. Excepciones</w:t>
      </w:r>
      <w:r w:rsidRPr="000D6295">
        <w:rPr>
          <w:i/>
          <w:lang w:val="es-MX"/>
        </w:rPr>
        <w:t xml:space="preserve"> Preliminares, Fondo, Reparaciones y Costas. </w:t>
      </w:r>
      <w:r>
        <w:rPr>
          <w:lang w:val="es-MX"/>
        </w:rPr>
        <w:t>Sentencia de 26 de mayo de 2010, párr. 172. En el mismo sentido,</w:t>
      </w:r>
      <w:r w:rsidRPr="009E6ED2">
        <w:rPr>
          <w:lang w:val="es-MX"/>
        </w:rPr>
        <w:t xml:space="preserve"> </w:t>
      </w:r>
      <w:r w:rsidRPr="004868B2">
        <w:rPr>
          <w:lang w:val="es-MX"/>
        </w:rPr>
        <w:t>TEDH</w:t>
      </w:r>
      <w:r w:rsidRPr="000D6295">
        <w:rPr>
          <w:i/>
          <w:lang w:val="es-MX"/>
        </w:rPr>
        <w:t>, Caso Palomo Sánchez y Otros Vs. España [GS], supra</w:t>
      </w:r>
      <w:r w:rsidRPr="009E6ED2">
        <w:rPr>
          <w:lang w:val="es-MX"/>
        </w:rPr>
        <w:t xml:space="preserve">, párr. 59; </w:t>
      </w:r>
      <w:r w:rsidRPr="000D6295">
        <w:rPr>
          <w:i/>
          <w:lang w:val="es-MX"/>
        </w:rPr>
        <w:t>Caso Fuentes Bobo  Vs. España,</w:t>
      </w:r>
      <w:r w:rsidRPr="009E6ED2">
        <w:rPr>
          <w:lang w:val="es-MX"/>
        </w:rPr>
        <w:t xml:space="preserve"> No. 39293/98. Sentencia de 29 de febrero de 2000, párr.38; </w:t>
      </w:r>
      <w:r w:rsidRPr="000D6295">
        <w:rPr>
          <w:i/>
          <w:lang w:val="es-MX"/>
        </w:rPr>
        <w:t xml:space="preserve">Caso </w:t>
      </w:r>
      <w:proofErr w:type="spellStart"/>
      <w:r w:rsidRPr="000D6295">
        <w:rPr>
          <w:i/>
          <w:lang w:val="es-MX"/>
        </w:rPr>
        <w:t>Özgür</w:t>
      </w:r>
      <w:proofErr w:type="spellEnd"/>
      <w:r w:rsidRPr="000D6295">
        <w:rPr>
          <w:i/>
          <w:lang w:val="es-MX"/>
        </w:rPr>
        <w:t xml:space="preserve"> </w:t>
      </w:r>
      <w:proofErr w:type="spellStart"/>
      <w:r w:rsidRPr="000D6295">
        <w:rPr>
          <w:i/>
          <w:lang w:val="es-MX"/>
        </w:rPr>
        <w:t>Gündem</w:t>
      </w:r>
      <w:proofErr w:type="spellEnd"/>
      <w:r w:rsidRPr="000D6295">
        <w:rPr>
          <w:i/>
          <w:lang w:val="es-MX"/>
        </w:rPr>
        <w:t xml:space="preserve"> Vs. Turquía</w:t>
      </w:r>
      <w:r w:rsidRPr="009E6ED2">
        <w:rPr>
          <w:lang w:val="es-MX"/>
        </w:rPr>
        <w:t xml:space="preserve">, No. 23144/1993. Sentencia 16 de marzo de 2000, párr. 43 -50, y </w:t>
      </w:r>
      <w:r w:rsidRPr="000D6295">
        <w:rPr>
          <w:i/>
          <w:lang w:val="es-MX"/>
        </w:rPr>
        <w:t xml:space="preserve">Caso </w:t>
      </w:r>
      <w:proofErr w:type="spellStart"/>
      <w:r w:rsidRPr="000D6295">
        <w:rPr>
          <w:i/>
          <w:lang w:val="es-MX"/>
        </w:rPr>
        <w:t>Dink</w:t>
      </w:r>
      <w:proofErr w:type="spellEnd"/>
      <w:r w:rsidRPr="000D6295">
        <w:rPr>
          <w:i/>
          <w:lang w:val="es-MX"/>
        </w:rPr>
        <w:t xml:space="preserve"> y otros Vs. Turquía</w:t>
      </w:r>
      <w:r w:rsidRPr="009E6ED2">
        <w:rPr>
          <w:lang w:val="es-MX"/>
        </w:rPr>
        <w:t>, No. 2668/2007, 6102/2008, 30079/2008, 7072/2009 y 7124/2009. Sentencia de 14 de septiembre de 2010, párr. 106.</w:t>
      </w:r>
    </w:p>
  </w:footnote>
  <w:footnote w:id="122">
    <w:p w14:paraId="7365D22F" w14:textId="2D0534F8" w:rsidR="00D86616" w:rsidRPr="009E6ED2" w:rsidRDefault="00D86616" w:rsidP="006A2D03">
      <w:pPr>
        <w:pStyle w:val="FootnoteText"/>
        <w:spacing w:after="0"/>
        <w:rPr>
          <w:shd w:val="clear" w:color="auto" w:fill="FFFFFF"/>
          <w:lang w:val="es-MX"/>
        </w:rPr>
      </w:pPr>
      <w:r w:rsidRPr="00873AAD">
        <w:rPr>
          <w:rStyle w:val="FootnoteReference"/>
          <w:sz w:val="16"/>
        </w:rPr>
        <w:footnoteRef/>
      </w:r>
      <w:r w:rsidRPr="00873AAD">
        <w:rPr>
          <w:lang w:val="es-MX"/>
        </w:rPr>
        <w:t xml:space="preserve"> </w:t>
      </w:r>
      <w:r w:rsidRPr="00873AAD">
        <w:rPr>
          <w:lang w:val="es-MX"/>
        </w:rPr>
        <w:tab/>
      </w:r>
      <w:r w:rsidRPr="00873AAD">
        <w:rPr>
          <w:i/>
          <w:lang w:val="es-MX"/>
        </w:rPr>
        <w:t xml:space="preserve">Cfr. </w:t>
      </w:r>
      <w:r w:rsidRPr="00873AAD">
        <w:rPr>
          <w:lang w:val="es-MX"/>
        </w:rPr>
        <w:t>TEDH</w:t>
      </w:r>
      <w:r w:rsidRPr="00873AAD">
        <w:rPr>
          <w:i/>
          <w:lang w:val="es-MX"/>
        </w:rPr>
        <w:t>, Caso Fuentes Bobo Vs. España, supra,</w:t>
      </w:r>
      <w:r w:rsidRPr="00873AAD">
        <w:rPr>
          <w:lang w:val="es-MX"/>
        </w:rPr>
        <w:t xml:space="preserve"> párr. 38, </w:t>
      </w:r>
      <w:r w:rsidRPr="00873AAD">
        <w:rPr>
          <w:i/>
          <w:shd w:val="clear" w:color="auto" w:fill="FFFFFF"/>
          <w:lang w:val="es-MX"/>
        </w:rPr>
        <w:t xml:space="preserve">mutatis mutandis, Caso Schmidt y </w:t>
      </w:r>
      <w:proofErr w:type="spellStart"/>
      <w:r w:rsidRPr="00873AAD">
        <w:rPr>
          <w:i/>
          <w:shd w:val="clear" w:color="auto" w:fill="FFFFFF"/>
          <w:lang w:val="es-MX"/>
        </w:rPr>
        <w:t>Dahlström</w:t>
      </w:r>
      <w:proofErr w:type="spellEnd"/>
      <w:r w:rsidRPr="00873AAD">
        <w:rPr>
          <w:i/>
          <w:shd w:val="clear" w:color="auto" w:fill="FFFFFF"/>
          <w:lang w:val="es-MX"/>
        </w:rPr>
        <w:t xml:space="preserve"> Vs.</w:t>
      </w:r>
      <w:r w:rsidRPr="00873AAD">
        <w:rPr>
          <w:shd w:val="clear" w:color="auto" w:fill="FFFFFF"/>
          <w:lang w:val="es-MX"/>
        </w:rPr>
        <w:t xml:space="preserve"> </w:t>
      </w:r>
      <w:r w:rsidRPr="00873AAD">
        <w:rPr>
          <w:i/>
          <w:shd w:val="clear" w:color="auto" w:fill="FFFFFF"/>
          <w:lang w:val="es-MX"/>
        </w:rPr>
        <w:t>Suecia</w:t>
      </w:r>
      <w:r w:rsidRPr="00873AAD">
        <w:rPr>
          <w:shd w:val="clear" w:color="auto" w:fill="FFFFFF"/>
          <w:lang w:val="es-MX"/>
        </w:rPr>
        <w:t>, No. 5589</w:t>
      </w:r>
      <w:r w:rsidRPr="000D6295">
        <w:rPr>
          <w:shd w:val="clear" w:color="auto" w:fill="FFFFFF"/>
          <w:lang w:val="es-MX"/>
        </w:rPr>
        <w:t>/72, sentencia de 6 de febrero de 1976</w:t>
      </w:r>
      <w:r w:rsidRPr="009E6ED2">
        <w:rPr>
          <w:shd w:val="clear" w:color="auto" w:fill="FFFFFF"/>
          <w:lang w:val="es-MX"/>
        </w:rPr>
        <w:t>, párr.33.</w:t>
      </w:r>
    </w:p>
  </w:footnote>
  <w:footnote w:id="123">
    <w:p w14:paraId="58F7B4F2" w14:textId="13D5CCDF" w:rsidR="00D86616" w:rsidRPr="00873AAD" w:rsidRDefault="00D86616" w:rsidP="006A2D03">
      <w:pPr>
        <w:pStyle w:val="FootnoteText"/>
        <w:spacing w:after="0"/>
        <w:rPr>
          <w:lang w:val="es-MX"/>
        </w:rPr>
      </w:pPr>
      <w:r w:rsidRPr="00873AAD">
        <w:rPr>
          <w:rStyle w:val="FootnoteReference"/>
          <w:sz w:val="16"/>
        </w:rPr>
        <w:footnoteRef/>
      </w:r>
      <w:r w:rsidRPr="00873AAD">
        <w:rPr>
          <w:lang w:val="es-MX"/>
        </w:rPr>
        <w:t xml:space="preserve"> </w:t>
      </w:r>
      <w:r w:rsidRPr="00873AAD">
        <w:rPr>
          <w:lang w:val="es-MX"/>
        </w:rPr>
        <w:tab/>
      </w:r>
      <w:r w:rsidRPr="00873AAD">
        <w:rPr>
          <w:i/>
          <w:lang w:val="es-MX"/>
        </w:rPr>
        <w:t>Cfr.</w:t>
      </w:r>
      <w:r w:rsidRPr="00873AAD">
        <w:rPr>
          <w:lang w:val="es-MX"/>
        </w:rPr>
        <w:t xml:space="preserve"> TEDH, </w:t>
      </w:r>
      <w:r w:rsidRPr="00873AAD">
        <w:rPr>
          <w:i/>
          <w:lang w:val="es-MX"/>
        </w:rPr>
        <w:t xml:space="preserve">Caso </w:t>
      </w:r>
      <w:proofErr w:type="spellStart"/>
      <w:r w:rsidRPr="00873AAD">
        <w:rPr>
          <w:i/>
          <w:lang w:val="es-MX"/>
        </w:rPr>
        <w:t>Khurshid</w:t>
      </w:r>
      <w:proofErr w:type="spellEnd"/>
      <w:r w:rsidRPr="00873AAD">
        <w:rPr>
          <w:i/>
          <w:lang w:val="es-MX"/>
        </w:rPr>
        <w:t xml:space="preserve"> </w:t>
      </w:r>
      <w:proofErr w:type="spellStart"/>
      <w:r w:rsidRPr="00873AAD">
        <w:rPr>
          <w:i/>
          <w:lang w:val="es-MX"/>
        </w:rPr>
        <w:t>Mustafa</w:t>
      </w:r>
      <w:proofErr w:type="spellEnd"/>
      <w:r w:rsidRPr="00873AAD">
        <w:rPr>
          <w:i/>
          <w:lang w:val="es-MX"/>
        </w:rPr>
        <w:t xml:space="preserve"> y </w:t>
      </w:r>
      <w:proofErr w:type="spellStart"/>
      <w:r w:rsidRPr="00873AAD">
        <w:rPr>
          <w:i/>
          <w:lang w:val="es-MX"/>
        </w:rPr>
        <w:t>Tarzibachi</w:t>
      </w:r>
      <w:proofErr w:type="spellEnd"/>
      <w:r w:rsidRPr="00873AAD">
        <w:rPr>
          <w:i/>
          <w:lang w:val="es-MX"/>
        </w:rPr>
        <w:t xml:space="preserve"> Vs. Suecia</w:t>
      </w:r>
      <w:r w:rsidRPr="00873AAD">
        <w:rPr>
          <w:lang w:val="es-MX"/>
        </w:rPr>
        <w:t xml:space="preserve">, No. 23883/06. Sentencia de 16 de diciembre de 2008, párr. 34, y </w:t>
      </w:r>
      <w:r w:rsidRPr="00873AAD">
        <w:rPr>
          <w:i/>
          <w:lang w:val="es-MX"/>
        </w:rPr>
        <w:t>Caso Re</w:t>
      </w:r>
      <w:proofErr w:type="spellStart"/>
      <w:r w:rsidRPr="00873AAD">
        <w:rPr>
          <w:i/>
          <w:lang w:val="es-CL"/>
        </w:rPr>
        <w:t>muszko</w:t>
      </w:r>
      <w:proofErr w:type="spellEnd"/>
      <w:r w:rsidRPr="00873AAD">
        <w:rPr>
          <w:i/>
          <w:lang w:val="es-CL"/>
        </w:rPr>
        <w:t xml:space="preserve"> Vs. </w:t>
      </w:r>
      <w:r w:rsidRPr="00873AAD">
        <w:rPr>
          <w:i/>
          <w:lang w:val="es-MX"/>
        </w:rPr>
        <w:t>Polonia</w:t>
      </w:r>
      <w:r w:rsidRPr="00873AAD">
        <w:rPr>
          <w:lang w:val="es-MX"/>
        </w:rPr>
        <w:t>, No. 1562/10. Sentencia de 16 de julio de 2013, párr. 83.</w:t>
      </w:r>
    </w:p>
  </w:footnote>
  <w:footnote w:id="124">
    <w:p w14:paraId="3690317B" w14:textId="24F4DA93" w:rsidR="00D86616" w:rsidRPr="00873AAD" w:rsidRDefault="00D86616" w:rsidP="006A2D03">
      <w:pPr>
        <w:pStyle w:val="ListParagraph"/>
        <w:shd w:val="clear" w:color="auto" w:fill="FFFFFF"/>
        <w:autoSpaceDE w:val="0"/>
        <w:autoSpaceDN w:val="0"/>
        <w:adjustRightInd w:val="0"/>
        <w:ind w:left="0"/>
        <w:jc w:val="both"/>
        <w:rPr>
          <w:sz w:val="16"/>
          <w:szCs w:val="16"/>
        </w:rPr>
      </w:pPr>
      <w:r w:rsidRPr="00873AAD">
        <w:rPr>
          <w:rStyle w:val="FootnoteReference"/>
          <w:sz w:val="16"/>
          <w:szCs w:val="16"/>
        </w:rPr>
        <w:footnoteRef/>
      </w:r>
      <w:r w:rsidR="00F953F9" w:rsidRPr="00873AAD">
        <w:rPr>
          <w:rFonts w:ascii="Verdana" w:hAnsi="Verdana"/>
          <w:sz w:val="16"/>
          <w:szCs w:val="16"/>
          <w:lang w:val="es-CR"/>
        </w:rPr>
        <w:t xml:space="preserve">     </w:t>
      </w:r>
      <w:r w:rsidRPr="00873AAD">
        <w:rPr>
          <w:rFonts w:ascii="Verdana" w:hAnsi="Verdana"/>
          <w:i/>
          <w:sz w:val="16"/>
          <w:szCs w:val="16"/>
          <w:lang w:val="es-CR"/>
        </w:rPr>
        <w:t>Cfr.</w:t>
      </w:r>
      <w:r w:rsidRPr="00873AAD">
        <w:rPr>
          <w:rFonts w:ascii="Verdana" w:hAnsi="Verdana"/>
          <w:sz w:val="16"/>
          <w:szCs w:val="16"/>
          <w:lang w:val="es-CR"/>
        </w:rPr>
        <w:t xml:space="preserve"> TEDH, </w:t>
      </w:r>
      <w:r w:rsidRPr="00873AAD">
        <w:rPr>
          <w:rFonts w:ascii="Verdana" w:hAnsi="Verdana"/>
          <w:i/>
          <w:sz w:val="16"/>
          <w:szCs w:val="16"/>
          <w:lang w:val="es-CR"/>
        </w:rPr>
        <w:t xml:space="preserve">Caso </w:t>
      </w:r>
      <w:proofErr w:type="spellStart"/>
      <w:r w:rsidRPr="00873AAD">
        <w:rPr>
          <w:rFonts w:ascii="Verdana" w:hAnsi="Verdana"/>
          <w:i/>
          <w:sz w:val="16"/>
          <w:szCs w:val="16"/>
          <w:lang w:val="es-CR"/>
        </w:rPr>
        <w:t>Csánics</w:t>
      </w:r>
      <w:proofErr w:type="spellEnd"/>
      <w:r w:rsidRPr="00873AAD">
        <w:rPr>
          <w:rFonts w:ascii="Verdana" w:hAnsi="Verdana"/>
          <w:i/>
          <w:sz w:val="16"/>
          <w:szCs w:val="16"/>
          <w:lang w:val="es-CR"/>
        </w:rPr>
        <w:t xml:space="preserve"> Vs. Hungría</w:t>
      </w:r>
      <w:r w:rsidRPr="00873AAD">
        <w:rPr>
          <w:rFonts w:ascii="Verdana" w:hAnsi="Verdana"/>
          <w:sz w:val="16"/>
          <w:szCs w:val="16"/>
          <w:lang w:val="es-CR"/>
        </w:rPr>
        <w:t>, No. 12188/06. Sentencia 20 de enero de 2009, párr. 441.</w:t>
      </w:r>
    </w:p>
  </w:footnote>
  <w:footnote w:id="125">
    <w:p w14:paraId="164E6726" w14:textId="3BCDE563" w:rsidR="00D86616" w:rsidRPr="00873AAD" w:rsidRDefault="00D86616" w:rsidP="006A2D03">
      <w:pPr>
        <w:pStyle w:val="FootnoteText"/>
        <w:spacing w:after="0"/>
        <w:rPr>
          <w:lang w:val="es-MX"/>
        </w:rPr>
      </w:pPr>
      <w:r w:rsidRPr="00873AAD">
        <w:rPr>
          <w:rStyle w:val="FootnoteReference"/>
          <w:sz w:val="16"/>
        </w:rPr>
        <w:footnoteRef/>
      </w:r>
      <w:r w:rsidRPr="00873AAD">
        <w:rPr>
          <w:lang w:val="es-MX"/>
        </w:rPr>
        <w:t xml:space="preserve"> </w:t>
      </w:r>
      <w:r w:rsidRPr="00873AAD">
        <w:rPr>
          <w:lang w:val="es-MX"/>
        </w:rPr>
        <w:tab/>
      </w:r>
      <w:r w:rsidRPr="00873AAD">
        <w:rPr>
          <w:i/>
          <w:lang w:val="es-MX"/>
        </w:rPr>
        <w:t xml:space="preserve">Cfr. </w:t>
      </w:r>
      <w:r w:rsidRPr="00873AAD">
        <w:rPr>
          <w:lang w:val="es-MX"/>
        </w:rPr>
        <w:t>TEDH</w:t>
      </w:r>
      <w:r w:rsidRPr="00873AAD">
        <w:rPr>
          <w:i/>
          <w:lang w:val="es-MX"/>
        </w:rPr>
        <w:t>, Caso Palomo Sánchez y Otros Vs. España [GS], supra</w:t>
      </w:r>
      <w:r w:rsidRPr="00873AAD">
        <w:rPr>
          <w:lang w:val="es-MX"/>
        </w:rPr>
        <w:t xml:space="preserve">, párr. 61. </w:t>
      </w:r>
    </w:p>
  </w:footnote>
  <w:footnote w:id="126">
    <w:p w14:paraId="37FAF7E9" w14:textId="0C213F23" w:rsidR="00D86616" w:rsidRPr="00873AAD" w:rsidRDefault="00D86616" w:rsidP="006A2D03">
      <w:pPr>
        <w:pStyle w:val="FootnoteText"/>
        <w:spacing w:after="0"/>
        <w:rPr>
          <w:lang w:val="es-MX"/>
        </w:rPr>
      </w:pPr>
      <w:r w:rsidRPr="00873AAD">
        <w:rPr>
          <w:rStyle w:val="FootnoteReference"/>
          <w:sz w:val="16"/>
        </w:rPr>
        <w:footnoteRef/>
      </w:r>
      <w:r w:rsidRPr="00873AAD">
        <w:rPr>
          <w:lang w:val="es-MX"/>
        </w:rPr>
        <w:t xml:space="preserve"> </w:t>
      </w:r>
      <w:r w:rsidRPr="00873AAD">
        <w:rPr>
          <w:lang w:val="es-MX"/>
        </w:rPr>
        <w:tab/>
      </w:r>
      <w:r w:rsidRPr="00873AAD">
        <w:rPr>
          <w:i/>
          <w:lang w:val="es-MX"/>
        </w:rPr>
        <w:t>Cfr. Caso Herrera Ulloa Vs. Costa Rica</w:t>
      </w:r>
      <w:r w:rsidRPr="00873AAD">
        <w:rPr>
          <w:lang w:val="es-MX"/>
        </w:rPr>
        <w:t xml:space="preserve">. </w:t>
      </w:r>
      <w:r w:rsidRPr="00873AAD">
        <w:rPr>
          <w:i/>
          <w:lang w:val="es-MX"/>
        </w:rPr>
        <w:t>Excepciones Preliminares, Fondo, Reparaciones y Costas.</w:t>
      </w:r>
      <w:r w:rsidRPr="00873AAD">
        <w:rPr>
          <w:lang w:val="es-MX"/>
        </w:rPr>
        <w:t xml:space="preserve"> Sentencia de 2 de julio de 2004. Serie C No. 107, párr. 120, y </w:t>
      </w:r>
      <w:r w:rsidRPr="00873AAD">
        <w:rPr>
          <w:i/>
          <w:lang w:val="es-MX"/>
        </w:rPr>
        <w:t>Caso Tristán Donoso Vs. Panamá, supra</w:t>
      </w:r>
      <w:r w:rsidRPr="00873AAD">
        <w:rPr>
          <w:lang w:val="es-MX"/>
        </w:rPr>
        <w:t>, párr. 110.</w:t>
      </w:r>
    </w:p>
  </w:footnote>
  <w:footnote w:id="127">
    <w:p w14:paraId="32056BA1" w14:textId="4CA5765B" w:rsidR="00D86616" w:rsidRPr="009E6ED2" w:rsidRDefault="00D86616" w:rsidP="006A2D03">
      <w:pPr>
        <w:pStyle w:val="FootnoteText"/>
        <w:spacing w:after="0"/>
        <w:rPr>
          <w:lang w:val="es-MX"/>
        </w:rPr>
      </w:pPr>
      <w:r w:rsidRPr="00873AAD">
        <w:rPr>
          <w:rStyle w:val="FootnoteReference"/>
          <w:sz w:val="16"/>
        </w:rPr>
        <w:footnoteRef/>
      </w:r>
      <w:r w:rsidRPr="00873AAD">
        <w:rPr>
          <w:lang w:val="es-MX"/>
        </w:rPr>
        <w:t xml:space="preserve"> </w:t>
      </w:r>
      <w:r w:rsidRPr="00873AAD">
        <w:rPr>
          <w:lang w:val="es-MX"/>
        </w:rPr>
        <w:tab/>
      </w:r>
      <w:r w:rsidRPr="00873AAD">
        <w:rPr>
          <w:i/>
          <w:lang w:val="es-MX"/>
        </w:rPr>
        <w:t xml:space="preserve">Caso </w:t>
      </w:r>
      <w:proofErr w:type="spellStart"/>
      <w:r w:rsidRPr="00873AAD">
        <w:rPr>
          <w:i/>
          <w:lang w:val="es-MX"/>
        </w:rPr>
        <w:t>Mémoli</w:t>
      </w:r>
      <w:proofErr w:type="spellEnd"/>
      <w:r w:rsidRPr="00873AAD">
        <w:rPr>
          <w:i/>
          <w:lang w:val="es-MX"/>
        </w:rPr>
        <w:t xml:space="preserve"> Vs. Argentina. Excepciones Preliminares, Fondo, Reparaciones y Costas.</w:t>
      </w:r>
      <w:r w:rsidRPr="00873AAD">
        <w:rPr>
          <w:lang w:val="es-MX"/>
        </w:rPr>
        <w:t xml:space="preserve"> Sentencia de 22 de agosto de 2013. Serie</w:t>
      </w:r>
      <w:r w:rsidRPr="009E6ED2">
        <w:rPr>
          <w:lang w:val="es-MX"/>
        </w:rPr>
        <w:t xml:space="preserve"> C No. 265, párr. 123. </w:t>
      </w:r>
    </w:p>
  </w:footnote>
  <w:footnote w:id="128">
    <w:p w14:paraId="14FECBFE" w14:textId="0CCB6F2A" w:rsidR="00D86616" w:rsidRPr="009E6ED2" w:rsidRDefault="00D86616" w:rsidP="006A2D03">
      <w:pPr>
        <w:pStyle w:val="FootnoteText"/>
        <w:spacing w:after="0"/>
        <w:rPr>
          <w:lang w:val="es-MX"/>
        </w:rPr>
      </w:pPr>
      <w:r w:rsidRPr="00873AAD">
        <w:rPr>
          <w:rStyle w:val="FootnoteReference"/>
          <w:spacing w:val="-2"/>
          <w:sz w:val="16"/>
        </w:rPr>
        <w:footnoteRef/>
      </w:r>
      <w:r w:rsidRPr="00873AAD">
        <w:rPr>
          <w:lang w:val="es-MX"/>
        </w:rPr>
        <w:t xml:space="preserve"> </w:t>
      </w:r>
      <w:r w:rsidRPr="00873AAD">
        <w:rPr>
          <w:lang w:val="es-MX"/>
        </w:rPr>
        <w:tab/>
      </w:r>
      <w:r w:rsidRPr="00873AAD">
        <w:rPr>
          <w:i/>
          <w:lang w:val="es-MX"/>
        </w:rPr>
        <w:t>Caso Tristán</w:t>
      </w:r>
      <w:r w:rsidRPr="000D6295">
        <w:rPr>
          <w:i/>
          <w:lang w:val="es-MX"/>
        </w:rPr>
        <w:t xml:space="preserve"> Donoso Vs. Panamá</w:t>
      </w:r>
      <w:r w:rsidRPr="009E6ED2">
        <w:rPr>
          <w:lang w:val="es-MX"/>
        </w:rPr>
        <w:t xml:space="preserve">, </w:t>
      </w:r>
      <w:r w:rsidRPr="00844874">
        <w:rPr>
          <w:i/>
          <w:lang w:val="es-MX"/>
        </w:rPr>
        <w:t>supra</w:t>
      </w:r>
      <w:r w:rsidRPr="009E6ED2">
        <w:rPr>
          <w:lang w:val="es-MX"/>
        </w:rPr>
        <w:t xml:space="preserve">, párr. 57, y </w:t>
      </w:r>
      <w:r w:rsidRPr="000D6295">
        <w:rPr>
          <w:i/>
          <w:lang w:val="es-MX"/>
        </w:rPr>
        <w:t>Caso Masacre de Santo Domingo Vs. Colombia, supra</w:t>
      </w:r>
      <w:r w:rsidRPr="009E6ED2">
        <w:rPr>
          <w:lang w:val="es-MX"/>
        </w:rPr>
        <w:t>, párr. 286.</w:t>
      </w:r>
    </w:p>
  </w:footnote>
  <w:footnote w:id="129">
    <w:p w14:paraId="0DE49436" w14:textId="0C750503" w:rsidR="00D86616" w:rsidRPr="00873AAD" w:rsidRDefault="00D86616" w:rsidP="006A2D03">
      <w:pPr>
        <w:pStyle w:val="FootnoteText"/>
        <w:spacing w:after="0"/>
        <w:rPr>
          <w:lang w:val="es-MX"/>
        </w:rPr>
      </w:pPr>
      <w:r w:rsidRPr="00873AAD">
        <w:rPr>
          <w:rStyle w:val="FootnoteReference"/>
          <w:spacing w:val="-2"/>
          <w:sz w:val="16"/>
        </w:rPr>
        <w:footnoteRef/>
      </w:r>
      <w:r w:rsidRPr="00873AAD">
        <w:rPr>
          <w:lang w:val="es-MX"/>
        </w:rPr>
        <w:t xml:space="preserve">  </w:t>
      </w:r>
      <w:r w:rsidRPr="00873AAD">
        <w:rPr>
          <w:lang w:val="es-MX"/>
        </w:rPr>
        <w:tab/>
      </w:r>
      <w:r w:rsidRPr="00873AAD">
        <w:rPr>
          <w:i/>
          <w:lang w:val="es-MX"/>
        </w:rPr>
        <w:t xml:space="preserve">Cfr. Caso </w:t>
      </w:r>
      <w:proofErr w:type="spellStart"/>
      <w:r w:rsidRPr="00873AAD">
        <w:rPr>
          <w:i/>
          <w:lang w:val="es-MX"/>
        </w:rPr>
        <w:t>Kimel</w:t>
      </w:r>
      <w:proofErr w:type="spellEnd"/>
      <w:r w:rsidRPr="00873AAD">
        <w:rPr>
          <w:i/>
          <w:lang w:val="es-MX"/>
        </w:rPr>
        <w:t xml:space="preserve"> Vs. Argentina</w:t>
      </w:r>
      <w:r w:rsidRPr="00873AAD">
        <w:rPr>
          <w:lang w:val="es-MX"/>
        </w:rPr>
        <w:t xml:space="preserve">. </w:t>
      </w:r>
      <w:r w:rsidRPr="00873AAD">
        <w:rPr>
          <w:i/>
          <w:lang w:val="es-MX"/>
        </w:rPr>
        <w:t>Fondo, Reparaciones y Costas</w:t>
      </w:r>
      <w:r w:rsidRPr="00873AAD">
        <w:rPr>
          <w:lang w:val="es-MX"/>
        </w:rPr>
        <w:t xml:space="preserve">. Sentencia de 2 de mayo de 2008. Serie C No. 177 párr. 51, y </w:t>
      </w:r>
      <w:r w:rsidRPr="00873AAD">
        <w:rPr>
          <w:i/>
          <w:lang w:val="es-MX"/>
        </w:rPr>
        <w:t xml:space="preserve">Caso </w:t>
      </w:r>
      <w:proofErr w:type="spellStart"/>
      <w:r w:rsidRPr="00873AAD">
        <w:rPr>
          <w:i/>
          <w:lang w:val="es-MX"/>
        </w:rPr>
        <w:t>Mémoli</w:t>
      </w:r>
      <w:proofErr w:type="spellEnd"/>
      <w:r w:rsidRPr="00873AAD">
        <w:rPr>
          <w:i/>
          <w:lang w:val="es-MX"/>
        </w:rPr>
        <w:t xml:space="preserve"> Vs Argentina, supra</w:t>
      </w:r>
      <w:r w:rsidRPr="00873AAD">
        <w:rPr>
          <w:lang w:val="es-MX"/>
        </w:rPr>
        <w:t>, párr. 127.</w:t>
      </w:r>
    </w:p>
  </w:footnote>
  <w:footnote w:id="130">
    <w:p w14:paraId="1516934B" w14:textId="64E5D1E4" w:rsidR="00D86616" w:rsidRPr="00873AAD" w:rsidRDefault="00D86616" w:rsidP="006A2D03">
      <w:pPr>
        <w:pStyle w:val="FootnoteText"/>
        <w:spacing w:after="0"/>
        <w:rPr>
          <w:lang w:val="es-MX"/>
        </w:rPr>
      </w:pPr>
      <w:r w:rsidRPr="00873AAD">
        <w:rPr>
          <w:rStyle w:val="FootnoteReference"/>
          <w:sz w:val="16"/>
        </w:rPr>
        <w:footnoteRef/>
      </w:r>
      <w:r w:rsidRPr="00873AAD">
        <w:rPr>
          <w:lang w:val="es-MX"/>
        </w:rPr>
        <w:t xml:space="preserve"> </w:t>
      </w:r>
      <w:r w:rsidRPr="00873AAD">
        <w:rPr>
          <w:lang w:val="es-MX"/>
        </w:rPr>
        <w:tab/>
      </w:r>
      <w:r w:rsidRPr="00873AAD">
        <w:rPr>
          <w:i/>
          <w:lang w:val="es-MX"/>
        </w:rPr>
        <w:t xml:space="preserve">Cfr. Caso </w:t>
      </w:r>
      <w:proofErr w:type="spellStart"/>
      <w:r w:rsidRPr="00873AAD">
        <w:rPr>
          <w:i/>
          <w:lang w:val="es-MX"/>
        </w:rPr>
        <w:t>Kimel</w:t>
      </w:r>
      <w:proofErr w:type="spellEnd"/>
      <w:r w:rsidRPr="00873AAD">
        <w:rPr>
          <w:i/>
          <w:lang w:val="es-MX"/>
        </w:rPr>
        <w:t xml:space="preserve"> Vs. Argentina, supra</w:t>
      </w:r>
      <w:r w:rsidRPr="00873AAD">
        <w:rPr>
          <w:lang w:val="es-MX"/>
        </w:rPr>
        <w:t xml:space="preserve">, párr. 75, y </w:t>
      </w:r>
      <w:r w:rsidRPr="00873AAD">
        <w:rPr>
          <w:i/>
          <w:lang w:val="es-MX"/>
        </w:rPr>
        <w:t xml:space="preserve">Caso </w:t>
      </w:r>
      <w:proofErr w:type="spellStart"/>
      <w:r w:rsidRPr="00873AAD">
        <w:rPr>
          <w:i/>
          <w:lang w:val="es-MX"/>
        </w:rPr>
        <w:t>Mémoli</w:t>
      </w:r>
      <w:proofErr w:type="spellEnd"/>
      <w:r w:rsidRPr="00873AAD">
        <w:rPr>
          <w:i/>
          <w:lang w:val="es-MX"/>
        </w:rPr>
        <w:t xml:space="preserve"> Vs. Argentina, supra</w:t>
      </w:r>
      <w:r w:rsidRPr="00873AAD">
        <w:rPr>
          <w:lang w:val="es-MX"/>
        </w:rPr>
        <w:t xml:space="preserve">, párr. 127. </w:t>
      </w:r>
    </w:p>
  </w:footnote>
  <w:footnote w:id="131">
    <w:p w14:paraId="1E1D5627" w14:textId="21CDC1FE" w:rsidR="00D86616" w:rsidRPr="00873AAD" w:rsidRDefault="00D86616" w:rsidP="006A2D03">
      <w:pPr>
        <w:pStyle w:val="FootnoteText"/>
        <w:spacing w:after="0"/>
        <w:rPr>
          <w:lang w:val="es-MX"/>
        </w:rPr>
      </w:pPr>
      <w:r w:rsidRPr="00873AAD">
        <w:rPr>
          <w:rStyle w:val="FootnoteReference"/>
          <w:spacing w:val="-2"/>
          <w:sz w:val="16"/>
        </w:rPr>
        <w:footnoteRef/>
      </w:r>
      <w:r w:rsidRPr="00873AAD">
        <w:rPr>
          <w:lang w:val="es-MX"/>
        </w:rPr>
        <w:t xml:space="preserve"> </w:t>
      </w:r>
      <w:r w:rsidRPr="00873AAD">
        <w:rPr>
          <w:iCs/>
          <w:lang w:val="es-MX"/>
        </w:rPr>
        <w:tab/>
      </w:r>
      <w:r w:rsidRPr="00873AAD">
        <w:rPr>
          <w:i/>
          <w:iCs/>
          <w:lang w:val="es-MX"/>
        </w:rPr>
        <w:t xml:space="preserve">Cfr. Caso </w:t>
      </w:r>
      <w:proofErr w:type="spellStart"/>
      <w:r w:rsidRPr="00873AAD">
        <w:rPr>
          <w:i/>
          <w:iCs/>
          <w:lang w:val="es-MX"/>
        </w:rPr>
        <w:t>Kimel</w:t>
      </w:r>
      <w:proofErr w:type="spellEnd"/>
      <w:r w:rsidRPr="00873AAD">
        <w:rPr>
          <w:i/>
          <w:iCs/>
          <w:lang w:val="es-MX"/>
        </w:rPr>
        <w:t xml:space="preserve"> Vs. Argentina, supra</w:t>
      </w:r>
      <w:r w:rsidRPr="00873AAD">
        <w:rPr>
          <w:lang w:val="es-MX"/>
        </w:rPr>
        <w:t xml:space="preserve">, párr. 51, y </w:t>
      </w:r>
      <w:r w:rsidRPr="00873AAD">
        <w:rPr>
          <w:i/>
          <w:lang w:val="es-MX"/>
        </w:rPr>
        <w:t xml:space="preserve">Caso </w:t>
      </w:r>
      <w:proofErr w:type="spellStart"/>
      <w:r w:rsidRPr="00873AAD">
        <w:rPr>
          <w:i/>
          <w:lang w:val="es-MX"/>
        </w:rPr>
        <w:t>Granier</w:t>
      </w:r>
      <w:proofErr w:type="spellEnd"/>
      <w:r w:rsidRPr="00873AAD">
        <w:rPr>
          <w:i/>
          <w:lang w:val="es-MX"/>
        </w:rPr>
        <w:t xml:space="preserve"> y otros  Vs. Venezuela</w:t>
      </w:r>
      <w:r w:rsidRPr="00873AAD">
        <w:rPr>
          <w:lang w:val="es-MX"/>
        </w:rPr>
        <w:t xml:space="preserve">, </w:t>
      </w:r>
      <w:r w:rsidRPr="00873AAD">
        <w:rPr>
          <w:i/>
          <w:lang w:val="es-MX"/>
        </w:rPr>
        <w:t>supra,</w:t>
      </w:r>
      <w:r w:rsidRPr="00873AAD">
        <w:rPr>
          <w:lang w:val="es-MX"/>
        </w:rPr>
        <w:t xml:space="preserve"> párr. 144.</w:t>
      </w:r>
    </w:p>
  </w:footnote>
  <w:footnote w:id="132">
    <w:p w14:paraId="667EC898" w14:textId="6D97E2EB" w:rsidR="00D86616" w:rsidRPr="009E6ED2" w:rsidRDefault="00D86616" w:rsidP="006A2D03">
      <w:pPr>
        <w:pStyle w:val="FootnoteText"/>
        <w:spacing w:after="0"/>
        <w:rPr>
          <w:lang w:val="es-MX"/>
        </w:rPr>
      </w:pPr>
      <w:r w:rsidRPr="00873AAD">
        <w:rPr>
          <w:rStyle w:val="FootnoteReference"/>
          <w:spacing w:val="-2"/>
          <w:sz w:val="16"/>
        </w:rPr>
        <w:footnoteRef/>
      </w:r>
      <w:r w:rsidRPr="00873AAD">
        <w:rPr>
          <w:lang w:val="es-MX"/>
        </w:rPr>
        <w:t xml:space="preserve"> </w:t>
      </w:r>
      <w:r w:rsidRPr="00873AAD">
        <w:rPr>
          <w:lang w:val="es-MX"/>
        </w:rPr>
        <w:tab/>
      </w:r>
      <w:r w:rsidRPr="000D6295">
        <w:rPr>
          <w:i/>
          <w:lang w:val="es-MX"/>
        </w:rPr>
        <w:t>Cfr. La Expresión "Leyes" en el Artículo 30 de la Convención Americana sobre Derechos Humanos. Opinión Consultiva OC-6/86</w:t>
      </w:r>
      <w:r w:rsidRPr="009E6ED2">
        <w:rPr>
          <w:lang w:val="es-MX"/>
        </w:rPr>
        <w:t xml:space="preserve"> de 9 de mayo de 1986. Serie A No. 6, </w:t>
      </w:r>
      <w:proofErr w:type="spellStart"/>
      <w:r w:rsidRPr="009E6ED2">
        <w:rPr>
          <w:lang w:val="es-MX"/>
        </w:rPr>
        <w:t>párrs</w:t>
      </w:r>
      <w:proofErr w:type="spellEnd"/>
      <w:r w:rsidRPr="009E6ED2">
        <w:rPr>
          <w:lang w:val="es-MX"/>
        </w:rPr>
        <w:t>. 35 y 37.</w:t>
      </w:r>
    </w:p>
  </w:footnote>
  <w:footnote w:id="133">
    <w:p w14:paraId="28E2526D" w14:textId="004DFA6B" w:rsidR="00D86616" w:rsidRPr="009E6ED2" w:rsidRDefault="00D86616" w:rsidP="006A2D03">
      <w:pPr>
        <w:pStyle w:val="FootnoteText"/>
        <w:spacing w:after="0"/>
        <w:rPr>
          <w:lang w:val="es-MX"/>
        </w:rPr>
      </w:pPr>
      <w:r w:rsidRPr="004C3F47">
        <w:rPr>
          <w:rStyle w:val="FootnoteReference"/>
          <w:spacing w:val="-2"/>
          <w:sz w:val="16"/>
        </w:rPr>
        <w:footnoteRef/>
      </w:r>
      <w:r w:rsidRPr="009E6ED2">
        <w:rPr>
          <w:lang w:val="es-MX"/>
        </w:rPr>
        <w:t xml:space="preserve"> </w:t>
      </w:r>
      <w:r w:rsidRPr="009E6ED2">
        <w:rPr>
          <w:lang w:val="es-MX"/>
        </w:rPr>
        <w:tab/>
      </w:r>
      <w:r w:rsidRPr="000D6295">
        <w:rPr>
          <w:i/>
          <w:lang w:val="es-MX"/>
        </w:rPr>
        <w:t>Cfr. Caso Tristán Donoso Vs. Panamá, supra</w:t>
      </w:r>
      <w:r w:rsidRPr="009E6ED2">
        <w:rPr>
          <w:lang w:val="es-MX"/>
        </w:rPr>
        <w:t>, párr. 56</w:t>
      </w:r>
      <w:r w:rsidRPr="009E6ED2">
        <w:rPr>
          <w:color w:val="000000"/>
          <w:lang w:val="es-MX"/>
        </w:rPr>
        <w:t xml:space="preserve"> y </w:t>
      </w:r>
      <w:r w:rsidRPr="00333304">
        <w:rPr>
          <w:rStyle w:val="Strong"/>
          <w:b w:val="0"/>
          <w:i/>
          <w:shd w:val="clear" w:color="auto" w:fill="FFFFFF"/>
          <w:lang w:val="es-MX"/>
        </w:rPr>
        <w:t xml:space="preserve">Caso López </w:t>
      </w:r>
      <w:proofErr w:type="spellStart"/>
      <w:r w:rsidRPr="00333304">
        <w:rPr>
          <w:rStyle w:val="Strong"/>
          <w:b w:val="0"/>
          <w:i/>
          <w:shd w:val="clear" w:color="auto" w:fill="FFFFFF"/>
          <w:lang w:val="es-MX"/>
        </w:rPr>
        <w:t>Lone</w:t>
      </w:r>
      <w:proofErr w:type="spellEnd"/>
      <w:r w:rsidRPr="00333304">
        <w:rPr>
          <w:rStyle w:val="Strong"/>
          <w:b w:val="0"/>
          <w:i/>
          <w:shd w:val="clear" w:color="auto" w:fill="FFFFFF"/>
          <w:lang w:val="es-MX"/>
        </w:rPr>
        <w:t xml:space="preserve"> Vs. Honduras</w:t>
      </w:r>
      <w:r w:rsidRPr="00333304">
        <w:rPr>
          <w:rStyle w:val="Strong"/>
          <w:b w:val="0"/>
          <w:shd w:val="clear" w:color="auto" w:fill="FFFFFF"/>
          <w:lang w:val="es-MX"/>
        </w:rPr>
        <w:t xml:space="preserve">, </w:t>
      </w:r>
      <w:r w:rsidRPr="002F31BD">
        <w:rPr>
          <w:rStyle w:val="Strong"/>
          <w:b w:val="0"/>
          <w:i/>
          <w:shd w:val="clear" w:color="auto" w:fill="FFFFFF"/>
          <w:lang w:val="es-MX"/>
        </w:rPr>
        <w:t>supra</w:t>
      </w:r>
      <w:r w:rsidRPr="00333304">
        <w:rPr>
          <w:rStyle w:val="Strong"/>
          <w:b w:val="0"/>
          <w:shd w:val="clear" w:color="auto" w:fill="FFFFFF"/>
          <w:lang w:val="es-MX"/>
        </w:rPr>
        <w:t xml:space="preserve">, </w:t>
      </w:r>
      <w:r>
        <w:rPr>
          <w:rStyle w:val="Strong"/>
          <w:b w:val="0"/>
          <w:shd w:val="clear" w:color="auto" w:fill="FFFFFF"/>
          <w:lang w:val="es-MX"/>
        </w:rPr>
        <w:t>párr. 168.</w:t>
      </w:r>
      <w:r w:rsidRPr="009E6ED2" w:rsidDel="004E3685">
        <w:rPr>
          <w:lang w:val="es-MX"/>
        </w:rPr>
        <w:t xml:space="preserve"> </w:t>
      </w:r>
    </w:p>
  </w:footnote>
  <w:footnote w:id="134">
    <w:p w14:paraId="3DC6BC1A" w14:textId="057F585E"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 xml:space="preserve">Cfr. Caso </w:t>
      </w:r>
      <w:proofErr w:type="spellStart"/>
      <w:r w:rsidRPr="009E6ED2">
        <w:rPr>
          <w:i/>
          <w:lang w:val="es-MX"/>
        </w:rPr>
        <w:t>Kimel</w:t>
      </w:r>
      <w:proofErr w:type="spellEnd"/>
      <w:r w:rsidRPr="009E6ED2">
        <w:rPr>
          <w:i/>
          <w:lang w:val="es-MX"/>
        </w:rPr>
        <w:t xml:space="preserve"> Vs. Argentina, supra,</w:t>
      </w:r>
      <w:r w:rsidRPr="009E6ED2">
        <w:rPr>
          <w:lang w:val="es-MX"/>
        </w:rPr>
        <w:t xml:space="preserve"> párr. 51, y </w:t>
      </w:r>
      <w:r w:rsidRPr="00A532BE">
        <w:rPr>
          <w:i/>
          <w:lang w:val="es-MX"/>
        </w:rPr>
        <w:t xml:space="preserve">Caso </w:t>
      </w:r>
      <w:proofErr w:type="spellStart"/>
      <w:r w:rsidRPr="00A532BE">
        <w:rPr>
          <w:i/>
          <w:lang w:val="es-MX"/>
        </w:rPr>
        <w:t>Mémoli</w:t>
      </w:r>
      <w:proofErr w:type="spellEnd"/>
      <w:r w:rsidRPr="00A532BE">
        <w:rPr>
          <w:i/>
          <w:lang w:val="es-MX"/>
        </w:rPr>
        <w:t xml:space="preserve"> Vs. Argentina, supra,</w:t>
      </w:r>
      <w:r w:rsidRPr="009E6ED2">
        <w:rPr>
          <w:lang w:val="es-MX"/>
        </w:rPr>
        <w:t xml:space="preserve"> párr. 127. </w:t>
      </w:r>
    </w:p>
  </w:footnote>
  <w:footnote w:id="135">
    <w:p w14:paraId="5837F231" w14:textId="4A8C826F" w:rsidR="00D86616" w:rsidRPr="009E6ED2" w:rsidRDefault="00D86616" w:rsidP="006A2D03">
      <w:pPr>
        <w:pStyle w:val="FootnoteText"/>
        <w:spacing w:after="0"/>
        <w:rPr>
          <w:i/>
          <w:lang w:val="es-MX"/>
        </w:rPr>
      </w:pPr>
      <w:r w:rsidRPr="004C3F47">
        <w:rPr>
          <w:rStyle w:val="FootnoteReference"/>
          <w:sz w:val="16"/>
        </w:rPr>
        <w:footnoteRef/>
      </w:r>
      <w:r w:rsidRPr="009E6ED2">
        <w:rPr>
          <w:lang w:val="es-MX"/>
        </w:rPr>
        <w:t xml:space="preserve"> </w:t>
      </w:r>
      <w:r w:rsidRPr="009E6ED2">
        <w:rPr>
          <w:lang w:val="es-MX"/>
        </w:rPr>
        <w:tab/>
        <w:t xml:space="preserve">El artículo 30 de la Convención Americana (sobre el alcance de las restricciones), señala que las restricciones permitidas, “no puede ser aplicadas sino conforme a leyes que se dictaren por razones de interés general y con el propósito para el cual han sido establecidas”. </w:t>
      </w:r>
      <w:r w:rsidRPr="009E6ED2">
        <w:rPr>
          <w:i/>
          <w:lang w:val="es-MX"/>
        </w:rPr>
        <w:t xml:space="preserve">Cfr. La Expresión "Leyes" en el Artículo 30 de la Convención Americana sobre Derechos Humanos OC-6/86, supra, </w:t>
      </w:r>
      <w:r w:rsidRPr="009E6ED2">
        <w:rPr>
          <w:lang w:val="es-MX"/>
        </w:rPr>
        <w:t>párr. 38. Asimismo, el artículo 32 de la misma establece la correlación entre deberes y derechos, precisando que los derechos de cada persona están limitados por los derechos de los demás […].</w:t>
      </w:r>
      <w:r>
        <w:rPr>
          <w:lang w:val="es-MX"/>
        </w:rPr>
        <w:t xml:space="preserve"> </w:t>
      </w:r>
      <w:r w:rsidRPr="009E6ED2">
        <w:rPr>
          <w:i/>
          <w:lang w:val="es-MX"/>
        </w:rPr>
        <w:t>Cfr. La Colegiación obligatoria de periodistas OC-5/85, supra,</w:t>
      </w:r>
      <w:r w:rsidRPr="009E6ED2">
        <w:rPr>
          <w:lang w:val="es-MX"/>
        </w:rPr>
        <w:t xml:space="preserve"> párr. 65. </w:t>
      </w:r>
    </w:p>
  </w:footnote>
  <w:footnote w:id="136">
    <w:p w14:paraId="734C8A3C" w14:textId="7E9AE776"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0D6295">
        <w:rPr>
          <w:i/>
          <w:lang w:val="es-MX"/>
        </w:rPr>
        <w:t xml:space="preserve">Cfr. Caso </w:t>
      </w:r>
      <w:proofErr w:type="spellStart"/>
      <w:r w:rsidRPr="000D6295">
        <w:rPr>
          <w:i/>
          <w:lang w:val="es-MX"/>
        </w:rPr>
        <w:t>Mémoli</w:t>
      </w:r>
      <w:proofErr w:type="spellEnd"/>
      <w:r w:rsidRPr="000D6295">
        <w:rPr>
          <w:i/>
          <w:lang w:val="es-MX"/>
        </w:rPr>
        <w:t xml:space="preserve"> Vs. Argentina</w:t>
      </w:r>
      <w:r w:rsidRPr="009E6ED2">
        <w:rPr>
          <w:lang w:val="es-MX"/>
        </w:rPr>
        <w:t xml:space="preserve">, </w:t>
      </w:r>
      <w:r w:rsidRPr="00A532BE">
        <w:rPr>
          <w:i/>
          <w:lang w:val="es-MX"/>
        </w:rPr>
        <w:t>supra,</w:t>
      </w:r>
      <w:r w:rsidRPr="009E6ED2">
        <w:rPr>
          <w:lang w:val="es-MX"/>
        </w:rPr>
        <w:t xml:space="preserve"> párr. 130.</w:t>
      </w:r>
    </w:p>
  </w:footnote>
  <w:footnote w:id="137">
    <w:p w14:paraId="67BA070C" w14:textId="77777777"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 xml:space="preserve">Escrito del señor Lagos del Campo de 28 de junio de 1989 dirigido al señor Miguel </w:t>
      </w:r>
      <w:proofErr w:type="spellStart"/>
      <w:r w:rsidRPr="009E6ED2">
        <w:rPr>
          <w:lang w:val="es-MX"/>
        </w:rPr>
        <w:t>Balbi</w:t>
      </w:r>
      <w:proofErr w:type="spellEnd"/>
      <w:r w:rsidRPr="009E6ED2">
        <w:rPr>
          <w:lang w:val="es-MX"/>
        </w:rPr>
        <w:t xml:space="preserve">, Gerente de Relaciones Industriales, Conductores Eléctricos Peruanos S. A. CEPER – PIRELLI, con sello de recibido de la empresa de 30 de junio de 1989. (expediente de prueba anexo 5 a la contestación del Estado, </w:t>
      </w:r>
      <w:proofErr w:type="spellStart"/>
      <w:r w:rsidRPr="009E6ED2">
        <w:rPr>
          <w:lang w:val="es-MX"/>
        </w:rPr>
        <w:t>ff</w:t>
      </w:r>
      <w:proofErr w:type="spellEnd"/>
      <w:r w:rsidRPr="009E6ED2">
        <w:rPr>
          <w:lang w:val="es-MX"/>
        </w:rPr>
        <w:t>. 1460 a 1463).</w:t>
      </w:r>
    </w:p>
  </w:footnote>
  <w:footnote w:id="138">
    <w:p w14:paraId="7DB7A0D8" w14:textId="58A8196B"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Presidente de la República de Perú. Decreto Ley 21789. Ley de la Comunidad Industrial de 1 de febrero de 1977, Art. 14, 20 y 26. (expediente de prueba, anexo 1 del escrito de solicitudes y argumentos, ff.1390 a 1399).</w:t>
      </w:r>
    </w:p>
  </w:footnote>
  <w:footnote w:id="139">
    <w:p w14:paraId="08A28797" w14:textId="5FB20A3E"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 xml:space="preserve">Cfr. </w:t>
      </w:r>
      <w:r w:rsidRPr="009E6ED2">
        <w:rPr>
          <w:lang w:val="es-MX"/>
        </w:rPr>
        <w:t xml:space="preserve">Declaración pericial César José González </w:t>
      </w:r>
      <w:proofErr w:type="spellStart"/>
      <w:r w:rsidRPr="009E6ED2">
        <w:rPr>
          <w:lang w:val="es-MX"/>
        </w:rPr>
        <w:t>Hunt</w:t>
      </w:r>
      <w:proofErr w:type="spellEnd"/>
      <w:r w:rsidRPr="009E6ED2">
        <w:rPr>
          <w:lang w:val="es-MX"/>
        </w:rPr>
        <w:t xml:space="preserve"> (expediente de prueba, anexo 1 alegatos finales escritos, f. 1486) y Dictamen Omar </w:t>
      </w:r>
      <w:proofErr w:type="spellStart"/>
      <w:r w:rsidRPr="009E6ED2">
        <w:rPr>
          <w:lang w:val="es-MX"/>
        </w:rPr>
        <w:t>Sar</w:t>
      </w:r>
      <w:proofErr w:type="spellEnd"/>
      <w:r w:rsidRPr="009E6ED2">
        <w:rPr>
          <w:lang w:val="es-MX"/>
        </w:rPr>
        <w:t xml:space="preserve"> Suárez (expediente de fondo f. 519.).</w:t>
      </w:r>
    </w:p>
  </w:footnote>
  <w:footnote w:id="140">
    <w:p w14:paraId="5E386EC4" w14:textId="090C79DF" w:rsidR="00D86616" w:rsidRPr="009E6ED2" w:rsidRDefault="00D86616" w:rsidP="006A2D03">
      <w:pPr>
        <w:pStyle w:val="FootnoteText"/>
        <w:spacing w:after="0"/>
        <w:rPr>
          <w:lang w:val="es-MX"/>
        </w:rPr>
      </w:pPr>
      <w:r w:rsidRPr="000023EA">
        <w:rPr>
          <w:rStyle w:val="FootnoteReference"/>
          <w:sz w:val="16"/>
        </w:rPr>
        <w:footnoteRef/>
      </w:r>
      <w:r w:rsidRPr="009E6ED2">
        <w:rPr>
          <w:lang w:val="es-MX"/>
        </w:rPr>
        <w:t xml:space="preserve"> </w:t>
      </w:r>
      <w:r w:rsidRPr="009E6ED2">
        <w:rPr>
          <w:lang w:val="es-MX"/>
        </w:rPr>
        <w:tab/>
        <w:t xml:space="preserve">Declaración escrita del perito Cesar Gonzáles </w:t>
      </w:r>
      <w:proofErr w:type="spellStart"/>
      <w:r w:rsidRPr="009E6ED2">
        <w:rPr>
          <w:lang w:val="es-MX"/>
        </w:rPr>
        <w:t>Hunt</w:t>
      </w:r>
      <w:proofErr w:type="spellEnd"/>
      <w:r w:rsidRPr="009E6ED2">
        <w:rPr>
          <w:lang w:val="es-MX"/>
        </w:rPr>
        <w:t xml:space="preserve"> ante la Corte Interamericana. En la misma, se hizo referencia a que “según los órganos jurisdiccionales”, “[l]a Comunidad Industrial y el Sindicato de trabajadores son instituciones encaminadas a proteger al trabajador en su acción para el logro de beneficios sociales y económicos y tienen características propias que configuran su independencia. Los objetivos de la Comunidad Industrial y del Sindicato son diferentes, lo que no significa que sean antagónicos debiendo actuar coordinadamente en su respectivo campo de acción en beneficio de los trabajadores (Expediente N° 56-56 – Juzgado de Iquitos)”. En similar sentido, se apuntó que “[l]a Comunidad Industrial y el Sindicato de trabajadores son instituciones encaminadas a proteger al trabajador en su acción para el logro de beneficios sociales y económicos y tienen características propias que configuran su independencia. Los objetivos del sindicato y de la comunidad industrial son diferentes, lo que no significa que sean antagónicos debiendo actuar coordinadamente en su respectivo campo de acción en beneficio de los trabajadores. (Revista Actualidad Laboral, agosto 1976)” (expediente de prueba, anexos a los alegatos finales, f. 1416).</w:t>
      </w:r>
    </w:p>
  </w:footnote>
  <w:footnote w:id="141">
    <w:p w14:paraId="35FE36E9" w14:textId="6897498C"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A pregunta expresa, La Razón señaló: “Ante estos atropellos de la patronal, ¿Cuáles son las medidas que ha tomado usted en su calidad de Presidente del Comité Electoral?”.</w:t>
      </w:r>
    </w:p>
  </w:footnote>
  <w:footnote w:id="142">
    <w:p w14:paraId="54C70B42" w14:textId="2F67386D"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Recomendación sobre los representantes de los trabajadores, 1971 (núm. 143), OIT, Recomendación sobre la protección y facilidades que deben otorgarse a los representantes de los trabajadores en la empresa. Sesión de la Conferencia: 56, fecha de adopción 23 de junio de 1971. </w:t>
      </w:r>
      <w:r w:rsidRPr="009E6ED2">
        <w:rPr>
          <w:lang w:val="es-MX"/>
        </w:rPr>
        <w:tab/>
      </w:r>
    </w:p>
  </w:footnote>
  <w:footnote w:id="143">
    <w:p w14:paraId="34D2DF80" w14:textId="7C4E79CA"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BD701A">
        <w:rPr>
          <w:i/>
          <w:lang w:val="es-MX"/>
        </w:rPr>
        <w:t>Cfr.</w:t>
      </w:r>
      <w:r w:rsidRPr="009E6ED2">
        <w:rPr>
          <w:lang w:val="es-MX"/>
        </w:rPr>
        <w:t xml:space="preserve"> </w:t>
      </w:r>
      <w:r w:rsidRPr="000D6295">
        <w:rPr>
          <w:i/>
          <w:lang w:val="es-MX"/>
        </w:rPr>
        <w:t xml:space="preserve">Caso </w:t>
      </w:r>
      <w:proofErr w:type="spellStart"/>
      <w:r w:rsidRPr="000D6295">
        <w:rPr>
          <w:i/>
          <w:lang w:val="es-MX"/>
        </w:rPr>
        <w:t>Memolí</w:t>
      </w:r>
      <w:proofErr w:type="spellEnd"/>
      <w:r w:rsidRPr="000D6295">
        <w:rPr>
          <w:i/>
          <w:lang w:val="es-MX"/>
        </w:rPr>
        <w:t xml:space="preserve"> Vs. Argentina, supra</w:t>
      </w:r>
      <w:r w:rsidRPr="009E6ED2">
        <w:rPr>
          <w:lang w:val="es-MX"/>
        </w:rPr>
        <w:t>, párr. 145.</w:t>
      </w:r>
    </w:p>
  </w:footnote>
  <w:footnote w:id="144">
    <w:p w14:paraId="18D4F0D1" w14:textId="6A14B65D" w:rsidR="00D86616" w:rsidRPr="004C3F47" w:rsidRDefault="00D86616" w:rsidP="006A2D03">
      <w:pPr>
        <w:tabs>
          <w:tab w:val="left" w:pos="567"/>
        </w:tabs>
        <w:jc w:val="both"/>
        <w:rPr>
          <w:rFonts w:ascii="Verdana" w:hAnsi="Verdana"/>
          <w:spacing w:val="-2"/>
          <w:sz w:val="16"/>
          <w:szCs w:val="16"/>
        </w:rPr>
      </w:pPr>
      <w:r w:rsidRPr="004C3F47">
        <w:rPr>
          <w:rStyle w:val="FootnoteReference"/>
          <w:spacing w:val="-2"/>
          <w:sz w:val="16"/>
          <w:szCs w:val="16"/>
        </w:rPr>
        <w:footnoteRef/>
      </w:r>
      <w:r w:rsidRPr="004C3F47">
        <w:rPr>
          <w:rStyle w:val="FootnoteReference"/>
          <w:spacing w:val="-2"/>
          <w:sz w:val="16"/>
          <w:szCs w:val="16"/>
        </w:rPr>
        <w:t xml:space="preserve"> </w:t>
      </w:r>
      <w:r w:rsidRPr="004C3F47">
        <w:rPr>
          <w:rFonts w:ascii="Verdana" w:hAnsi="Verdana"/>
          <w:spacing w:val="-2"/>
          <w:sz w:val="16"/>
          <w:szCs w:val="16"/>
        </w:rPr>
        <w:tab/>
      </w:r>
      <w:r w:rsidRPr="00F77B70">
        <w:rPr>
          <w:rFonts w:ascii="Verdana" w:hAnsi="Verdana"/>
          <w:i/>
          <w:spacing w:val="-2"/>
          <w:sz w:val="16"/>
          <w:szCs w:val="16"/>
        </w:rPr>
        <w:t>Cfr.</w:t>
      </w:r>
      <w:r w:rsidRPr="00333304">
        <w:rPr>
          <w:rFonts w:ascii="Verdana" w:hAnsi="Verdana"/>
          <w:spacing w:val="-2"/>
          <w:sz w:val="16"/>
          <w:szCs w:val="16"/>
        </w:rPr>
        <w:t xml:space="preserve"> </w:t>
      </w:r>
      <w:r w:rsidRPr="000B2D2B">
        <w:rPr>
          <w:rFonts w:ascii="Verdana" w:hAnsi="Verdana"/>
          <w:i/>
          <w:spacing w:val="-2"/>
          <w:sz w:val="16"/>
          <w:szCs w:val="16"/>
        </w:rPr>
        <w:t>Caso Tristán Donoso Vs. Panamá</w:t>
      </w:r>
      <w:r w:rsidRPr="004C3F47">
        <w:rPr>
          <w:rFonts w:ascii="Verdana" w:hAnsi="Verdana"/>
          <w:i/>
          <w:spacing w:val="-2"/>
          <w:sz w:val="16"/>
          <w:szCs w:val="16"/>
        </w:rPr>
        <w:t xml:space="preserve">, </w:t>
      </w:r>
      <w:r w:rsidRPr="002F31BD">
        <w:rPr>
          <w:rFonts w:ascii="Verdana" w:hAnsi="Verdana"/>
          <w:i/>
          <w:spacing w:val="-2"/>
          <w:sz w:val="16"/>
          <w:szCs w:val="16"/>
        </w:rPr>
        <w:t>supra</w:t>
      </w:r>
      <w:r w:rsidRPr="004C3F47">
        <w:rPr>
          <w:rFonts w:ascii="Verdana" w:hAnsi="Verdana"/>
          <w:i/>
          <w:iCs/>
          <w:spacing w:val="-2"/>
          <w:sz w:val="16"/>
          <w:szCs w:val="16"/>
        </w:rPr>
        <w:t xml:space="preserve">, </w:t>
      </w:r>
      <w:r w:rsidRPr="004C3F47">
        <w:rPr>
          <w:rFonts w:ascii="Verdana" w:hAnsi="Verdana"/>
          <w:iCs/>
          <w:spacing w:val="-2"/>
          <w:sz w:val="16"/>
          <w:szCs w:val="16"/>
        </w:rPr>
        <w:t>párr. 51,</w:t>
      </w:r>
      <w:r w:rsidRPr="004C3F47">
        <w:rPr>
          <w:rFonts w:ascii="Verdana" w:hAnsi="Verdana"/>
          <w:i/>
          <w:iCs/>
          <w:spacing w:val="-2"/>
          <w:sz w:val="16"/>
          <w:szCs w:val="16"/>
        </w:rPr>
        <w:t xml:space="preserve"> </w:t>
      </w:r>
      <w:r w:rsidRPr="004C3F47">
        <w:rPr>
          <w:rFonts w:ascii="Verdana" w:hAnsi="Verdana"/>
          <w:iCs/>
          <w:spacing w:val="-2"/>
          <w:sz w:val="16"/>
          <w:szCs w:val="16"/>
        </w:rPr>
        <w:t>y</w:t>
      </w:r>
      <w:r w:rsidRPr="004C3F47">
        <w:rPr>
          <w:rFonts w:ascii="Verdana" w:hAnsi="Verdana"/>
          <w:i/>
          <w:iCs/>
          <w:spacing w:val="-2"/>
          <w:sz w:val="16"/>
          <w:szCs w:val="16"/>
        </w:rPr>
        <w:t xml:space="preserve"> </w:t>
      </w:r>
      <w:r w:rsidRPr="000B2D2B">
        <w:rPr>
          <w:rFonts w:ascii="Verdana" w:hAnsi="Verdana"/>
          <w:i/>
          <w:iCs/>
          <w:spacing w:val="-2"/>
          <w:sz w:val="16"/>
          <w:szCs w:val="16"/>
        </w:rPr>
        <w:t xml:space="preserve">Caso </w:t>
      </w:r>
      <w:proofErr w:type="spellStart"/>
      <w:r w:rsidRPr="000B2D2B">
        <w:rPr>
          <w:rFonts w:ascii="Verdana" w:hAnsi="Verdana"/>
          <w:i/>
          <w:iCs/>
          <w:spacing w:val="-2"/>
          <w:sz w:val="16"/>
          <w:szCs w:val="16"/>
        </w:rPr>
        <w:t>Fontevecchia</w:t>
      </w:r>
      <w:proofErr w:type="spellEnd"/>
      <w:r w:rsidRPr="000B2D2B">
        <w:rPr>
          <w:rFonts w:ascii="Verdana" w:hAnsi="Verdana"/>
          <w:i/>
          <w:iCs/>
          <w:spacing w:val="-2"/>
          <w:sz w:val="16"/>
          <w:szCs w:val="16"/>
        </w:rPr>
        <w:t xml:space="preserve"> y </w:t>
      </w:r>
      <w:proofErr w:type="spellStart"/>
      <w:r w:rsidRPr="000B2D2B">
        <w:rPr>
          <w:rFonts w:ascii="Verdana" w:hAnsi="Verdana"/>
          <w:i/>
          <w:iCs/>
          <w:spacing w:val="-2"/>
          <w:sz w:val="16"/>
          <w:szCs w:val="16"/>
        </w:rPr>
        <w:t>D’Amico</w:t>
      </w:r>
      <w:proofErr w:type="spellEnd"/>
      <w:r w:rsidRPr="000B2D2B">
        <w:rPr>
          <w:rFonts w:ascii="Verdana" w:hAnsi="Verdana"/>
          <w:i/>
          <w:iCs/>
          <w:spacing w:val="-2"/>
          <w:sz w:val="16"/>
          <w:szCs w:val="16"/>
        </w:rPr>
        <w:t xml:space="preserve"> Vs. Argentina</w:t>
      </w:r>
      <w:r w:rsidRPr="004C3F47">
        <w:rPr>
          <w:rFonts w:ascii="Verdana" w:hAnsi="Verdana"/>
          <w:i/>
          <w:iCs/>
          <w:spacing w:val="-2"/>
          <w:sz w:val="16"/>
          <w:szCs w:val="16"/>
        </w:rPr>
        <w:t xml:space="preserve">, </w:t>
      </w:r>
      <w:r w:rsidRPr="002F31BD">
        <w:rPr>
          <w:rFonts w:ascii="Verdana" w:hAnsi="Verdana"/>
          <w:i/>
          <w:iCs/>
          <w:spacing w:val="-2"/>
          <w:sz w:val="16"/>
          <w:szCs w:val="16"/>
        </w:rPr>
        <w:t>supra</w:t>
      </w:r>
      <w:r w:rsidRPr="004C3F47">
        <w:rPr>
          <w:rFonts w:ascii="Verdana" w:hAnsi="Verdana"/>
          <w:spacing w:val="-2"/>
          <w:sz w:val="16"/>
          <w:szCs w:val="16"/>
        </w:rPr>
        <w:t xml:space="preserve">, párr. 61; </w:t>
      </w:r>
      <w:r w:rsidRPr="005D45A8">
        <w:rPr>
          <w:rFonts w:ascii="Verdana" w:hAnsi="Verdana"/>
          <w:i/>
          <w:spacing w:val="-2"/>
          <w:sz w:val="16"/>
          <w:szCs w:val="16"/>
        </w:rPr>
        <w:t xml:space="preserve">Caso </w:t>
      </w:r>
      <w:proofErr w:type="spellStart"/>
      <w:r w:rsidRPr="005D45A8">
        <w:rPr>
          <w:rFonts w:ascii="Verdana" w:hAnsi="Verdana"/>
          <w:i/>
          <w:spacing w:val="-2"/>
          <w:sz w:val="16"/>
          <w:szCs w:val="16"/>
        </w:rPr>
        <w:t>Memolí</w:t>
      </w:r>
      <w:proofErr w:type="spellEnd"/>
      <w:r w:rsidRPr="005D45A8">
        <w:rPr>
          <w:rFonts w:ascii="Verdana" w:hAnsi="Verdana"/>
          <w:i/>
          <w:spacing w:val="-2"/>
          <w:sz w:val="16"/>
          <w:szCs w:val="16"/>
        </w:rPr>
        <w:t xml:space="preserve"> Vs. Argentina</w:t>
      </w:r>
      <w:r w:rsidRPr="00755C5A">
        <w:rPr>
          <w:rFonts w:ascii="Verdana" w:hAnsi="Verdana"/>
          <w:spacing w:val="-2"/>
          <w:sz w:val="16"/>
          <w:szCs w:val="16"/>
        </w:rPr>
        <w:t>,</w:t>
      </w:r>
      <w:r w:rsidRPr="004C3F47">
        <w:rPr>
          <w:rFonts w:ascii="Verdana" w:hAnsi="Verdana"/>
          <w:spacing w:val="-2"/>
          <w:sz w:val="16"/>
          <w:szCs w:val="16"/>
        </w:rPr>
        <w:t xml:space="preserve"> </w:t>
      </w:r>
      <w:r w:rsidRPr="00333304">
        <w:rPr>
          <w:rFonts w:ascii="Verdana" w:hAnsi="Verdana"/>
          <w:i/>
          <w:spacing w:val="-2"/>
          <w:sz w:val="16"/>
          <w:szCs w:val="16"/>
        </w:rPr>
        <w:t>supra,</w:t>
      </w:r>
      <w:r>
        <w:rPr>
          <w:rFonts w:ascii="Verdana" w:hAnsi="Verdana"/>
          <w:spacing w:val="-2"/>
          <w:sz w:val="16"/>
          <w:szCs w:val="16"/>
        </w:rPr>
        <w:t xml:space="preserve"> </w:t>
      </w:r>
      <w:proofErr w:type="spellStart"/>
      <w:r w:rsidRPr="004C3F47">
        <w:rPr>
          <w:rFonts w:ascii="Verdana" w:hAnsi="Verdana"/>
          <w:spacing w:val="-2"/>
          <w:sz w:val="16"/>
          <w:szCs w:val="16"/>
        </w:rPr>
        <w:t>párrs</w:t>
      </w:r>
      <w:proofErr w:type="spellEnd"/>
      <w:r w:rsidRPr="004C3F47">
        <w:rPr>
          <w:rFonts w:ascii="Verdana" w:hAnsi="Verdana"/>
          <w:spacing w:val="-2"/>
          <w:sz w:val="16"/>
          <w:szCs w:val="16"/>
        </w:rPr>
        <w:t>. 145 y 146</w:t>
      </w:r>
      <w:r>
        <w:rPr>
          <w:rFonts w:ascii="Verdana" w:hAnsi="Verdana"/>
          <w:spacing w:val="-2"/>
          <w:sz w:val="16"/>
          <w:szCs w:val="16"/>
        </w:rPr>
        <w:t>.</w:t>
      </w:r>
    </w:p>
  </w:footnote>
  <w:footnote w:id="145">
    <w:p w14:paraId="3C27480F" w14:textId="6DFEF5D5"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 xml:space="preserve">Cfr. </w:t>
      </w:r>
      <w:r w:rsidRPr="004868B2">
        <w:rPr>
          <w:lang w:val="es-MX"/>
        </w:rPr>
        <w:t>TEDH</w:t>
      </w:r>
      <w:r w:rsidRPr="009E6ED2">
        <w:rPr>
          <w:i/>
          <w:lang w:val="es-MX"/>
        </w:rPr>
        <w:t xml:space="preserve"> Caso Palomo Sánchez y otros Vs. España</w:t>
      </w:r>
      <w:r w:rsidRPr="009E6ED2">
        <w:rPr>
          <w:lang w:val="es-MX"/>
        </w:rPr>
        <w:t xml:space="preserve"> [GS], No. 28955/06, No. 28957, No. 28959/06; No. 28964/06. Sentencia de 12 de septiembre de 2011, párr. 72. En este caso el Tribunal Europeo señaló que no compartía la tesis del Gobierno según la cual el contenido de los artículos enjuiciados no planteaba ninguna cuestión de interés público (apartado 44 </w:t>
      </w:r>
      <w:r w:rsidRPr="009E6ED2">
        <w:rPr>
          <w:i/>
          <w:lang w:val="es-MX"/>
        </w:rPr>
        <w:t>supra</w:t>
      </w:r>
      <w:r w:rsidRPr="009E6ED2">
        <w:rPr>
          <w:lang w:val="es-MX"/>
        </w:rPr>
        <w:t xml:space="preserve">). La publicación incriminada se producía en el marco de un conflicto laboral en la empresa frente a la que los interesados reivindicaban unos derechos. El papel primordial de tal publicación «debería ser tratar en sus columnas los problemas que afecten, principalmente, a la defensa y promoción de los intereses de sus afiliados y, más generalmente, del mundo del trabajo. (apartado 24 </w:t>
      </w:r>
      <w:r w:rsidRPr="009E6ED2">
        <w:rPr>
          <w:i/>
          <w:lang w:val="es-MX"/>
        </w:rPr>
        <w:t>supra</w:t>
      </w:r>
      <w:r w:rsidRPr="009E6ED2">
        <w:rPr>
          <w:lang w:val="es-MX"/>
        </w:rPr>
        <w:t xml:space="preserve">, concretamente Recopilación OIT, ap. 170). El debate no era pues puramente privado; se trataba cuando menos de una cuestión de interés general para los trabajadores de la empresa P. (véase, </w:t>
      </w:r>
      <w:r w:rsidRPr="009E6ED2">
        <w:rPr>
          <w:i/>
          <w:lang w:val="es-MX"/>
        </w:rPr>
        <w:t>mutatis mutandi</w:t>
      </w:r>
      <w:r w:rsidRPr="009E6ED2">
        <w:rPr>
          <w:lang w:val="es-MX"/>
        </w:rPr>
        <w:t>s, T</w:t>
      </w:r>
      <w:r w:rsidRPr="009E6ED2">
        <w:rPr>
          <w:i/>
          <w:lang w:val="es-MX"/>
        </w:rPr>
        <w:t xml:space="preserve">EDH, Caso </w:t>
      </w:r>
      <w:proofErr w:type="spellStart"/>
      <w:r w:rsidRPr="009E6ED2">
        <w:rPr>
          <w:i/>
          <w:lang w:val="es-MX"/>
        </w:rPr>
        <w:t>Fressoz</w:t>
      </w:r>
      <w:proofErr w:type="spellEnd"/>
      <w:r w:rsidRPr="009E6ED2">
        <w:rPr>
          <w:i/>
          <w:lang w:val="es-MX"/>
        </w:rPr>
        <w:t xml:space="preserve"> y </w:t>
      </w:r>
      <w:proofErr w:type="spellStart"/>
      <w:r w:rsidRPr="009E6ED2">
        <w:rPr>
          <w:i/>
          <w:lang w:val="es-MX"/>
        </w:rPr>
        <w:t>Roire</w:t>
      </w:r>
      <w:proofErr w:type="spellEnd"/>
      <w:r w:rsidRPr="009E6ED2">
        <w:rPr>
          <w:i/>
          <w:lang w:val="es-MX"/>
        </w:rPr>
        <w:t xml:space="preserve"> Vs. Francia</w:t>
      </w:r>
      <w:r w:rsidRPr="009E6ED2">
        <w:rPr>
          <w:lang w:val="es-MX"/>
        </w:rPr>
        <w:t xml:space="preserve"> [GS], núm. 29183/95, Sentencia de 21 de enero de 1999 </w:t>
      </w:r>
      <w:r w:rsidRPr="00A532BE">
        <w:rPr>
          <w:lang w:val="es-MX"/>
        </w:rPr>
        <w:t xml:space="preserve">y </w:t>
      </w:r>
      <w:r w:rsidRPr="004868B2">
        <w:rPr>
          <w:lang w:val="es-MX"/>
        </w:rPr>
        <w:t>TEDH</w:t>
      </w:r>
      <w:r w:rsidRPr="009E6ED2">
        <w:rPr>
          <w:i/>
          <w:lang w:val="es-MX"/>
        </w:rPr>
        <w:t xml:space="preserve">, Caso </w:t>
      </w:r>
      <w:proofErr w:type="spellStart"/>
      <w:r w:rsidRPr="009E6ED2">
        <w:rPr>
          <w:i/>
          <w:lang w:val="es-MX"/>
        </w:rPr>
        <w:t>Boldea</w:t>
      </w:r>
      <w:proofErr w:type="spellEnd"/>
      <w:r w:rsidRPr="009E6ED2">
        <w:rPr>
          <w:i/>
          <w:lang w:val="es-MX"/>
        </w:rPr>
        <w:t xml:space="preserve"> vs. Rumanía</w:t>
      </w:r>
      <w:r w:rsidRPr="009E6ED2">
        <w:rPr>
          <w:lang w:val="es-MX"/>
        </w:rPr>
        <w:t xml:space="preserve">, No. 19997/02. Sentencia de 15 de febrero de 2007.73. No obstante, la existencia de dicha cuestión no justifica la utilización de caricaturas y expresiones ofensivas, ni siquiera en el ámbito de la relación laboral (apartado 24 </w:t>
      </w:r>
      <w:r w:rsidRPr="009E6ED2">
        <w:rPr>
          <w:i/>
          <w:lang w:val="es-MX"/>
        </w:rPr>
        <w:t>supra</w:t>
      </w:r>
      <w:r w:rsidRPr="009E6ED2">
        <w:rPr>
          <w:lang w:val="es-MX"/>
        </w:rPr>
        <w:t>, punto 154). Además, estas últimas no constituían una reacción instantánea e irreflexiva en un intercambio verbal rápido y espontáneo, propio de los excesos verbales. Se trataba, por el contrario, de aseveraciones por escrito, publicadas con total lucidez y expuestas públicam</w:t>
      </w:r>
      <w:r>
        <w:rPr>
          <w:lang w:val="es-MX"/>
        </w:rPr>
        <w:t>ente en la sede de la empresa.</w:t>
      </w:r>
      <w:r w:rsidRPr="009E6ED2">
        <w:rPr>
          <w:lang w:val="es-MX"/>
        </w:rPr>
        <w:t xml:space="preserve"> (véase, </w:t>
      </w:r>
      <w:r w:rsidRPr="009E6ED2">
        <w:rPr>
          <w:i/>
          <w:lang w:val="es-MX"/>
        </w:rPr>
        <w:t>mutatis mutandi</w:t>
      </w:r>
      <w:r w:rsidRPr="009E6ED2">
        <w:rPr>
          <w:lang w:val="es-MX"/>
        </w:rPr>
        <w:t xml:space="preserve">s, </w:t>
      </w:r>
      <w:r w:rsidRPr="004868B2">
        <w:rPr>
          <w:lang w:val="es-MX"/>
        </w:rPr>
        <w:t>TEDH</w:t>
      </w:r>
      <w:r w:rsidRPr="009E6ED2">
        <w:rPr>
          <w:i/>
          <w:lang w:val="es-MX"/>
        </w:rPr>
        <w:t xml:space="preserve">, Caso  </w:t>
      </w:r>
      <w:proofErr w:type="spellStart"/>
      <w:r w:rsidRPr="009E6ED2">
        <w:rPr>
          <w:i/>
          <w:lang w:val="es-MX"/>
        </w:rPr>
        <w:t>Fressoz</w:t>
      </w:r>
      <w:proofErr w:type="spellEnd"/>
      <w:r w:rsidRPr="009E6ED2">
        <w:rPr>
          <w:i/>
          <w:lang w:val="es-MX"/>
        </w:rPr>
        <w:t xml:space="preserve"> y </w:t>
      </w:r>
      <w:proofErr w:type="spellStart"/>
      <w:r w:rsidRPr="009E6ED2">
        <w:rPr>
          <w:i/>
          <w:lang w:val="es-MX"/>
        </w:rPr>
        <w:t>Roire</w:t>
      </w:r>
      <w:proofErr w:type="spellEnd"/>
      <w:r w:rsidRPr="009E6ED2">
        <w:rPr>
          <w:i/>
          <w:lang w:val="es-MX"/>
        </w:rPr>
        <w:t xml:space="preserve"> vs. Francia </w:t>
      </w:r>
      <w:r w:rsidRPr="009E6ED2">
        <w:rPr>
          <w:lang w:val="es-MX"/>
        </w:rPr>
        <w:t xml:space="preserve">[GS], No. 29183/95. Sentencia de 21 de enero de 1999. Párr. 50 y </w:t>
      </w:r>
      <w:r w:rsidRPr="004868B2">
        <w:rPr>
          <w:lang w:val="es-MX"/>
        </w:rPr>
        <w:t>TEDH</w:t>
      </w:r>
      <w:r w:rsidRPr="009E6ED2">
        <w:rPr>
          <w:i/>
          <w:lang w:val="es-MX"/>
        </w:rPr>
        <w:t xml:space="preserve">, Caso </w:t>
      </w:r>
      <w:proofErr w:type="spellStart"/>
      <w:r w:rsidRPr="009E6ED2">
        <w:rPr>
          <w:i/>
          <w:lang w:val="es-MX"/>
        </w:rPr>
        <w:t>Boldea</w:t>
      </w:r>
      <w:proofErr w:type="spellEnd"/>
      <w:r w:rsidRPr="009E6ED2">
        <w:rPr>
          <w:i/>
          <w:lang w:val="es-MX"/>
        </w:rPr>
        <w:t xml:space="preserve"> vs. Rumanía,</w:t>
      </w:r>
      <w:r w:rsidRPr="009E6ED2">
        <w:rPr>
          <w:lang w:val="es-MX"/>
        </w:rPr>
        <w:t xml:space="preserve"> No. 19997/62. Sentencia de 15 de febrero de 2007. </w:t>
      </w:r>
      <w:r>
        <w:rPr>
          <w:lang w:val="es-MX"/>
        </w:rPr>
        <w:t>p</w:t>
      </w:r>
      <w:r w:rsidRPr="009E6ED2">
        <w:rPr>
          <w:lang w:val="es-MX"/>
        </w:rPr>
        <w:t>árr. 57).</w:t>
      </w:r>
    </w:p>
  </w:footnote>
  <w:footnote w:id="146">
    <w:p w14:paraId="4A0441E3" w14:textId="34D645C5"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Cfr. Caso Baena Ricardo y otros Vs. Panamá</w:t>
      </w:r>
      <w:r w:rsidRPr="009E6ED2">
        <w:rPr>
          <w:lang w:val="es-MX"/>
        </w:rPr>
        <w:t xml:space="preserve">. Fondo, Reparaciones y Costas. Sentencia de 2 de febrero de 2001. Serie C No. 72, párr. 166; </w:t>
      </w:r>
      <w:r w:rsidRPr="009E6ED2">
        <w:rPr>
          <w:spacing w:val="-2"/>
          <w:lang w:val="es-MX"/>
        </w:rPr>
        <w:t>A</w:t>
      </w:r>
      <w:r w:rsidRPr="009E6ED2">
        <w:rPr>
          <w:lang w:val="es-MX"/>
        </w:rPr>
        <w:t xml:space="preserve">rtículos 3 y 4 de la Carta Democrática Interamericana, </w:t>
      </w:r>
      <w:r w:rsidRPr="009E6ED2">
        <w:rPr>
          <w:i/>
          <w:lang w:val="es-MX"/>
        </w:rPr>
        <w:t>supra</w:t>
      </w:r>
      <w:r w:rsidRPr="009E6ED2">
        <w:rPr>
          <w:lang w:val="es-MX"/>
        </w:rPr>
        <w:t>.</w:t>
      </w:r>
    </w:p>
  </w:footnote>
  <w:footnote w:id="147">
    <w:p w14:paraId="30C796ED" w14:textId="7956DBFD"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 xml:space="preserve">Cfr. </w:t>
      </w:r>
      <w:r w:rsidRPr="004868B2">
        <w:rPr>
          <w:lang w:val="es-MX"/>
        </w:rPr>
        <w:t>TEDH</w:t>
      </w:r>
      <w:r>
        <w:rPr>
          <w:i/>
          <w:lang w:val="es-MX"/>
        </w:rPr>
        <w:t>.</w:t>
      </w:r>
      <w:r w:rsidRPr="009E6ED2">
        <w:rPr>
          <w:i/>
          <w:lang w:val="es-MX"/>
        </w:rPr>
        <w:t xml:space="preserve"> Caso Palomo Sánchez y otros Vs. España </w:t>
      </w:r>
      <w:r w:rsidRPr="009E6ED2">
        <w:rPr>
          <w:lang w:val="es-MX"/>
        </w:rPr>
        <w:t xml:space="preserve">[GS], </w:t>
      </w:r>
      <w:r w:rsidRPr="009E6ED2">
        <w:rPr>
          <w:i/>
          <w:lang w:val="es-MX"/>
        </w:rPr>
        <w:t>supra</w:t>
      </w:r>
      <w:r w:rsidRPr="009E6ED2">
        <w:rPr>
          <w:lang w:val="es-MX"/>
        </w:rPr>
        <w:t xml:space="preserve">, </w:t>
      </w:r>
      <w:proofErr w:type="spellStart"/>
      <w:r w:rsidRPr="009E6ED2">
        <w:rPr>
          <w:lang w:val="es-MX"/>
        </w:rPr>
        <w:t>párrs</w:t>
      </w:r>
      <w:proofErr w:type="spellEnd"/>
      <w:r w:rsidRPr="009E6ED2">
        <w:rPr>
          <w:lang w:val="es-MX"/>
        </w:rPr>
        <w:t xml:space="preserve">. 56 y 61. En </w:t>
      </w:r>
      <w:r w:rsidRPr="009E6ED2">
        <w:rPr>
          <w:i/>
          <w:lang w:val="es-MX"/>
        </w:rPr>
        <w:t>Palomo Sánchez y otros vs. España</w:t>
      </w:r>
      <w:r w:rsidRPr="009E6ED2">
        <w:rPr>
          <w:lang w:val="es-MX"/>
        </w:rPr>
        <w:t xml:space="preserve"> determinó que la protección a las opiniones personales de los miembros del comité ejecutivo de un sindicato se encuentra protegido por el derecho a la libertad de asociación, de forma tal que “los miembros de un sindicato deben poder expresar ante el empresario sus reivindicaciones tendientes a mejorar la situación de los trabajadores en la empresa”.</w:t>
      </w:r>
    </w:p>
  </w:footnote>
  <w:footnote w:id="148">
    <w:p w14:paraId="779A129C" w14:textId="14426A6E" w:rsidR="00D86616" w:rsidRPr="009E6ED2" w:rsidRDefault="00D86616" w:rsidP="006A2D03">
      <w:pPr>
        <w:pStyle w:val="FootnoteText"/>
        <w:spacing w:after="0"/>
        <w:rPr>
          <w:lang w:val="es-MX"/>
        </w:rPr>
      </w:pPr>
      <w:r w:rsidRPr="004C3F47">
        <w:rPr>
          <w:rStyle w:val="FootnoteReference"/>
          <w:sz w:val="16"/>
        </w:rPr>
        <w:footnoteRef/>
      </w:r>
      <w:r w:rsidRPr="00333304">
        <w:rPr>
          <w:lang w:val="pt-BR"/>
        </w:rPr>
        <w:t xml:space="preserve"> </w:t>
      </w:r>
      <w:r w:rsidRPr="00333304">
        <w:rPr>
          <w:lang w:val="pt-BR"/>
        </w:rPr>
        <w:tab/>
      </w:r>
      <w:r w:rsidRPr="004868B2">
        <w:rPr>
          <w:lang w:val="pt-BR"/>
        </w:rPr>
        <w:t>TEDH</w:t>
      </w:r>
      <w:r w:rsidRPr="0044733E">
        <w:rPr>
          <w:i/>
          <w:lang w:val="pt-BR"/>
        </w:rPr>
        <w:t xml:space="preserve">. Caso Palomo Sánchez Vs. </w:t>
      </w:r>
      <w:r w:rsidRPr="0044733E">
        <w:rPr>
          <w:i/>
          <w:lang w:val="es-MX"/>
        </w:rPr>
        <w:t>España; Caso Fuentes Bobo Vs. España</w:t>
      </w:r>
      <w:r w:rsidRPr="009E6ED2">
        <w:rPr>
          <w:lang w:val="es-MX"/>
        </w:rPr>
        <w:t xml:space="preserve">, No. 39293/98. Sentencia de 29 de febrero de 2000. </w:t>
      </w:r>
    </w:p>
  </w:footnote>
  <w:footnote w:id="149">
    <w:p w14:paraId="7DA4D3AA" w14:textId="512CDAF1" w:rsidR="00D86616" w:rsidRPr="009E6ED2" w:rsidRDefault="00D86616" w:rsidP="006A2D03">
      <w:pPr>
        <w:pStyle w:val="FootnoteText"/>
        <w:spacing w:after="0"/>
        <w:rPr>
          <w:b/>
          <w:lang w:val="es-MX"/>
        </w:rPr>
      </w:pPr>
      <w:r w:rsidRPr="004C3F47">
        <w:rPr>
          <w:rStyle w:val="FootnoteReference"/>
          <w:sz w:val="16"/>
        </w:rPr>
        <w:footnoteRef/>
      </w:r>
      <w:r w:rsidRPr="009E6ED2">
        <w:rPr>
          <w:lang w:val="es-MX"/>
        </w:rPr>
        <w:t xml:space="preserve"> </w:t>
      </w:r>
      <w:r w:rsidRPr="009E6ED2">
        <w:rPr>
          <w:lang w:val="es-MX"/>
        </w:rPr>
        <w:tab/>
      </w:r>
      <w:r w:rsidRPr="004868B2">
        <w:rPr>
          <w:lang w:val="es-MX"/>
        </w:rPr>
        <w:t>TEDH</w:t>
      </w:r>
      <w:r>
        <w:rPr>
          <w:i/>
          <w:lang w:val="es-MX"/>
        </w:rPr>
        <w:t>.</w:t>
      </w:r>
      <w:r w:rsidRPr="009E6ED2">
        <w:rPr>
          <w:i/>
          <w:lang w:val="es-MX"/>
        </w:rPr>
        <w:t xml:space="preserve"> Caso Palomo Sánchez y otros Vs. España [GS], supra,</w:t>
      </w:r>
      <w:r w:rsidRPr="009E6ED2">
        <w:rPr>
          <w:lang w:val="es-MX"/>
        </w:rPr>
        <w:t xml:space="preserve"> párr. 72, y TEDH, </w:t>
      </w:r>
      <w:r w:rsidRPr="009E6ED2">
        <w:rPr>
          <w:i/>
          <w:lang w:val="es-MX"/>
        </w:rPr>
        <w:t xml:space="preserve">Caso Fuentes Bobo Vs. España, supra, </w:t>
      </w:r>
      <w:r w:rsidRPr="009E6ED2">
        <w:rPr>
          <w:lang w:val="es-MX"/>
        </w:rPr>
        <w:t>párr.40. Al respecto: El Tribunal, si bien reconoce que las expresiones utilizadas fueron ofensivas, concluye que se produjeron en un contexto de “largo debate público que concierne a cuestiones de interés público relativas a la gestión de la televisión pública”.</w:t>
      </w:r>
      <w:r w:rsidRPr="009E6ED2">
        <w:rPr>
          <w:b/>
          <w:lang w:val="es-MX"/>
        </w:rPr>
        <w:t xml:space="preserve"> </w:t>
      </w:r>
    </w:p>
  </w:footnote>
  <w:footnote w:id="150">
    <w:p w14:paraId="70BCD5D6" w14:textId="6D494CF1" w:rsidR="00D86616" w:rsidRPr="009E6ED2" w:rsidRDefault="00D86616" w:rsidP="006A2D03">
      <w:pPr>
        <w:pStyle w:val="FootnoteText"/>
        <w:spacing w:after="0"/>
        <w:rPr>
          <w:lang w:val="es-MX"/>
        </w:rPr>
      </w:pPr>
      <w:r w:rsidRPr="004C3F47">
        <w:rPr>
          <w:rStyle w:val="FootnoteReference"/>
          <w:spacing w:val="-4"/>
          <w:sz w:val="16"/>
        </w:rPr>
        <w:footnoteRef/>
      </w:r>
      <w:r w:rsidRPr="009E6ED2">
        <w:rPr>
          <w:lang w:val="es-MX"/>
        </w:rPr>
        <w:t xml:space="preserve"> </w:t>
      </w:r>
      <w:r w:rsidRPr="009E6ED2">
        <w:rPr>
          <w:lang w:val="es-MX"/>
        </w:rPr>
        <w:tab/>
      </w:r>
      <w:r w:rsidRPr="0044733E">
        <w:rPr>
          <w:i/>
          <w:lang w:val="es-MX"/>
        </w:rPr>
        <w:t xml:space="preserve">Cfr. La Colegiación Obligatoria de Periodistas OC-5/85, </w:t>
      </w:r>
      <w:r w:rsidRPr="0044733E">
        <w:rPr>
          <w:rStyle w:val="Strong"/>
          <w:b w:val="0"/>
          <w:i/>
          <w:color w:val="000000"/>
          <w:shd w:val="clear" w:color="auto" w:fill="FFFFFF"/>
          <w:lang w:val="es-CR"/>
        </w:rPr>
        <w:t>supra</w:t>
      </w:r>
      <w:r w:rsidRPr="004C3F47">
        <w:rPr>
          <w:rStyle w:val="Strong"/>
          <w:b w:val="0"/>
          <w:color w:val="000000"/>
          <w:shd w:val="clear" w:color="auto" w:fill="FFFFFF"/>
          <w:lang w:val="es-CR"/>
        </w:rPr>
        <w:t>, párr. 70</w:t>
      </w:r>
      <w:r w:rsidRPr="009E6ED2">
        <w:rPr>
          <w:lang w:val="es-MX"/>
        </w:rPr>
        <w:t>, y</w:t>
      </w:r>
      <w:r w:rsidRPr="004C3F47">
        <w:rPr>
          <w:rStyle w:val="apple-converted-space"/>
          <w:bCs/>
          <w:color w:val="000000"/>
          <w:shd w:val="clear" w:color="auto" w:fill="FFFFFF"/>
          <w:lang w:val="es-CR"/>
        </w:rPr>
        <w:t> </w:t>
      </w:r>
      <w:r w:rsidRPr="0044733E">
        <w:rPr>
          <w:rStyle w:val="Strong"/>
          <w:b w:val="0"/>
          <w:i/>
          <w:color w:val="000000"/>
          <w:shd w:val="clear" w:color="auto" w:fill="FFFFFF"/>
          <w:lang w:val="es-CR"/>
        </w:rPr>
        <w:t xml:space="preserve">Caso </w:t>
      </w:r>
      <w:proofErr w:type="spellStart"/>
      <w:r w:rsidRPr="0044733E">
        <w:rPr>
          <w:rStyle w:val="Strong"/>
          <w:b w:val="0"/>
          <w:i/>
          <w:color w:val="000000"/>
          <w:shd w:val="clear" w:color="auto" w:fill="FFFFFF"/>
          <w:lang w:val="es-CR"/>
        </w:rPr>
        <w:t>Granier</w:t>
      </w:r>
      <w:proofErr w:type="spellEnd"/>
      <w:r w:rsidRPr="0044733E">
        <w:rPr>
          <w:rStyle w:val="Strong"/>
          <w:b w:val="0"/>
          <w:i/>
          <w:color w:val="000000"/>
          <w:shd w:val="clear" w:color="auto" w:fill="FFFFFF"/>
          <w:lang w:val="es-CR"/>
        </w:rPr>
        <w:t xml:space="preserve"> y otros (Radio Caracas Televisión) Vs. Venezuela. supra</w:t>
      </w:r>
      <w:r w:rsidRPr="004C3F47">
        <w:rPr>
          <w:rStyle w:val="Strong"/>
          <w:b w:val="0"/>
          <w:color w:val="000000"/>
          <w:shd w:val="clear" w:color="auto" w:fill="FFFFFF"/>
          <w:lang w:val="es-CR"/>
        </w:rPr>
        <w:t>, párr. 140.</w:t>
      </w:r>
    </w:p>
  </w:footnote>
  <w:footnote w:id="151">
    <w:p w14:paraId="17646995" w14:textId="5DD7604F" w:rsidR="00D86616" w:rsidRPr="00801513" w:rsidRDefault="00D86616" w:rsidP="006A2D03">
      <w:pPr>
        <w:pStyle w:val="FootnoteText"/>
        <w:spacing w:after="0"/>
        <w:rPr>
          <w:spacing w:val="-4"/>
          <w:lang w:val="es-MX"/>
        </w:rPr>
      </w:pPr>
      <w:r w:rsidRPr="004C3F47">
        <w:rPr>
          <w:rStyle w:val="FootnoteReference"/>
          <w:spacing w:val="-4"/>
          <w:sz w:val="16"/>
        </w:rPr>
        <w:footnoteRef/>
      </w:r>
      <w:r w:rsidRPr="00801513">
        <w:rPr>
          <w:spacing w:val="-4"/>
          <w:lang w:val="es-MX"/>
        </w:rPr>
        <w:t xml:space="preserve"> </w:t>
      </w:r>
      <w:r w:rsidRPr="00801513">
        <w:rPr>
          <w:spacing w:val="-4"/>
          <w:lang w:val="es-MX"/>
        </w:rPr>
        <w:tab/>
      </w:r>
      <w:r w:rsidRPr="0044733E">
        <w:rPr>
          <w:i/>
          <w:spacing w:val="-4"/>
          <w:lang w:val="es-MX"/>
        </w:rPr>
        <w:t>Cfr. Caso “La Última Tentación de Cristo” Vs. Chile</w:t>
      </w:r>
      <w:r w:rsidRPr="000E40FD">
        <w:rPr>
          <w:spacing w:val="-4"/>
          <w:lang w:val="es-MX"/>
        </w:rPr>
        <w:t xml:space="preserve">. </w:t>
      </w:r>
      <w:r w:rsidRPr="000E40FD">
        <w:rPr>
          <w:rStyle w:val="Strong"/>
          <w:b w:val="0"/>
          <w:i/>
          <w:color w:val="000000"/>
          <w:shd w:val="clear" w:color="auto" w:fill="FFFFFF"/>
          <w:lang w:val="es-CR"/>
        </w:rPr>
        <w:t>supra,</w:t>
      </w:r>
      <w:r w:rsidRPr="004C3F47">
        <w:rPr>
          <w:rStyle w:val="Strong"/>
          <w:b w:val="0"/>
          <w:color w:val="000000"/>
          <w:shd w:val="clear" w:color="auto" w:fill="FFFFFF"/>
          <w:lang w:val="es-CR"/>
        </w:rPr>
        <w:t xml:space="preserve"> </w:t>
      </w:r>
      <w:r w:rsidRPr="00801513">
        <w:rPr>
          <w:spacing w:val="-4"/>
          <w:lang w:val="es-MX"/>
        </w:rPr>
        <w:t xml:space="preserve">párr. 69, </w:t>
      </w:r>
      <w:r w:rsidRPr="00341FCF">
        <w:rPr>
          <w:spacing w:val="-4"/>
          <w:lang w:val="es-MX"/>
        </w:rPr>
        <w:t xml:space="preserve">y </w:t>
      </w:r>
      <w:r w:rsidRPr="00333304">
        <w:rPr>
          <w:rStyle w:val="Strong"/>
          <w:b w:val="0"/>
          <w:i/>
          <w:color w:val="000000"/>
          <w:shd w:val="clear" w:color="auto" w:fill="FFFFFF"/>
          <w:lang w:val="es-CR"/>
        </w:rPr>
        <w:t xml:space="preserve">Caso </w:t>
      </w:r>
      <w:proofErr w:type="spellStart"/>
      <w:r w:rsidRPr="00333304">
        <w:rPr>
          <w:rStyle w:val="Strong"/>
          <w:b w:val="0"/>
          <w:i/>
          <w:color w:val="000000"/>
          <w:shd w:val="clear" w:color="auto" w:fill="FFFFFF"/>
          <w:lang w:val="es-CR"/>
        </w:rPr>
        <w:t>Granier</w:t>
      </w:r>
      <w:proofErr w:type="spellEnd"/>
      <w:r w:rsidRPr="00333304">
        <w:rPr>
          <w:rStyle w:val="Strong"/>
          <w:b w:val="0"/>
          <w:i/>
          <w:color w:val="000000"/>
          <w:shd w:val="clear" w:color="auto" w:fill="FFFFFF"/>
          <w:lang w:val="es-CR"/>
        </w:rPr>
        <w:t xml:space="preserve"> y otros (Radio Caracas Televisión) Vs. Venezuela</w:t>
      </w:r>
      <w:r w:rsidRPr="004C3F47">
        <w:rPr>
          <w:rStyle w:val="Strong"/>
          <w:b w:val="0"/>
          <w:color w:val="000000"/>
          <w:shd w:val="clear" w:color="auto" w:fill="FFFFFF"/>
          <w:lang w:val="es-CR"/>
        </w:rPr>
        <w:t xml:space="preserve">, </w:t>
      </w:r>
      <w:r w:rsidRPr="002F31BD">
        <w:rPr>
          <w:rStyle w:val="Strong"/>
          <w:b w:val="0"/>
          <w:i/>
          <w:color w:val="000000"/>
          <w:shd w:val="clear" w:color="auto" w:fill="FFFFFF"/>
          <w:lang w:val="es-CR"/>
        </w:rPr>
        <w:t>supra</w:t>
      </w:r>
      <w:r w:rsidRPr="004C3F47">
        <w:rPr>
          <w:rStyle w:val="Strong"/>
          <w:b w:val="0"/>
          <w:color w:val="000000"/>
          <w:shd w:val="clear" w:color="auto" w:fill="FFFFFF"/>
          <w:lang w:val="es-CR"/>
        </w:rPr>
        <w:t>, párr. 140.</w:t>
      </w:r>
    </w:p>
  </w:footnote>
  <w:footnote w:id="152">
    <w:p w14:paraId="02332FC1" w14:textId="40D84351" w:rsidR="00D86616" w:rsidRPr="004C3F47" w:rsidRDefault="00D86616" w:rsidP="006A2D03">
      <w:pPr>
        <w:tabs>
          <w:tab w:val="left" w:pos="567"/>
        </w:tabs>
        <w:jc w:val="both"/>
        <w:rPr>
          <w:rFonts w:ascii="Verdana" w:hAnsi="Verdana"/>
          <w:i/>
          <w:sz w:val="16"/>
          <w:szCs w:val="16"/>
        </w:rPr>
      </w:pPr>
      <w:r w:rsidRPr="004C3F47">
        <w:rPr>
          <w:rStyle w:val="FootnoteReference"/>
          <w:rFonts w:cs="Arial"/>
          <w:sz w:val="16"/>
          <w:szCs w:val="16"/>
        </w:rPr>
        <w:footnoteRef/>
      </w:r>
      <w:r w:rsidRPr="004C3F47">
        <w:rPr>
          <w:rFonts w:ascii="Verdana" w:hAnsi="Verdana" w:cs="Arial"/>
          <w:sz w:val="16"/>
          <w:szCs w:val="16"/>
        </w:rPr>
        <w:t xml:space="preserve"> </w:t>
      </w:r>
      <w:r w:rsidRPr="004C3F47">
        <w:rPr>
          <w:rFonts w:ascii="Verdana" w:hAnsi="Verdana" w:cs="Arial"/>
          <w:sz w:val="16"/>
          <w:szCs w:val="16"/>
        </w:rPr>
        <w:tab/>
      </w:r>
      <w:r w:rsidRPr="00F77B70">
        <w:rPr>
          <w:rFonts w:ascii="Verdana" w:hAnsi="Verdana" w:cs="Arial"/>
          <w:i/>
          <w:sz w:val="16"/>
          <w:szCs w:val="16"/>
        </w:rPr>
        <w:t>Cfr.</w:t>
      </w:r>
      <w:r w:rsidRPr="004C3F47">
        <w:rPr>
          <w:rFonts w:ascii="Verdana" w:hAnsi="Verdana" w:cs="Arial"/>
          <w:i/>
          <w:sz w:val="16"/>
          <w:szCs w:val="16"/>
        </w:rPr>
        <w:t xml:space="preserve"> Caso La Última Tentación de Vs. Chile, </w:t>
      </w:r>
      <w:r w:rsidRPr="002F31BD">
        <w:rPr>
          <w:rFonts w:ascii="Verdana" w:hAnsi="Verdana" w:cs="Arial"/>
          <w:i/>
          <w:sz w:val="16"/>
          <w:szCs w:val="16"/>
        </w:rPr>
        <w:t>supra</w:t>
      </w:r>
      <w:r w:rsidRPr="004C3F47">
        <w:rPr>
          <w:rFonts w:ascii="Verdana" w:hAnsi="Verdana" w:cs="Arial"/>
          <w:i/>
          <w:sz w:val="16"/>
          <w:szCs w:val="16"/>
        </w:rPr>
        <w:t xml:space="preserve">, </w:t>
      </w:r>
      <w:r w:rsidRPr="004C3F47">
        <w:rPr>
          <w:rFonts w:ascii="Verdana" w:hAnsi="Verdana"/>
          <w:sz w:val="16"/>
          <w:szCs w:val="16"/>
        </w:rPr>
        <w:t>párr.</w:t>
      </w:r>
      <w:r w:rsidRPr="004C3F47">
        <w:rPr>
          <w:rFonts w:ascii="Verdana" w:hAnsi="Verdana" w:cs="Arial"/>
          <w:sz w:val="16"/>
          <w:szCs w:val="16"/>
        </w:rPr>
        <w:t xml:space="preserve"> 69</w:t>
      </w:r>
      <w:r>
        <w:rPr>
          <w:rFonts w:ascii="Verdana" w:hAnsi="Verdana" w:cs="Arial"/>
          <w:sz w:val="16"/>
          <w:szCs w:val="16"/>
        </w:rPr>
        <w:t xml:space="preserve">, y </w:t>
      </w:r>
      <w:r w:rsidRPr="00333304">
        <w:rPr>
          <w:rFonts w:ascii="Verdana" w:hAnsi="Verdana" w:cs="Arial"/>
          <w:i/>
          <w:sz w:val="16"/>
          <w:szCs w:val="16"/>
        </w:rPr>
        <w:t xml:space="preserve">Caso </w:t>
      </w:r>
      <w:proofErr w:type="spellStart"/>
      <w:r w:rsidRPr="00333304">
        <w:rPr>
          <w:rFonts w:ascii="Verdana" w:hAnsi="Verdana" w:cs="Arial"/>
          <w:i/>
          <w:sz w:val="16"/>
          <w:szCs w:val="16"/>
        </w:rPr>
        <w:t>Kimel</w:t>
      </w:r>
      <w:proofErr w:type="spellEnd"/>
      <w:r w:rsidRPr="00333304">
        <w:rPr>
          <w:rFonts w:ascii="Verdana" w:hAnsi="Verdana" w:cs="Arial"/>
          <w:i/>
          <w:sz w:val="16"/>
          <w:szCs w:val="16"/>
        </w:rPr>
        <w:t xml:space="preserve"> Vs. Argentina</w:t>
      </w:r>
      <w:r>
        <w:rPr>
          <w:rFonts w:ascii="Verdana" w:hAnsi="Verdana" w:cs="Arial"/>
          <w:sz w:val="16"/>
          <w:szCs w:val="16"/>
        </w:rPr>
        <w:t xml:space="preserve">, </w:t>
      </w:r>
      <w:r w:rsidRPr="002F31BD">
        <w:rPr>
          <w:rFonts w:ascii="Verdana" w:hAnsi="Verdana" w:cs="Arial"/>
          <w:i/>
          <w:sz w:val="16"/>
          <w:szCs w:val="16"/>
        </w:rPr>
        <w:t>supra</w:t>
      </w:r>
      <w:r>
        <w:rPr>
          <w:rFonts w:ascii="Verdana" w:hAnsi="Verdana" w:cs="Arial"/>
          <w:sz w:val="16"/>
          <w:szCs w:val="16"/>
        </w:rPr>
        <w:t xml:space="preserve">, párr. 88; </w:t>
      </w:r>
      <w:r w:rsidRPr="004868B2">
        <w:rPr>
          <w:rFonts w:ascii="Verdana" w:hAnsi="Verdana"/>
          <w:sz w:val="16"/>
          <w:szCs w:val="16"/>
        </w:rPr>
        <w:t>TEDH</w:t>
      </w:r>
      <w:r w:rsidRPr="00333304">
        <w:rPr>
          <w:rFonts w:ascii="Verdana" w:hAnsi="Verdana"/>
          <w:i/>
          <w:sz w:val="16"/>
          <w:szCs w:val="16"/>
        </w:rPr>
        <w:t xml:space="preserve">, Caso Palomo Sánchez y Otros </w:t>
      </w:r>
      <w:r w:rsidRPr="001A7BD5">
        <w:rPr>
          <w:rFonts w:ascii="Verdana" w:hAnsi="Verdana"/>
          <w:i/>
          <w:sz w:val="16"/>
          <w:szCs w:val="16"/>
        </w:rPr>
        <w:t>Vs.</w:t>
      </w:r>
      <w:r w:rsidRPr="00333304">
        <w:rPr>
          <w:rFonts w:ascii="Verdana" w:hAnsi="Verdana"/>
          <w:i/>
          <w:sz w:val="16"/>
          <w:szCs w:val="16"/>
        </w:rPr>
        <w:t xml:space="preserve"> España</w:t>
      </w:r>
      <w:r w:rsidRPr="004C3F47">
        <w:rPr>
          <w:rFonts w:ascii="Verdana" w:hAnsi="Verdana"/>
          <w:sz w:val="16"/>
          <w:szCs w:val="16"/>
        </w:rPr>
        <w:t xml:space="preserve"> [GS], </w:t>
      </w:r>
      <w:r w:rsidRPr="002F31BD">
        <w:rPr>
          <w:rFonts w:ascii="Verdana" w:hAnsi="Verdana"/>
          <w:i/>
          <w:sz w:val="16"/>
          <w:szCs w:val="16"/>
        </w:rPr>
        <w:t>supra</w:t>
      </w:r>
      <w:r w:rsidRPr="004C3F47">
        <w:rPr>
          <w:rFonts w:ascii="Verdana" w:hAnsi="Verdana"/>
          <w:sz w:val="16"/>
          <w:szCs w:val="16"/>
        </w:rPr>
        <w:t>, párr. 53</w:t>
      </w:r>
      <w:r>
        <w:rPr>
          <w:rFonts w:ascii="Verdana" w:hAnsi="Verdana"/>
          <w:sz w:val="16"/>
          <w:szCs w:val="16"/>
        </w:rPr>
        <w:t xml:space="preserve"> a </w:t>
      </w:r>
      <w:r w:rsidRPr="004C3F47">
        <w:rPr>
          <w:rFonts w:ascii="Verdana" w:hAnsi="Verdana"/>
          <w:sz w:val="16"/>
          <w:szCs w:val="16"/>
        </w:rPr>
        <w:t xml:space="preserve">62. </w:t>
      </w:r>
    </w:p>
  </w:footnote>
  <w:footnote w:id="153">
    <w:p w14:paraId="00BBC28E" w14:textId="5DE3D81A"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44733E">
        <w:rPr>
          <w:i/>
          <w:lang w:val="es-MX"/>
        </w:rPr>
        <w:t xml:space="preserve">Caso </w:t>
      </w:r>
      <w:proofErr w:type="spellStart"/>
      <w:r w:rsidRPr="0044733E">
        <w:rPr>
          <w:i/>
          <w:lang w:val="es-MX"/>
        </w:rPr>
        <w:t>Kimel</w:t>
      </w:r>
      <w:proofErr w:type="spellEnd"/>
      <w:r w:rsidRPr="0044733E">
        <w:rPr>
          <w:i/>
          <w:lang w:val="es-MX"/>
        </w:rPr>
        <w:t xml:space="preserve"> Vs. Argentina, supra</w:t>
      </w:r>
      <w:r w:rsidRPr="009E6ED2">
        <w:rPr>
          <w:lang w:val="es-MX"/>
        </w:rPr>
        <w:t xml:space="preserve">, párr. 88. </w:t>
      </w:r>
    </w:p>
  </w:footnote>
  <w:footnote w:id="154">
    <w:p w14:paraId="3E2360FC" w14:textId="439B4641"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44733E">
        <w:rPr>
          <w:i/>
          <w:lang w:val="es-MX"/>
        </w:rPr>
        <w:t>Caso Palomo Sánchez y Otros Vs. España [GS], supra</w:t>
      </w:r>
      <w:r w:rsidRPr="009E6ED2">
        <w:rPr>
          <w:lang w:val="es-MX"/>
        </w:rPr>
        <w:t xml:space="preserve">, párr. 42. y TEDH. </w:t>
      </w:r>
      <w:r w:rsidRPr="0044733E">
        <w:rPr>
          <w:i/>
          <w:lang w:val="es-MX"/>
        </w:rPr>
        <w:t xml:space="preserve">Caso </w:t>
      </w:r>
      <w:proofErr w:type="spellStart"/>
      <w:r w:rsidRPr="0044733E">
        <w:rPr>
          <w:i/>
          <w:lang w:val="es-MX"/>
        </w:rPr>
        <w:t>Nikula</w:t>
      </w:r>
      <w:proofErr w:type="spellEnd"/>
      <w:r w:rsidRPr="0044733E">
        <w:rPr>
          <w:i/>
          <w:lang w:val="es-MX"/>
        </w:rPr>
        <w:t xml:space="preserve"> Vs. Finlandia,</w:t>
      </w:r>
      <w:r w:rsidRPr="009E6ED2">
        <w:rPr>
          <w:lang w:val="es-MX"/>
        </w:rPr>
        <w:t xml:space="preserve"> No. 31611/96. Sentencia de 21 de marzo de 2002. </w:t>
      </w:r>
      <w:r>
        <w:rPr>
          <w:lang w:val="es-MX"/>
        </w:rPr>
        <w:t>p</w:t>
      </w:r>
      <w:r w:rsidRPr="009E6ED2">
        <w:rPr>
          <w:lang w:val="es-MX"/>
        </w:rPr>
        <w:t xml:space="preserve">árr. 48 </w:t>
      </w:r>
    </w:p>
  </w:footnote>
  <w:footnote w:id="155">
    <w:p w14:paraId="6E4C7223" w14:textId="2AB67616"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 xml:space="preserve">Mutatis </w:t>
      </w:r>
      <w:proofErr w:type="spellStart"/>
      <w:r w:rsidRPr="009E6ED2">
        <w:rPr>
          <w:i/>
          <w:lang w:val="es-MX"/>
        </w:rPr>
        <w:t>mutandi</w:t>
      </w:r>
      <w:proofErr w:type="spellEnd"/>
      <w:r w:rsidRPr="009E6ED2">
        <w:rPr>
          <w:lang w:val="es-MX"/>
        </w:rPr>
        <w:t xml:space="preserve">: Convenio relativo a la aplicación de los principios del derecho de sindicación y de negociación colectiva, 1949 (No. 98) (Entrada en vigor: 18 julio 1951). Adopción: Ginebra, 32ª reunión CIT (01 julio 1949). </w:t>
      </w:r>
    </w:p>
    <w:p w14:paraId="05C3AA92" w14:textId="77777777" w:rsidR="00D86616" w:rsidRPr="009E6ED2" w:rsidRDefault="00D86616" w:rsidP="006A2D03">
      <w:pPr>
        <w:pStyle w:val="FootnoteText"/>
        <w:spacing w:after="0"/>
        <w:rPr>
          <w:lang w:val="es-MX"/>
        </w:rPr>
      </w:pPr>
      <w:r w:rsidRPr="009E6ED2">
        <w:rPr>
          <w:lang w:val="es-MX"/>
        </w:rPr>
        <w:tab/>
        <w:t>2.1 Las organizaciones de trabajadores y de empleadores deberán gozar de adecuada protección contra todo acto de injerencia de unas respecto de las otras, ya se realice directamente o por medio de sus agentes o miembros, en su constitución, funcionamiento o administración.</w:t>
      </w:r>
    </w:p>
    <w:p w14:paraId="3E734E46" w14:textId="77777777" w:rsidR="00D86616" w:rsidRPr="009E6ED2" w:rsidRDefault="00D86616" w:rsidP="006A2D03">
      <w:pPr>
        <w:pStyle w:val="FootnoteText"/>
        <w:spacing w:after="0"/>
        <w:rPr>
          <w:lang w:val="es-MX"/>
        </w:rPr>
      </w:pPr>
      <w:r w:rsidRPr="009E6ED2">
        <w:rPr>
          <w:lang w:val="es-MX"/>
        </w:rPr>
        <w:tab/>
        <w:t>2.2. Se consideran actos de injerencia, en el sentido del presente artículo, principalmente, las medidas que tiendan a fomentar la constitución de organizaciones de trabajadores dominadas por un empleador o una organización de empleadores, o a sostener económicamente, o en otra forma, organizaciones de trabajadores, con objeto de colocar estas organizaciones bajo el control de un empleador o de una organización de empleadores.</w:t>
      </w:r>
    </w:p>
  </w:footnote>
  <w:footnote w:id="156">
    <w:p w14:paraId="7204C280" w14:textId="36E2FE8F"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4868B2">
        <w:rPr>
          <w:lang w:val="es-MX"/>
        </w:rPr>
        <w:t>TEDH</w:t>
      </w:r>
      <w:r w:rsidRPr="009E6ED2">
        <w:rPr>
          <w:i/>
          <w:lang w:val="es-MX"/>
        </w:rPr>
        <w:t xml:space="preserve">. Caso Fuentes Bobo Vs. España. No. 39293/98. Sentencia de 29 de febrero de 2009. </w:t>
      </w:r>
      <w:r w:rsidRPr="009E6ED2">
        <w:rPr>
          <w:lang w:val="es-MX"/>
        </w:rPr>
        <w:t>párr.40.</w:t>
      </w:r>
      <w:r w:rsidRPr="009E6ED2">
        <w:rPr>
          <w:i/>
          <w:lang w:val="es-MX"/>
        </w:rPr>
        <w:t xml:space="preserve"> Cfr.</w:t>
      </w:r>
      <w:r w:rsidRPr="009E6ED2">
        <w:rPr>
          <w:lang w:val="es-MX"/>
        </w:rPr>
        <w:t xml:space="preserve"> El Tribunal, si bien reconoce que las expresiones utilizadas fueron ofensivas, concluye que se produjeron en un contexto de “largo debate público que concierne a cuestiones de interés general relativas a la gestión de la televisión pública”. </w:t>
      </w:r>
      <w:r w:rsidRPr="009E6ED2">
        <w:rPr>
          <w:lang w:val="es-MX"/>
        </w:rPr>
        <w:tab/>
      </w:r>
      <w:r w:rsidRPr="009E6ED2">
        <w:rPr>
          <w:i/>
          <w:lang w:val="es-MX"/>
        </w:rPr>
        <w:t>Cfr.</w:t>
      </w:r>
      <w:r w:rsidRPr="009E6ED2">
        <w:rPr>
          <w:lang w:val="es-MX"/>
        </w:rPr>
        <w:t xml:space="preserve"> Recomendación sobre los representantes de los trabajadores, 1971 (núm. 143), OIT, Recomendación sobre la protección y facilidades que deben otorgarse a los representantes de los trabajadores en la empresa. Sesión de la Conferencia: 56, fecha de adopción 23 de junio de 1971. Ver también. </w:t>
      </w:r>
      <w:r w:rsidRPr="009E6ED2">
        <w:rPr>
          <w:i/>
          <w:lang w:val="es-MX"/>
        </w:rPr>
        <w:t xml:space="preserve">Mutatis </w:t>
      </w:r>
      <w:proofErr w:type="spellStart"/>
      <w:r w:rsidRPr="009E6ED2">
        <w:rPr>
          <w:i/>
          <w:lang w:val="es-MX"/>
        </w:rPr>
        <w:t>mutandi</w:t>
      </w:r>
      <w:proofErr w:type="spellEnd"/>
      <w:r w:rsidRPr="009E6ED2">
        <w:rPr>
          <w:lang w:val="es-MX"/>
        </w:rPr>
        <w:t>: OIT, “Libertad Sindical y Negociación Colectiva” párrafo 212, p. 104.</w:t>
      </w:r>
    </w:p>
  </w:footnote>
  <w:footnote w:id="157">
    <w:p w14:paraId="5A8F5CEC" w14:textId="3D4C90B6"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7F3588">
        <w:rPr>
          <w:i/>
          <w:lang w:val="es-MX"/>
        </w:rPr>
        <w:t>Cfr.</w:t>
      </w:r>
      <w:r w:rsidRPr="009E6ED2">
        <w:rPr>
          <w:lang w:val="es-MX"/>
        </w:rPr>
        <w:t xml:space="preserve"> La Expresión "Leyes" en el Artículo 30 de la Convención Americana sobre Derechos Humanos. OC-6/86, </w:t>
      </w:r>
      <w:r w:rsidRPr="00844874">
        <w:rPr>
          <w:i/>
          <w:lang w:val="es-MX"/>
        </w:rPr>
        <w:t>supra</w:t>
      </w:r>
      <w:r w:rsidRPr="009E6ED2">
        <w:rPr>
          <w:lang w:val="es-MX"/>
        </w:rPr>
        <w:t xml:space="preserve">, </w:t>
      </w:r>
      <w:proofErr w:type="spellStart"/>
      <w:r w:rsidRPr="009E6ED2">
        <w:rPr>
          <w:lang w:val="es-MX"/>
        </w:rPr>
        <w:t>párrs</w:t>
      </w:r>
      <w:proofErr w:type="spellEnd"/>
      <w:r w:rsidRPr="009E6ED2">
        <w:rPr>
          <w:lang w:val="es-MX"/>
        </w:rPr>
        <w:t xml:space="preserve">. 35 y 37, y </w:t>
      </w:r>
      <w:r w:rsidRPr="00333304">
        <w:rPr>
          <w:rStyle w:val="Strong"/>
          <w:b w:val="0"/>
          <w:i/>
          <w:color w:val="000000"/>
          <w:shd w:val="clear" w:color="auto" w:fill="FFFFFF"/>
          <w:lang w:val="es-CR"/>
        </w:rPr>
        <w:t xml:space="preserve">Caso </w:t>
      </w:r>
      <w:proofErr w:type="spellStart"/>
      <w:r w:rsidRPr="00333304">
        <w:rPr>
          <w:rStyle w:val="Strong"/>
          <w:b w:val="0"/>
          <w:i/>
          <w:color w:val="000000"/>
          <w:shd w:val="clear" w:color="auto" w:fill="FFFFFF"/>
          <w:lang w:val="es-CR"/>
        </w:rPr>
        <w:t>Mémoli</w:t>
      </w:r>
      <w:proofErr w:type="spellEnd"/>
      <w:r w:rsidRPr="00333304">
        <w:rPr>
          <w:rStyle w:val="Strong"/>
          <w:b w:val="0"/>
          <w:i/>
          <w:color w:val="000000"/>
          <w:shd w:val="clear" w:color="auto" w:fill="FFFFFF"/>
          <w:lang w:val="es-CR"/>
        </w:rPr>
        <w:t xml:space="preserve"> Vs. Argentina</w:t>
      </w:r>
      <w:r>
        <w:rPr>
          <w:rStyle w:val="Strong"/>
          <w:b w:val="0"/>
          <w:color w:val="000000"/>
          <w:shd w:val="clear" w:color="auto" w:fill="FFFFFF"/>
          <w:lang w:val="es-CR"/>
        </w:rPr>
        <w:t xml:space="preserve">, </w:t>
      </w:r>
      <w:r w:rsidRPr="002F31BD">
        <w:rPr>
          <w:rStyle w:val="Strong"/>
          <w:b w:val="0"/>
          <w:i/>
          <w:color w:val="000000"/>
          <w:shd w:val="clear" w:color="auto" w:fill="FFFFFF"/>
          <w:lang w:val="es-CR"/>
        </w:rPr>
        <w:t>supra</w:t>
      </w:r>
      <w:r>
        <w:rPr>
          <w:rStyle w:val="Strong"/>
          <w:b w:val="0"/>
          <w:color w:val="000000"/>
          <w:shd w:val="clear" w:color="auto" w:fill="FFFFFF"/>
          <w:lang w:val="es-CR"/>
        </w:rPr>
        <w:t xml:space="preserve">, </w:t>
      </w:r>
      <w:r w:rsidRPr="004C3F47">
        <w:rPr>
          <w:rStyle w:val="Strong"/>
          <w:b w:val="0"/>
          <w:color w:val="000000"/>
          <w:shd w:val="clear" w:color="auto" w:fill="FFFFFF"/>
          <w:lang w:val="es-CR"/>
        </w:rPr>
        <w:t>párr. 130</w:t>
      </w:r>
      <w:r>
        <w:rPr>
          <w:rStyle w:val="Strong"/>
          <w:b w:val="0"/>
          <w:color w:val="000000"/>
          <w:shd w:val="clear" w:color="auto" w:fill="FFFFFF"/>
          <w:lang w:val="es-CR"/>
        </w:rPr>
        <w:t xml:space="preserve">, y </w:t>
      </w:r>
      <w:r w:rsidRPr="00333304">
        <w:rPr>
          <w:rStyle w:val="Strong"/>
          <w:b w:val="0"/>
          <w:i/>
          <w:color w:val="000000"/>
          <w:shd w:val="clear" w:color="auto" w:fill="FFFFFF"/>
          <w:lang w:val="es-CR"/>
        </w:rPr>
        <w:t xml:space="preserve">Caso </w:t>
      </w:r>
      <w:proofErr w:type="spellStart"/>
      <w:r w:rsidRPr="00333304">
        <w:rPr>
          <w:rStyle w:val="Strong"/>
          <w:b w:val="0"/>
          <w:i/>
          <w:color w:val="000000"/>
          <w:shd w:val="clear" w:color="auto" w:fill="FFFFFF"/>
          <w:lang w:val="es-CR"/>
        </w:rPr>
        <w:t>Granier</w:t>
      </w:r>
      <w:proofErr w:type="spellEnd"/>
      <w:r w:rsidRPr="00333304">
        <w:rPr>
          <w:rStyle w:val="Strong"/>
          <w:b w:val="0"/>
          <w:i/>
          <w:color w:val="000000"/>
          <w:shd w:val="clear" w:color="auto" w:fill="FFFFFF"/>
          <w:lang w:val="es-CR"/>
        </w:rPr>
        <w:t xml:space="preserve"> y Otros </w:t>
      </w:r>
      <w:r>
        <w:rPr>
          <w:rStyle w:val="Strong"/>
          <w:b w:val="0"/>
          <w:i/>
          <w:color w:val="000000"/>
          <w:shd w:val="clear" w:color="auto" w:fill="FFFFFF"/>
          <w:lang w:val="es-CR"/>
        </w:rPr>
        <w:t>V</w:t>
      </w:r>
      <w:r w:rsidRPr="00333304">
        <w:rPr>
          <w:rStyle w:val="Strong"/>
          <w:b w:val="0"/>
          <w:i/>
          <w:color w:val="000000"/>
          <w:shd w:val="clear" w:color="auto" w:fill="FFFFFF"/>
          <w:lang w:val="es-CR"/>
        </w:rPr>
        <w:t>s. Venezuela</w:t>
      </w:r>
      <w:r>
        <w:rPr>
          <w:rStyle w:val="Strong"/>
          <w:b w:val="0"/>
          <w:i/>
          <w:color w:val="000000"/>
          <w:shd w:val="clear" w:color="auto" w:fill="FFFFFF"/>
          <w:lang w:val="es-CR"/>
        </w:rPr>
        <w:t xml:space="preserve">, </w:t>
      </w:r>
      <w:r w:rsidRPr="002F31BD">
        <w:rPr>
          <w:rStyle w:val="Strong"/>
          <w:b w:val="0"/>
          <w:i/>
          <w:color w:val="000000"/>
          <w:shd w:val="clear" w:color="auto" w:fill="FFFFFF"/>
          <w:lang w:val="es-CR"/>
        </w:rPr>
        <w:t>supra</w:t>
      </w:r>
      <w:r>
        <w:rPr>
          <w:rStyle w:val="Strong"/>
          <w:b w:val="0"/>
          <w:i/>
          <w:color w:val="000000"/>
          <w:shd w:val="clear" w:color="auto" w:fill="FFFFFF"/>
          <w:lang w:val="es-CR"/>
        </w:rPr>
        <w:t xml:space="preserve">, </w:t>
      </w:r>
      <w:r>
        <w:rPr>
          <w:rStyle w:val="Strong"/>
          <w:b w:val="0"/>
          <w:color w:val="000000"/>
          <w:shd w:val="clear" w:color="auto" w:fill="FFFFFF"/>
          <w:lang w:val="es-CR"/>
        </w:rPr>
        <w:t>párr. 119.</w:t>
      </w:r>
    </w:p>
  </w:footnote>
  <w:footnote w:id="158">
    <w:p w14:paraId="48ECA5E5" w14:textId="040E2437" w:rsidR="00D86616" w:rsidRPr="00801513" w:rsidRDefault="00D86616" w:rsidP="006A2D03">
      <w:pPr>
        <w:pStyle w:val="FootnoteText"/>
        <w:spacing w:after="0"/>
        <w:rPr>
          <w:lang w:val="es-MX"/>
        </w:rPr>
      </w:pPr>
      <w:r w:rsidRPr="004C3F47">
        <w:rPr>
          <w:rStyle w:val="FootnoteReference"/>
          <w:sz w:val="16"/>
        </w:rPr>
        <w:footnoteRef/>
      </w:r>
      <w:r w:rsidRPr="00801513">
        <w:rPr>
          <w:lang w:val="es-MX"/>
        </w:rPr>
        <w:t xml:space="preserve"> </w:t>
      </w:r>
      <w:r w:rsidRPr="00801513">
        <w:rPr>
          <w:lang w:val="es-MX"/>
        </w:rPr>
        <w:tab/>
      </w:r>
      <w:r w:rsidRPr="00F77B70">
        <w:rPr>
          <w:i/>
          <w:lang w:val="es-MX"/>
        </w:rPr>
        <w:t>Cfr.</w:t>
      </w:r>
      <w:r w:rsidRPr="00333304">
        <w:rPr>
          <w:i/>
          <w:lang w:val="es-MX"/>
        </w:rPr>
        <w:t xml:space="preserve"> </w:t>
      </w:r>
      <w:r w:rsidRPr="00333304">
        <w:rPr>
          <w:rStyle w:val="Strong"/>
          <w:b w:val="0"/>
          <w:i/>
          <w:color w:val="000000"/>
          <w:shd w:val="clear" w:color="auto" w:fill="FFFFFF"/>
          <w:lang w:val="es-CR"/>
        </w:rPr>
        <w:t xml:space="preserve">Caso Castillo </w:t>
      </w:r>
      <w:proofErr w:type="spellStart"/>
      <w:r w:rsidRPr="00333304">
        <w:rPr>
          <w:rStyle w:val="Strong"/>
          <w:b w:val="0"/>
          <w:i/>
          <w:color w:val="000000"/>
          <w:shd w:val="clear" w:color="auto" w:fill="FFFFFF"/>
          <w:lang w:val="es-CR"/>
        </w:rPr>
        <w:t>Petruzzi</w:t>
      </w:r>
      <w:proofErr w:type="spellEnd"/>
      <w:r w:rsidRPr="00333304">
        <w:rPr>
          <w:rStyle w:val="Strong"/>
          <w:b w:val="0"/>
          <w:i/>
          <w:color w:val="000000"/>
          <w:shd w:val="clear" w:color="auto" w:fill="FFFFFF"/>
          <w:lang w:val="es-CR"/>
        </w:rPr>
        <w:t xml:space="preserve"> y otros Vs. Perú</w:t>
      </w:r>
      <w:r w:rsidRPr="007F3588">
        <w:rPr>
          <w:rStyle w:val="Strong"/>
          <w:b w:val="0"/>
          <w:i/>
          <w:color w:val="000000"/>
          <w:shd w:val="clear" w:color="auto" w:fill="FFFFFF"/>
          <w:lang w:val="es-CR"/>
        </w:rPr>
        <w:t>. Fondo, Reparaciones y Costas</w:t>
      </w:r>
      <w:r w:rsidRPr="004C3F47">
        <w:rPr>
          <w:rStyle w:val="Strong"/>
          <w:b w:val="0"/>
          <w:color w:val="000000"/>
          <w:shd w:val="clear" w:color="auto" w:fill="FFFFFF"/>
          <w:lang w:val="es-CR"/>
        </w:rPr>
        <w:t>. Sentencia de 30 de mayo de 1999. Serie C No. 52. párr. 121</w:t>
      </w:r>
      <w:r>
        <w:rPr>
          <w:rStyle w:val="Strong"/>
          <w:b w:val="0"/>
          <w:i/>
          <w:color w:val="000000"/>
          <w:shd w:val="clear" w:color="auto" w:fill="FFFFFF"/>
          <w:lang w:val="es-CR"/>
        </w:rPr>
        <w:t>.</w:t>
      </w:r>
      <w:r w:rsidRPr="00333304">
        <w:rPr>
          <w:rStyle w:val="Strong"/>
          <w:b w:val="0"/>
          <w:i/>
          <w:color w:val="000000"/>
          <w:shd w:val="clear" w:color="auto" w:fill="FFFFFF"/>
          <w:lang w:val="es-CR"/>
        </w:rPr>
        <w:t xml:space="preserve"> Caso </w:t>
      </w:r>
      <w:proofErr w:type="spellStart"/>
      <w:r w:rsidRPr="00333304">
        <w:rPr>
          <w:rStyle w:val="Strong"/>
          <w:b w:val="0"/>
          <w:i/>
          <w:color w:val="000000"/>
          <w:shd w:val="clear" w:color="auto" w:fill="FFFFFF"/>
          <w:lang w:val="es-CR"/>
        </w:rPr>
        <w:t>Kimel</w:t>
      </w:r>
      <w:proofErr w:type="spellEnd"/>
      <w:r w:rsidRPr="00333304">
        <w:rPr>
          <w:rStyle w:val="Strong"/>
          <w:b w:val="0"/>
          <w:i/>
          <w:color w:val="000000"/>
          <w:shd w:val="clear" w:color="auto" w:fill="FFFFFF"/>
          <w:lang w:val="es-CR"/>
        </w:rPr>
        <w:t xml:space="preserve"> Vs. Argentina</w:t>
      </w:r>
      <w:r>
        <w:rPr>
          <w:rStyle w:val="Strong"/>
          <w:b w:val="0"/>
          <w:i/>
          <w:color w:val="000000"/>
          <w:shd w:val="clear" w:color="auto" w:fill="FFFFFF"/>
          <w:lang w:val="es-CR"/>
        </w:rPr>
        <w:t>,</w:t>
      </w:r>
      <w:r w:rsidRPr="004C3F47">
        <w:rPr>
          <w:rStyle w:val="Strong"/>
          <w:b w:val="0"/>
          <w:color w:val="000000"/>
          <w:shd w:val="clear" w:color="auto" w:fill="FFFFFF"/>
          <w:lang w:val="es-CR"/>
        </w:rPr>
        <w:t xml:space="preserve"> </w:t>
      </w:r>
      <w:r w:rsidRPr="002F31BD">
        <w:rPr>
          <w:rStyle w:val="Strong"/>
          <w:b w:val="0"/>
          <w:i/>
          <w:color w:val="000000"/>
          <w:shd w:val="clear" w:color="auto" w:fill="FFFFFF"/>
          <w:lang w:val="es-CR"/>
        </w:rPr>
        <w:t>supra</w:t>
      </w:r>
      <w:r>
        <w:rPr>
          <w:rStyle w:val="Strong"/>
          <w:b w:val="0"/>
          <w:color w:val="000000"/>
          <w:shd w:val="clear" w:color="auto" w:fill="FFFFFF"/>
          <w:lang w:val="es-CR"/>
        </w:rPr>
        <w:t>,</w:t>
      </w:r>
      <w:r w:rsidRPr="004C3F47">
        <w:rPr>
          <w:rStyle w:val="Strong"/>
          <w:b w:val="0"/>
          <w:color w:val="000000"/>
          <w:shd w:val="clear" w:color="auto" w:fill="FFFFFF"/>
          <w:lang w:val="es-CR"/>
        </w:rPr>
        <w:t xml:space="preserve"> párr. 63</w:t>
      </w:r>
      <w:r>
        <w:rPr>
          <w:rStyle w:val="Strong"/>
          <w:b w:val="0"/>
          <w:color w:val="000000"/>
          <w:shd w:val="clear" w:color="auto" w:fill="FFFFFF"/>
          <w:lang w:val="es-CR"/>
        </w:rPr>
        <w:t xml:space="preserve">, y </w:t>
      </w:r>
      <w:r w:rsidRPr="00333304">
        <w:rPr>
          <w:rStyle w:val="Strong"/>
          <w:b w:val="0"/>
          <w:i/>
          <w:color w:val="000000"/>
          <w:shd w:val="clear" w:color="auto" w:fill="FFFFFF"/>
          <w:lang w:val="es-CR"/>
        </w:rPr>
        <w:t xml:space="preserve">Caso </w:t>
      </w:r>
      <w:proofErr w:type="spellStart"/>
      <w:r w:rsidRPr="00333304">
        <w:rPr>
          <w:rStyle w:val="Strong"/>
          <w:b w:val="0"/>
          <w:i/>
          <w:color w:val="000000"/>
          <w:shd w:val="clear" w:color="auto" w:fill="FFFFFF"/>
          <w:lang w:val="es-CR"/>
        </w:rPr>
        <w:t>Memolí</w:t>
      </w:r>
      <w:proofErr w:type="spellEnd"/>
      <w:r w:rsidRPr="00333304">
        <w:rPr>
          <w:rStyle w:val="Strong"/>
          <w:b w:val="0"/>
          <w:i/>
          <w:color w:val="000000"/>
          <w:shd w:val="clear" w:color="auto" w:fill="FFFFFF"/>
          <w:lang w:val="es-CR"/>
        </w:rPr>
        <w:t xml:space="preserve"> </w:t>
      </w:r>
      <w:r>
        <w:rPr>
          <w:rStyle w:val="Strong"/>
          <w:b w:val="0"/>
          <w:i/>
          <w:color w:val="000000"/>
          <w:shd w:val="clear" w:color="auto" w:fill="FFFFFF"/>
          <w:lang w:val="es-CR"/>
        </w:rPr>
        <w:t>V</w:t>
      </w:r>
      <w:r w:rsidRPr="00333304">
        <w:rPr>
          <w:rStyle w:val="Strong"/>
          <w:b w:val="0"/>
          <w:i/>
          <w:color w:val="000000"/>
          <w:shd w:val="clear" w:color="auto" w:fill="FFFFFF"/>
          <w:lang w:val="es-CR"/>
        </w:rPr>
        <w:t>s. Argentina</w:t>
      </w:r>
      <w:r>
        <w:rPr>
          <w:rStyle w:val="Strong"/>
          <w:b w:val="0"/>
          <w:i/>
          <w:color w:val="000000"/>
          <w:shd w:val="clear" w:color="auto" w:fill="FFFFFF"/>
          <w:lang w:val="es-CR"/>
        </w:rPr>
        <w:t xml:space="preserve">, </w:t>
      </w:r>
      <w:r w:rsidRPr="002F31BD">
        <w:rPr>
          <w:rStyle w:val="Strong"/>
          <w:b w:val="0"/>
          <w:i/>
          <w:color w:val="000000"/>
          <w:shd w:val="clear" w:color="auto" w:fill="FFFFFF"/>
          <w:lang w:val="es-CR"/>
        </w:rPr>
        <w:t>supra</w:t>
      </w:r>
      <w:r>
        <w:rPr>
          <w:rStyle w:val="Strong"/>
          <w:b w:val="0"/>
          <w:i/>
          <w:color w:val="000000"/>
          <w:shd w:val="clear" w:color="auto" w:fill="FFFFFF"/>
          <w:lang w:val="es-CR"/>
        </w:rPr>
        <w:t xml:space="preserve">, </w:t>
      </w:r>
      <w:r>
        <w:rPr>
          <w:rStyle w:val="Strong"/>
          <w:b w:val="0"/>
          <w:color w:val="000000"/>
          <w:shd w:val="clear" w:color="auto" w:fill="FFFFFF"/>
          <w:lang w:val="es-CR"/>
        </w:rPr>
        <w:t>párr. 154</w:t>
      </w:r>
    </w:p>
  </w:footnote>
  <w:footnote w:id="159">
    <w:p w14:paraId="39A52C11" w14:textId="3CA8478A" w:rsidR="00D86616" w:rsidRPr="00801513" w:rsidRDefault="00D86616" w:rsidP="006A2D03">
      <w:pPr>
        <w:pStyle w:val="FootnoteText"/>
        <w:spacing w:after="0"/>
        <w:rPr>
          <w:lang w:val="es-MX"/>
        </w:rPr>
      </w:pPr>
      <w:r w:rsidRPr="004C3F47">
        <w:rPr>
          <w:rStyle w:val="FootnoteReference"/>
          <w:sz w:val="16"/>
        </w:rPr>
        <w:footnoteRef/>
      </w:r>
      <w:r w:rsidRPr="00801513">
        <w:rPr>
          <w:lang w:val="es-MX"/>
        </w:rPr>
        <w:t xml:space="preserve"> </w:t>
      </w:r>
      <w:r w:rsidRPr="00801513">
        <w:rPr>
          <w:lang w:val="es-MX"/>
        </w:rPr>
        <w:tab/>
      </w:r>
      <w:r w:rsidRPr="007F3588">
        <w:rPr>
          <w:i/>
          <w:lang w:val="es-MX"/>
        </w:rPr>
        <w:t xml:space="preserve">Cfr. </w:t>
      </w:r>
      <w:r w:rsidRPr="007F3588">
        <w:rPr>
          <w:rStyle w:val="Strong"/>
          <w:b w:val="0"/>
          <w:i/>
          <w:color w:val="000000"/>
          <w:shd w:val="clear" w:color="auto" w:fill="FFFFFF"/>
          <w:lang w:val="es-CR"/>
        </w:rPr>
        <w:t xml:space="preserve">Caso </w:t>
      </w:r>
      <w:proofErr w:type="spellStart"/>
      <w:r w:rsidRPr="007F3588">
        <w:rPr>
          <w:rStyle w:val="Strong"/>
          <w:b w:val="0"/>
          <w:i/>
          <w:color w:val="000000"/>
          <w:shd w:val="clear" w:color="auto" w:fill="FFFFFF"/>
          <w:lang w:val="es-CR"/>
        </w:rPr>
        <w:t>Fontevecchia</w:t>
      </w:r>
      <w:proofErr w:type="spellEnd"/>
      <w:r w:rsidRPr="007F3588">
        <w:rPr>
          <w:rStyle w:val="Strong"/>
          <w:b w:val="0"/>
          <w:i/>
          <w:color w:val="000000"/>
          <w:shd w:val="clear" w:color="auto" w:fill="FFFFFF"/>
          <w:lang w:val="es-CR"/>
        </w:rPr>
        <w:t xml:space="preserve"> y D` </w:t>
      </w:r>
      <w:proofErr w:type="spellStart"/>
      <w:r w:rsidRPr="007F3588">
        <w:rPr>
          <w:rStyle w:val="Strong"/>
          <w:b w:val="0"/>
          <w:i/>
          <w:color w:val="000000"/>
          <w:shd w:val="clear" w:color="auto" w:fill="FFFFFF"/>
          <w:lang w:val="es-CR"/>
        </w:rPr>
        <w:t>Amico</w:t>
      </w:r>
      <w:proofErr w:type="spellEnd"/>
      <w:r w:rsidRPr="007F3588">
        <w:rPr>
          <w:rStyle w:val="Strong"/>
          <w:b w:val="0"/>
          <w:i/>
          <w:color w:val="000000"/>
          <w:shd w:val="clear" w:color="auto" w:fill="FFFFFF"/>
          <w:lang w:val="es-CR"/>
        </w:rPr>
        <w:t xml:space="preserve"> Vs. Argentina</w:t>
      </w:r>
      <w:r w:rsidRPr="004C3F47">
        <w:rPr>
          <w:rStyle w:val="Strong"/>
          <w:b w:val="0"/>
          <w:color w:val="000000"/>
          <w:shd w:val="clear" w:color="auto" w:fill="FFFFFF"/>
          <w:lang w:val="es-CR"/>
        </w:rPr>
        <w:t>,</w:t>
      </w:r>
      <w:r>
        <w:rPr>
          <w:rStyle w:val="Strong"/>
          <w:b w:val="0"/>
          <w:color w:val="000000"/>
          <w:shd w:val="clear" w:color="auto" w:fill="FFFFFF"/>
          <w:lang w:val="es-CR"/>
        </w:rPr>
        <w:t xml:space="preserve"> </w:t>
      </w:r>
      <w:r w:rsidRPr="002F31BD">
        <w:rPr>
          <w:rStyle w:val="Strong"/>
          <w:b w:val="0"/>
          <w:i/>
          <w:color w:val="000000"/>
          <w:shd w:val="clear" w:color="auto" w:fill="FFFFFF"/>
          <w:lang w:val="es-CR"/>
        </w:rPr>
        <w:t>supra</w:t>
      </w:r>
      <w:r>
        <w:rPr>
          <w:rStyle w:val="Strong"/>
          <w:b w:val="0"/>
          <w:color w:val="000000"/>
          <w:shd w:val="clear" w:color="auto" w:fill="FFFFFF"/>
          <w:lang w:val="es-CR"/>
        </w:rPr>
        <w:t xml:space="preserve">, </w:t>
      </w:r>
      <w:r w:rsidRPr="004C3F47">
        <w:rPr>
          <w:rStyle w:val="Strong"/>
          <w:b w:val="0"/>
          <w:color w:val="000000"/>
          <w:shd w:val="clear" w:color="auto" w:fill="FFFFFF"/>
          <w:lang w:val="es-CR"/>
        </w:rPr>
        <w:t>párr. 89.</w:t>
      </w:r>
    </w:p>
  </w:footnote>
  <w:footnote w:id="160">
    <w:p w14:paraId="109854E8" w14:textId="634D5A66" w:rsidR="00D86616" w:rsidRPr="009E6ED2" w:rsidRDefault="00D86616" w:rsidP="006A2D03">
      <w:pPr>
        <w:pStyle w:val="FootnoteText"/>
        <w:spacing w:after="0"/>
        <w:rPr>
          <w:lang w:val="es-MX"/>
        </w:rPr>
      </w:pPr>
      <w:r w:rsidRPr="004C3F47">
        <w:rPr>
          <w:rStyle w:val="FootnoteReference"/>
          <w:sz w:val="16"/>
        </w:rPr>
        <w:footnoteRef/>
      </w:r>
      <w:r w:rsidRPr="00801513">
        <w:rPr>
          <w:lang w:val="es-MX"/>
        </w:rPr>
        <w:t xml:space="preserve"> </w:t>
      </w:r>
      <w:r w:rsidRPr="00801513">
        <w:rPr>
          <w:lang w:val="es-MX"/>
        </w:rPr>
        <w:tab/>
      </w:r>
      <w:r w:rsidRPr="007F3588">
        <w:rPr>
          <w:rStyle w:val="Strong"/>
          <w:b w:val="0"/>
          <w:i/>
          <w:color w:val="000000"/>
          <w:shd w:val="clear" w:color="auto" w:fill="FFFFFF"/>
          <w:lang w:val="es-CR"/>
        </w:rPr>
        <w:t xml:space="preserve">Caso </w:t>
      </w:r>
      <w:proofErr w:type="spellStart"/>
      <w:r w:rsidRPr="007F3588">
        <w:rPr>
          <w:rStyle w:val="Strong"/>
          <w:b w:val="0"/>
          <w:i/>
          <w:color w:val="000000"/>
          <w:shd w:val="clear" w:color="auto" w:fill="FFFFFF"/>
          <w:lang w:val="es-CR"/>
        </w:rPr>
        <w:t>Fontevecchia</w:t>
      </w:r>
      <w:proofErr w:type="spellEnd"/>
      <w:r w:rsidRPr="007F3588">
        <w:rPr>
          <w:rStyle w:val="Strong"/>
          <w:b w:val="0"/>
          <w:i/>
          <w:color w:val="000000"/>
          <w:shd w:val="clear" w:color="auto" w:fill="FFFFFF"/>
          <w:lang w:val="es-CR"/>
        </w:rPr>
        <w:t xml:space="preserve"> y </w:t>
      </w:r>
      <w:proofErr w:type="spellStart"/>
      <w:r w:rsidRPr="007F3588">
        <w:rPr>
          <w:rStyle w:val="Strong"/>
          <w:b w:val="0"/>
          <w:i/>
          <w:color w:val="000000"/>
          <w:shd w:val="clear" w:color="auto" w:fill="FFFFFF"/>
          <w:lang w:val="es-CR"/>
        </w:rPr>
        <w:t>D`Amico</w:t>
      </w:r>
      <w:proofErr w:type="spellEnd"/>
      <w:r w:rsidRPr="007F3588">
        <w:rPr>
          <w:rStyle w:val="Strong"/>
          <w:b w:val="0"/>
          <w:i/>
          <w:color w:val="000000"/>
          <w:shd w:val="clear" w:color="auto" w:fill="FFFFFF"/>
          <w:lang w:val="es-CR"/>
        </w:rPr>
        <w:t xml:space="preserve"> Vs. Argentina,</w:t>
      </w:r>
      <w:r>
        <w:rPr>
          <w:rStyle w:val="Strong"/>
          <w:b w:val="0"/>
          <w:color w:val="000000"/>
          <w:shd w:val="clear" w:color="auto" w:fill="FFFFFF"/>
          <w:lang w:val="es-CR"/>
        </w:rPr>
        <w:t xml:space="preserve"> </w:t>
      </w:r>
      <w:r w:rsidRPr="002F31BD">
        <w:rPr>
          <w:rStyle w:val="Strong"/>
          <w:b w:val="0"/>
          <w:i/>
          <w:color w:val="000000"/>
          <w:shd w:val="clear" w:color="auto" w:fill="FFFFFF"/>
          <w:lang w:val="es-CR"/>
        </w:rPr>
        <w:t>supra</w:t>
      </w:r>
      <w:r>
        <w:rPr>
          <w:rStyle w:val="Strong"/>
          <w:b w:val="0"/>
          <w:color w:val="000000"/>
          <w:shd w:val="clear" w:color="auto" w:fill="FFFFFF"/>
          <w:lang w:val="es-CR"/>
        </w:rPr>
        <w:t xml:space="preserve">, </w:t>
      </w:r>
      <w:r w:rsidRPr="004C3F47">
        <w:rPr>
          <w:rStyle w:val="Strong"/>
          <w:b w:val="0"/>
          <w:color w:val="000000"/>
          <w:shd w:val="clear" w:color="auto" w:fill="FFFFFF"/>
          <w:lang w:val="es-CR"/>
        </w:rPr>
        <w:t>párr. 90.</w:t>
      </w:r>
    </w:p>
  </w:footnote>
  <w:footnote w:id="161">
    <w:p w14:paraId="0287525A" w14:textId="0A336295" w:rsidR="00D86616" w:rsidRPr="009E6ED2" w:rsidRDefault="00D86616" w:rsidP="006A2D03">
      <w:pPr>
        <w:pStyle w:val="FootnoteText"/>
        <w:spacing w:after="0"/>
        <w:rPr>
          <w:shd w:val="clear" w:color="auto" w:fill="FFFFFF"/>
          <w:lang w:val="es-MX"/>
        </w:rPr>
      </w:pPr>
      <w:r w:rsidRPr="00363DED">
        <w:rPr>
          <w:rStyle w:val="FootnoteReference"/>
          <w:sz w:val="16"/>
        </w:rPr>
        <w:footnoteRef/>
      </w:r>
      <w:r w:rsidRPr="009E6ED2">
        <w:rPr>
          <w:lang w:val="es-MX"/>
        </w:rPr>
        <w:t xml:space="preserve"> </w:t>
      </w:r>
      <w:r w:rsidRPr="009E6ED2">
        <w:rPr>
          <w:lang w:val="es-MX"/>
        </w:rPr>
        <w:tab/>
      </w:r>
      <w:r w:rsidRPr="007F3588">
        <w:rPr>
          <w:i/>
          <w:lang w:val="es-MX"/>
        </w:rPr>
        <w:t xml:space="preserve">Cfr. </w:t>
      </w:r>
      <w:r w:rsidRPr="007F3588">
        <w:rPr>
          <w:i/>
          <w:shd w:val="clear" w:color="auto" w:fill="FFFFFF"/>
          <w:lang w:val="es-MX"/>
        </w:rPr>
        <w:t xml:space="preserve">Caso Castillo </w:t>
      </w:r>
      <w:proofErr w:type="spellStart"/>
      <w:r w:rsidRPr="007F3588">
        <w:rPr>
          <w:i/>
          <w:shd w:val="clear" w:color="auto" w:fill="FFFFFF"/>
          <w:lang w:val="es-MX"/>
        </w:rPr>
        <w:t>Petruzzi</w:t>
      </w:r>
      <w:proofErr w:type="spellEnd"/>
      <w:r w:rsidRPr="007F3588">
        <w:rPr>
          <w:i/>
          <w:shd w:val="clear" w:color="auto" w:fill="FFFFFF"/>
          <w:lang w:val="es-MX"/>
        </w:rPr>
        <w:t xml:space="preserve"> y otros Vs. Perú, supra</w:t>
      </w:r>
      <w:r w:rsidRPr="009E6ED2">
        <w:rPr>
          <w:shd w:val="clear" w:color="auto" w:fill="FFFFFF"/>
          <w:lang w:val="es-MX"/>
        </w:rPr>
        <w:t xml:space="preserve">, párr. 207 y </w:t>
      </w:r>
      <w:r w:rsidRPr="007F3588">
        <w:rPr>
          <w:i/>
          <w:shd w:val="clear" w:color="auto" w:fill="FFFFFF"/>
          <w:lang w:val="es-MX"/>
        </w:rPr>
        <w:t xml:space="preserve">Caso </w:t>
      </w:r>
      <w:proofErr w:type="spellStart"/>
      <w:r w:rsidRPr="007F3588">
        <w:rPr>
          <w:i/>
          <w:shd w:val="clear" w:color="auto" w:fill="FFFFFF"/>
          <w:lang w:val="es-MX"/>
        </w:rPr>
        <w:t>Lopez</w:t>
      </w:r>
      <w:proofErr w:type="spellEnd"/>
      <w:r w:rsidRPr="007F3588">
        <w:rPr>
          <w:i/>
          <w:shd w:val="clear" w:color="auto" w:fill="FFFFFF"/>
          <w:lang w:val="es-MX"/>
        </w:rPr>
        <w:t xml:space="preserve"> </w:t>
      </w:r>
      <w:proofErr w:type="spellStart"/>
      <w:r w:rsidRPr="007F3588">
        <w:rPr>
          <w:i/>
          <w:shd w:val="clear" w:color="auto" w:fill="FFFFFF"/>
          <w:lang w:val="es-MX"/>
        </w:rPr>
        <w:t>Lone</w:t>
      </w:r>
      <w:proofErr w:type="spellEnd"/>
      <w:r w:rsidRPr="007F3588">
        <w:rPr>
          <w:i/>
          <w:shd w:val="clear" w:color="auto" w:fill="FFFFFF"/>
          <w:lang w:val="es-MX"/>
        </w:rPr>
        <w:t xml:space="preserve"> y otros Vs. Honduras</w:t>
      </w:r>
      <w:r>
        <w:rPr>
          <w:i/>
          <w:shd w:val="clear" w:color="auto" w:fill="FFFFFF"/>
          <w:lang w:val="es-MX"/>
        </w:rPr>
        <w:t>, supra,</w:t>
      </w:r>
      <w:r w:rsidRPr="007F3588">
        <w:rPr>
          <w:i/>
          <w:shd w:val="clear" w:color="auto" w:fill="FFFFFF"/>
          <w:lang w:val="es-MX"/>
        </w:rPr>
        <w:t xml:space="preserve"> </w:t>
      </w:r>
      <w:r>
        <w:rPr>
          <w:shd w:val="clear" w:color="auto" w:fill="FFFFFF"/>
          <w:lang w:val="es-MX"/>
        </w:rPr>
        <w:t>p</w:t>
      </w:r>
      <w:r w:rsidRPr="009E6ED2">
        <w:rPr>
          <w:shd w:val="clear" w:color="auto" w:fill="FFFFFF"/>
          <w:lang w:val="es-MX"/>
        </w:rPr>
        <w:t>árr. 214</w:t>
      </w:r>
      <w:r>
        <w:rPr>
          <w:shd w:val="clear" w:color="auto" w:fill="FFFFFF"/>
          <w:lang w:val="es-MX"/>
        </w:rPr>
        <w:t>.</w:t>
      </w:r>
    </w:p>
  </w:footnote>
  <w:footnote w:id="162">
    <w:p w14:paraId="06EE5368" w14:textId="7059A6D9" w:rsidR="00D86616" w:rsidRPr="004C3F47" w:rsidRDefault="00D86616" w:rsidP="006A2D03">
      <w:pPr>
        <w:jc w:val="both"/>
        <w:rPr>
          <w:rFonts w:ascii="Verdana" w:hAnsi="Verdana"/>
          <w:sz w:val="16"/>
          <w:szCs w:val="16"/>
        </w:rPr>
      </w:pPr>
      <w:r w:rsidRPr="004C3F47">
        <w:rPr>
          <w:rStyle w:val="FootnoteReference"/>
          <w:rFonts w:cs="Times"/>
          <w:sz w:val="16"/>
          <w:szCs w:val="16"/>
        </w:rPr>
        <w:footnoteRef/>
      </w:r>
      <w:r w:rsidRPr="004C3F47">
        <w:rPr>
          <w:rStyle w:val="FootnoteReference"/>
          <w:rFonts w:cs="Times"/>
          <w:sz w:val="16"/>
          <w:szCs w:val="16"/>
        </w:rPr>
        <w:t xml:space="preserve"> </w:t>
      </w:r>
      <w:r w:rsidRPr="004C3F47">
        <w:rPr>
          <w:rFonts w:ascii="Verdana" w:hAnsi="Verdana"/>
          <w:sz w:val="16"/>
          <w:szCs w:val="16"/>
        </w:rPr>
        <w:tab/>
      </w:r>
      <w:r w:rsidRPr="004C3F47">
        <w:rPr>
          <w:rFonts w:ascii="Verdana" w:hAnsi="Verdana"/>
          <w:i/>
          <w:sz w:val="16"/>
          <w:szCs w:val="16"/>
        </w:rPr>
        <w:t>La Colegiación Obligatoria de Periodistas</w:t>
      </w:r>
      <w:r>
        <w:rPr>
          <w:rFonts w:ascii="Verdana" w:hAnsi="Verdana"/>
          <w:i/>
          <w:sz w:val="16"/>
          <w:szCs w:val="16"/>
        </w:rPr>
        <w:t xml:space="preserve"> OC-5/85,</w:t>
      </w:r>
      <w:r w:rsidRPr="004C3F47">
        <w:rPr>
          <w:rFonts w:ascii="Verdana" w:hAnsi="Verdana"/>
          <w:i/>
          <w:sz w:val="16"/>
          <w:szCs w:val="16"/>
        </w:rPr>
        <w:t xml:space="preserve"> </w:t>
      </w:r>
      <w:r w:rsidRPr="002F31BD">
        <w:rPr>
          <w:rFonts w:ascii="Verdana" w:hAnsi="Verdana"/>
          <w:i/>
          <w:sz w:val="16"/>
          <w:szCs w:val="16"/>
        </w:rPr>
        <w:t>supra</w:t>
      </w:r>
      <w:r w:rsidRPr="004C3F47">
        <w:rPr>
          <w:rFonts w:ascii="Verdana" w:hAnsi="Verdana"/>
          <w:i/>
          <w:sz w:val="16"/>
          <w:szCs w:val="16"/>
        </w:rPr>
        <w:t xml:space="preserve"> </w:t>
      </w:r>
      <w:r w:rsidRPr="004C3F47">
        <w:rPr>
          <w:rFonts w:ascii="Verdana" w:hAnsi="Verdana"/>
          <w:sz w:val="16"/>
          <w:szCs w:val="16"/>
        </w:rPr>
        <w:t xml:space="preserve">nota 36, </w:t>
      </w:r>
      <w:proofErr w:type="spellStart"/>
      <w:r w:rsidRPr="004C3F47">
        <w:rPr>
          <w:rFonts w:ascii="Verdana" w:hAnsi="Verdana"/>
          <w:sz w:val="16"/>
          <w:szCs w:val="16"/>
        </w:rPr>
        <w:t>párrs</w:t>
      </w:r>
      <w:proofErr w:type="spellEnd"/>
      <w:r w:rsidRPr="004C3F47">
        <w:rPr>
          <w:rFonts w:ascii="Verdana" w:hAnsi="Verdana"/>
          <w:sz w:val="16"/>
          <w:szCs w:val="16"/>
        </w:rPr>
        <w:t xml:space="preserve">. 41 a 46. En este último párrafo, el Tribunal señaló: </w:t>
      </w:r>
      <w:r w:rsidRPr="004C3F47">
        <w:rPr>
          <w:rFonts w:ascii="Verdana" w:hAnsi="Verdana"/>
          <w:sz w:val="16"/>
          <w:szCs w:val="16"/>
          <w:lang w:val="es-ES"/>
        </w:rPr>
        <w:t xml:space="preserve">“[e]s importante destacar que la Corte Europea de Derechos Humanos al interpretar el artículo 10 de la Convención Europea, concluyó que “necesarias”, sin ser sinónimo de “indispensables”, implica la existencia de una “necesidad social imperiosa" y que para que una restricción sea “necesaria” no es suficiente demostrar que sea “útil”, “razonable” u “oportuna” </w:t>
      </w:r>
      <w:r w:rsidRPr="004C3F47">
        <w:rPr>
          <w:rFonts w:ascii="Verdana" w:hAnsi="Verdana"/>
          <w:sz w:val="16"/>
          <w:szCs w:val="16"/>
          <w:lang w:val="es-CL"/>
        </w:rPr>
        <w:t>[…]</w:t>
      </w:r>
      <w:r w:rsidRPr="004C3F47">
        <w:rPr>
          <w:rFonts w:ascii="Verdana" w:hAnsi="Verdana"/>
          <w:sz w:val="16"/>
          <w:szCs w:val="16"/>
          <w:lang w:val="es-ES"/>
        </w:rPr>
        <w:t xml:space="preserve">. Esta conclusión, que es igualmente aplicable a la Convención Americana, sugiere que la “necesidad” y, por ende, la legalidad de las restricciones a la libertad de expresión fundadas sobre el artículo 13.2, dependerá de que estén orientadas a satisfacer un interés público imperativo[.]” </w:t>
      </w:r>
      <w:r w:rsidRPr="004C3F47">
        <w:rPr>
          <w:rFonts w:ascii="Verdana" w:hAnsi="Verdana"/>
          <w:sz w:val="16"/>
          <w:szCs w:val="16"/>
          <w:lang w:val="es-CL"/>
        </w:rPr>
        <w:t xml:space="preserve">Asimismo, </w:t>
      </w:r>
      <w:r w:rsidRPr="00F77B70">
        <w:rPr>
          <w:rFonts w:ascii="Verdana" w:hAnsi="Verdana"/>
          <w:i/>
          <w:sz w:val="16"/>
          <w:szCs w:val="16"/>
          <w:lang w:val="es-CL"/>
        </w:rPr>
        <w:t>Cfr.</w:t>
      </w:r>
      <w:r w:rsidRPr="004C3F47">
        <w:rPr>
          <w:rFonts w:ascii="Verdana" w:hAnsi="Verdana"/>
          <w:sz w:val="16"/>
          <w:szCs w:val="16"/>
          <w:lang w:val="es-CL"/>
        </w:rPr>
        <w:t xml:space="preserve"> TEDH, </w:t>
      </w:r>
      <w:r w:rsidRPr="004C3F47">
        <w:rPr>
          <w:rFonts w:ascii="Verdana" w:hAnsi="Verdana"/>
          <w:i/>
          <w:sz w:val="16"/>
          <w:szCs w:val="16"/>
          <w:lang w:val="es-CL"/>
        </w:rPr>
        <w:t>Cas</w:t>
      </w:r>
      <w:r>
        <w:rPr>
          <w:rFonts w:ascii="Verdana" w:hAnsi="Verdana"/>
          <w:i/>
          <w:sz w:val="16"/>
          <w:szCs w:val="16"/>
          <w:lang w:val="es-CL"/>
        </w:rPr>
        <w:t xml:space="preserve">o </w:t>
      </w:r>
      <w:proofErr w:type="spellStart"/>
      <w:r>
        <w:rPr>
          <w:rFonts w:ascii="Verdana" w:hAnsi="Verdana"/>
          <w:i/>
          <w:sz w:val="16"/>
          <w:szCs w:val="16"/>
          <w:lang w:val="es-CL"/>
        </w:rPr>
        <w:t>Editions</w:t>
      </w:r>
      <w:proofErr w:type="spellEnd"/>
      <w:r>
        <w:rPr>
          <w:rFonts w:ascii="Verdana" w:hAnsi="Verdana"/>
          <w:i/>
          <w:sz w:val="16"/>
          <w:szCs w:val="16"/>
          <w:lang w:val="es-CL"/>
        </w:rPr>
        <w:t xml:space="preserve"> </w:t>
      </w:r>
      <w:proofErr w:type="spellStart"/>
      <w:r>
        <w:rPr>
          <w:rFonts w:ascii="Verdana" w:hAnsi="Verdana"/>
          <w:i/>
          <w:sz w:val="16"/>
          <w:szCs w:val="16"/>
          <w:lang w:val="es-CL"/>
        </w:rPr>
        <w:t>Plon</w:t>
      </w:r>
      <w:proofErr w:type="spellEnd"/>
      <w:r>
        <w:rPr>
          <w:rFonts w:ascii="Verdana" w:hAnsi="Verdana"/>
          <w:i/>
          <w:sz w:val="16"/>
          <w:szCs w:val="16"/>
          <w:lang w:val="es-CL"/>
        </w:rPr>
        <w:t xml:space="preserve"> Vs</w:t>
      </w:r>
      <w:r w:rsidRPr="004C3F47">
        <w:rPr>
          <w:rFonts w:ascii="Verdana" w:hAnsi="Verdana"/>
          <w:i/>
          <w:sz w:val="16"/>
          <w:szCs w:val="16"/>
          <w:lang w:val="es-CL"/>
        </w:rPr>
        <w:t>. Franc</w:t>
      </w:r>
      <w:r>
        <w:rPr>
          <w:rFonts w:ascii="Verdana" w:hAnsi="Verdana"/>
          <w:i/>
          <w:sz w:val="16"/>
          <w:szCs w:val="16"/>
          <w:lang w:val="es-CL"/>
        </w:rPr>
        <w:t>ia</w:t>
      </w:r>
      <w:r w:rsidRPr="004C3F47">
        <w:rPr>
          <w:rFonts w:ascii="Verdana" w:hAnsi="Verdana"/>
          <w:sz w:val="16"/>
          <w:szCs w:val="16"/>
          <w:lang w:val="es-CL"/>
        </w:rPr>
        <w:t xml:space="preserve">, Sentencia de 18 de mayo de 2004, </w:t>
      </w:r>
      <w:proofErr w:type="spellStart"/>
      <w:r w:rsidRPr="004C3F47">
        <w:rPr>
          <w:rFonts w:ascii="Verdana" w:hAnsi="Verdana"/>
          <w:sz w:val="16"/>
          <w:szCs w:val="16"/>
          <w:lang w:val="es-CL"/>
        </w:rPr>
        <w:t>pá</w:t>
      </w:r>
      <w:r w:rsidRPr="004C3F47">
        <w:rPr>
          <w:rFonts w:ascii="Verdana" w:hAnsi="Verdana"/>
          <w:sz w:val="16"/>
          <w:szCs w:val="16"/>
          <w:lang w:val="es-ES"/>
        </w:rPr>
        <w:t>rr.</w:t>
      </w:r>
      <w:proofErr w:type="spellEnd"/>
      <w:r w:rsidRPr="004C3F47">
        <w:rPr>
          <w:rFonts w:ascii="Verdana" w:hAnsi="Verdana"/>
          <w:sz w:val="16"/>
          <w:szCs w:val="16"/>
          <w:lang w:val="es-ES"/>
        </w:rPr>
        <w:t xml:space="preserve"> 42 y</w:t>
      </w:r>
      <w:r>
        <w:rPr>
          <w:rFonts w:ascii="Verdana" w:hAnsi="Verdana"/>
          <w:sz w:val="16"/>
          <w:szCs w:val="16"/>
          <w:lang w:val="es-ES"/>
        </w:rPr>
        <w:t xml:space="preserve"> TEDH. </w:t>
      </w:r>
      <w:r w:rsidRPr="004C3F47">
        <w:rPr>
          <w:rFonts w:ascii="Verdana" w:hAnsi="Verdana"/>
          <w:i/>
          <w:sz w:val="16"/>
          <w:szCs w:val="16"/>
          <w:lang w:val="es-ES"/>
        </w:rPr>
        <w:t>Cas</w:t>
      </w:r>
      <w:r>
        <w:rPr>
          <w:rFonts w:ascii="Verdana" w:hAnsi="Verdana"/>
          <w:i/>
          <w:sz w:val="16"/>
          <w:szCs w:val="16"/>
          <w:lang w:val="es-ES"/>
        </w:rPr>
        <w:t>o</w:t>
      </w:r>
      <w:r w:rsidRPr="004C3F47">
        <w:rPr>
          <w:rFonts w:ascii="Verdana" w:hAnsi="Verdana"/>
          <w:i/>
          <w:sz w:val="16"/>
          <w:szCs w:val="16"/>
          <w:lang w:val="es-ES"/>
        </w:rPr>
        <w:t xml:space="preserve"> MGN </w:t>
      </w:r>
      <w:proofErr w:type="spellStart"/>
      <w:r w:rsidRPr="004C3F47">
        <w:rPr>
          <w:rFonts w:ascii="Verdana" w:hAnsi="Verdana"/>
          <w:i/>
          <w:sz w:val="16"/>
          <w:szCs w:val="16"/>
          <w:lang w:val="es-ES"/>
        </w:rPr>
        <w:t>Limited</w:t>
      </w:r>
      <w:proofErr w:type="spellEnd"/>
      <w:r w:rsidRPr="004C3F47">
        <w:rPr>
          <w:rFonts w:ascii="Verdana" w:hAnsi="Verdana"/>
          <w:i/>
          <w:sz w:val="16"/>
          <w:szCs w:val="16"/>
          <w:lang w:val="es-ES"/>
        </w:rPr>
        <w:t xml:space="preserve"> </w:t>
      </w:r>
      <w:r>
        <w:rPr>
          <w:rFonts w:ascii="Verdana" w:hAnsi="Verdana"/>
          <w:i/>
          <w:sz w:val="16"/>
          <w:szCs w:val="16"/>
          <w:lang w:val="es-ES"/>
        </w:rPr>
        <w:t>Vs Reino Unido. No. 39401/04. Sentencia de 18 de enero de 2011. párr. 139.</w:t>
      </w:r>
    </w:p>
  </w:footnote>
  <w:footnote w:id="163">
    <w:p w14:paraId="1AE07A99" w14:textId="2222379C" w:rsidR="00D86616" w:rsidRPr="009E6ED2" w:rsidRDefault="00D86616" w:rsidP="006A2D03">
      <w:pPr>
        <w:pStyle w:val="FootnoteText"/>
        <w:spacing w:after="0"/>
        <w:rPr>
          <w:lang w:val="es-MX"/>
        </w:rPr>
      </w:pPr>
      <w:r w:rsidRPr="004C3F47">
        <w:rPr>
          <w:rStyle w:val="FootnoteReference"/>
          <w:sz w:val="16"/>
        </w:rPr>
        <w:footnoteRef/>
      </w:r>
      <w:r w:rsidRPr="00333304">
        <w:rPr>
          <w:lang w:val="es-ES"/>
        </w:rPr>
        <w:t xml:space="preserve"> </w:t>
      </w:r>
      <w:r w:rsidRPr="00333304">
        <w:rPr>
          <w:lang w:val="es-ES"/>
        </w:rPr>
        <w:tab/>
      </w:r>
      <w:r w:rsidRPr="007F3588">
        <w:rPr>
          <w:i/>
          <w:shd w:val="clear" w:color="auto" w:fill="FFFFFF"/>
          <w:lang w:val="es-MX"/>
        </w:rPr>
        <w:t>Cfr. Caso “La Última Tentación de Cristo” (Olmedo Bustos y otros) Vs. Chile, supra</w:t>
      </w:r>
      <w:r w:rsidRPr="009E6ED2">
        <w:rPr>
          <w:shd w:val="clear" w:color="auto" w:fill="FFFFFF"/>
          <w:lang w:val="es-MX"/>
        </w:rPr>
        <w:t xml:space="preserve">, párr. 69 y </w:t>
      </w:r>
      <w:r w:rsidRPr="007F3588">
        <w:rPr>
          <w:i/>
          <w:shd w:val="clear" w:color="auto" w:fill="FFFFFF"/>
          <w:lang w:val="es-MX"/>
        </w:rPr>
        <w:t xml:space="preserve">Caso López </w:t>
      </w:r>
      <w:proofErr w:type="spellStart"/>
      <w:r w:rsidRPr="007F3588">
        <w:rPr>
          <w:i/>
          <w:shd w:val="clear" w:color="auto" w:fill="FFFFFF"/>
          <w:lang w:val="es-MX"/>
        </w:rPr>
        <w:t>Lone</w:t>
      </w:r>
      <w:proofErr w:type="spellEnd"/>
      <w:r w:rsidRPr="007F3588">
        <w:rPr>
          <w:i/>
          <w:shd w:val="clear" w:color="auto" w:fill="FFFFFF"/>
          <w:lang w:val="es-MX"/>
        </w:rPr>
        <w:t xml:space="preserve"> y otros Vs. Honduras, supra</w:t>
      </w:r>
      <w:r w:rsidRPr="009E6ED2">
        <w:rPr>
          <w:shd w:val="clear" w:color="auto" w:fill="FFFFFF"/>
          <w:lang w:val="es-MX"/>
        </w:rPr>
        <w:t>, párr. 168.</w:t>
      </w:r>
    </w:p>
  </w:footnote>
  <w:footnote w:id="164">
    <w:p w14:paraId="30CC0BB6" w14:textId="6BCD69D2"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7F3588">
        <w:rPr>
          <w:i/>
          <w:lang w:val="es-MX"/>
        </w:rPr>
        <w:t xml:space="preserve">Cfr. </w:t>
      </w:r>
      <w:r w:rsidRPr="004868B2">
        <w:rPr>
          <w:lang w:val="es-MX"/>
        </w:rPr>
        <w:t>TEDH</w:t>
      </w:r>
      <w:r w:rsidRPr="007F3588">
        <w:rPr>
          <w:i/>
          <w:lang w:val="es-MX"/>
        </w:rPr>
        <w:t>, Caso Fuentes Bobo Vs. España,</w:t>
      </w:r>
      <w:r w:rsidRPr="009E6ED2">
        <w:rPr>
          <w:lang w:val="es-MX"/>
        </w:rPr>
        <w:t xml:space="preserve"> Sentencia de 29 de febrero de 2000, </w:t>
      </w:r>
      <w:r w:rsidRPr="00844874">
        <w:rPr>
          <w:i/>
          <w:lang w:val="es-MX"/>
        </w:rPr>
        <w:t>supra</w:t>
      </w:r>
      <w:r w:rsidRPr="009E6ED2">
        <w:rPr>
          <w:lang w:val="es-MX"/>
        </w:rPr>
        <w:t xml:space="preserve">, párr. 42 y </w:t>
      </w:r>
      <w:r w:rsidRPr="004868B2">
        <w:rPr>
          <w:lang w:val="es-MX"/>
        </w:rPr>
        <w:t>TEDH</w:t>
      </w:r>
      <w:r w:rsidRPr="007F3588">
        <w:rPr>
          <w:i/>
          <w:lang w:val="es-MX"/>
        </w:rPr>
        <w:t>. Caso Palomo Sánchez y otros vs. España [GS], supra,</w:t>
      </w:r>
      <w:r w:rsidRPr="009E6ED2">
        <w:rPr>
          <w:lang w:val="es-MX"/>
        </w:rPr>
        <w:t xml:space="preserve"> </w:t>
      </w:r>
      <w:r>
        <w:rPr>
          <w:lang w:val="es-MX"/>
        </w:rPr>
        <w:t>p</w:t>
      </w:r>
      <w:r w:rsidRPr="009E6ED2">
        <w:rPr>
          <w:lang w:val="es-MX"/>
        </w:rPr>
        <w:t>árr. 63.</w:t>
      </w:r>
    </w:p>
  </w:footnote>
  <w:footnote w:id="165">
    <w:p w14:paraId="66ACFA9A" w14:textId="0B2CC4AA" w:rsidR="00D86616" w:rsidRPr="009E6ED2" w:rsidRDefault="00D86616" w:rsidP="006A2D03">
      <w:pPr>
        <w:pStyle w:val="FootnoteText"/>
        <w:spacing w:after="0"/>
        <w:rPr>
          <w:lang w:val="es-MX"/>
        </w:rPr>
      </w:pPr>
      <w:r w:rsidRPr="004C3F47">
        <w:rPr>
          <w:rStyle w:val="FootnoteReference"/>
          <w:sz w:val="16"/>
        </w:rPr>
        <w:footnoteRef/>
      </w:r>
      <w:r w:rsidRPr="00333304">
        <w:rPr>
          <w:lang w:val="pt-BR"/>
        </w:rPr>
        <w:t xml:space="preserve"> </w:t>
      </w:r>
      <w:r w:rsidRPr="00333304">
        <w:rPr>
          <w:lang w:val="pt-BR"/>
        </w:rPr>
        <w:tab/>
      </w:r>
      <w:r w:rsidRPr="00333304">
        <w:rPr>
          <w:i/>
          <w:lang w:val="pt-BR"/>
        </w:rPr>
        <w:t>Cfr.</w:t>
      </w:r>
      <w:r w:rsidRPr="00333304">
        <w:rPr>
          <w:lang w:val="pt-BR"/>
        </w:rPr>
        <w:t xml:space="preserve"> </w:t>
      </w:r>
      <w:r w:rsidRPr="004868B2">
        <w:rPr>
          <w:lang w:val="pt-BR"/>
        </w:rPr>
        <w:t>TEDH</w:t>
      </w:r>
      <w:r w:rsidRPr="00333304">
        <w:rPr>
          <w:i/>
          <w:lang w:val="pt-BR"/>
        </w:rPr>
        <w:t>. Caso Heinisch vs. Alemania</w:t>
      </w:r>
      <w:r w:rsidRPr="00333304">
        <w:rPr>
          <w:lang w:val="pt-BR"/>
        </w:rPr>
        <w:t xml:space="preserve">. </w:t>
      </w:r>
      <w:r w:rsidRPr="009E6ED2">
        <w:rPr>
          <w:lang w:val="es-MX"/>
        </w:rPr>
        <w:t xml:space="preserve">No. 28274/08. Sentencia de 21 de julio de 2011. Párr. 91 y </w:t>
      </w:r>
      <w:r w:rsidRPr="004868B2">
        <w:rPr>
          <w:lang w:val="es-MX"/>
        </w:rPr>
        <w:t>TEDH</w:t>
      </w:r>
      <w:r w:rsidRPr="009E6ED2">
        <w:rPr>
          <w:i/>
          <w:lang w:val="es-MX"/>
        </w:rPr>
        <w:t>. Caso Palomo Sánchez vs. España [GS]</w:t>
      </w:r>
      <w:r w:rsidRPr="009E6ED2">
        <w:rPr>
          <w:lang w:val="es-MX"/>
        </w:rPr>
        <w:t xml:space="preserve">, </w:t>
      </w:r>
      <w:r w:rsidRPr="009E6ED2">
        <w:rPr>
          <w:i/>
          <w:lang w:val="es-MX"/>
        </w:rPr>
        <w:t>supra</w:t>
      </w:r>
      <w:r w:rsidRPr="009E6ED2">
        <w:rPr>
          <w:lang w:val="es-MX"/>
        </w:rPr>
        <w:t xml:space="preserve">, </w:t>
      </w:r>
      <w:proofErr w:type="spellStart"/>
      <w:r w:rsidRPr="009E6ED2">
        <w:rPr>
          <w:lang w:val="es-MX"/>
        </w:rPr>
        <w:t>párrs</w:t>
      </w:r>
      <w:proofErr w:type="spellEnd"/>
      <w:r w:rsidRPr="009E6ED2">
        <w:rPr>
          <w:lang w:val="es-MX"/>
        </w:rPr>
        <w:t xml:space="preserve">. 75 y 76; y Declaración pericial de Damián </w:t>
      </w:r>
      <w:proofErr w:type="spellStart"/>
      <w:r w:rsidRPr="009E6ED2">
        <w:rPr>
          <w:lang w:val="es-MX"/>
        </w:rPr>
        <w:t>Loreti</w:t>
      </w:r>
      <w:proofErr w:type="spellEnd"/>
      <w:r w:rsidRPr="009E6ED2">
        <w:rPr>
          <w:lang w:val="es-MX"/>
        </w:rPr>
        <w:t xml:space="preserve"> (transc</w:t>
      </w:r>
      <w:r>
        <w:rPr>
          <w:lang w:val="es-MX"/>
        </w:rPr>
        <w:t xml:space="preserve">ripción audiencia </w:t>
      </w:r>
      <w:proofErr w:type="spellStart"/>
      <w:r>
        <w:rPr>
          <w:lang w:val="es-MX"/>
        </w:rPr>
        <w:t>pgs</w:t>
      </w:r>
      <w:proofErr w:type="spellEnd"/>
      <w:r>
        <w:rPr>
          <w:lang w:val="es-MX"/>
        </w:rPr>
        <w:t>. 43 a 44).</w:t>
      </w:r>
    </w:p>
  </w:footnote>
  <w:footnote w:id="166">
    <w:p w14:paraId="7307B911" w14:textId="3C49C554"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 xml:space="preserve">ONU. ECOSOC. Observación General 18  menciona que los Estados tienen el deber de garantizar a toda persona su derecho al trabajo y a no ser privados de este de forma injusta. Ver también: Comité de Derechos Económicos, Sociales y Culturales, Observación general 18, “El derecho al trabajo”, E/C.12/GC/18. </w:t>
      </w:r>
    </w:p>
  </w:footnote>
  <w:footnote w:id="167">
    <w:p w14:paraId="28128DCD" w14:textId="75240759"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Recomendación sobre los representantes de los trabajadores, 1971 (núm. 143), OIT, Recomendación sobre la protección y facilidades que deben otorgarse a los representantes de los trabajadores en la empresa. Sesión de la Conferencia: 56, fecha de adopción 23 de junio de 1971. </w:t>
      </w:r>
    </w:p>
    <w:p w14:paraId="6AD6B8A7" w14:textId="77777777" w:rsidR="00D86616" w:rsidRPr="009E6ED2" w:rsidRDefault="00D86616" w:rsidP="006A2D03">
      <w:pPr>
        <w:pStyle w:val="FootnoteText"/>
        <w:spacing w:after="0"/>
        <w:rPr>
          <w:lang w:val="es-MX"/>
        </w:rPr>
      </w:pPr>
      <w:r w:rsidRPr="009E6ED2">
        <w:rPr>
          <w:lang w:val="es-MX"/>
        </w:rPr>
        <w:t>Punto 6: En el caso de que no existan suficientes medidas apropiadas de protección aplicables a los trabajadores, deben adoptarse disposiciones en las que se precisen los motivos para justificar la terminación de una relación de trabajo, además de un dictamen o consulta a un organismo independiente, público o privado antes de que el despido de un trabajador sea definitivo, se requiere de un procedimiento especial de recurso accesible a los representantes de los trabajadores que consideren que se ha puesto fin injustamente a su relación de trabajo.</w:t>
      </w:r>
    </w:p>
  </w:footnote>
  <w:footnote w:id="168">
    <w:p w14:paraId="79FDCBC1" w14:textId="4AA522EC" w:rsidR="00D86616" w:rsidRPr="004C3F47" w:rsidRDefault="00D86616" w:rsidP="006A2D03">
      <w:pPr>
        <w:autoSpaceDE w:val="0"/>
        <w:autoSpaceDN w:val="0"/>
        <w:adjustRightInd w:val="0"/>
        <w:jc w:val="both"/>
        <w:rPr>
          <w:rFonts w:ascii="Verdana" w:hAnsi="Verdana"/>
          <w:sz w:val="16"/>
          <w:szCs w:val="16"/>
        </w:rPr>
      </w:pPr>
      <w:r w:rsidRPr="004C3F47">
        <w:rPr>
          <w:rStyle w:val="FootnoteReference"/>
          <w:sz w:val="16"/>
          <w:szCs w:val="16"/>
        </w:rPr>
        <w:footnoteRef/>
      </w:r>
      <w:r w:rsidRPr="004C3F47">
        <w:rPr>
          <w:rFonts w:ascii="Verdana" w:hAnsi="Verdana"/>
          <w:sz w:val="16"/>
          <w:szCs w:val="16"/>
        </w:rPr>
        <w:t xml:space="preserve"> </w:t>
      </w:r>
      <w:r w:rsidRPr="004C3F47">
        <w:rPr>
          <w:rFonts w:ascii="Verdana" w:hAnsi="Verdana"/>
          <w:sz w:val="16"/>
          <w:szCs w:val="16"/>
        </w:rPr>
        <w:tab/>
      </w:r>
      <w:r w:rsidRPr="004C3F47">
        <w:rPr>
          <w:rFonts w:ascii="Verdana" w:hAnsi="Verdana"/>
          <w:sz w:val="16"/>
          <w:szCs w:val="16"/>
          <w:lang w:eastAsia="es-MX"/>
        </w:rPr>
        <w:t xml:space="preserve">Segundo Tribunal de Trabajo de Lima. Sentencia 08-0891 de 8 de agosto de 1991 </w:t>
      </w:r>
      <w:r w:rsidRPr="004C3F47">
        <w:rPr>
          <w:rFonts w:ascii="Verdana" w:hAnsi="Verdana"/>
          <w:sz w:val="16"/>
          <w:szCs w:val="16"/>
        </w:rPr>
        <w:t>(expediente de prueba</w:t>
      </w:r>
      <w:r>
        <w:rPr>
          <w:rFonts w:ascii="Verdana" w:hAnsi="Verdana"/>
          <w:sz w:val="16"/>
          <w:szCs w:val="16"/>
        </w:rPr>
        <w:t>,</w:t>
      </w:r>
      <w:r w:rsidRPr="004C3F47">
        <w:rPr>
          <w:rFonts w:ascii="Verdana" w:hAnsi="Verdana"/>
          <w:sz w:val="16"/>
          <w:szCs w:val="16"/>
        </w:rPr>
        <w:t xml:space="preserve"> </w:t>
      </w:r>
      <w:r>
        <w:rPr>
          <w:rFonts w:ascii="Verdana" w:hAnsi="Verdana"/>
          <w:sz w:val="16"/>
          <w:szCs w:val="16"/>
        </w:rPr>
        <w:t>a</w:t>
      </w:r>
      <w:r w:rsidRPr="004C3F47">
        <w:rPr>
          <w:rFonts w:ascii="Verdana" w:hAnsi="Verdana"/>
          <w:sz w:val="16"/>
          <w:szCs w:val="16"/>
        </w:rPr>
        <w:t xml:space="preserve">nexo 12 del Informe de Fondo, </w:t>
      </w:r>
      <w:proofErr w:type="spellStart"/>
      <w:r w:rsidRPr="004C3F47">
        <w:rPr>
          <w:rFonts w:ascii="Verdana" w:hAnsi="Verdana"/>
          <w:sz w:val="16"/>
          <w:szCs w:val="16"/>
        </w:rPr>
        <w:t>ff</w:t>
      </w:r>
      <w:proofErr w:type="spellEnd"/>
      <w:r w:rsidRPr="004C3F47">
        <w:rPr>
          <w:rFonts w:ascii="Verdana" w:hAnsi="Verdana"/>
          <w:sz w:val="16"/>
          <w:szCs w:val="16"/>
        </w:rPr>
        <w:t xml:space="preserve">. 47 y 48).  </w:t>
      </w:r>
    </w:p>
  </w:footnote>
  <w:footnote w:id="169">
    <w:p w14:paraId="3A5E1CDC" w14:textId="4C68217F" w:rsidR="00D86616" w:rsidRPr="00333304" w:rsidRDefault="00D86616" w:rsidP="006A2D03">
      <w:pPr>
        <w:pStyle w:val="FootnoteText"/>
        <w:spacing w:after="0"/>
        <w:rPr>
          <w:i/>
          <w:lang w:val="es-HN"/>
        </w:rPr>
      </w:pPr>
      <w:r w:rsidRPr="00363DED">
        <w:rPr>
          <w:rStyle w:val="FootnoteReference"/>
          <w:sz w:val="16"/>
        </w:rPr>
        <w:footnoteRef/>
      </w:r>
      <w:r w:rsidRPr="009E6ED2">
        <w:rPr>
          <w:lang w:val="es-MX"/>
        </w:rPr>
        <w:t xml:space="preserve"> </w:t>
      </w:r>
      <w:r w:rsidRPr="009E6ED2">
        <w:rPr>
          <w:lang w:val="es-MX"/>
        </w:rPr>
        <w:tab/>
        <w:t xml:space="preserve">De conformidad con lo establecido en el artículo 233 de la Constitución Peruana de 1979, para la buena administración de justicia, se requería “motivación escrita de las resoluciones, en todas las instancias, con mención expresa de la ley aplicable y de los fundamentos en que se sustentaba”. Respecto del deber de motivar, la Corte ha señalado que “es una de las ‘debidas garantías’ incluidas en el artículo 8.1 para salvaguardar el derecho a un debido proceso”. “[…] Es una garantía vinculada con la correcta administración de justicia […] que protege el derecho […] a ser juzgados por las razones que el Derecho suministra, y otorga credibilidad de las decisiones jurídicas en el marco de una sociedad democrática”. “Las decisiones que adopten los órganos internos que puedan afectar derechos humanos deben estar debidamente fundamentadas, pues de lo contrario serían decisiones arbitrarias”. No obstante, cabe recordar que el deber de motivar no exige una respuesta detallada a todo argumento de las partes, sino que puede variar según la naturaleza de la decisión, debe determinarse a la luz de las circunstancias del </w:t>
      </w:r>
      <w:proofErr w:type="gramStart"/>
      <w:r w:rsidRPr="009E6ED2">
        <w:rPr>
          <w:lang w:val="es-MX"/>
        </w:rPr>
        <w:t>caso ,</w:t>
      </w:r>
      <w:proofErr w:type="gramEnd"/>
      <w:r w:rsidRPr="009E6ED2">
        <w:rPr>
          <w:lang w:val="es-MX"/>
        </w:rPr>
        <w:t xml:space="preserve"> por lo que “corresponde analizar en cada caso si dicha garantía ha sido satisfecha”. </w:t>
      </w:r>
      <w:r w:rsidRPr="00A532BE">
        <w:rPr>
          <w:i/>
          <w:lang w:val="es-MX"/>
        </w:rPr>
        <w:t>Cfr.</w:t>
      </w:r>
      <w:r>
        <w:rPr>
          <w:lang w:val="es-MX"/>
        </w:rPr>
        <w:t xml:space="preserve"> </w:t>
      </w:r>
      <w:r w:rsidRPr="009E6ED2">
        <w:rPr>
          <w:i/>
          <w:lang w:val="es-MX"/>
        </w:rPr>
        <w:t xml:space="preserve">Caso </w:t>
      </w:r>
      <w:proofErr w:type="spellStart"/>
      <w:r w:rsidRPr="009E6ED2">
        <w:rPr>
          <w:i/>
          <w:lang w:val="es-MX"/>
        </w:rPr>
        <w:t>Apitz</w:t>
      </w:r>
      <w:proofErr w:type="spellEnd"/>
      <w:r w:rsidRPr="009E6ED2">
        <w:rPr>
          <w:i/>
          <w:lang w:val="es-MX"/>
        </w:rPr>
        <w:t xml:space="preserve"> Barbera y otros (“Corte Primera de lo Contencioso Administrativo”) Vs. Venezuela</w:t>
      </w:r>
      <w:r w:rsidRPr="009E6ED2">
        <w:rPr>
          <w:lang w:val="es-MX"/>
        </w:rPr>
        <w:t xml:space="preserve">. Excepción Preliminar, Fondo, Reparaciones y Costas. Sentencia de 5 de agosto de 2008. </w:t>
      </w:r>
      <w:hyperlink r:id="rId5" w:tgtFrame="_blank" w:history="1">
        <w:r w:rsidRPr="009E6ED2">
          <w:rPr>
            <w:lang w:val="es-MX"/>
          </w:rPr>
          <w:t>Serie C No. 182</w:t>
        </w:r>
      </w:hyperlink>
      <w:r w:rsidRPr="009E6ED2">
        <w:rPr>
          <w:lang w:val="es-MX"/>
        </w:rPr>
        <w:t>, § 90;</w:t>
      </w:r>
      <w:r>
        <w:rPr>
          <w:lang w:val="es-MX"/>
        </w:rPr>
        <w:t xml:space="preserve"> </w:t>
      </w:r>
      <w:r w:rsidRPr="00333304">
        <w:rPr>
          <w:rStyle w:val="apple-converted-space"/>
          <w:i/>
          <w:lang w:val="es-CR"/>
        </w:rPr>
        <w:t>Caso Zegarra Marín Vs. Perú</w:t>
      </w:r>
      <w:r>
        <w:rPr>
          <w:rStyle w:val="apple-converted-space"/>
          <w:lang w:val="es-CR"/>
        </w:rPr>
        <w:t>,</w:t>
      </w:r>
      <w:r w:rsidRPr="00333304">
        <w:rPr>
          <w:rStyle w:val="apple-converted-space"/>
          <w:i/>
          <w:lang w:val="es-CR"/>
        </w:rPr>
        <w:t xml:space="preserve"> </w:t>
      </w:r>
      <w:r w:rsidRPr="001E36C0">
        <w:rPr>
          <w:i/>
          <w:lang w:val="es-MX"/>
        </w:rPr>
        <w:t>supra,</w:t>
      </w:r>
      <w:r>
        <w:rPr>
          <w:lang w:val="es-MX"/>
        </w:rPr>
        <w:t xml:space="preserve"> párr. 178</w:t>
      </w:r>
      <w:r w:rsidRPr="009E6ED2">
        <w:rPr>
          <w:lang w:val="es-MX"/>
        </w:rPr>
        <w:t xml:space="preserve">. </w:t>
      </w:r>
      <w:r w:rsidRPr="009E6ED2">
        <w:rPr>
          <w:i/>
          <w:lang w:val="es-MX"/>
        </w:rPr>
        <w:t xml:space="preserve">Cfr. </w:t>
      </w:r>
      <w:r w:rsidRPr="004868B2">
        <w:rPr>
          <w:lang w:val="es-MX"/>
        </w:rPr>
        <w:t>TEDH</w:t>
      </w:r>
      <w:r w:rsidRPr="009E6ED2">
        <w:rPr>
          <w:i/>
          <w:lang w:val="es-MX"/>
        </w:rPr>
        <w:t xml:space="preserve"> Caso </w:t>
      </w:r>
      <w:proofErr w:type="spellStart"/>
      <w:r w:rsidRPr="009E6ED2">
        <w:rPr>
          <w:i/>
          <w:lang w:val="es-MX"/>
        </w:rPr>
        <w:t>Hiro</w:t>
      </w:r>
      <w:proofErr w:type="spellEnd"/>
      <w:r w:rsidRPr="009E6ED2">
        <w:rPr>
          <w:i/>
          <w:lang w:val="es-MX"/>
        </w:rPr>
        <w:t xml:space="preserve"> </w:t>
      </w:r>
      <w:proofErr w:type="spellStart"/>
      <w:r w:rsidRPr="00BD701A">
        <w:rPr>
          <w:lang w:val="es-MX"/>
        </w:rPr>
        <w:t>Balani</w:t>
      </w:r>
      <w:proofErr w:type="spellEnd"/>
      <w:r w:rsidRPr="009E6ED2">
        <w:rPr>
          <w:i/>
          <w:lang w:val="es-MX"/>
        </w:rPr>
        <w:t xml:space="preserve"> Vs. España. </w:t>
      </w:r>
      <w:r w:rsidRPr="009E6ED2">
        <w:rPr>
          <w:lang w:val="es-MX"/>
        </w:rPr>
        <w:t xml:space="preserve">No. 18064/91. Sentencia de 9 de diciembre de 1994. Párr. 27; </w:t>
      </w:r>
      <w:r w:rsidRPr="00957B44">
        <w:rPr>
          <w:i/>
          <w:lang w:val="es-MX"/>
        </w:rPr>
        <w:t xml:space="preserve">Caso Ruiz </w:t>
      </w:r>
      <w:proofErr w:type="spellStart"/>
      <w:r w:rsidRPr="00957B44">
        <w:rPr>
          <w:i/>
          <w:lang w:val="es-MX"/>
        </w:rPr>
        <w:t>Torija</w:t>
      </w:r>
      <w:proofErr w:type="spellEnd"/>
      <w:r w:rsidRPr="00957B44">
        <w:rPr>
          <w:i/>
          <w:lang w:val="es-MX"/>
        </w:rPr>
        <w:t xml:space="preserve"> Vs. España. </w:t>
      </w:r>
      <w:r w:rsidRPr="00957B44">
        <w:rPr>
          <w:i/>
          <w:lang w:val="es-HN"/>
        </w:rPr>
        <w:t xml:space="preserve">No. 18390/91. </w:t>
      </w:r>
      <w:r w:rsidRPr="00333304">
        <w:rPr>
          <w:lang w:val="es-HN"/>
        </w:rPr>
        <w:t>Sentencia de 9 de diciembre de 1994.</w:t>
      </w:r>
      <w:r>
        <w:rPr>
          <w:lang w:val="es-HN"/>
        </w:rPr>
        <w:t xml:space="preserve"> </w:t>
      </w:r>
      <w:r w:rsidRPr="006F7BE4">
        <w:rPr>
          <w:lang w:val="es-HN"/>
        </w:rPr>
        <w:t xml:space="preserve">Párr. 29; </w:t>
      </w:r>
      <w:r w:rsidRPr="00333304">
        <w:rPr>
          <w:i/>
          <w:lang w:val="es-HN"/>
        </w:rPr>
        <w:t xml:space="preserve">Caso </w:t>
      </w:r>
      <w:proofErr w:type="spellStart"/>
      <w:r w:rsidRPr="00333304">
        <w:rPr>
          <w:i/>
          <w:lang w:val="es-HN"/>
        </w:rPr>
        <w:t>Suominen</w:t>
      </w:r>
      <w:proofErr w:type="spellEnd"/>
      <w:r w:rsidRPr="00333304">
        <w:rPr>
          <w:i/>
          <w:lang w:val="es-HN"/>
        </w:rPr>
        <w:t xml:space="preserve"> vs. Finlandia</w:t>
      </w:r>
      <w:r w:rsidRPr="00333304">
        <w:rPr>
          <w:lang w:val="es-HN"/>
        </w:rPr>
        <w:t xml:space="preserve"> No. </w:t>
      </w:r>
      <w:r>
        <w:rPr>
          <w:lang w:val="es-HN"/>
        </w:rPr>
        <w:t xml:space="preserve">49684/99. Sentencia de 27 de septiembre de 2011, y </w:t>
      </w:r>
      <w:r w:rsidRPr="00333304">
        <w:rPr>
          <w:i/>
          <w:lang w:val="es-HN"/>
        </w:rPr>
        <w:t xml:space="preserve">Caso </w:t>
      </w:r>
      <w:proofErr w:type="spellStart"/>
      <w:r w:rsidRPr="00333304">
        <w:rPr>
          <w:i/>
          <w:lang w:val="es-HN"/>
        </w:rPr>
        <w:t>Hirvisaari</w:t>
      </w:r>
      <w:proofErr w:type="spellEnd"/>
      <w:r w:rsidRPr="00333304">
        <w:rPr>
          <w:i/>
          <w:lang w:val="es-HN"/>
        </w:rPr>
        <w:t xml:space="preserve"> vs. Finlandia No</w:t>
      </w:r>
      <w:r>
        <w:rPr>
          <w:lang w:val="es-HN"/>
        </w:rPr>
        <w:t>. 49684/99. Sentencia de 27 de septiembre de 2011. Párr. 30</w:t>
      </w:r>
    </w:p>
  </w:footnote>
  <w:footnote w:id="170">
    <w:p w14:paraId="0853A4B3" w14:textId="1DC16D92" w:rsidR="00D86616" w:rsidRPr="009E6ED2" w:rsidRDefault="00D86616" w:rsidP="006A2D03">
      <w:pPr>
        <w:pStyle w:val="FootnoteText"/>
        <w:spacing w:after="0"/>
        <w:rPr>
          <w:lang w:val="es-MX"/>
        </w:rPr>
      </w:pPr>
      <w:r w:rsidRPr="00363DED">
        <w:rPr>
          <w:rStyle w:val="FootnoteReference"/>
          <w:sz w:val="16"/>
        </w:rPr>
        <w:footnoteRef/>
      </w:r>
      <w:r w:rsidRPr="009E6ED2">
        <w:rPr>
          <w:lang w:val="es-MX"/>
        </w:rPr>
        <w:t xml:space="preserve"> </w:t>
      </w:r>
      <w:r w:rsidRPr="009E6ED2">
        <w:rPr>
          <w:lang w:val="es-MX"/>
        </w:rPr>
        <w:tab/>
        <w:t>Las cursivas y negritas en el texto son añadidas.</w:t>
      </w:r>
    </w:p>
  </w:footnote>
  <w:footnote w:id="171">
    <w:p w14:paraId="3F7A32BA" w14:textId="27A64021"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 xml:space="preserve">Petición inicial ante la CIDH (expediente de prueba, trámite ante la CIDH, </w:t>
      </w:r>
      <w:proofErr w:type="spellStart"/>
      <w:r w:rsidRPr="009E6ED2">
        <w:rPr>
          <w:lang w:val="es-MX"/>
        </w:rPr>
        <w:t>ff</w:t>
      </w:r>
      <w:proofErr w:type="spellEnd"/>
      <w:r w:rsidRPr="009E6ED2">
        <w:rPr>
          <w:lang w:val="es-MX"/>
        </w:rPr>
        <w:t>. 271, 436, 439, 510, 558 a 561).</w:t>
      </w:r>
    </w:p>
  </w:footnote>
  <w:footnote w:id="172">
    <w:p w14:paraId="4DF8E2F6" w14:textId="7FC489ED" w:rsidR="00D86616" w:rsidRPr="00801513" w:rsidRDefault="00D86616" w:rsidP="006A2D03">
      <w:pPr>
        <w:jc w:val="both"/>
        <w:rPr>
          <w:rFonts w:ascii="Verdana" w:hAnsi="Verdana"/>
          <w:sz w:val="16"/>
          <w:szCs w:val="16"/>
          <w:lang w:val="es-CR"/>
        </w:rPr>
      </w:pPr>
      <w:r w:rsidRPr="00801513">
        <w:rPr>
          <w:rStyle w:val="FootnoteReference"/>
          <w:sz w:val="16"/>
          <w:szCs w:val="16"/>
        </w:rPr>
        <w:footnoteRef/>
      </w:r>
      <w:r>
        <w:rPr>
          <w:rFonts w:ascii="Verdana" w:hAnsi="Verdana"/>
          <w:sz w:val="16"/>
          <w:szCs w:val="16"/>
        </w:rPr>
        <w:t xml:space="preserve"> </w:t>
      </w:r>
      <w:r>
        <w:rPr>
          <w:rFonts w:ascii="Verdana" w:hAnsi="Verdana"/>
          <w:sz w:val="16"/>
          <w:szCs w:val="16"/>
        </w:rPr>
        <w:tab/>
      </w:r>
      <w:r w:rsidRPr="004C3F47">
        <w:rPr>
          <w:rFonts w:ascii="Verdana" w:hAnsi="Verdana"/>
          <w:sz w:val="16"/>
          <w:szCs w:val="16"/>
          <w:lang w:val="es-CR"/>
        </w:rPr>
        <w:t xml:space="preserve">Escrito presentado en la oficina de la OEA en Perú de fecha 30 de septiembre de 1994 </w:t>
      </w:r>
      <w:r>
        <w:rPr>
          <w:rFonts w:ascii="Verdana" w:hAnsi="Verdana"/>
          <w:sz w:val="16"/>
          <w:szCs w:val="16"/>
          <w:lang w:val="es-CR"/>
        </w:rPr>
        <w:t>(</w:t>
      </w:r>
      <w:r w:rsidRPr="004C3F47">
        <w:rPr>
          <w:rFonts w:ascii="Verdana" w:hAnsi="Verdana"/>
          <w:sz w:val="16"/>
          <w:szCs w:val="16"/>
          <w:lang w:val="es-CR"/>
        </w:rPr>
        <w:t xml:space="preserve">expediente de </w:t>
      </w:r>
      <w:r>
        <w:rPr>
          <w:rFonts w:ascii="Verdana" w:hAnsi="Verdana"/>
          <w:sz w:val="16"/>
          <w:szCs w:val="16"/>
          <w:lang w:val="es-CR"/>
        </w:rPr>
        <w:t>prueba</w:t>
      </w:r>
      <w:r w:rsidRPr="004C3F47">
        <w:rPr>
          <w:rFonts w:ascii="Verdana" w:hAnsi="Verdana"/>
          <w:sz w:val="16"/>
          <w:szCs w:val="16"/>
          <w:lang w:val="es-CR"/>
        </w:rPr>
        <w:t>,</w:t>
      </w:r>
      <w:r>
        <w:rPr>
          <w:rFonts w:ascii="Verdana" w:hAnsi="Verdana"/>
          <w:sz w:val="16"/>
          <w:szCs w:val="16"/>
          <w:lang w:val="es-CR"/>
        </w:rPr>
        <w:t xml:space="preserve"> trámite ante la CIDH,</w:t>
      </w:r>
      <w:r w:rsidRPr="004C3F47">
        <w:rPr>
          <w:rFonts w:ascii="Verdana" w:hAnsi="Verdana"/>
          <w:sz w:val="16"/>
          <w:szCs w:val="16"/>
          <w:lang w:val="es-CR"/>
        </w:rPr>
        <w:t xml:space="preserve"> </w:t>
      </w:r>
      <w:proofErr w:type="spellStart"/>
      <w:r w:rsidRPr="004E7321">
        <w:rPr>
          <w:rFonts w:ascii="Verdana" w:hAnsi="Verdana"/>
          <w:sz w:val="16"/>
          <w:szCs w:val="16"/>
          <w:lang w:val="es-CR"/>
        </w:rPr>
        <w:t>ff</w:t>
      </w:r>
      <w:proofErr w:type="spellEnd"/>
      <w:r w:rsidRPr="004E7321">
        <w:rPr>
          <w:rFonts w:ascii="Verdana" w:hAnsi="Verdana"/>
          <w:sz w:val="16"/>
          <w:szCs w:val="16"/>
          <w:lang w:val="es-CR"/>
        </w:rPr>
        <w:t>.</w:t>
      </w:r>
      <w:r w:rsidRPr="004C3F47">
        <w:rPr>
          <w:rFonts w:ascii="Verdana" w:hAnsi="Verdana"/>
          <w:sz w:val="16"/>
          <w:szCs w:val="16"/>
          <w:lang w:val="es-CR"/>
        </w:rPr>
        <w:t xml:space="preserve"> 516 y 594</w:t>
      </w:r>
      <w:r>
        <w:rPr>
          <w:rFonts w:ascii="Verdana" w:hAnsi="Verdana"/>
          <w:sz w:val="16"/>
          <w:szCs w:val="16"/>
          <w:lang w:val="es-CR"/>
        </w:rPr>
        <w:t>)</w:t>
      </w:r>
      <w:r w:rsidRPr="004C3F47">
        <w:rPr>
          <w:rFonts w:ascii="Verdana" w:hAnsi="Verdana"/>
          <w:sz w:val="16"/>
          <w:szCs w:val="16"/>
          <w:lang w:val="es-CR"/>
        </w:rPr>
        <w:t>.</w:t>
      </w:r>
    </w:p>
  </w:footnote>
  <w:footnote w:id="173">
    <w:p w14:paraId="6027C597" w14:textId="64C9408C"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Escrito de la FETIMP de fecha 04 de junio de 1997 (expediente de prueba, trámite ante la CIDH, f. 525).</w:t>
      </w:r>
    </w:p>
  </w:footnote>
  <w:footnote w:id="174">
    <w:p w14:paraId="70D423F8" w14:textId="666E3A1F"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 xml:space="preserve">Petición presentada ante la CIDH (expediente de prueba, trámite ante la CIDH, </w:t>
      </w:r>
      <w:proofErr w:type="spellStart"/>
      <w:r w:rsidRPr="009E6ED2">
        <w:rPr>
          <w:lang w:val="es-MX"/>
        </w:rPr>
        <w:t>ff</w:t>
      </w:r>
      <w:proofErr w:type="spellEnd"/>
      <w:r w:rsidRPr="009E6ED2">
        <w:rPr>
          <w:lang w:val="es-MX"/>
        </w:rPr>
        <w:t>. 371 y 377).</w:t>
      </w:r>
    </w:p>
  </w:footnote>
  <w:footnote w:id="175">
    <w:p w14:paraId="1574D370" w14:textId="6036AD16"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Escrito de la CIDH de fecha 2 de septiembre de 1997 (expediente de prueba, trámite ante la CIDH, f. 182).</w:t>
      </w:r>
    </w:p>
  </w:footnote>
  <w:footnote w:id="176">
    <w:p w14:paraId="3DE02A35" w14:textId="31C7BC55"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 xml:space="preserve">Denuncia actualizada y regularizada dirigida a la CIDH de 22 de Julio de 1998 (expediente de prueba, trámite ante la CIDH, </w:t>
      </w:r>
      <w:proofErr w:type="spellStart"/>
      <w:r w:rsidRPr="009E6ED2">
        <w:rPr>
          <w:lang w:val="es-MX"/>
        </w:rPr>
        <w:t>ff</w:t>
      </w:r>
      <w:proofErr w:type="spellEnd"/>
      <w:r w:rsidRPr="009E6ED2">
        <w:rPr>
          <w:lang w:val="es-MX"/>
        </w:rPr>
        <w:t>. 186, 192, 426, 432, 451 y 457).</w:t>
      </w:r>
    </w:p>
  </w:footnote>
  <w:footnote w:id="177">
    <w:p w14:paraId="5BC007C6" w14:textId="44B9D3B5" w:rsidR="00D86616" w:rsidRPr="009E6ED2" w:rsidRDefault="00D86616" w:rsidP="006A2D03">
      <w:pPr>
        <w:pStyle w:val="FootnoteText"/>
        <w:spacing w:after="0"/>
        <w:rPr>
          <w:lang w:val="es-MX"/>
        </w:rPr>
      </w:pPr>
      <w:r w:rsidRPr="00363DED">
        <w:rPr>
          <w:rStyle w:val="FootnoteReference"/>
          <w:sz w:val="16"/>
        </w:rPr>
        <w:footnoteRef/>
      </w:r>
      <w:r w:rsidRPr="009E6ED2">
        <w:rPr>
          <w:lang w:val="es-MX"/>
        </w:rPr>
        <w:t xml:space="preserve"> </w:t>
      </w:r>
      <w:r w:rsidRPr="009E6ED2">
        <w:rPr>
          <w:lang w:val="es-MX"/>
        </w:rPr>
        <w:tab/>
        <w:t>Escrito presentado ante la CIDH de 21 de enero del 2002 (expediente de prueba, trámite ante la CIDH, f. 380).</w:t>
      </w:r>
    </w:p>
  </w:footnote>
  <w:footnote w:id="178">
    <w:p w14:paraId="70F70C92" w14:textId="28F7CE32" w:rsidR="00D86616" w:rsidRPr="009E6ED2" w:rsidRDefault="00D86616" w:rsidP="006A2D03">
      <w:pPr>
        <w:pStyle w:val="FootnoteText"/>
        <w:spacing w:after="0"/>
        <w:rPr>
          <w:lang w:val="es-MX"/>
        </w:rPr>
      </w:pPr>
      <w:r w:rsidRPr="00363DED">
        <w:rPr>
          <w:rStyle w:val="FootnoteReference"/>
          <w:sz w:val="16"/>
        </w:rPr>
        <w:footnoteRef/>
      </w:r>
      <w:r w:rsidRPr="009E6ED2">
        <w:rPr>
          <w:lang w:val="es-MX"/>
        </w:rPr>
        <w:t xml:space="preserve"> </w:t>
      </w:r>
      <w:r w:rsidRPr="009E6ED2">
        <w:rPr>
          <w:lang w:val="es-MX"/>
        </w:rPr>
        <w:tab/>
        <w:t xml:space="preserve">Escrito presentado ante la CIDH de 20 de febrero del 2003 (expediente de prueba, trámite ante la CIDH, </w:t>
      </w:r>
      <w:proofErr w:type="spellStart"/>
      <w:r w:rsidRPr="009E6ED2">
        <w:rPr>
          <w:lang w:val="es-MX"/>
        </w:rPr>
        <w:t>ff</w:t>
      </w:r>
      <w:proofErr w:type="spellEnd"/>
      <w:r w:rsidRPr="009E6ED2">
        <w:rPr>
          <w:lang w:val="es-MX"/>
        </w:rPr>
        <w:t xml:space="preserve">. 272 y 296). </w:t>
      </w:r>
    </w:p>
  </w:footnote>
  <w:footnote w:id="179">
    <w:p w14:paraId="50AA2E7B" w14:textId="194E431E" w:rsidR="00D86616" w:rsidRPr="004C3F47" w:rsidRDefault="00D86616" w:rsidP="006A2D03">
      <w:pPr>
        <w:pStyle w:val="FootnoteText"/>
        <w:spacing w:after="0"/>
        <w:rPr>
          <w:lang w:val="es-ES"/>
        </w:rPr>
      </w:pPr>
      <w:r w:rsidRPr="00363DED">
        <w:rPr>
          <w:rStyle w:val="FootnoteReference"/>
          <w:rFonts w:eastAsia="Calibri"/>
          <w:sz w:val="16"/>
        </w:rPr>
        <w:footnoteRef/>
      </w:r>
      <w:r w:rsidRPr="004C3F47">
        <w:rPr>
          <w:lang w:val="es-ES"/>
        </w:rPr>
        <w:t xml:space="preserve"> </w:t>
      </w:r>
      <w:r w:rsidRPr="004C3F47">
        <w:rPr>
          <w:lang w:val="es-ES"/>
        </w:rPr>
        <w:tab/>
      </w:r>
      <w:r w:rsidRPr="009E6ED2">
        <w:rPr>
          <w:lang w:val="es-MX"/>
        </w:rPr>
        <w:t xml:space="preserve">Informe No. </w:t>
      </w:r>
      <w:r w:rsidRPr="004C3F47">
        <w:rPr>
          <w:bCs/>
          <w:lang w:val="es-ES"/>
        </w:rPr>
        <w:t xml:space="preserve">21-2003-JUS/CNDH-SE </w:t>
      </w:r>
      <w:r w:rsidRPr="009E6ED2">
        <w:rPr>
          <w:lang w:val="es-MX"/>
        </w:rPr>
        <w:t xml:space="preserve">de </w:t>
      </w:r>
      <w:r w:rsidRPr="004C3F47">
        <w:rPr>
          <w:lang w:val="es-ES"/>
        </w:rPr>
        <w:t>la Secretaría Ejecutiva del Consejo Nacional de Derechos Humanos</w:t>
      </w:r>
      <w:r w:rsidRPr="009E6ED2">
        <w:rPr>
          <w:lang w:val="es-MX"/>
        </w:rPr>
        <w:t xml:space="preserve"> de Perú de fecha 7 de marzo de 2003 (expediente de prueba, trámite ante la CIDH, f. 224) e Informe Nro. 57-2007-JUS/CNDH/SE/CESAPI de la Comisión Especial de Seguimiento y Atención de Procedimientos Internacionales de 15 de mayo de 2007 (expediente de prueba, trámite ante la CIDH, f. 947).</w:t>
      </w:r>
    </w:p>
  </w:footnote>
  <w:footnote w:id="180">
    <w:p w14:paraId="2BC5FEAD" w14:textId="342AC580"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Comunicación de la CIDH de 12 de noviembre de 2010 (expediente de prueba, trámite ante la CIDH, f. 773).</w:t>
      </w:r>
    </w:p>
  </w:footnote>
  <w:footnote w:id="181">
    <w:p w14:paraId="65C7EC17" w14:textId="62C65263" w:rsidR="00D86616" w:rsidRPr="009E6ED2" w:rsidRDefault="00D86616" w:rsidP="006A2D03">
      <w:pPr>
        <w:pStyle w:val="FootnoteText"/>
        <w:spacing w:after="0"/>
        <w:rPr>
          <w:lang w:val="es-MX"/>
        </w:rPr>
      </w:pPr>
      <w:r w:rsidRPr="00363DED">
        <w:rPr>
          <w:rStyle w:val="FootnoteReference"/>
          <w:sz w:val="16"/>
        </w:rPr>
        <w:footnoteRef/>
      </w:r>
      <w:r w:rsidRPr="009E6ED2">
        <w:rPr>
          <w:lang w:val="es-MX"/>
        </w:rPr>
        <w:t xml:space="preserve"> </w:t>
      </w:r>
      <w:r w:rsidRPr="009E6ED2">
        <w:rPr>
          <w:lang w:val="es-MX"/>
        </w:rPr>
        <w:tab/>
        <w:t xml:space="preserve">Informe de Admisibilidad No. 152/10 aprobado el 1 de noviembre de 2010 (expediente de prueba, trámite ante la CIDH, </w:t>
      </w:r>
      <w:proofErr w:type="spellStart"/>
      <w:r w:rsidRPr="009E6ED2">
        <w:rPr>
          <w:lang w:val="es-MX"/>
        </w:rPr>
        <w:t>ff</w:t>
      </w:r>
      <w:proofErr w:type="spellEnd"/>
      <w:r w:rsidRPr="009E6ED2">
        <w:rPr>
          <w:lang w:val="es-MX"/>
        </w:rPr>
        <w:t>. 776 y 784).</w:t>
      </w:r>
    </w:p>
  </w:footnote>
  <w:footnote w:id="182">
    <w:p w14:paraId="41B925DE" w14:textId="5F8BC685"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Escrito elaborado por APRODEH en representación del Señor Lagos del Campo de 16 de marzo de 2011 (expediente de prueba, trámite ante la CIDH, f. 703).</w:t>
      </w:r>
    </w:p>
  </w:footnote>
  <w:footnote w:id="183">
    <w:p w14:paraId="76EE849F" w14:textId="7C6AFA60" w:rsidR="00D86616" w:rsidRPr="009E6ED2" w:rsidRDefault="00D86616" w:rsidP="006A2D03">
      <w:pPr>
        <w:pStyle w:val="FootnoteText"/>
        <w:spacing w:after="0"/>
        <w:rPr>
          <w:lang w:val="es-MX"/>
        </w:rPr>
      </w:pPr>
      <w:r w:rsidRPr="0018405A">
        <w:rPr>
          <w:rStyle w:val="FootnoteReference"/>
          <w:sz w:val="16"/>
        </w:rPr>
        <w:footnoteRef/>
      </w:r>
      <w:r w:rsidRPr="009E6ED2">
        <w:rPr>
          <w:lang w:val="es-MX"/>
        </w:rPr>
        <w:t xml:space="preserve"> </w:t>
      </w:r>
      <w:r w:rsidRPr="009E6ED2">
        <w:rPr>
          <w:lang w:val="es-MX"/>
        </w:rPr>
        <w:tab/>
        <w:t>En su demanda ante el Tribunal del Trabajo se evidencia la controversia laboral. En su petitorio se señala que “[s]</w:t>
      </w:r>
      <w:proofErr w:type="spellStart"/>
      <w:r w:rsidRPr="009E6ED2">
        <w:rPr>
          <w:lang w:val="es-MX"/>
        </w:rPr>
        <w:t>iendo</w:t>
      </w:r>
      <w:proofErr w:type="spellEnd"/>
      <w:r w:rsidRPr="009E6ED2">
        <w:rPr>
          <w:lang w:val="es-MX"/>
        </w:rPr>
        <w:t xml:space="preserve"> notorio el carácter improcedente e injustificado del despido que […] </w:t>
      </w:r>
      <w:proofErr w:type="spellStart"/>
      <w:r w:rsidRPr="009E6ED2">
        <w:rPr>
          <w:lang w:val="es-MX"/>
        </w:rPr>
        <w:t>solicit</w:t>
      </w:r>
      <w:proofErr w:type="spellEnd"/>
      <w:r w:rsidRPr="009E6ED2">
        <w:rPr>
          <w:lang w:val="es-MX"/>
        </w:rPr>
        <w:t>[</w:t>
      </w:r>
      <w:proofErr w:type="spellStart"/>
      <w:r w:rsidRPr="009E6ED2">
        <w:rPr>
          <w:lang w:val="es-MX"/>
        </w:rPr>
        <w:t>ó</w:t>
      </w:r>
      <w:proofErr w:type="spellEnd"/>
      <w:r w:rsidRPr="009E6ED2">
        <w:rPr>
          <w:lang w:val="es-MX"/>
        </w:rPr>
        <w:t>] al Juzgado […] ordenar la suspensión del despido y [su] reincorporación [a su] puesto habitual de trabajo” (expediente de prueba, trámite ante la CIDH, f. 27).</w:t>
      </w:r>
    </w:p>
  </w:footnote>
  <w:footnote w:id="184">
    <w:p w14:paraId="3762B2D6" w14:textId="0ED14F59" w:rsidR="00D86616" w:rsidRPr="009E6ED2" w:rsidRDefault="00D86616" w:rsidP="006A2D03">
      <w:pPr>
        <w:pStyle w:val="FootnoteText"/>
        <w:spacing w:after="0"/>
        <w:rPr>
          <w:lang w:val="es-MX"/>
        </w:rPr>
      </w:pPr>
      <w:r w:rsidRPr="0018405A">
        <w:rPr>
          <w:rStyle w:val="FootnoteReference"/>
          <w:sz w:val="16"/>
        </w:rPr>
        <w:footnoteRef/>
      </w:r>
      <w:r w:rsidRPr="009E6ED2">
        <w:rPr>
          <w:lang w:val="es-MX"/>
        </w:rPr>
        <w:t xml:space="preserve"> </w:t>
      </w:r>
      <w:r w:rsidRPr="009E6ED2">
        <w:rPr>
          <w:lang w:val="es-MX"/>
        </w:rPr>
        <w:tab/>
        <w:t>En particular, la Corte resalta que desde su primer escrito de 13 de octubre dirigido a la Comisión Interamericana, el peticionario precisó, entre otros, que se había violado “[su] derecho a la [e]</w:t>
      </w:r>
      <w:proofErr w:type="spellStart"/>
      <w:r w:rsidRPr="009E6ED2">
        <w:rPr>
          <w:lang w:val="es-MX"/>
        </w:rPr>
        <w:t>stabilidad</w:t>
      </w:r>
      <w:proofErr w:type="spellEnd"/>
      <w:r w:rsidRPr="009E6ED2">
        <w:rPr>
          <w:lang w:val="es-MX"/>
        </w:rPr>
        <w:t xml:space="preserve"> en el [t]</w:t>
      </w:r>
      <w:proofErr w:type="spellStart"/>
      <w:r w:rsidRPr="009E6ED2">
        <w:rPr>
          <w:lang w:val="es-MX"/>
        </w:rPr>
        <w:t>rabajo</w:t>
      </w:r>
      <w:proofErr w:type="spellEnd"/>
      <w:r w:rsidRPr="009E6ED2">
        <w:rPr>
          <w:lang w:val="es-MX"/>
        </w:rPr>
        <w:t>, señalado en el [a]</w:t>
      </w:r>
      <w:proofErr w:type="spellStart"/>
      <w:proofErr w:type="gramStart"/>
      <w:r w:rsidRPr="009E6ED2">
        <w:rPr>
          <w:lang w:val="es-MX"/>
        </w:rPr>
        <w:t>rt</w:t>
      </w:r>
      <w:proofErr w:type="spellEnd"/>
      <w:r w:rsidRPr="009E6ED2">
        <w:rPr>
          <w:lang w:val="es-MX"/>
        </w:rPr>
        <w:t>[</w:t>
      </w:r>
      <w:proofErr w:type="spellStart"/>
      <w:proofErr w:type="gramEnd"/>
      <w:r w:rsidRPr="009E6ED2">
        <w:rPr>
          <w:lang w:val="es-MX"/>
        </w:rPr>
        <w:t>ículo</w:t>
      </w:r>
      <w:proofErr w:type="spellEnd"/>
      <w:r w:rsidRPr="009E6ED2">
        <w:rPr>
          <w:lang w:val="es-MX"/>
        </w:rPr>
        <w:t>] 48 de la Constitución y [a]</w:t>
      </w:r>
      <w:proofErr w:type="spellStart"/>
      <w:r w:rsidRPr="009E6ED2">
        <w:rPr>
          <w:lang w:val="es-MX"/>
        </w:rPr>
        <w:t>rt</w:t>
      </w:r>
      <w:proofErr w:type="spellEnd"/>
      <w:r w:rsidRPr="009E6ED2">
        <w:rPr>
          <w:lang w:val="es-MX"/>
        </w:rPr>
        <w:t>[</w:t>
      </w:r>
      <w:proofErr w:type="spellStart"/>
      <w:r w:rsidRPr="009E6ED2">
        <w:rPr>
          <w:lang w:val="es-MX"/>
        </w:rPr>
        <w:t>ículos</w:t>
      </w:r>
      <w:proofErr w:type="spellEnd"/>
      <w:r w:rsidRPr="009E6ED2">
        <w:rPr>
          <w:lang w:val="es-MX"/>
        </w:rPr>
        <w:t>] 27 y 28 del [n]</w:t>
      </w:r>
      <w:proofErr w:type="spellStart"/>
      <w:r w:rsidRPr="009E6ED2">
        <w:rPr>
          <w:lang w:val="es-MX"/>
        </w:rPr>
        <w:t>uevo</w:t>
      </w:r>
      <w:proofErr w:type="spellEnd"/>
      <w:r w:rsidRPr="009E6ED2">
        <w:rPr>
          <w:lang w:val="es-MX"/>
        </w:rPr>
        <w:t xml:space="preserve"> proyecto”. Petición inicial ante la CIDH (expediente de prueba, trámite ante la CIDH, f. 439).</w:t>
      </w:r>
    </w:p>
  </w:footnote>
  <w:footnote w:id="185">
    <w:p w14:paraId="607384F2" w14:textId="0E137452" w:rsidR="00D86616" w:rsidRPr="009E6ED2" w:rsidRDefault="00D86616" w:rsidP="006A2D03">
      <w:pPr>
        <w:pStyle w:val="FootnoteText"/>
        <w:spacing w:after="0"/>
        <w:rPr>
          <w:lang w:val="es-MX"/>
        </w:rPr>
      </w:pPr>
      <w:r w:rsidRPr="0018405A">
        <w:rPr>
          <w:rStyle w:val="FootnoteReference"/>
          <w:color w:val="000000"/>
          <w:sz w:val="16"/>
        </w:rPr>
        <w:footnoteRef/>
      </w:r>
      <w:r w:rsidRPr="006D5D16">
        <w:rPr>
          <w:lang w:val="pt-BR"/>
        </w:rPr>
        <w:tab/>
      </w:r>
      <w:r w:rsidRPr="00A032B8">
        <w:rPr>
          <w:i/>
          <w:lang w:val="pt-BR"/>
        </w:rPr>
        <w:t xml:space="preserve">Cfr. </w:t>
      </w:r>
      <w:r w:rsidRPr="00A032B8">
        <w:rPr>
          <w:bCs/>
          <w:i/>
          <w:lang w:val="pt-BR"/>
        </w:rPr>
        <w:t xml:space="preserve">Caso Godínez Cruz Vs. </w:t>
      </w:r>
      <w:r w:rsidRPr="009E6ED2">
        <w:rPr>
          <w:bCs/>
          <w:i/>
          <w:lang w:val="es-MX"/>
        </w:rPr>
        <w:t>Honduras.</w:t>
      </w:r>
      <w:r w:rsidRPr="009E6ED2">
        <w:rPr>
          <w:b/>
          <w:bCs/>
          <w:i/>
          <w:lang w:val="es-MX"/>
        </w:rPr>
        <w:t xml:space="preserve"> </w:t>
      </w:r>
      <w:r w:rsidRPr="009E6ED2">
        <w:rPr>
          <w:i/>
          <w:lang w:val="es-MX"/>
        </w:rPr>
        <w:t xml:space="preserve">Fondo. </w:t>
      </w:r>
      <w:r w:rsidRPr="009E6ED2">
        <w:rPr>
          <w:lang w:val="es-MX"/>
        </w:rPr>
        <w:t xml:space="preserve">Sentencia de 20 de enero de 1989. Serie C No. 5, párr. 172; y </w:t>
      </w:r>
      <w:r w:rsidRPr="009E6ED2">
        <w:rPr>
          <w:bCs/>
          <w:i/>
          <w:lang w:val="es-MX"/>
        </w:rPr>
        <w:t xml:space="preserve">Caso Comunidad Indígena </w:t>
      </w:r>
      <w:proofErr w:type="spellStart"/>
      <w:r w:rsidRPr="009E6ED2">
        <w:rPr>
          <w:bCs/>
          <w:i/>
          <w:lang w:val="es-MX"/>
        </w:rPr>
        <w:t>Sawhoyamaxa</w:t>
      </w:r>
      <w:proofErr w:type="spellEnd"/>
      <w:r w:rsidRPr="009E6ED2">
        <w:rPr>
          <w:bCs/>
          <w:i/>
          <w:lang w:val="es-MX"/>
        </w:rPr>
        <w:t xml:space="preserve"> Vs. Paraguay. </w:t>
      </w:r>
      <w:r w:rsidRPr="009E6ED2">
        <w:rPr>
          <w:i/>
          <w:lang w:val="es-MX"/>
        </w:rPr>
        <w:t xml:space="preserve">Fondo, Reparaciones y Costas. </w:t>
      </w:r>
      <w:r w:rsidRPr="009E6ED2">
        <w:rPr>
          <w:lang w:val="es-MX"/>
        </w:rPr>
        <w:t>Sentencia de 29 de marzo de 2006. Serie C No. 146, párr. 186.</w:t>
      </w:r>
    </w:p>
  </w:footnote>
  <w:footnote w:id="186">
    <w:p w14:paraId="4AC02383" w14:textId="17505D29" w:rsidR="00D86616" w:rsidRPr="00222642" w:rsidRDefault="00D86616" w:rsidP="006A2D03">
      <w:pPr>
        <w:widowControl w:val="0"/>
        <w:tabs>
          <w:tab w:val="left" w:pos="630"/>
        </w:tabs>
        <w:autoSpaceDE w:val="0"/>
        <w:autoSpaceDN w:val="0"/>
        <w:adjustRightInd w:val="0"/>
        <w:ind w:right="4"/>
        <w:jc w:val="both"/>
        <w:rPr>
          <w:rFonts w:ascii="Verdana" w:hAnsi="Verdana" w:cs="Times"/>
          <w:sz w:val="16"/>
          <w:szCs w:val="16"/>
        </w:rPr>
      </w:pPr>
      <w:r w:rsidRPr="00CF7867">
        <w:rPr>
          <w:rStyle w:val="FootnoteReference"/>
          <w:sz w:val="16"/>
          <w:szCs w:val="16"/>
        </w:rPr>
        <w:footnoteRef/>
      </w:r>
      <w:r w:rsidRPr="00CF7867">
        <w:rPr>
          <w:rFonts w:ascii="Verdana" w:hAnsi="Verdana"/>
          <w:sz w:val="16"/>
          <w:szCs w:val="16"/>
        </w:rPr>
        <w:t xml:space="preserve"> </w:t>
      </w:r>
      <w:r>
        <w:rPr>
          <w:rFonts w:ascii="Verdana" w:hAnsi="Verdana"/>
          <w:sz w:val="16"/>
          <w:szCs w:val="16"/>
        </w:rPr>
        <w:tab/>
      </w:r>
      <w:r w:rsidRPr="00F77B70">
        <w:rPr>
          <w:rFonts w:ascii="Verdana" w:hAnsi="Verdana"/>
          <w:i/>
          <w:sz w:val="16"/>
          <w:szCs w:val="16"/>
        </w:rPr>
        <w:t>Cfr.</w:t>
      </w:r>
      <w:r w:rsidRPr="00B0392D">
        <w:rPr>
          <w:rFonts w:ascii="Verdana" w:hAnsi="Verdana"/>
          <w:sz w:val="16"/>
          <w:szCs w:val="16"/>
        </w:rPr>
        <w:t xml:space="preserve"> </w:t>
      </w:r>
      <w:r w:rsidRPr="00B0392D">
        <w:rPr>
          <w:rFonts w:ascii="Verdana" w:hAnsi="Verdana"/>
          <w:sz w:val="16"/>
          <w:szCs w:val="16"/>
          <w:lang w:eastAsia="es-MX"/>
        </w:rPr>
        <w:t>Congreso de la República de Perú. Constitución Política del Perú</w:t>
      </w:r>
      <w:r>
        <w:rPr>
          <w:rFonts w:ascii="Verdana" w:hAnsi="Verdana"/>
          <w:sz w:val="16"/>
          <w:szCs w:val="16"/>
          <w:lang w:eastAsia="es-MX"/>
        </w:rPr>
        <w:t xml:space="preserve"> de</w:t>
      </w:r>
      <w:r w:rsidRPr="00B0392D">
        <w:rPr>
          <w:rFonts w:ascii="Verdana" w:hAnsi="Verdana"/>
          <w:sz w:val="16"/>
          <w:szCs w:val="16"/>
          <w:lang w:eastAsia="es-MX"/>
        </w:rPr>
        <w:t xml:space="preserve"> 12 de julio de 1979.</w:t>
      </w:r>
      <w:r w:rsidRPr="00DE5D83">
        <w:rPr>
          <w:rFonts w:ascii="Verdana" w:hAnsi="Verdana"/>
          <w:sz w:val="16"/>
          <w:szCs w:val="16"/>
          <w:lang w:eastAsia="es-MX"/>
        </w:rPr>
        <w:t xml:space="preserve"> </w:t>
      </w:r>
      <w:r w:rsidRPr="00333304">
        <w:rPr>
          <w:rFonts w:ascii="Verdana" w:hAnsi="Verdana"/>
          <w:bCs/>
          <w:sz w:val="16"/>
          <w:szCs w:val="16"/>
          <w:shd w:val="clear" w:color="auto" w:fill="FFFFFF"/>
        </w:rPr>
        <w:t xml:space="preserve">Artículo 48 </w:t>
      </w:r>
      <w:r>
        <w:rPr>
          <w:rFonts w:ascii="Verdana" w:hAnsi="Verdana"/>
          <w:bCs/>
          <w:color w:val="191970"/>
          <w:sz w:val="16"/>
          <w:szCs w:val="16"/>
          <w:shd w:val="clear" w:color="auto" w:fill="FFFFFF"/>
        </w:rPr>
        <w:t>“</w:t>
      </w:r>
      <w:r w:rsidRPr="00B0392D">
        <w:rPr>
          <w:rFonts w:ascii="Verdana" w:hAnsi="Verdana"/>
          <w:bCs/>
          <w:color w:val="191970"/>
          <w:sz w:val="16"/>
          <w:szCs w:val="16"/>
          <w:shd w:val="clear" w:color="auto" w:fill="FFFFFF"/>
        </w:rPr>
        <w:softHyphen/>
      </w:r>
      <w:r w:rsidRPr="00B0392D">
        <w:rPr>
          <w:rFonts w:ascii="Verdana" w:hAnsi="Verdana"/>
          <w:color w:val="000000"/>
          <w:sz w:val="16"/>
          <w:szCs w:val="16"/>
          <w:shd w:val="clear" w:color="auto" w:fill="FFFFFF"/>
        </w:rPr>
        <w:t>El Estado reconoce el derecho de estabilidad en el trabajo.</w:t>
      </w:r>
      <w:r>
        <w:rPr>
          <w:rFonts w:ascii="Verdana" w:hAnsi="Verdana"/>
          <w:color w:val="000000"/>
          <w:sz w:val="16"/>
          <w:szCs w:val="16"/>
          <w:shd w:val="clear" w:color="auto" w:fill="FFFFFF"/>
        </w:rPr>
        <w:t xml:space="preserve"> […]”;</w:t>
      </w:r>
      <w:r>
        <w:rPr>
          <w:rFonts w:ascii="Verdana" w:hAnsi="Verdana" w:cs="Times"/>
          <w:sz w:val="16"/>
          <w:szCs w:val="16"/>
        </w:rPr>
        <w:t xml:space="preserve"> </w:t>
      </w:r>
      <w:r w:rsidRPr="00B0392D">
        <w:rPr>
          <w:rFonts w:ascii="Verdana" w:hAnsi="Verdana"/>
          <w:sz w:val="16"/>
          <w:szCs w:val="16"/>
          <w:lang w:eastAsia="es-MX"/>
        </w:rPr>
        <w:t xml:space="preserve">Congreso de la República de Perú. Constitución Política del Perú </w:t>
      </w:r>
      <w:r>
        <w:rPr>
          <w:rFonts w:ascii="Verdana" w:hAnsi="Verdana"/>
          <w:sz w:val="16"/>
          <w:szCs w:val="16"/>
          <w:lang w:eastAsia="es-MX"/>
        </w:rPr>
        <w:t>de 29 de diciembre</w:t>
      </w:r>
      <w:r w:rsidRPr="00B0392D">
        <w:rPr>
          <w:rFonts w:ascii="Verdana" w:hAnsi="Verdana"/>
          <w:sz w:val="16"/>
          <w:szCs w:val="16"/>
          <w:lang w:eastAsia="es-MX"/>
        </w:rPr>
        <w:t xml:space="preserve"> de </w:t>
      </w:r>
      <w:r>
        <w:rPr>
          <w:rFonts w:ascii="Verdana" w:hAnsi="Verdana"/>
          <w:sz w:val="16"/>
          <w:szCs w:val="16"/>
          <w:lang w:eastAsia="es-MX"/>
        </w:rPr>
        <w:t xml:space="preserve">1993. </w:t>
      </w:r>
      <w:r w:rsidRPr="00CF7867">
        <w:rPr>
          <w:rFonts w:ascii="Verdana" w:hAnsi="Verdana" w:cs="Arial"/>
          <w:bCs/>
          <w:color w:val="000000"/>
          <w:sz w:val="16"/>
          <w:szCs w:val="16"/>
        </w:rPr>
        <w:t>Artículo 22</w:t>
      </w:r>
      <w:r w:rsidRPr="00CF7867">
        <w:rPr>
          <w:rFonts w:ascii="Verdana" w:hAnsi="Verdana" w:cs="Arial"/>
          <w:color w:val="000000"/>
          <w:sz w:val="16"/>
          <w:szCs w:val="16"/>
        </w:rPr>
        <w:t xml:space="preserve">.- </w:t>
      </w:r>
      <w:r>
        <w:rPr>
          <w:rFonts w:ascii="Verdana" w:hAnsi="Verdana" w:cs="Arial"/>
          <w:color w:val="000000"/>
          <w:sz w:val="16"/>
          <w:szCs w:val="16"/>
        </w:rPr>
        <w:t>“</w:t>
      </w:r>
      <w:r w:rsidRPr="00CF7867">
        <w:rPr>
          <w:rFonts w:ascii="Verdana" w:hAnsi="Verdana" w:cs="Arial"/>
          <w:color w:val="000000"/>
          <w:sz w:val="16"/>
          <w:szCs w:val="16"/>
        </w:rPr>
        <w:t>El trabajo es un deber y un derecho. Es base del bienestar social y un medio de realización de la persona</w:t>
      </w:r>
      <w:r>
        <w:rPr>
          <w:rFonts w:ascii="Verdana" w:hAnsi="Verdana" w:cs="Arial"/>
          <w:color w:val="000000"/>
          <w:sz w:val="16"/>
          <w:szCs w:val="16"/>
        </w:rPr>
        <w:t>”</w:t>
      </w:r>
      <w:r w:rsidRPr="00CF7867">
        <w:rPr>
          <w:rFonts w:ascii="Verdana" w:hAnsi="Verdana" w:cs="Arial"/>
          <w:color w:val="000000"/>
          <w:sz w:val="16"/>
          <w:szCs w:val="16"/>
        </w:rPr>
        <w:t xml:space="preserve"> y en </w:t>
      </w:r>
      <w:r>
        <w:rPr>
          <w:rFonts w:ascii="Verdana" w:hAnsi="Verdana" w:cs="Arial"/>
          <w:color w:val="000000"/>
          <w:sz w:val="16"/>
          <w:szCs w:val="16"/>
        </w:rPr>
        <w:t xml:space="preserve">el </w:t>
      </w:r>
      <w:r w:rsidRPr="00222642">
        <w:rPr>
          <w:rFonts w:ascii="Verdana" w:hAnsi="Verdana" w:cs="Arial"/>
          <w:bCs/>
          <w:sz w:val="16"/>
          <w:szCs w:val="16"/>
        </w:rPr>
        <w:t>Artículo 27</w:t>
      </w:r>
      <w:r w:rsidRPr="00222642">
        <w:rPr>
          <w:rFonts w:ascii="Verdana" w:hAnsi="Verdana" w:cs="Arial"/>
          <w:sz w:val="16"/>
          <w:szCs w:val="16"/>
        </w:rPr>
        <w:t xml:space="preserve">.- </w:t>
      </w:r>
      <w:r>
        <w:rPr>
          <w:rFonts w:ascii="Verdana" w:hAnsi="Verdana" w:cs="Arial"/>
          <w:sz w:val="16"/>
          <w:szCs w:val="16"/>
        </w:rPr>
        <w:t>“</w:t>
      </w:r>
      <w:r w:rsidRPr="00222642">
        <w:rPr>
          <w:rFonts w:ascii="Verdana" w:hAnsi="Verdana" w:cs="Arial"/>
          <w:sz w:val="16"/>
          <w:szCs w:val="16"/>
        </w:rPr>
        <w:t>La ley otorga al trabajador adecuada protección contra el despido arbitrario</w:t>
      </w:r>
      <w:r>
        <w:rPr>
          <w:rFonts w:ascii="Verdana" w:hAnsi="Verdana" w:cs="Arial"/>
          <w:sz w:val="16"/>
          <w:szCs w:val="16"/>
        </w:rPr>
        <w:t>”</w:t>
      </w:r>
      <w:r w:rsidRPr="00222642">
        <w:rPr>
          <w:rFonts w:ascii="Verdana" w:hAnsi="Verdana" w:cs="Arial"/>
          <w:sz w:val="16"/>
          <w:szCs w:val="16"/>
        </w:rPr>
        <w:t xml:space="preserve"> </w:t>
      </w:r>
      <w:r>
        <w:rPr>
          <w:rFonts w:ascii="Verdana" w:hAnsi="Verdana" w:cs="Arial"/>
          <w:sz w:val="16"/>
          <w:szCs w:val="16"/>
        </w:rPr>
        <w:t xml:space="preserve">y </w:t>
      </w:r>
      <w:r w:rsidRPr="00890B43">
        <w:rPr>
          <w:rFonts w:ascii="Verdana" w:hAnsi="Verdana"/>
          <w:sz w:val="16"/>
          <w:szCs w:val="16"/>
          <w:lang w:eastAsia="es-MX"/>
        </w:rPr>
        <w:t>Congreso de la República de Perú</w:t>
      </w:r>
      <w:r>
        <w:rPr>
          <w:rFonts w:ascii="Verdana" w:hAnsi="Verdana" w:cs="Arial Narrow"/>
          <w:sz w:val="16"/>
          <w:szCs w:val="16"/>
          <w:lang w:eastAsia="es-MX"/>
        </w:rPr>
        <w:t>.</w:t>
      </w:r>
      <w:r w:rsidRPr="00222642">
        <w:rPr>
          <w:rFonts w:ascii="Verdana" w:hAnsi="Verdana" w:cs="Arial Narrow"/>
          <w:sz w:val="16"/>
          <w:szCs w:val="16"/>
          <w:lang w:eastAsia="es-MX"/>
        </w:rPr>
        <w:t xml:space="preserve"> Ley N°24514. Artículo 2</w:t>
      </w:r>
      <w:r>
        <w:rPr>
          <w:rFonts w:ascii="Verdana" w:hAnsi="Verdana" w:cs="Arial Narrow"/>
          <w:sz w:val="16"/>
          <w:szCs w:val="16"/>
          <w:vertAlign w:val="superscript"/>
          <w:lang w:eastAsia="es-MX"/>
        </w:rPr>
        <w:t>o</w:t>
      </w:r>
      <w:r w:rsidRPr="00222642">
        <w:rPr>
          <w:rFonts w:ascii="Verdana" w:hAnsi="Verdana" w:cs="Arial Narrow"/>
          <w:sz w:val="16"/>
          <w:szCs w:val="16"/>
          <w:lang w:eastAsia="es-MX"/>
        </w:rPr>
        <w:t xml:space="preserve">.- </w:t>
      </w:r>
      <w:r>
        <w:rPr>
          <w:rFonts w:ascii="Verdana" w:hAnsi="Verdana" w:cs="Arial Narrow"/>
          <w:sz w:val="16"/>
          <w:szCs w:val="16"/>
          <w:lang w:eastAsia="es-MX"/>
        </w:rPr>
        <w:t>“</w:t>
      </w:r>
      <w:r w:rsidRPr="00222642">
        <w:rPr>
          <w:rFonts w:ascii="Verdana" w:hAnsi="Verdana" w:cs="Arial Narrow"/>
          <w:sz w:val="16"/>
          <w:szCs w:val="16"/>
          <w:lang w:eastAsia="es-MX"/>
        </w:rPr>
        <w:t xml:space="preserve">Están amparados por la presente </w:t>
      </w:r>
      <w:r>
        <w:rPr>
          <w:rFonts w:ascii="Verdana" w:hAnsi="Verdana" w:cs="Arial Narrow"/>
          <w:sz w:val="16"/>
          <w:szCs w:val="16"/>
          <w:lang w:eastAsia="es-MX"/>
        </w:rPr>
        <w:t>[</w:t>
      </w:r>
      <w:r w:rsidRPr="00222642">
        <w:rPr>
          <w:rFonts w:ascii="Verdana" w:hAnsi="Verdana" w:cs="Arial Narrow"/>
          <w:sz w:val="16"/>
          <w:szCs w:val="16"/>
          <w:lang w:eastAsia="es-MX"/>
        </w:rPr>
        <w:t>l</w:t>
      </w:r>
      <w:r>
        <w:rPr>
          <w:rFonts w:ascii="Verdana" w:hAnsi="Verdana" w:cs="Arial Narrow"/>
          <w:sz w:val="16"/>
          <w:szCs w:val="16"/>
          <w:lang w:eastAsia="es-MX"/>
        </w:rPr>
        <w:t>]</w:t>
      </w:r>
      <w:proofErr w:type="spellStart"/>
      <w:r w:rsidRPr="00222642">
        <w:rPr>
          <w:rFonts w:ascii="Verdana" w:hAnsi="Verdana" w:cs="Arial Narrow"/>
          <w:sz w:val="16"/>
          <w:szCs w:val="16"/>
          <w:lang w:eastAsia="es-MX"/>
        </w:rPr>
        <w:t>ey</w:t>
      </w:r>
      <w:proofErr w:type="spellEnd"/>
      <w:r w:rsidRPr="00222642">
        <w:rPr>
          <w:rFonts w:ascii="Verdana" w:hAnsi="Verdana" w:cs="Arial Narrow"/>
          <w:sz w:val="16"/>
          <w:szCs w:val="16"/>
          <w:lang w:eastAsia="es-MX"/>
        </w:rPr>
        <w:t xml:space="preserve"> los trabajadores sujetos al régimen laboral de la actividad privada o de las empresas públicas sometidas al régimen de la actividad privada </w:t>
      </w:r>
      <w:r>
        <w:rPr>
          <w:rFonts w:ascii="Verdana" w:hAnsi="Verdana" w:cs="Arial Narrow"/>
          <w:sz w:val="16"/>
          <w:szCs w:val="16"/>
          <w:lang w:eastAsia="es-MX"/>
        </w:rPr>
        <w:t>[</w:t>
      </w:r>
      <w:r w:rsidRPr="00222642">
        <w:rPr>
          <w:rFonts w:ascii="Verdana" w:hAnsi="Verdana" w:cs="Arial Narrow"/>
          <w:sz w:val="16"/>
          <w:szCs w:val="16"/>
          <w:lang w:eastAsia="es-MX"/>
        </w:rPr>
        <w:t>…</w:t>
      </w:r>
      <w:r>
        <w:rPr>
          <w:rFonts w:ascii="Verdana" w:hAnsi="Verdana" w:cs="Arial Narrow"/>
          <w:sz w:val="16"/>
          <w:szCs w:val="16"/>
          <w:lang w:eastAsia="es-MX"/>
        </w:rPr>
        <w:t>]”</w:t>
      </w:r>
      <w:r w:rsidRPr="00890B43">
        <w:rPr>
          <w:rFonts w:ascii="Verdana" w:hAnsi="Verdana"/>
          <w:sz w:val="16"/>
          <w:szCs w:val="16"/>
        </w:rPr>
        <w:t>.</w:t>
      </w:r>
    </w:p>
  </w:footnote>
  <w:footnote w:id="187">
    <w:p w14:paraId="42F7B620" w14:textId="6AA6644C" w:rsidR="00D86616" w:rsidRPr="00333304" w:rsidRDefault="00D86616" w:rsidP="006A2D03">
      <w:pPr>
        <w:pStyle w:val="FootnoteText"/>
        <w:spacing w:after="0"/>
        <w:rPr>
          <w:color w:val="000000"/>
          <w:lang w:val="es-MX"/>
        </w:rPr>
      </w:pPr>
      <w:r w:rsidRPr="00664C48">
        <w:rPr>
          <w:rStyle w:val="FootnoteReference"/>
          <w:sz w:val="16"/>
        </w:rPr>
        <w:footnoteRef/>
      </w:r>
      <w:r w:rsidRPr="009E6ED2">
        <w:rPr>
          <w:lang w:val="es-MX"/>
        </w:rPr>
        <w:t xml:space="preserve"> </w:t>
      </w:r>
      <w:r w:rsidRPr="009E6ED2">
        <w:rPr>
          <w:lang w:val="es-MX"/>
        </w:rPr>
        <w:tab/>
      </w:r>
      <w:r w:rsidRPr="007F3588">
        <w:rPr>
          <w:i/>
          <w:lang w:val="es-MX"/>
        </w:rPr>
        <w:t xml:space="preserve">Cfr. TPJI, Caso del Vapor “Lotus” (Francia Vs. Turquía). </w:t>
      </w:r>
      <w:r w:rsidRPr="009E6ED2">
        <w:rPr>
          <w:lang w:val="es-MX"/>
        </w:rPr>
        <w:t xml:space="preserve">Sentencia No. 9, 7 de septiembre de 1927. Serie A; </w:t>
      </w:r>
      <w:r w:rsidRPr="007F3588">
        <w:rPr>
          <w:i/>
          <w:lang w:val="es-MX"/>
        </w:rPr>
        <w:t xml:space="preserve">TPJI, Caso relativo a la competencia territorial de la Comisión internacional del río </w:t>
      </w:r>
      <w:proofErr w:type="spellStart"/>
      <w:r w:rsidRPr="007F3588">
        <w:rPr>
          <w:i/>
          <w:lang w:val="es-MX"/>
        </w:rPr>
        <w:t>Oder</w:t>
      </w:r>
      <w:proofErr w:type="spellEnd"/>
      <w:r w:rsidRPr="007F3588">
        <w:rPr>
          <w:i/>
          <w:lang w:val="es-MX"/>
        </w:rPr>
        <w:t xml:space="preserve"> (Gran Bretaña, Checoeslovaquia, Dinamarca, Francia, Alemania, Suecia; Polonia).</w:t>
      </w:r>
      <w:r w:rsidRPr="009E6ED2">
        <w:rPr>
          <w:lang w:val="es-MX"/>
        </w:rPr>
        <w:t xml:space="preserve"> Sentencia No. 23, 10 de septiembre de 1929. Serie A; TPJI, </w:t>
      </w:r>
      <w:r w:rsidRPr="007F3588">
        <w:rPr>
          <w:i/>
          <w:lang w:val="es-MX"/>
        </w:rPr>
        <w:t xml:space="preserve">Caso relativo a las Zonas francas de la Alta Saboya y del País de </w:t>
      </w:r>
      <w:proofErr w:type="spellStart"/>
      <w:r w:rsidRPr="007F3588">
        <w:rPr>
          <w:i/>
          <w:lang w:val="es-MX"/>
        </w:rPr>
        <w:t>Gex</w:t>
      </w:r>
      <w:proofErr w:type="spellEnd"/>
      <w:r w:rsidRPr="007F3588">
        <w:rPr>
          <w:i/>
          <w:lang w:val="es-MX"/>
        </w:rPr>
        <w:t xml:space="preserve"> (Francia Vs. Suiza).</w:t>
      </w:r>
      <w:r w:rsidRPr="009E6ED2">
        <w:rPr>
          <w:lang w:val="es-MX"/>
        </w:rPr>
        <w:t xml:space="preserve"> Sentencia No. 46, 7 de junio de 1932. Serie A/B; </w:t>
      </w:r>
      <w:r w:rsidRPr="004868B2">
        <w:rPr>
          <w:lang w:val="es-MX"/>
        </w:rPr>
        <w:t>TEDH</w:t>
      </w:r>
      <w:r w:rsidRPr="007F3588">
        <w:rPr>
          <w:i/>
          <w:lang w:val="es-MX"/>
        </w:rPr>
        <w:t>, Caso de Guerra y otros Vs. Italia.</w:t>
      </w:r>
      <w:r w:rsidRPr="009E6ED2">
        <w:rPr>
          <w:bCs/>
          <w:lang w:val="es-MX"/>
        </w:rPr>
        <w:t xml:space="preserve"> No. 14967/89. Sentencia de 19 de febrero de 1998, párr. 45. Ver también: </w:t>
      </w:r>
      <w:r w:rsidRPr="004868B2">
        <w:rPr>
          <w:bCs/>
          <w:lang w:val="es-MX"/>
        </w:rPr>
        <w:t>TEDH</w:t>
      </w:r>
      <w:r w:rsidRPr="007F3588">
        <w:rPr>
          <w:bCs/>
          <w:i/>
          <w:lang w:val="es-MX"/>
        </w:rPr>
        <w:t xml:space="preserve">, </w:t>
      </w:r>
      <w:r w:rsidRPr="007F3588">
        <w:rPr>
          <w:i/>
          <w:lang w:val="es-MX"/>
        </w:rPr>
        <w:t xml:space="preserve">Caso de </w:t>
      </w:r>
      <w:proofErr w:type="spellStart"/>
      <w:r w:rsidRPr="007F3588">
        <w:rPr>
          <w:i/>
          <w:lang w:val="es-MX"/>
        </w:rPr>
        <w:t>Handyside</w:t>
      </w:r>
      <w:proofErr w:type="spellEnd"/>
      <w:r w:rsidRPr="007F3588">
        <w:rPr>
          <w:i/>
          <w:lang w:val="es-MX"/>
        </w:rPr>
        <w:t xml:space="preserve"> Vs. Reino Unido</w:t>
      </w:r>
      <w:r w:rsidRPr="009E6ED2">
        <w:rPr>
          <w:bCs/>
          <w:lang w:val="es-MX"/>
        </w:rPr>
        <w:t xml:space="preserve">. No. 5493/72. Sentencia de 7 de diciembre de 1976, párr. </w:t>
      </w:r>
      <w:r w:rsidRPr="00333304">
        <w:rPr>
          <w:bCs/>
          <w:lang w:val="es-MX"/>
        </w:rPr>
        <w:t xml:space="preserve">41, y </w:t>
      </w:r>
      <w:r w:rsidRPr="004868B2">
        <w:rPr>
          <w:lang w:val="es-MX"/>
        </w:rPr>
        <w:t>TEDH</w:t>
      </w:r>
      <w:r w:rsidRPr="007F3588">
        <w:rPr>
          <w:i/>
          <w:lang w:val="es-MX"/>
        </w:rPr>
        <w:t xml:space="preserve">, Caso de </w:t>
      </w:r>
      <w:proofErr w:type="spellStart"/>
      <w:r w:rsidRPr="007F3588">
        <w:rPr>
          <w:i/>
          <w:lang w:val="es-MX"/>
        </w:rPr>
        <w:t>Philis</w:t>
      </w:r>
      <w:proofErr w:type="spellEnd"/>
      <w:r w:rsidRPr="007F3588">
        <w:rPr>
          <w:i/>
          <w:lang w:val="es-MX"/>
        </w:rPr>
        <w:t xml:space="preserve"> Vs. Grecia</w:t>
      </w:r>
      <w:r w:rsidRPr="00333304">
        <w:rPr>
          <w:lang w:val="es-MX"/>
        </w:rPr>
        <w:t>.</w:t>
      </w:r>
      <w:r w:rsidRPr="00333304">
        <w:rPr>
          <w:bCs/>
          <w:lang w:val="es-MX"/>
        </w:rPr>
        <w:t xml:space="preserve"> Nos. </w:t>
      </w:r>
      <w:r w:rsidRPr="00333304">
        <w:rPr>
          <w:lang w:val="es-MX"/>
        </w:rPr>
        <w:t>12750/87, 13780/88 y 14003/88</w:t>
      </w:r>
      <w:r w:rsidRPr="00333304">
        <w:rPr>
          <w:bCs/>
          <w:lang w:val="es-MX"/>
        </w:rPr>
        <w:t>. Sentencia de 27 de agosto de 1991, párr. 56.</w:t>
      </w:r>
    </w:p>
  </w:footnote>
  <w:footnote w:id="188">
    <w:p w14:paraId="3005B222" w14:textId="4CAD7EAD" w:rsidR="00D86616" w:rsidRPr="009E6ED2" w:rsidRDefault="00D86616" w:rsidP="006A2D03">
      <w:pPr>
        <w:pStyle w:val="FootnoteText"/>
        <w:spacing w:after="0"/>
        <w:rPr>
          <w:lang w:val="es-MX"/>
        </w:rPr>
      </w:pPr>
      <w:r w:rsidRPr="0018405A">
        <w:rPr>
          <w:rStyle w:val="FootnoteReference"/>
          <w:color w:val="000000"/>
          <w:sz w:val="16"/>
        </w:rPr>
        <w:footnoteRef/>
      </w:r>
      <w:r w:rsidRPr="009E6ED2">
        <w:rPr>
          <w:lang w:val="es-MX"/>
        </w:rPr>
        <w:tab/>
      </w:r>
      <w:r w:rsidRPr="007F3588">
        <w:rPr>
          <w:i/>
          <w:lang w:val="es-MX"/>
        </w:rPr>
        <w:t xml:space="preserve">Cfr. Inter </w:t>
      </w:r>
      <w:proofErr w:type="spellStart"/>
      <w:r w:rsidRPr="007F3588">
        <w:rPr>
          <w:i/>
          <w:lang w:val="es-MX"/>
        </w:rPr>
        <w:t>alia</w:t>
      </w:r>
      <w:proofErr w:type="spellEnd"/>
      <w:r w:rsidRPr="007F3588">
        <w:rPr>
          <w:i/>
          <w:lang w:val="es-MX"/>
        </w:rPr>
        <w:t>, Caso Velásquez Rodríguez Vs. Honduras</w:t>
      </w:r>
      <w:r w:rsidRPr="009E6ED2">
        <w:rPr>
          <w:lang w:val="es-MX"/>
        </w:rPr>
        <w:t xml:space="preserve">. </w:t>
      </w:r>
      <w:r w:rsidRPr="007F3588">
        <w:rPr>
          <w:i/>
          <w:lang w:val="es-MX"/>
        </w:rPr>
        <w:t>Fondo</w:t>
      </w:r>
      <w:r w:rsidRPr="009E6ED2">
        <w:rPr>
          <w:lang w:val="es-MX"/>
        </w:rPr>
        <w:t xml:space="preserve">, </w:t>
      </w:r>
      <w:r w:rsidRPr="00844874">
        <w:rPr>
          <w:i/>
          <w:lang w:val="es-MX"/>
        </w:rPr>
        <w:t>supra</w:t>
      </w:r>
      <w:r w:rsidRPr="009E6ED2">
        <w:rPr>
          <w:lang w:val="es-MX"/>
        </w:rPr>
        <w:t xml:space="preserve">, párr. 163, y </w:t>
      </w:r>
      <w:r w:rsidRPr="007F3588">
        <w:rPr>
          <w:i/>
          <w:lang w:val="es-CR"/>
        </w:rPr>
        <w:t>Caso Acosta y otros Vs. Nicaragua, supra</w:t>
      </w:r>
      <w:r w:rsidRPr="00730D77">
        <w:rPr>
          <w:lang w:val="es-CR"/>
        </w:rPr>
        <w:t xml:space="preserve">, párr. </w:t>
      </w:r>
      <w:r w:rsidRPr="00882FB7">
        <w:rPr>
          <w:lang w:val="es-CR"/>
        </w:rPr>
        <w:t>189.</w:t>
      </w:r>
    </w:p>
  </w:footnote>
  <w:footnote w:id="189">
    <w:p w14:paraId="7532B4FD" w14:textId="019C945B" w:rsidR="00D86616" w:rsidRDefault="00D86616" w:rsidP="006A2D03">
      <w:pPr>
        <w:tabs>
          <w:tab w:val="left" w:pos="540"/>
        </w:tabs>
        <w:autoSpaceDE w:val="0"/>
        <w:autoSpaceDN w:val="0"/>
        <w:adjustRightInd w:val="0"/>
        <w:jc w:val="both"/>
        <w:rPr>
          <w:rFonts w:ascii="Verdana" w:hAnsi="Verdana"/>
          <w:sz w:val="16"/>
          <w:szCs w:val="16"/>
        </w:rPr>
      </w:pPr>
      <w:r w:rsidRPr="00324BCC">
        <w:rPr>
          <w:rStyle w:val="FootnoteReference"/>
          <w:sz w:val="16"/>
          <w:szCs w:val="16"/>
        </w:rPr>
        <w:footnoteRef/>
      </w:r>
      <w:r w:rsidRPr="0082700F">
        <w:rPr>
          <w:sz w:val="16"/>
          <w:szCs w:val="16"/>
        </w:rPr>
        <w:t xml:space="preserve"> </w:t>
      </w:r>
      <w:r w:rsidRPr="0082700F">
        <w:rPr>
          <w:sz w:val="16"/>
          <w:szCs w:val="16"/>
        </w:rPr>
        <w:tab/>
      </w:r>
      <w:r w:rsidRPr="00F77B70">
        <w:rPr>
          <w:rFonts w:ascii="Verdana" w:hAnsi="Verdana"/>
          <w:i/>
          <w:sz w:val="16"/>
          <w:szCs w:val="16"/>
        </w:rPr>
        <w:t>Cfr.</w:t>
      </w:r>
      <w:r w:rsidRPr="0082700F">
        <w:rPr>
          <w:rFonts w:ascii="Verdana" w:hAnsi="Verdana"/>
          <w:sz w:val="16"/>
          <w:szCs w:val="16"/>
        </w:rPr>
        <w:t xml:space="preserve"> </w:t>
      </w:r>
      <w:r w:rsidRPr="00F51B19">
        <w:rPr>
          <w:rFonts w:ascii="Verdana" w:hAnsi="Verdana"/>
          <w:sz w:val="16"/>
          <w:szCs w:val="16"/>
        </w:rPr>
        <w:t>En este sentido, el artículo 29</w:t>
      </w:r>
      <w:r>
        <w:rPr>
          <w:rFonts w:ascii="Verdana" w:hAnsi="Verdana"/>
          <w:sz w:val="16"/>
          <w:szCs w:val="16"/>
        </w:rPr>
        <w:t xml:space="preserve"> </w:t>
      </w:r>
      <w:r w:rsidRPr="00F51B19">
        <w:rPr>
          <w:rFonts w:ascii="Verdana" w:hAnsi="Verdana"/>
          <w:sz w:val="16"/>
          <w:szCs w:val="16"/>
        </w:rPr>
        <w:t>b</w:t>
      </w:r>
      <w:r>
        <w:rPr>
          <w:rFonts w:ascii="Verdana" w:hAnsi="Verdana"/>
          <w:sz w:val="16"/>
          <w:szCs w:val="16"/>
        </w:rPr>
        <w:t>) y d)</w:t>
      </w:r>
      <w:r w:rsidRPr="00F51B19">
        <w:rPr>
          <w:rFonts w:ascii="Verdana" w:hAnsi="Verdana"/>
          <w:sz w:val="16"/>
          <w:szCs w:val="16"/>
        </w:rPr>
        <w:t xml:space="preserve"> de la Convención establece que: “[n]</w:t>
      </w:r>
      <w:proofErr w:type="spellStart"/>
      <w:r w:rsidRPr="00F51B19">
        <w:rPr>
          <w:rFonts w:ascii="Verdana" w:hAnsi="Verdana"/>
          <w:sz w:val="16"/>
          <w:szCs w:val="16"/>
        </w:rPr>
        <w:t>inguna</w:t>
      </w:r>
      <w:proofErr w:type="spellEnd"/>
      <w:r w:rsidRPr="00F51B19">
        <w:rPr>
          <w:rFonts w:ascii="Verdana" w:hAnsi="Verdana"/>
          <w:sz w:val="16"/>
          <w:szCs w:val="16"/>
        </w:rPr>
        <w:t xml:space="preserve"> disposición de la presente Convención puede ser interpretada en el sentido de: […] b) limitar el goce y ejercicio de cualquier derecho o libertad que pueda estar reconocido de acuerdo con las leyes de cualquiera de los Estados Partes o de acuerdo con otra convención en que sea parte uno de dichos Estados</w:t>
      </w:r>
      <w:r>
        <w:rPr>
          <w:rFonts w:ascii="Verdana" w:hAnsi="Verdana"/>
          <w:sz w:val="16"/>
          <w:szCs w:val="16"/>
        </w:rPr>
        <w:t xml:space="preserve">; […] </w:t>
      </w:r>
      <w:r w:rsidRPr="007A549D">
        <w:rPr>
          <w:rFonts w:ascii="Verdana" w:hAnsi="Verdana"/>
          <w:sz w:val="16"/>
          <w:szCs w:val="16"/>
        </w:rPr>
        <w:t>d) excluir o limitar el efecto que puedan producir la Declaración Americana de Derechos y Deberes del Hombre y otros actos interna</w:t>
      </w:r>
      <w:r>
        <w:rPr>
          <w:rFonts w:ascii="Verdana" w:hAnsi="Verdana"/>
          <w:sz w:val="16"/>
          <w:szCs w:val="16"/>
        </w:rPr>
        <w:t>cionales de la misma naturaleza</w:t>
      </w:r>
      <w:r w:rsidRPr="00F51B19">
        <w:rPr>
          <w:rFonts w:ascii="Verdana" w:hAnsi="Verdana"/>
          <w:sz w:val="16"/>
          <w:szCs w:val="16"/>
        </w:rPr>
        <w:t xml:space="preserve">”. </w:t>
      </w:r>
    </w:p>
    <w:p w14:paraId="0A53B611" w14:textId="181563E2" w:rsidR="00D86616" w:rsidRPr="008E104E" w:rsidRDefault="00D86616" w:rsidP="006A2D03">
      <w:pPr>
        <w:autoSpaceDE w:val="0"/>
        <w:autoSpaceDN w:val="0"/>
        <w:adjustRightInd w:val="0"/>
        <w:jc w:val="both"/>
        <w:rPr>
          <w:rFonts w:ascii="Verdana" w:hAnsi="Verdana"/>
          <w:sz w:val="16"/>
          <w:szCs w:val="16"/>
        </w:rPr>
      </w:pPr>
      <w:r w:rsidRPr="00F51B19">
        <w:rPr>
          <w:rFonts w:ascii="Verdana" w:hAnsi="Verdana"/>
          <w:sz w:val="16"/>
          <w:szCs w:val="16"/>
        </w:rPr>
        <w:t>Es así que conforme al referido artículo 29, los derechos laborales tal como el derecho a la estabilidad en el trabajo reconocido por la Constitución de Perú de 1979 y 1993, se deben incorpora</w:t>
      </w:r>
      <w:r>
        <w:rPr>
          <w:rFonts w:ascii="Verdana" w:hAnsi="Verdana"/>
          <w:sz w:val="16"/>
          <w:szCs w:val="16"/>
        </w:rPr>
        <w:t>r</w:t>
      </w:r>
      <w:r w:rsidRPr="00F51B19">
        <w:rPr>
          <w:rFonts w:ascii="Verdana" w:hAnsi="Verdana"/>
          <w:sz w:val="16"/>
          <w:szCs w:val="16"/>
        </w:rPr>
        <w:t>, para efectos del presente caso, a la interpretación y alcance del derecho tutelado en el artículo 26 de la Convención Americana</w:t>
      </w:r>
      <w:r>
        <w:rPr>
          <w:rFonts w:ascii="Verdana" w:hAnsi="Verdana"/>
          <w:sz w:val="16"/>
          <w:szCs w:val="16"/>
        </w:rPr>
        <w:t>.</w:t>
      </w:r>
      <w:r>
        <w:rPr>
          <w:rFonts w:ascii="Verdana" w:hAnsi="Verdana"/>
          <w:i/>
          <w:sz w:val="16"/>
          <w:szCs w:val="16"/>
        </w:rPr>
        <w:t xml:space="preserve"> </w:t>
      </w:r>
      <w:r w:rsidRPr="00F77B70">
        <w:rPr>
          <w:rFonts w:ascii="Verdana" w:hAnsi="Verdana"/>
          <w:i/>
          <w:sz w:val="16"/>
          <w:szCs w:val="16"/>
        </w:rPr>
        <w:t>Cfr.</w:t>
      </w:r>
      <w:r w:rsidRPr="002D2C40">
        <w:rPr>
          <w:rFonts w:ascii="Verdana" w:hAnsi="Verdana"/>
          <w:sz w:val="16"/>
          <w:szCs w:val="16"/>
        </w:rPr>
        <w:t xml:space="preserve"> </w:t>
      </w:r>
      <w:r w:rsidRPr="002D2C40">
        <w:rPr>
          <w:rFonts w:ascii="Verdana" w:hAnsi="Verdana"/>
          <w:i/>
          <w:iCs/>
          <w:sz w:val="16"/>
          <w:szCs w:val="16"/>
          <w:lang w:val="es-EC"/>
        </w:rPr>
        <w:t>La Colegiación Obligatoria de Periodistas. Opinión Consultiva OC-5/85 de 13 de noviembre de 1985</w:t>
      </w:r>
      <w:r w:rsidRPr="00E755D8">
        <w:rPr>
          <w:rFonts w:ascii="Verdana" w:hAnsi="Verdana"/>
          <w:sz w:val="16"/>
          <w:szCs w:val="16"/>
          <w:lang w:val="es-EC"/>
        </w:rPr>
        <w:t xml:space="preserve">, </w:t>
      </w:r>
      <w:r>
        <w:rPr>
          <w:rFonts w:ascii="Verdana" w:hAnsi="Verdana"/>
          <w:sz w:val="16"/>
          <w:szCs w:val="16"/>
          <w:lang w:val="es-EC"/>
        </w:rPr>
        <w:t xml:space="preserve">Serie A No. 5, </w:t>
      </w:r>
      <w:r w:rsidRPr="00E755D8">
        <w:rPr>
          <w:rFonts w:ascii="Verdana" w:hAnsi="Verdana"/>
          <w:sz w:val="16"/>
          <w:szCs w:val="16"/>
          <w:lang w:val="es-EC"/>
        </w:rPr>
        <w:t>pár</w:t>
      </w:r>
      <w:r w:rsidRPr="006C4CF8">
        <w:rPr>
          <w:rFonts w:ascii="Verdana" w:hAnsi="Verdana"/>
          <w:sz w:val="16"/>
          <w:szCs w:val="16"/>
          <w:lang w:val="es-EC"/>
        </w:rPr>
        <w:t>r. 44</w:t>
      </w:r>
      <w:r>
        <w:rPr>
          <w:rFonts w:ascii="Verdana" w:hAnsi="Verdana"/>
          <w:sz w:val="16"/>
          <w:szCs w:val="16"/>
          <w:lang w:val="es-EC"/>
        </w:rPr>
        <w:t>.</w:t>
      </w:r>
    </w:p>
  </w:footnote>
  <w:footnote w:id="190">
    <w:p w14:paraId="7EFE4E3B" w14:textId="137CC0EB" w:rsidR="00D86616" w:rsidRPr="009E6ED2" w:rsidRDefault="00D86616" w:rsidP="006A2D03">
      <w:pPr>
        <w:pStyle w:val="FootnoteText"/>
        <w:spacing w:after="0"/>
        <w:rPr>
          <w:lang w:val="es-MX"/>
        </w:rPr>
      </w:pPr>
      <w:r w:rsidRPr="0018405A">
        <w:rPr>
          <w:rStyle w:val="FootnoteReference"/>
          <w:color w:val="000000"/>
          <w:sz w:val="16"/>
        </w:rPr>
        <w:footnoteRef/>
      </w:r>
      <w:r w:rsidRPr="009E6ED2">
        <w:rPr>
          <w:lang w:val="es-MX"/>
        </w:rPr>
        <w:t xml:space="preserve"> </w:t>
      </w:r>
      <w:r w:rsidRPr="009E6ED2">
        <w:rPr>
          <w:lang w:val="es-MX"/>
        </w:rPr>
        <w:tab/>
      </w:r>
      <w:r w:rsidRPr="007F3588">
        <w:rPr>
          <w:i/>
          <w:lang w:val="es-MX"/>
        </w:rPr>
        <w:t>Cfr. Caso Acevedo Buendía y otros (“Cesantes y Jubilados de la Contraloría”) Vs. Perú. Excepción Preliminar, Fondo, Reparaciones y Costas.</w:t>
      </w:r>
      <w:r w:rsidRPr="009E6ED2">
        <w:rPr>
          <w:lang w:val="es-MX"/>
        </w:rPr>
        <w:t xml:space="preserve"> Sentencia de 1 de julio de 2009 Serie C No. 198, párr. 101; </w:t>
      </w:r>
      <w:r w:rsidRPr="007F3588">
        <w:rPr>
          <w:i/>
          <w:lang w:val="es-MX"/>
        </w:rPr>
        <w:t>Caso Suárez Peralta Vs. Ecuador. Excepciones Preliminares, Fondo, Reparaciones y Costas</w:t>
      </w:r>
      <w:r w:rsidRPr="009E6ED2">
        <w:rPr>
          <w:lang w:val="es-MX"/>
        </w:rPr>
        <w:t xml:space="preserve">. Sentencia de 21 de mayo de 2013. Serie C No. 261, párr. 131, y </w:t>
      </w:r>
      <w:r w:rsidRPr="007F3588">
        <w:rPr>
          <w:i/>
          <w:lang w:val="es-MX"/>
        </w:rPr>
        <w:t xml:space="preserve">Caso Gonzales </w:t>
      </w:r>
      <w:proofErr w:type="spellStart"/>
      <w:r w:rsidRPr="007F3588">
        <w:rPr>
          <w:i/>
          <w:lang w:val="es-MX"/>
        </w:rPr>
        <w:t>Lluy</w:t>
      </w:r>
      <w:proofErr w:type="spellEnd"/>
      <w:r w:rsidRPr="007F3588">
        <w:rPr>
          <w:i/>
          <w:lang w:val="es-MX"/>
        </w:rPr>
        <w:t xml:space="preserve"> y otros Vs. Ecuador. Excepciones Preliminares, Fondo, Reparaciones y Costas.</w:t>
      </w:r>
      <w:r>
        <w:rPr>
          <w:lang w:val="es-MX"/>
        </w:rPr>
        <w:t xml:space="preserve"> Sentencia de </w:t>
      </w:r>
      <w:r w:rsidRPr="009E6ED2">
        <w:rPr>
          <w:lang w:val="es-MX"/>
        </w:rPr>
        <w:t xml:space="preserve">1 de septiembre de 2015. Serie C No. 298, párr. 172. </w:t>
      </w:r>
      <w:r>
        <w:rPr>
          <w:lang w:val="es-MX"/>
        </w:rPr>
        <w:t xml:space="preserve">Preámbulo de la Convención Americana. </w:t>
      </w:r>
    </w:p>
    <w:p w14:paraId="7D0C1CB3" w14:textId="0C629C04" w:rsidR="00D86616" w:rsidRPr="009E6ED2" w:rsidRDefault="00D86616" w:rsidP="006A2D03">
      <w:pPr>
        <w:pStyle w:val="FootnoteText"/>
        <w:spacing w:after="0"/>
        <w:rPr>
          <w:b/>
          <w:lang w:val="es-MX"/>
        </w:rPr>
      </w:pPr>
      <w:r w:rsidRPr="009E6ED2">
        <w:rPr>
          <w:lang w:val="es-MX"/>
        </w:rPr>
        <w:t xml:space="preserve">En el mismo sentido: </w:t>
      </w:r>
      <w:r w:rsidRPr="009E6ED2">
        <w:rPr>
          <w:i/>
          <w:iCs/>
          <w:lang w:val="es-MX"/>
        </w:rPr>
        <w:t>Cfr.</w:t>
      </w:r>
      <w:r w:rsidRPr="009E6ED2">
        <w:rPr>
          <w:iCs/>
          <w:lang w:val="es-MX"/>
        </w:rPr>
        <w:t xml:space="preserve"> ONU.</w:t>
      </w:r>
      <w:r w:rsidRPr="009E6ED2">
        <w:rPr>
          <w:lang w:val="es-MX"/>
        </w:rPr>
        <w:t xml:space="preserve"> Comité de Derechos Económicos, Sociales y Culturales, </w:t>
      </w:r>
      <w:r w:rsidRPr="009E6ED2">
        <w:rPr>
          <w:i/>
          <w:lang w:val="es-MX"/>
        </w:rPr>
        <w:t>Observación General N</w:t>
      </w:r>
      <w:r w:rsidRPr="009E6ED2">
        <w:rPr>
          <w:i/>
          <w:vertAlign w:val="superscript"/>
          <w:lang w:val="es-MX"/>
        </w:rPr>
        <w:t>o</w:t>
      </w:r>
      <w:r w:rsidRPr="009E6ED2">
        <w:rPr>
          <w:i/>
          <w:lang w:val="es-MX"/>
        </w:rPr>
        <w:t xml:space="preserve"> 9</w:t>
      </w:r>
      <w:r w:rsidRPr="009E6ED2">
        <w:rPr>
          <w:lang w:val="es-MX"/>
        </w:rPr>
        <w:t xml:space="preserve">, E/C.12/1998/24, 3 de diciembre de 1998, párr. 10. Véase también: </w:t>
      </w:r>
      <w:r w:rsidRPr="004868B2">
        <w:rPr>
          <w:lang w:val="es-MX"/>
        </w:rPr>
        <w:t>TEDH</w:t>
      </w:r>
      <w:r w:rsidRPr="007F3588">
        <w:rPr>
          <w:i/>
          <w:lang w:val="es-MX"/>
        </w:rPr>
        <w:t xml:space="preserve">, </w:t>
      </w:r>
      <w:r w:rsidRPr="007F3588">
        <w:rPr>
          <w:i/>
          <w:iCs/>
          <w:lang w:val="es-MX"/>
        </w:rPr>
        <w:t xml:space="preserve">Caso </w:t>
      </w:r>
      <w:proofErr w:type="spellStart"/>
      <w:r w:rsidRPr="007F3588">
        <w:rPr>
          <w:i/>
          <w:iCs/>
          <w:lang w:val="es-MX"/>
        </w:rPr>
        <w:t>Airey</w:t>
      </w:r>
      <w:proofErr w:type="spellEnd"/>
      <w:r w:rsidRPr="007F3588">
        <w:rPr>
          <w:i/>
          <w:iCs/>
          <w:lang w:val="es-MX"/>
        </w:rPr>
        <w:t xml:space="preserve"> Vs. Irlanda</w:t>
      </w:r>
      <w:r w:rsidRPr="007F3588">
        <w:rPr>
          <w:i/>
          <w:lang w:val="es-MX"/>
        </w:rPr>
        <w:t xml:space="preserve">, </w:t>
      </w:r>
      <w:r w:rsidRPr="009E6ED2">
        <w:rPr>
          <w:lang w:val="es-MX"/>
        </w:rPr>
        <w:t xml:space="preserve">No. 6289/73. Sentencia de 9 de octubre de 1979, párr. 26 y </w:t>
      </w:r>
      <w:r w:rsidRPr="009E6ED2">
        <w:rPr>
          <w:i/>
          <w:iCs/>
          <w:lang w:val="es-MX"/>
        </w:rPr>
        <w:t xml:space="preserve">Caso </w:t>
      </w:r>
      <w:proofErr w:type="spellStart"/>
      <w:r w:rsidRPr="009E6ED2">
        <w:rPr>
          <w:i/>
          <w:iCs/>
          <w:lang w:val="es-MX"/>
        </w:rPr>
        <w:t>Sidabras</w:t>
      </w:r>
      <w:proofErr w:type="spellEnd"/>
      <w:r w:rsidRPr="009E6ED2">
        <w:rPr>
          <w:i/>
          <w:iCs/>
          <w:lang w:val="es-MX"/>
        </w:rPr>
        <w:t xml:space="preserve"> y </w:t>
      </w:r>
      <w:proofErr w:type="spellStart"/>
      <w:r w:rsidRPr="009E6ED2">
        <w:rPr>
          <w:i/>
          <w:iCs/>
          <w:lang w:val="es-MX"/>
        </w:rPr>
        <w:t>Dziautas</w:t>
      </w:r>
      <w:proofErr w:type="spellEnd"/>
      <w:r w:rsidRPr="009E6ED2">
        <w:rPr>
          <w:i/>
          <w:iCs/>
          <w:lang w:val="es-MX"/>
        </w:rPr>
        <w:t xml:space="preserve"> Vs. Lituania</w:t>
      </w:r>
      <w:r w:rsidRPr="009E6ED2">
        <w:rPr>
          <w:lang w:val="es-MX"/>
        </w:rPr>
        <w:t xml:space="preserve">, Nos. 55480/00 y 59330/00. Sentencia de 27 de julio de 2004, párr. 47. En el </w:t>
      </w:r>
      <w:r w:rsidRPr="007F3588">
        <w:rPr>
          <w:i/>
          <w:lang w:val="es-MX"/>
        </w:rPr>
        <w:t xml:space="preserve">Caso </w:t>
      </w:r>
      <w:proofErr w:type="spellStart"/>
      <w:r w:rsidRPr="007F3588">
        <w:rPr>
          <w:i/>
          <w:iCs/>
          <w:lang w:val="es-MX"/>
        </w:rPr>
        <w:t>Airey</w:t>
      </w:r>
      <w:proofErr w:type="spellEnd"/>
      <w:r w:rsidRPr="007F3588">
        <w:rPr>
          <w:i/>
          <w:iCs/>
          <w:lang w:val="es-MX"/>
        </w:rPr>
        <w:t xml:space="preserve"> Vs. Irlanda</w:t>
      </w:r>
      <w:r w:rsidRPr="009E6ED2">
        <w:rPr>
          <w:iCs/>
          <w:lang w:val="es-MX"/>
        </w:rPr>
        <w:t xml:space="preserve">, </w:t>
      </w:r>
      <w:r w:rsidRPr="009E6ED2">
        <w:rPr>
          <w:lang w:val="es-MX"/>
        </w:rPr>
        <w:t xml:space="preserve">el Tribunal Europeo señaló que “[s]i bien el Convenio recoge derechos esencialmente civiles y políticos, gran parte de ellos tienen implicaciones de naturaleza económica y social. Por eso, el Tribunal estima, como lo hace la Comisión, que el hecho de que una interpretación del Convenio pueda extenderse a la esfera de los derechos sociales y económicos no es factor decisivo en contra de dicha interpretación, ya que no existe una separación tajante entre esa esfera y el campo cubierto por el Convenio”.  </w:t>
      </w:r>
    </w:p>
  </w:footnote>
  <w:footnote w:id="191">
    <w:p w14:paraId="54B5F530" w14:textId="0A89BE64" w:rsidR="00D86616" w:rsidRPr="009E6ED2" w:rsidRDefault="00D86616" w:rsidP="006A2D03">
      <w:pPr>
        <w:pStyle w:val="FootnoteText"/>
        <w:spacing w:after="0"/>
        <w:rPr>
          <w:color w:val="000000"/>
          <w:lang w:val="es-MX"/>
        </w:rPr>
      </w:pPr>
      <w:r w:rsidRPr="0018405A">
        <w:rPr>
          <w:rStyle w:val="FootnoteReference"/>
          <w:color w:val="000000"/>
          <w:sz w:val="16"/>
        </w:rPr>
        <w:footnoteRef/>
      </w:r>
      <w:r w:rsidRPr="009E6ED2">
        <w:rPr>
          <w:color w:val="000000"/>
          <w:lang w:val="es-MX"/>
        </w:rPr>
        <w:t xml:space="preserve"> </w:t>
      </w:r>
      <w:r w:rsidRPr="009E6ED2">
        <w:rPr>
          <w:color w:val="000000"/>
          <w:lang w:val="es-MX"/>
        </w:rPr>
        <w:tab/>
      </w:r>
      <w:r w:rsidRPr="007F3588">
        <w:rPr>
          <w:i/>
          <w:color w:val="000000"/>
          <w:lang w:val="es-MX"/>
        </w:rPr>
        <w:t xml:space="preserve">Cfr. </w:t>
      </w:r>
      <w:r w:rsidRPr="007F3588">
        <w:rPr>
          <w:i/>
          <w:lang w:val="es-MX"/>
        </w:rPr>
        <w:t>Caso Acevedo Buendía y otros (“Cesantes y Jubilados de la Contraloría”) Vs. Perú, supra</w:t>
      </w:r>
      <w:r w:rsidRPr="009E6ED2">
        <w:rPr>
          <w:lang w:val="es-MX"/>
        </w:rPr>
        <w:t xml:space="preserve">, </w:t>
      </w:r>
      <w:proofErr w:type="spellStart"/>
      <w:r w:rsidRPr="009E6ED2">
        <w:rPr>
          <w:color w:val="000000"/>
          <w:lang w:val="es-MX"/>
        </w:rPr>
        <w:t>párrs</w:t>
      </w:r>
      <w:proofErr w:type="spellEnd"/>
      <w:r w:rsidRPr="009E6ED2">
        <w:rPr>
          <w:color w:val="000000"/>
          <w:lang w:val="es-MX"/>
        </w:rPr>
        <w:t xml:space="preserve">. </w:t>
      </w:r>
      <w:r w:rsidRPr="00A532BE">
        <w:rPr>
          <w:color w:val="000000"/>
          <w:lang w:val="es-MX"/>
        </w:rPr>
        <w:t>16, 17</w:t>
      </w:r>
      <w:r w:rsidRPr="009E6ED2">
        <w:rPr>
          <w:color w:val="000000"/>
          <w:lang w:val="es-MX"/>
        </w:rPr>
        <w:t xml:space="preserve"> y 100.</w:t>
      </w:r>
    </w:p>
  </w:footnote>
  <w:footnote w:id="192">
    <w:p w14:paraId="638C1D82" w14:textId="7BFD2A15" w:rsidR="00D86616" w:rsidRPr="00CF7867" w:rsidRDefault="00D86616" w:rsidP="006A2D03">
      <w:pPr>
        <w:tabs>
          <w:tab w:val="left" w:pos="540"/>
        </w:tabs>
        <w:autoSpaceDE w:val="0"/>
        <w:autoSpaceDN w:val="0"/>
        <w:adjustRightInd w:val="0"/>
        <w:contextualSpacing/>
        <w:jc w:val="both"/>
        <w:rPr>
          <w:rFonts w:ascii="Verdana" w:hAnsi="Verdana" w:cs="Verdana"/>
          <w:color w:val="000000"/>
          <w:sz w:val="16"/>
          <w:szCs w:val="16"/>
          <w:lang w:eastAsia="es-MX"/>
        </w:rPr>
      </w:pPr>
      <w:r w:rsidRPr="00CF7867">
        <w:rPr>
          <w:rStyle w:val="FootnoteReference"/>
          <w:color w:val="000000"/>
          <w:sz w:val="16"/>
          <w:szCs w:val="16"/>
        </w:rPr>
        <w:footnoteRef/>
      </w:r>
      <w:r w:rsidRPr="00CF7867">
        <w:rPr>
          <w:rFonts w:ascii="Verdana" w:hAnsi="Verdana"/>
          <w:color w:val="000000"/>
          <w:sz w:val="16"/>
          <w:szCs w:val="16"/>
        </w:rPr>
        <w:t xml:space="preserve"> </w:t>
      </w:r>
      <w:r w:rsidRPr="00CF7867">
        <w:rPr>
          <w:rFonts w:ascii="Verdana" w:hAnsi="Verdana"/>
          <w:color w:val="000000"/>
          <w:sz w:val="16"/>
          <w:szCs w:val="16"/>
        </w:rPr>
        <w:tab/>
      </w:r>
      <w:r w:rsidRPr="00F77B70">
        <w:rPr>
          <w:rFonts w:ascii="Verdana" w:hAnsi="Verdana" w:cs="Verdana"/>
          <w:i/>
          <w:iCs/>
          <w:color w:val="000000"/>
          <w:sz w:val="16"/>
          <w:szCs w:val="16"/>
          <w:lang w:eastAsia="es-MX"/>
        </w:rPr>
        <w:t>Cfr.</w:t>
      </w:r>
      <w:r w:rsidRPr="00CF7867">
        <w:rPr>
          <w:rFonts w:ascii="Verdana" w:hAnsi="Verdana" w:cs="Verdana"/>
          <w:color w:val="000000"/>
          <w:sz w:val="16"/>
          <w:szCs w:val="16"/>
          <w:lang w:eastAsia="es-MX"/>
        </w:rPr>
        <w:t xml:space="preserve"> </w:t>
      </w:r>
      <w:r w:rsidRPr="00CF7867">
        <w:rPr>
          <w:rFonts w:ascii="Verdana" w:hAnsi="Verdana" w:cs="Verdana"/>
          <w:i/>
          <w:iCs/>
          <w:color w:val="000000"/>
          <w:sz w:val="16"/>
          <w:szCs w:val="16"/>
          <w:lang w:eastAsia="es-MX"/>
        </w:rPr>
        <w:t xml:space="preserve">Caso </w:t>
      </w:r>
      <w:proofErr w:type="spellStart"/>
      <w:r w:rsidRPr="00CF7867">
        <w:rPr>
          <w:rFonts w:ascii="Verdana" w:hAnsi="Verdana" w:cs="Verdana"/>
          <w:i/>
          <w:iCs/>
          <w:color w:val="000000"/>
          <w:sz w:val="16"/>
          <w:szCs w:val="16"/>
          <w:lang w:eastAsia="es-MX"/>
        </w:rPr>
        <w:t>Ivcher</w:t>
      </w:r>
      <w:proofErr w:type="spellEnd"/>
      <w:r w:rsidRPr="00CF7867">
        <w:rPr>
          <w:rFonts w:ascii="Verdana" w:hAnsi="Verdana" w:cs="Verdana"/>
          <w:i/>
          <w:iCs/>
          <w:color w:val="000000"/>
          <w:sz w:val="16"/>
          <w:szCs w:val="16"/>
          <w:lang w:eastAsia="es-MX"/>
        </w:rPr>
        <w:t xml:space="preserve"> </w:t>
      </w:r>
      <w:proofErr w:type="spellStart"/>
      <w:r w:rsidRPr="00CF7867">
        <w:rPr>
          <w:rFonts w:ascii="Verdana" w:hAnsi="Verdana" w:cs="Verdana"/>
          <w:i/>
          <w:iCs/>
          <w:color w:val="000000"/>
          <w:sz w:val="16"/>
          <w:szCs w:val="16"/>
          <w:lang w:eastAsia="es-MX"/>
        </w:rPr>
        <w:t>Bronstein</w:t>
      </w:r>
      <w:proofErr w:type="spellEnd"/>
      <w:r w:rsidRPr="00CF7867">
        <w:rPr>
          <w:rFonts w:ascii="Verdana" w:hAnsi="Verdana" w:cs="Verdana"/>
          <w:i/>
          <w:iCs/>
          <w:color w:val="000000"/>
          <w:sz w:val="16"/>
          <w:szCs w:val="16"/>
          <w:lang w:eastAsia="es-MX"/>
        </w:rPr>
        <w:t xml:space="preserve"> Vs. Perú. Competencia. </w:t>
      </w:r>
      <w:r w:rsidRPr="00CF7867">
        <w:rPr>
          <w:rFonts w:ascii="Verdana" w:hAnsi="Verdana" w:cs="Verdana"/>
          <w:color w:val="000000"/>
          <w:sz w:val="16"/>
          <w:szCs w:val="16"/>
          <w:lang w:eastAsia="es-MX"/>
        </w:rPr>
        <w:t xml:space="preserve">Sentencia de 24 de septiembre de 1999. Serie C No. 54, </w:t>
      </w:r>
      <w:proofErr w:type="spellStart"/>
      <w:r w:rsidRPr="00CF7867">
        <w:rPr>
          <w:rFonts w:ascii="Verdana" w:hAnsi="Verdana" w:cs="Verdana"/>
          <w:color w:val="000000"/>
          <w:sz w:val="16"/>
          <w:szCs w:val="16"/>
          <w:lang w:eastAsia="es-MX"/>
        </w:rPr>
        <w:t>párrs</w:t>
      </w:r>
      <w:proofErr w:type="spellEnd"/>
      <w:r w:rsidRPr="00CF7867">
        <w:rPr>
          <w:rFonts w:ascii="Verdana" w:hAnsi="Verdana" w:cs="Verdana"/>
          <w:color w:val="000000"/>
          <w:sz w:val="16"/>
          <w:szCs w:val="16"/>
          <w:lang w:eastAsia="es-MX"/>
        </w:rPr>
        <w:t>. 32 y 34</w:t>
      </w:r>
      <w:r>
        <w:rPr>
          <w:rFonts w:ascii="Verdana" w:hAnsi="Verdana" w:cs="Verdana"/>
          <w:color w:val="000000"/>
          <w:sz w:val="16"/>
          <w:szCs w:val="16"/>
          <w:lang w:eastAsia="es-MX"/>
        </w:rPr>
        <w:t xml:space="preserve">, y </w:t>
      </w:r>
      <w:r w:rsidRPr="00333304">
        <w:rPr>
          <w:rFonts w:ascii="Verdana" w:hAnsi="Verdana" w:cs="Verdana"/>
          <w:i/>
          <w:color w:val="000000"/>
          <w:sz w:val="16"/>
          <w:szCs w:val="16"/>
          <w:lang w:eastAsia="es-MX"/>
        </w:rPr>
        <w:t>Caso Espinoza Gonzáles Vs. Perú. Excepciones Preliminares, Fondo, Reparaciones y Costas.</w:t>
      </w:r>
      <w:r>
        <w:rPr>
          <w:rFonts w:ascii="Verdana" w:hAnsi="Verdana" w:cs="Verdana"/>
          <w:color w:val="000000"/>
          <w:sz w:val="16"/>
          <w:szCs w:val="16"/>
          <w:lang w:eastAsia="es-MX"/>
        </w:rPr>
        <w:t xml:space="preserve"> Sentencia de 20 de noviembre de 2014. Serie C No. 289, párr. 27.</w:t>
      </w:r>
    </w:p>
  </w:footnote>
  <w:footnote w:id="193">
    <w:p w14:paraId="1154F3B9" w14:textId="25F420D2" w:rsidR="00D86616" w:rsidRPr="00CF7867" w:rsidRDefault="00D86616" w:rsidP="006A2D03">
      <w:pPr>
        <w:tabs>
          <w:tab w:val="left" w:pos="540"/>
        </w:tabs>
        <w:autoSpaceDE w:val="0"/>
        <w:autoSpaceDN w:val="0"/>
        <w:adjustRightInd w:val="0"/>
        <w:contextualSpacing/>
        <w:jc w:val="both"/>
        <w:rPr>
          <w:rFonts w:ascii="Verdana" w:hAnsi="Verdana" w:cs="Verdana"/>
          <w:color w:val="000000"/>
          <w:sz w:val="16"/>
          <w:szCs w:val="16"/>
          <w:lang w:eastAsia="es-MX"/>
        </w:rPr>
      </w:pPr>
      <w:r w:rsidRPr="00CF7867">
        <w:rPr>
          <w:rStyle w:val="FootnoteReference"/>
          <w:color w:val="000000"/>
          <w:sz w:val="16"/>
          <w:szCs w:val="16"/>
        </w:rPr>
        <w:footnoteRef/>
      </w:r>
      <w:r w:rsidRPr="00CF7867">
        <w:rPr>
          <w:rFonts w:ascii="Verdana" w:hAnsi="Verdana"/>
          <w:color w:val="000000"/>
          <w:sz w:val="16"/>
          <w:szCs w:val="16"/>
        </w:rPr>
        <w:t xml:space="preserve"> </w:t>
      </w:r>
      <w:r w:rsidRPr="00CF7867">
        <w:rPr>
          <w:rFonts w:ascii="Verdana" w:hAnsi="Verdana"/>
          <w:color w:val="000000"/>
          <w:sz w:val="16"/>
          <w:szCs w:val="16"/>
        </w:rPr>
        <w:tab/>
      </w:r>
      <w:r w:rsidRPr="00F77B70">
        <w:rPr>
          <w:rFonts w:ascii="Verdana" w:hAnsi="Verdana" w:cs="Verdana"/>
          <w:i/>
          <w:iCs/>
          <w:color w:val="000000"/>
          <w:sz w:val="16"/>
          <w:szCs w:val="16"/>
          <w:lang w:eastAsia="es-MX"/>
        </w:rPr>
        <w:t>Cfr.</w:t>
      </w:r>
      <w:r w:rsidRPr="00CF7867">
        <w:rPr>
          <w:rFonts w:ascii="Verdana" w:hAnsi="Verdana" w:cs="Verdana"/>
          <w:color w:val="000000"/>
          <w:sz w:val="16"/>
          <w:szCs w:val="16"/>
          <w:lang w:eastAsia="es-MX"/>
        </w:rPr>
        <w:t xml:space="preserve"> </w:t>
      </w:r>
      <w:r w:rsidRPr="00CF7867">
        <w:rPr>
          <w:rFonts w:ascii="Verdana" w:hAnsi="Verdana" w:cs="Verdana"/>
          <w:i/>
          <w:iCs/>
          <w:color w:val="000000"/>
          <w:sz w:val="16"/>
          <w:szCs w:val="16"/>
          <w:lang w:eastAsia="es-MX"/>
        </w:rPr>
        <w:t>Caso Velásquez Rodríguez Vs. Honduras. Excepciones Preliminares</w:t>
      </w:r>
      <w:r>
        <w:rPr>
          <w:rFonts w:ascii="Verdana" w:hAnsi="Verdana" w:cs="Verdana"/>
          <w:i/>
          <w:iCs/>
          <w:color w:val="000000"/>
          <w:sz w:val="16"/>
          <w:szCs w:val="16"/>
          <w:lang w:eastAsia="es-MX"/>
        </w:rPr>
        <w:t xml:space="preserve">, </w:t>
      </w:r>
      <w:r w:rsidRPr="002F31BD">
        <w:rPr>
          <w:rFonts w:ascii="Verdana" w:hAnsi="Verdana" w:cs="Verdana"/>
          <w:i/>
          <w:iCs/>
          <w:color w:val="000000"/>
          <w:sz w:val="16"/>
          <w:szCs w:val="16"/>
          <w:lang w:eastAsia="es-MX"/>
        </w:rPr>
        <w:t>supra</w:t>
      </w:r>
      <w:r>
        <w:rPr>
          <w:rFonts w:ascii="Verdana" w:hAnsi="Verdana" w:cs="Verdana"/>
          <w:i/>
          <w:iCs/>
          <w:color w:val="000000"/>
          <w:sz w:val="16"/>
          <w:szCs w:val="16"/>
          <w:lang w:eastAsia="es-MX"/>
        </w:rPr>
        <w:t xml:space="preserve">, </w:t>
      </w:r>
      <w:r w:rsidRPr="00CF7867">
        <w:rPr>
          <w:rFonts w:ascii="Verdana" w:hAnsi="Verdana" w:cs="Verdana"/>
          <w:color w:val="000000"/>
          <w:sz w:val="16"/>
          <w:szCs w:val="16"/>
          <w:lang w:eastAsia="es-MX"/>
        </w:rPr>
        <w:t xml:space="preserve">párr. 29, y </w:t>
      </w:r>
      <w:r w:rsidRPr="00CF7867">
        <w:rPr>
          <w:rFonts w:ascii="Verdana" w:hAnsi="Verdana" w:cs="Verdana"/>
          <w:i/>
          <w:iCs/>
          <w:color w:val="000000"/>
          <w:sz w:val="16"/>
          <w:szCs w:val="16"/>
          <w:lang w:eastAsia="es-MX"/>
        </w:rPr>
        <w:t xml:space="preserve">Caso </w:t>
      </w:r>
      <w:r>
        <w:rPr>
          <w:rFonts w:ascii="Verdana" w:hAnsi="Verdana" w:cs="Verdana"/>
          <w:i/>
          <w:iCs/>
          <w:color w:val="000000"/>
          <w:sz w:val="16"/>
          <w:szCs w:val="16"/>
          <w:lang w:eastAsia="es-MX"/>
        </w:rPr>
        <w:t xml:space="preserve">Garibaldi </w:t>
      </w:r>
      <w:r w:rsidRPr="00CF7867">
        <w:rPr>
          <w:rFonts w:ascii="Verdana" w:hAnsi="Verdana" w:cs="Verdana"/>
          <w:i/>
          <w:iCs/>
          <w:color w:val="000000"/>
          <w:sz w:val="16"/>
          <w:szCs w:val="16"/>
          <w:lang w:eastAsia="es-MX"/>
        </w:rPr>
        <w:t xml:space="preserve">Vs. </w:t>
      </w:r>
      <w:r>
        <w:rPr>
          <w:rFonts w:ascii="Verdana" w:hAnsi="Verdana" w:cs="Verdana"/>
          <w:i/>
          <w:iCs/>
          <w:color w:val="000000"/>
          <w:sz w:val="16"/>
          <w:szCs w:val="16"/>
          <w:lang w:eastAsia="es-MX"/>
        </w:rPr>
        <w:t>Brasil</w:t>
      </w:r>
      <w:r w:rsidRPr="00CF7867">
        <w:rPr>
          <w:rFonts w:ascii="Verdana" w:hAnsi="Verdana" w:cs="Verdana"/>
          <w:i/>
          <w:iCs/>
          <w:color w:val="000000"/>
          <w:sz w:val="16"/>
          <w:szCs w:val="16"/>
          <w:lang w:eastAsia="es-MX"/>
        </w:rPr>
        <w:t>. Excepci</w:t>
      </w:r>
      <w:r>
        <w:rPr>
          <w:rFonts w:ascii="Verdana" w:hAnsi="Verdana" w:cs="Verdana"/>
          <w:i/>
          <w:iCs/>
          <w:color w:val="000000"/>
          <w:sz w:val="16"/>
          <w:szCs w:val="16"/>
          <w:lang w:eastAsia="es-MX"/>
        </w:rPr>
        <w:t>o</w:t>
      </w:r>
      <w:r w:rsidRPr="00CF7867">
        <w:rPr>
          <w:rFonts w:ascii="Verdana" w:hAnsi="Verdana" w:cs="Verdana"/>
          <w:i/>
          <w:iCs/>
          <w:color w:val="000000"/>
          <w:sz w:val="16"/>
          <w:szCs w:val="16"/>
          <w:lang w:eastAsia="es-MX"/>
        </w:rPr>
        <w:t>n</w:t>
      </w:r>
      <w:r>
        <w:rPr>
          <w:rFonts w:ascii="Verdana" w:hAnsi="Verdana" w:cs="Verdana"/>
          <w:i/>
          <w:iCs/>
          <w:color w:val="000000"/>
          <w:sz w:val="16"/>
          <w:szCs w:val="16"/>
          <w:lang w:eastAsia="es-MX"/>
        </w:rPr>
        <w:t>es</w:t>
      </w:r>
      <w:r w:rsidRPr="00CF7867">
        <w:rPr>
          <w:rFonts w:ascii="Verdana" w:hAnsi="Verdana" w:cs="Verdana"/>
          <w:i/>
          <w:iCs/>
          <w:color w:val="000000"/>
          <w:sz w:val="16"/>
          <w:szCs w:val="16"/>
          <w:lang w:eastAsia="es-MX"/>
        </w:rPr>
        <w:t xml:space="preserve"> Preliminar</w:t>
      </w:r>
      <w:r>
        <w:rPr>
          <w:rFonts w:ascii="Verdana" w:hAnsi="Verdana" w:cs="Verdana"/>
          <w:i/>
          <w:iCs/>
          <w:color w:val="000000"/>
          <w:sz w:val="16"/>
          <w:szCs w:val="16"/>
          <w:lang w:eastAsia="es-MX"/>
        </w:rPr>
        <w:t>es, Fondo, Reparaciones y Costas</w:t>
      </w:r>
      <w:r w:rsidRPr="00CF7867">
        <w:rPr>
          <w:rFonts w:ascii="Verdana" w:hAnsi="Verdana" w:cs="Verdana"/>
          <w:i/>
          <w:iCs/>
          <w:color w:val="000000"/>
          <w:sz w:val="16"/>
          <w:szCs w:val="16"/>
          <w:lang w:eastAsia="es-MX"/>
        </w:rPr>
        <w:t xml:space="preserve">. </w:t>
      </w:r>
      <w:r w:rsidRPr="00CF7867">
        <w:rPr>
          <w:rFonts w:ascii="Verdana" w:hAnsi="Verdana" w:cs="Verdana"/>
          <w:color w:val="000000"/>
          <w:sz w:val="16"/>
          <w:szCs w:val="16"/>
          <w:lang w:eastAsia="es-MX"/>
        </w:rPr>
        <w:t xml:space="preserve">Sentencia de </w:t>
      </w:r>
      <w:r>
        <w:rPr>
          <w:rFonts w:ascii="Verdana" w:hAnsi="Verdana" w:cs="Verdana"/>
          <w:color w:val="000000"/>
          <w:sz w:val="16"/>
          <w:szCs w:val="16"/>
          <w:lang w:eastAsia="es-MX"/>
        </w:rPr>
        <w:t>23</w:t>
      </w:r>
      <w:r w:rsidRPr="00CF7867">
        <w:rPr>
          <w:rFonts w:ascii="Verdana" w:hAnsi="Verdana" w:cs="Verdana"/>
          <w:color w:val="000000"/>
          <w:sz w:val="16"/>
          <w:szCs w:val="16"/>
          <w:lang w:eastAsia="es-MX"/>
        </w:rPr>
        <w:t xml:space="preserve"> de </w:t>
      </w:r>
      <w:r>
        <w:rPr>
          <w:rFonts w:ascii="Verdana" w:hAnsi="Verdana" w:cs="Verdana"/>
          <w:color w:val="000000"/>
          <w:sz w:val="16"/>
          <w:szCs w:val="16"/>
          <w:lang w:eastAsia="es-MX"/>
        </w:rPr>
        <w:t>septiembre</w:t>
      </w:r>
      <w:r w:rsidRPr="00CF7867">
        <w:rPr>
          <w:rFonts w:ascii="Verdana" w:hAnsi="Verdana" w:cs="Verdana"/>
          <w:color w:val="000000"/>
          <w:sz w:val="16"/>
          <w:szCs w:val="16"/>
          <w:lang w:eastAsia="es-MX"/>
        </w:rPr>
        <w:t xml:space="preserve"> de 200</w:t>
      </w:r>
      <w:r>
        <w:rPr>
          <w:rFonts w:ascii="Verdana" w:hAnsi="Verdana" w:cs="Verdana"/>
          <w:color w:val="000000"/>
          <w:sz w:val="16"/>
          <w:szCs w:val="16"/>
          <w:lang w:eastAsia="es-MX"/>
        </w:rPr>
        <w:t>9</w:t>
      </w:r>
      <w:r w:rsidRPr="00CF7867">
        <w:rPr>
          <w:rFonts w:ascii="Verdana" w:hAnsi="Verdana" w:cs="Verdana"/>
          <w:color w:val="000000"/>
          <w:sz w:val="16"/>
          <w:szCs w:val="16"/>
          <w:lang w:eastAsia="es-MX"/>
        </w:rPr>
        <w:t xml:space="preserve">. Serie C No. </w:t>
      </w:r>
      <w:r>
        <w:rPr>
          <w:rFonts w:ascii="Verdana" w:hAnsi="Verdana" w:cs="Verdana"/>
          <w:color w:val="000000"/>
          <w:sz w:val="16"/>
          <w:szCs w:val="16"/>
          <w:lang w:eastAsia="es-MX"/>
        </w:rPr>
        <w:t>20</w:t>
      </w:r>
      <w:r w:rsidRPr="00CF7867">
        <w:rPr>
          <w:rFonts w:ascii="Verdana" w:hAnsi="Verdana" w:cs="Verdana"/>
          <w:color w:val="000000"/>
          <w:sz w:val="16"/>
          <w:szCs w:val="16"/>
          <w:lang w:eastAsia="es-MX"/>
        </w:rPr>
        <w:t xml:space="preserve">3, párr. </w:t>
      </w:r>
      <w:r>
        <w:rPr>
          <w:rFonts w:ascii="Verdana" w:hAnsi="Verdana" w:cs="Verdana"/>
          <w:color w:val="000000"/>
          <w:sz w:val="16"/>
          <w:szCs w:val="16"/>
          <w:lang w:eastAsia="es-MX"/>
        </w:rPr>
        <w:t>41</w:t>
      </w:r>
      <w:r w:rsidRPr="00CF7867">
        <w:rPr>
          <w:rFonts w:ascii="Verdana" w:hAnsi="Verdana" w:cs="Verdana"/>
          <w:color w:val="000000"/>
          <w:sz w:val="16"/>
          <w:szCs w:val="16"/>
          <w:lang w:eastAsia="es-MX"/>
        </w:rPr>
        <w:t>.</w:t>
      </w:r>
    </w:p>
  </w:footnote>
  <w:footnote w:id="194">
    <w:p w14:paraId="0316BE7A" w14:textId="3AD9CAAA" w:rsidR="00D86616" w:rsidRPr="009E6ED2" w:rsidRDefault="00D86616" w:rsidP="006A2D03">
      <w:pPr>
        <w:pStyle w:val="FootnoteText"/>
        <w:spacing w:after="0"/>
        <w:rPr>
          <w:b/>
          <w:color w:val="000000"/>
          <w:lang w:val="es-MX"/>
        </w:rPr>
      </w:pPr>
      <w:r w:rsidRPr="0018405A">
        <w:rPr>
          <w:rStyle w:val="FootnoteReference"/>
          <w:color w:val="000000"/>
          <w:sz w:val="16"/>
        </w:rPr>
        <w:footnoteRef/>
      </w:r>
      <w:r>
        <w:rPr>
          <w:color w:val="000000"/>
          <w:lang w:val="es-MX"/>
        </w:rPr>
        <w:t xml:space="preserve"> </w:t>
      </w:r>
      <w:r>
        <w:rPr>
          <w:color w:val="000000"/>
          <w:lang w:val="es-MX"/>
        </w:rPr>
        <w:tab/>
      </w:r>
      <w:r w:rsidRPr="003C6062">
        <w:rPr>
          <w:i/>
          <w:color w:val="000000"/>
          <w:lang w:val="es-MX"/>
        </w:rPr>
        <w:t>Cfr.</w:t>
      </w:r>
      <w:r>
        <w:rPr>
          <w:color w:val="000000"/>
          <w:lang w:val="es-MX"/>
        </w:rPr>
        <w:t xml:space="preserve"> </w:t>
      </w:r>
      <w:r w:rsidRPr="009E6ED2">
        <w:rPr>
          <w:i/>
          <w:lang w:val="es-MX"/>
        </w:rPr>
        <w:t>Caso Acevedo Buendía y otros (“Cesantes y Jubilados de la Contraloría”), supra</w:t>
      </w:r>
      <w:r w:rsidRPr="009E6ED2">
        <w:rPr>
          <w:lang w:val="es-MX"/>
        </w:rPr>
        <w:t xml:space="preserve">, </w:t>
      </w:r>
      <w:proofErr w:type="spellStart"/>
      <w:r w:rsidRPr="009E6ED2">
        <w:rPr>
          <w:lang w:val="es-MX"/>
        </w:rPr>
        <w:t>párr</w:t>
      </w:r>
      <w:r>
        <w:rPr>
          <w:lang w:val="es-MX"/>
        </w:rPr>
        <w:t>s</w:t>
      </w:r>
      <w:proofErr w:type="spellEnd"/>
      <w:r w:rsidRPr="009E6ED2">
        <w:rPr>
          <w:lang w:val="es-MX"/>
        </w:rPr>
        <w:t xml:space="preserve">. </w:t>
      </w:r>
      <w:r>
        <w:rPr>
          <w:lang w:val="es-MX"/>
        </w:rPr>
        <w:t xml:space="preserve">99 y </w:t>
      </w:r>
      <w:r w:rsidRPr="009E6ED2">
        <w:rPr>
          <w:lang w:val="es-MX"/>
        </w:rPr>
        <w:t>100</w:t>
      </w:r>
      <w:r>
        <w:rPr>
          <w:lang w:val="es-MX"/>
        </w:rPr>
        <w:t xml:space="preserve">. </w:t>
      </w:r>
      <w:r w:rsidRPr="00A532BE">
        <w:rPr>
          <w:i/>
          <w:lang w:val="es-MX"/>
        </w:rPr>
        <w:t>Cfr.</w:t>
      </w:r>
      <w:r w:rsidRPr="00A532BE">
        <w:rPr>
          <w:lang w:val="es-MX"/>
        </w:rPr>
        <w:t xml:space="preserve"> ONU. Comité de Derechos Económicos, Sociales y Culturales, </w:t>
      </w:r>
      <w:r w:rsidRPr="00A532BE">
        <w:rPr>
          <w:i/>
          <w:lang w:val="es-MX"/>
        </w:rPr>
        <w:t>Observación General N</w:t>
      </w:r>
      <w:r w:rsidRPr="00A532BE">
        <w:rPr>
          <w:i/>
          <w:vertAlign w:val="superscript"/>
          <w:lang w:val="es-MX"/>
        </w:rPr>
        <w:t>o</w:t>
      </w:r>
      <w:r w:rsidRPr="00A532BE">
        <w:rPr>
          <w:i/>
          <w:lang w:val="es-MX"/>
        </w:rPr>
        <w:t xml:space="preserve"> 1</w:t>
      </w:r>
      <w:r>
        <w:rPr>
          <w:i/>
          <w:lang w:val="es-MX"/>
        </w:rPr>
        <w:t>8</w:t>
      </w:r>
      <w:r w:rsidRPr="00A532BE">
        <w:rPr>
          <w:lang w:val="es-MX"/>
        </w:rPr>
        <w:t>, E/</w:t>
      </w:r>
      <w:r>
        <w:rPr>
          <w:lang w:val="es-MX"/>
        </w:rPr>
        <w:t>G</w:t>
      </w:r>
      <w:r w:rsidRPr="00A532BE">
        <w:rPr>
          <w:lang w:val="es-MX"/>
        </w:rPr>
        <w:t>C.1</w:t>
      </w:r>
      <w:r>
        <w:rPr>
          <w:lang w:val="es-MX"/>
        </w:rPr>
        <w:t>8</w:t>
      </w:r>
      <w:r w:rsidRPr="00A532BE">
        <w:rPr>
          <w:lang w:val="es-MX"/>
        </w:rPr>
        <w:t>/</w:t>
      </w:r>
      <w:r>
        <w:rPr>
          <w:lang w:val="es-MX"/>
        </w:rPr>
        <w:t>2005</w:t>
      </w:r>
      <w:r w:rsidRPr="00A532BE">
        <w:rPr>
          <w:lang w:val="es-MX"/>
        </w:rPr>
        <w:t xml:space="preserve">, </w:t>
      </w:r>
      <w:r>
        <w:rPr>
          <w:lang w:val="es-MX"/>
        </w:rPr>
        <w:t>24</w:t>
      </w:r>
      <w:r w:rsidRPr="00A532BE">
        <w:rPr>
          <w:lang w:val="es-MX"/>
        </w:rPr>
        <w:t xml:space="preserve"> de </w:t>
      </w:r>
      <w:r>
        <w:rPr>
          <w:lang w:val="es-MX"/>
        </w:rPr>
        <w:t>noviembre</w:t>
      </w:r>
      <w:r w:rsidRPr="00A532BE">
        <w:rPr>
          <w:lang w:val="es-MX"/>
        </w:rPr>
        <w:t xml:space="preserve"> de </w:t>
      </w:r>
      <w:r>
        <w:rPr>
          <w:lang w:val="es-MX"/>
        </w:rPr>
        <w:t>2005</w:t>
      </w:r>
      <w:r w:rsidRPr="00A532BE">
        <w:rPr>
          <w:lang w:val="es-MX"/>
        </w:rPr>
        <w:t xml:space="preserve">, </w:t>
      </w:r>
      <w:proofErr w:type="spellStart"/>
      <w:r w:rsidRPr="00A532BE">
        <w:rPr>
          <w:lang w:val="es-MX"/>
        </w:rPr>
        <w:t>párr</w:t>
      </w:r>
      <w:r>
        <w:rPr>
          <w:lang w:val="es-MX"/>
        </w:rPr>
        <w:t>s</w:t>
      </w:r>
      <w:proofErr w:type="spellEnd"/>
      <w:r w:rsidRPr="00A532BE">
        <w:rPr>
          <w:lang w:val="es-MX"/>
        </w:rPr>
        <w:t xml:space="preserve">. </w:t>
      </w:r>
      <w:r>
        <w:rPr>
          <w:lang w:val="es-MX"/>
        </w:rPr>
        <w:t xml:space="preserve">48 a </w:t>
      </w:r>
      <w:r w:rsidRPr="00A532BE">
        <w:rPr>
          <w:lang w:val="es-MX"/>
        </w:rPr>
        <w:t>50</w:t>
      </w:r>
      <w:r>
        <w:rPr>
          <w:lang w:val="es-MX"/>
        </w:rPr>
        <w:t xml:space="preserve"> ∞</w:t>
      </w:r>
      <w:r w:rsidRPr="00A532BE">
        <w:rPr>
          <w:lang w:val="es-MX"/>
        </w:rPr>
        <w:t>.</w:t>
      </w:r>
    </w:p>
  </w:footnote>
  <w:footnote w:id="195">
    <w:p w14:paraId="1A95FFA0" w14:textId="066B7FDA" w:rsidR="00D86616" w:rsidRPr="00E86831" w:rsidRDefault="00D86616" w:rsidP="006A2D03">
      <w:pPr>
        <w:pStyle w:val="style11"/>
        <w:shd w:val="clear" w:color="auto" w:fill="FFFFFF"/>
        <w:spacing w:before="0" w:after="0"/>
        <w:ind w:left="0"/>
        <w:contextualSpacing/>
        <w:rPr>
          <w:rFonts w:ascii="Verdana" w:hAnsi="Verdana" w:cs="Tahoma"/>
          <w:color w:val="000000"/>
          <w:sz w:val="16"/>
          <w:szCs w:val="16"/>
          <w:lang w:val="es-ES_tradnl"/>
        </w:rPr>
      </w:pPr>
      <w:r w:rsidRPr="00CF7867">
        <w:rPr>
          <w:rStyle w:val="FootnoteReference"/>
          <w:color w:val="000000"/>
          <w:sz w:val="16"/>
          <w:szCs w:val="16"/>
        </w:rPr>
        <w:footnoteRef/>
      </w:r>
      <w:r w:rsidRPr="00CF7867">
        <w:rPr>
          <w:rFonts w:ascii="Verdana" w:hAnsi="Verdana"/>
          <w:color w:val="000000"/>
          <w:sz w:val="16"/>
          <w:szCs w:val="16"/>
          <w:lang w:val="es-ES_tradnl"/>
        </w:rPr>
        <w:t xml:space="preserve"> </w:t>
      </w:r>
      <w:r w:rsidRPr="00CF7867">
        <w:rPr>
          <w:rFonts w:ascii="Verdana" w:hAnsi="Verdana"/>
          <w:color w:val="000000"/>
          <w:sz w:val="16"/>
          <w:szCs w:val="16"/>
          <w:lang w:val="es-ES_tradnl"/>
        </w:rPr>
        <w:tab/>
      </w:r>
      <w:r w:rsidRPr="00CF7867">
        <w:rPr>
          <w:rFonts w:ascii="Verdana" w:hAnsi="Verdana" w:cs="Tahoma"/>
          <w:color w:val="000000"/>
          <w:sz w:val="16"/>
          <w:szCs w:val="16"/>
          <w:lang w:val="es-ES_tradnl"/>
        </w:rPr>
        <w:t xml:space="preserve">Artículo 45 </w:t>
      </w:r>
      <w:r>
        <w:rPr>
          <w:rFonts w:ascii="Verdana" w:hAnsi="Verdana" w:cs="Tahoma"/>
          <w:color w:val="000000"/>
          <w:sz w:val="16"/>
          <w:szCs w:val="16"/>
          <w:lang w:val="es-ES_tradnl"/>
        </w:rPr>
        <w:t xml:space="preserve">de la Carta de la OEA. </w:t>
      </w:r>
      <w:r w:rsidRPr="00CF7867">
        <w:rPr>
          <w:rFonts w:ascii="Verdana" w:hAnsi="Verdana" w:cs="Tahoma"/>
          <w:color w:val="000000"/>
          <w:sz w:val="16"/>
          <w:szCs w:val="16"/>
          <w:lang w:val="es-ES_tradnl"/>
        </w:rPr>
        <w:t>-</w:t>
      </w:r>
      <w:r>
        <w:rPr>
          <w:rFonts w:ascii="Verdana" w:hAnsi="Verdana" w:cs="Tahoma"/>
          <w:color w:val="000000"/>
          <w:sz w:val="16"/>
          <w:szCs w:val="16"/>
          <w:lang w:val="es-ES_tradnl"/>
        </w:rPr>
        <w:t xml:space="preserve"> </w:t>
      </w:r>
      <w:r w:rsidRPr="00CF7867">
        <w:rPr>
          <w:rFonts w:ascii="Verdana" w:hAnsi="Verdana" w:cs="Tahoma"/>
          <w:color w:val="000000"/>
          <w:sz w:val="16"/>
          <w:szCs w:val="16"/>
          <w:lang w:val="es-ES_tradnl"/>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w:t>
      </w:r>
      <w:r w:rsidRPr="00CF7867">
        <w:rPr>
          <w:rFonts w:ascii="Verdana" w:hAnsi="Verdana" w:cs="Tahoma"/>
          <w:color w:val="333333"/>
          <w:sz w:val="16"/>
          <w:szCs w:val="16"/>
          <w:lang w:val="es-ES_tradnl"/>
        </w:rPr>
        <w:t xml:space="preserve"> </w:t>
      </w:r>
      <w:r>
        <w:rPr>
          <w:rFonts w:ascii="Verdana" w:hAnsi="Verdana" w:cs="Tahoma"/>
          <w:color w:val="333333"/>
          <w:sz w:val="16"/>
          <w:szCs w:val="16"/>
          <w:lang w:val="es-ES_tradnl"/>
        </w:rPr>
        <w:t xml:space="preserve">[…] </w:t>
      </w:r>
      <w:r w:rsidRPr="00CF7867">
        <w:rPr>
          <w:rFonts w:ascii="Verdana" w:hAnsi="Verdana" w:cs="Tahoma"/>
          <w:color w:val="000000"/>
          <w:sz w:val="16"/>
          <w:szCs w:val="16"/>
          <w:lang w:val="es-ES_tradnl"/>
        </w:rPr>
        <w:t>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r>
        <w:rPr>
          <w:rFonts w:ascii="Verdana" w:hAnsi="Verdana" w:cs="Tahoma"/>
          <w:color w:val="000000"/>
          <w:sz w:val="16"/>
          <w:szCs w:val="16"/>
          <w:lang w:val="es-ES_tradnl"/>
        </w:rPr>
        <w:t xml:space="preserve"> </w:t>
      </w:r>
      <w:r w:rsidRPr="00333304">
        <w:rPr>
          <w:rFonts w:ascii="Verdana" w:hAnsi="Verdana" w:cs="Tahoma"/>
          <w:sz w:val="16"/>
          <w:szCs w:val="16"/>
          <w:lang w:val="es-ES_tradnl"/>
        </w:rPr>
        <w:t>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r>
        <w:rPr>
          <w:rFonts w:ascii="Verdana" w:hAnsi="Verdana" w:cs="Tahoma"/>
          <w:sz w:val="16"/>
          <w:szCs w:val="16"/>
          <w:lang w:val="es-ES_tradnl"/>
        </w:rPr>
        <w:t xml:space="preserve"> […].</w:t>
      </w:r>
    </w:p>
  </w:footnote>
  <w:footnote w:id="196">
    <w:p w14:paraId="077C648A" w14:textId="0034482D" w:rsidR="00D86616" w:rsidRPr="009E6ED2" w:rsidRDefault="00D86616" w:rsidP="006A2D03">
      <w:pPr>
        <w:pStyle w:val="FootnoteText"/>
        <w:spacing w:after="0"/>
        <w:rPr>
          <w:lang w:val="es-MX"/>
        </w:rPr>
      </w:pPr>
      <w:r w:rsidRPr="0018405A">
        <w:rPr>
          <w:rStyle w:val="FootnoteReference"/>
          <w:sz w:val="16"/>
        </w:rPr>
        <w:footnoteRef/>
      </w:r>
      <w:r w:rsidRPr="009E6ED2">
        <w:rPr>
          <w:lang w:val="es-MX"/>
        </w:rPr>
        <w:t xml:space="preserve"> </w:t>
      </w:r>
      <w:r w:rsidRPr="009E6ED2">
        <w:rPr>
          <w:lang w:val="es-MX"/>
        </w:rPr>
        <w:tab/>
        <w:t>Artículo 46 de la Carta de la OEA. - Los Estados miembros reconocen que, 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p>
  </w:footnote>
  <w:footnote w:id="197">
    <w:p w14:paraId="4A29AA38" w14:textId="69F88D2F" w:rsidR="00D86616" w:rsidRPr="009E6ED2" w:rsidRDefault="00D86616" w:rsidP="006A2D03">
      <w:pPr>
        <w:pStyle w:val="FootnoteText"/>
        <w:spacing w:after="0"/>
        <w:rPr>
          <w:lang w:val="es-MX"/>
        </w:rPr>
      </w:pPr>
      <w:r w:rsidRPr="0018405A">
        <w:rPr>
          <w:rStyle w:val="FootnoteReference"/>
          <w:color w:val="000000"/>
          <w:sz w:val="16"/>
        </w:rPr>
        <w:footnoteRef/>
      </w:r>
      <w:r w:rsidRPr="009E6ED2">
        <w:rPr>
          <w:lang w:val="es-MX"/>
        </w:rPr>
        <w:t xml:space="preserve"> </w:t>
      </w:r>
      <w:r w:rsidRPr="009E6ED2">
        <w:rPr>
          <w:lang w:val="es-MX"/>
        </w:rPr>
        <w:tab/>
        <w:t>Artículo 34.g de la Carta de la OEA. -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 g) Salarios justos, oportunidades de empleo y condiciones de trabajo aceptables para todos.</w:t>
      </w:r>
    </w:p>
  </w:footnote>
  <w:footnote w:id="198">
    <w:p w14:paraId="3B740700" w14:textId="101F2789" w:rsidR="00D86616" w:rsidRPr="009E6ED2" w:rsidRDefault="00D86616" w:rsidP="006A2D03">
      <w:pPr>
        <w:pStyle w:val="FootnoteText"/>
        <w:spacing w:after="0"/>
        <w:rPr>
          <w:lang w:val="es-MX"/>
        </w:rPr>
      </w:pPr>
      <w:r w:rsidRPr="0018405A">
        <w:rPr>
          <w:rStyle w:val="FootnoteReference"/>
          <w:sz w:val="16"/>
        </w:rPr>
        <w:footnoteRef/>
      </w:r>
      <w:r w:rsidRPr="009E6ED2">
        <w:rPr>
          <w:lang w:val="es-MX"/>
        </w:rPr>
        <w:t xml:space="preserve"> </w:t>
      </w:r>
      <w:r w:rsidRPr="009E6ED2">
        <w:rPr>
          <w:lang w:val="es-MX"/>
        </w:rPr>
        <w:tab/>
      </w:r>
      <w:r w:rsidRPr="00A532BE">
        <w:rPr>
          <w:i/>
          <w:lang w:val="es-MX"/>
        </w:rPr>
        <w:t>Interpretación de la Declaración Americana de los Derechos y Deberes del Hombre en el marco del artículo 64 de la Convención Americana sobre Derechos Humanos</w:t>
      </w:r>
      <w:r w:rsidRPr="009E6ED2">
        <w:rPr>
          <w:lang w:val="es-MX"/>
        </w:rPr>
        <w:t>. Opinión Consultiva OC-10/89 de 14 de julio de 1989. Serie A No. 10, párr. 43.</w:t>
      </w:r>
    </w:p>
  </w:footnote>
  <w:footnote w:id="199">
    <w:p w14:paraId="6D3D70FA" w14:textId="3FFFF4CD" w:rsidR="00D86616" w:rsidRPr="009E6ED2" w:rsidRDefault="00D86616" w:rsidP="006A2D03">
      <w:pPr>
        <w:pStyle w:val="FootnoteText"/>
        <w:spacing w:after="0"/>
        <w:rPr>
          <w:color w:val="000000"/>
          <w:lang w:val="es-MX"/>
        </w:rPr>
      </w:pPr>
      <w:r w:rsidRPr="00CF7867">
        <w:rPr>
          <w:rStyle w:val="FootnoteReference"/>
          <w:color w:val="000000"/>
        </w:rPr>
        <w:footnoteRef/>
      </w:r>
      <w:r w:rsidRPr="009E6ED2">
        <w:rPr>
          <w:color w:val="000000"/>
          <w:lang w:val="es-MX"/>
        </w:rPr>
        <w:t xml:space="preserve"> </w:t>
      </w:r>
      <w:r w:rsidRPr="009E6ED2">
        <w:rPr>
          <w:color w:val="000000"/>
          <w:lang w:val="es-MX"/>
        </w:rPr>
        <w:tab/>
      </w:r>
      <w:r w:rsidRPr="007F3588">
        <w:rPr>
          <w:i/>
          <w:lang w:val="es-MX"/>
        </w:rPr>
        <w:t>Cfr</w:t>
      </w:r>
      <w:r>
        <w:rPr>
          <w:lang w:val="es-MX"/>
        </w:rPr>
        <w:t xml:space="preserve">. </w:t>
      </w:r>
      <w:r w:rsidRPr="00A532BE">
        <w:rPr>
          <w:i/>
          <w:lang w:val="es-MX"/>
        </w:rPr>
        <w:t>OC-10/89, supra</w:t>
      </w:r>
      <w:r w:rsidRPr="009E6ED2">
        <w:rPr>
          <w:lang w:val="es-MX"/>
        </w:rPr>
        <w:t xml:space="preserve">, </w:t>
      </w:r>
      <w:proofErr w:type="spellStart"/>
      <w:r w:rsidRPr="009E6ED2">
        <w:rPr>
          <w:lang w:val="es-MX"/>
        </w:rPr>
        <w:t>párrs</w:t>
      </w:r>
      <w:proofErr w:type="spellEnd"/>
      <w:r w:rsidRPr="009E6ED2">
        <w:rPr>
          <w:lang w:val="es-MX"/>
        </w:rPr>
        <w:t>. 43 y 45.</w:t>
      </w:r>
    </w:p>
  </w:footnote>
  <w:footnote w:id="200">
    <w:p w14:paraId="692408D3" w14:textId="595F34A9" w:rsidR="00D86616" w:rsidRPr="009E6ED2" w:rsidRDefault="00D86616" w:rsidP="006A2D03">
      <w:pPr>
        <w:pStyle w:val="FootnoteText"/>
        <w:spacing w:after="0"/>
        <w:rPr>
          <w:lang w:val="es-MX"/>
        </w:rPr>
      </w:pPr>
      <w:r w:rsidRPr="0018405A">
        <w:rPr>
          <w:rStyle w:val="FootnoteReference"/>
          <w:sz w:val="16"/>
        </w:rPr>
        <w:footnoteRef/>
      </w:r>
      <w:r w:rsidRPr="009E6ED2">
        <w:rPr>
          <w:lang w:val="es-MX"/>
        </w:rPr>
        <w:t xml:space="preserve"> </w:t>
      </w:r>
      <w:r w:rsidRPr="009E6ED2">
        <w:rPr>
          <w:lang w:val="es-MX"/>
        </w:rPr>
        <w:tab/>
        <w:t>Entre las normas constitucionales de los Estados parte de la Convención Americana que refieren de alguna forma a la protección del derecho al trabajo, se encuentran: Argentina (art. 14 bis), Bolivia (art. 46 y 48), Brasil (art. 6), Colombia (art. 25), Costa Ri</w:t>
      </w:r>
      <w:r>
        <w:rPr>
          <w:lang w:val="es-MX"/>
        </w:rPr>
        <w:t xml:space="preserve">ca (art. 56), Chile (art. 19), </w:t>
      </w:r>
      <w:r w:rsidRPr="009E6ED2">
        <w:rPr>
          <w:lang w:val="es-MX"/>
        </w:rPr>
        <w:t>Ecuador (art. 33), El Salvador (art. 37 y 38), Guatemala (art. 101), Haití (art. 35), Honduras (arts. 127 y 129), México (art. 123), Nicaragua (arts. 57 y 80), Panamá (art. 64), Paraguay (art. 86), Perú (art. 2), República Dominicana (art. 62), Surinam (art. 4), y Uruguay (art.36), y Venezuela (art. 87).</w:t>
      </w:r>
    </w:p>
  </w:footnote>
  <w:footnote w:id="201">
    <w:p w14:paraId="267376F9" w14:textId="4AC6A3E5" w:rsidR="00D86616" w:rsidRDefault="00D86616" w:rsidP="006A2D03">
      <w:pPr>
        <w:tabs>
          <w:tab w:val="left" w:pos="567"/>
        </w:tabs>
        <w:contextualSpacing/>
        <w:jc w:val="both"/>
        <w:rPr>
          <w:rFonts w:ascii="Verdana" w:hAnsi="Verdana"/>
          <w:color w:val="000000"/>
          <w:sz w:val="16"/>
          <w:szCs w:val="16"/>
        </w:rPr>
      </w:pPr>
      <w:r>
        <w:rPr>
          <w:rStyle w:val="FootnoteReference"/>
          <w:color w:val="000000"/>
          <w:sz w:val="16"/>
          <w:szCs w:val="16"/>
        </w:rPr>
        <w:footnoteRef/>
      </w:r>
      <w:r>
        <w:rPr>
          <w:rFonts w:ascii="Verdana" w:hAnsi="Verdana"/>
          <w:color w:val="000000"/>
          <w:sz w:val="16"/>
          <w:szCs w:val="16"/>
        </w:rPr>
        <w:t xml:space="preserve"> </w:t>
      </w:r>
      <w:r>
        <w:rPr>
          <w:rFonts w:ascii="Verdana" w:hAnsi="Verdana" w:cs="Arial"/>
          <w:color w:val="000000"/>
          <w:sz w:val="16"/>
          <w:szCs w:val="16"/>
        </w:rPr>
        <w:tab/>
        <w:t xml:space="preserve">Artículo 6.1. Los Estados Partes en el presente Pacto reconocen el </w:t>
      </w:r>
      <w:r w:rsidRPr="00333304">
        <w:rPr>
          <w:rFonts w:ascii="Verdana" w:hAnsi="Verdana" w:cs="Arial"/>
          <w:color w:val="000000"/>
          <w:sz w:val="16"/>
          <w:szCs w:val="16"/>
        </w:rPr>
        <w:t>derecho a trabajar</w:t>
      </w:r>
      <w:r>
        <w:rPr>
          <w:rFonts w:ascii="Verdana" w:hAnsi="Verdana" w:cs="Arial"/>
          <w:color w:val="000000"/>
          <w:sz w:val="16"/>
          <w:szCs w:val="16"/>
        </w:rPr>
        <w:t>, que comprende el derecho de toda persona a tener la oportunidad de ganarse la vida mediante un trabajo libremente escogido o aceptado, y tomarán medidas adecuadas para garantizar este derecho […].</w:t>
      </w:r>
    </w:p>
  </w:footnote>
  <w:footnote w:id="202">
    <w:p w14:paraId="36A7ECA6" w14:textId="418A5E36" w:rsidR="00D86616" w:rsidRDefault="00D86616" w:rsidP="006A2D03">
      <w:pPr>
        <w:tabs>
          <w:tab w:val="left" w:pos="567"/>
        </w:tabs>
        <w:jc w:val="both"/>
        <w:rPr>
          <w:rFonts w:ascii="Verdana" w:hAnsi="Verdana"/>
          <w:sz w:val="16"/>
          <w:szCs w:val="16"/>
        </w:rPr>
      </w:pPr>
      <w:r>
        <w:rPr>
          <w:rStyle w:val="FootnoteReference"/>
          <w:sz w:val="16"/>
          <w:szCs w:val="16"/>
        </w:rPr>
        <w:footnoteRef/>
      </w:r>
      <w:r>
        <w:rPr>
          <w:rFonts w:ascii="Verdana" w:hAnsi="Verdana" w:cs="Arial"/>
          <w:sz w:val="16"/>
          <w:szCs w:val="16"/>
        </w:rPr>
        <w:t xml:space="preserve"> </w:t>
      </w:r>
      <w:r>
        <w:rPr>
          <w:rFonts w:ascii="Verdana" w:hAnsi="Verdana" w:cs="Arial"/>
          <w:sz w:val="16"/>
          <w:szCs w:val="16"/>
        </w:rPr>
        <w:tab/>
      </w:r>
      <w:r>
        <w:rPr>
          <w:rFonts w:ascii="Verdana" w:hAnsi="Verdana"/>
          <w:bCs/>
          <w:color w:val="000000"/>
          <w:sz w:val="16"/>
          <w:szCs w:val="16"/>
        </w:rPr>
        <w:t>Artículo 23</w:t>
      </w:r>
      <w:r>
        <w:rPr>
          <w:rFonts w:ascii="Verdana" w:hAnsi="Verdana" w:cs="Tahoma"/>
          <w:color w:val="000000"/>
          <w:sz w:val="16"/>
          <w:szCs w:val="16"/>
        </w:rPr>
        <w:t xml:space="preserve">. </w:t>
      </w:r>
      <w:r w:rsidRPr="00333304">
        <w:rPr>
          <w:rFonts w:ascii="Verdana" w:hAnsi="Verdana"/>
          <w:color w:val="000000"/>
          <w:sz w:val="16"/>
          <w:szCs w:val="16"/>
        </w:rPr>
        <w:t>Toda persona tiene derecho al trabajo</w:t>
      </w:r>
      <w:r w:rsidRPr="00A75D24">
        <w:rPr>
          <w:rFonts w:ascii="Verdana" w:hAnsi="Verdana"/>
          <w:color w:val="000000"/>
          <w:sz w:val="16"/>
          <w:szCs w:val="16"/>
        </w:rPr>
        <w:t>,</w:t>
      </w:r>
      <w:r>
        <w:rPr>
          <w:rFonts w:ascii="Verdana" w:hAnsi="Verdana"/>
          <w:color w:val="000000"/>
          <w:sz w:val="16"/>
          <w:szCs w:val="16"/>
        </w:rPr>
        <w:t xml:space="preserve"> a la libre elección de su trabajo, a condiciones equitativas y satisfactorias de trabajo y a la protección contra el desempleo.</w:t>
      </w:r>
      <w:r>
        <w:rPr>
          <w:rFonts w:ascii="Verdana" w:hAnsi="Verdana" w:cs="Arial"/>
          <w:sz w:val="16"/>
          <w:szCs w:val="16"/>
        </w:rPr>
        <w:t xml:space="preserve"> </w:t>
      </w:r>
      <w:r>
        <w:rPr>
          <w:rFonts w:ascii="Verdana" w:hAnsi="Verdana"/>
          <w:color w:val="000000"/>
          <w:sz w:val="16"/>
          <w:szCs w:val="16"/>
        </w:rPr>
        <w:t>Toda persona tiene derecho, sin discriminación alguna, a igual salario por trabajo igual.</w:t>
      </w:r>
      <w:r>
        <w:rPr>
          <w:rFonts w:ascii="Verdana" w:hAnsi="Verdana" w:cs="Arial"/>
          <w:sz w:val="16"/>
          <w:szCs w:val="16"/>
        </w:rPr>
        <w:t xml:space="preserve"> </w:t>
      </w:r>
      <w:r>
        <w:rPr>
          <w:rFonts w:ascii="Verdana" w:hAnsi="Verdana"/>
          <w:color w:val="000000"/>
          <w:sz w:val="16"/>
          <w:szCs w:val="16"/>
        </w:rPr>
        <w:t xml:space="preserve">Toda persona que trabaja tiene derecho a una remuneración equitativa y satisfactoria, que le asegure, así como a su familia, una existencia conforme a la dignidad humana y que será completada, en caso necesario, por cualesquiera otros medios de protección </w:t>
      </w:r>
      <w:r w:rsidRPr="00486092">
        <w:rPr>
          <w:rFonts w:ascii="Verdana" w:hAnsi="Verdana"/>
          <w:color w:val="000000"/>
          <w:sz w:val="16"/>
          <w:szCs w:val="16"/>
        </w:rPr>
        <w:t>social</w:t>
      </w:r>
      <w:r w:rsidRPr="00333304">
        <w:rPr>
          <w:rFonts w:ascii="Verdana" w:hAnsi="Verdana"/>
          <w:color w:val="000000"/>
          <w:sz w:val="16"/>
        </w:rPr>
        <w:t>.</w:t>
      </w:r>
      <w:r w:rsidRPr="00333304">
        <w:rPr>
          <w:rFonts w:ascii="Verdana" w:hAnsi="Verdana"/>
          <w:sz w:val="16"/>
        </w:rPr>
        <w:t xml:space="preserve"> </w:t>
      </w:r>
    </w:p>
  </w:footnote>
  <w:footnote w:id="203">
    <w:p w14:paraId="632E6D00" w14:textId="744D052C" w:rsidR="00D86616" w:rsidRPr="009E6ED2" w:rsidRDefault="00D86616" w:rsidP="006A2D03">
      <w:pPr>
        <w:pStyle w:val="FootnoteText"/>
        <w:spacing w:after="0"/>
        <w:rPr>
          <w:bCs/>
          <w:lang w:val="es-MX"/>
        </w:rPr>
      </w:pPr>
      <w:r>
        <w:rPr>
          <w:rStyle w:val="FootnoteReference"/>
        </w:rPr>
        <w:footnoteRef/>
      </w:r>
      <w:r w:rsidRPr="009E6ED2">
        <w:rPr>
          <w:lang w:val="es-MX"/>
        </w:rPr>
        <w:t xml:space="preserve"> </w:t>
      </w:r>
      <w:r w:rsidRPr="009E6ED2">
        <w:rPr>
          <w:lang w:val="es-MX"/>
        </w:rPr>
        <w:tab/>
      </w:r>
      <w:r w:rsidRPr="009E6ED2">
        <w:rPr>
          <w:bCs/>
          <w:lang w:val="es-MX"/>
        </w:rPr>
        <w:t xml:space="preserve">Artículo 8. </w:t>
      </w:r>
      <w:r w:rsidRPr="009E6ED2">
        <w:rPr>
          <w:lang w:val="es-MX"/>
        </w:rPr>
        <w:t xml:space="preserve">La promoción del trabajo decente, la reducción del desempleo y del subempleo y la atención a los desafíos del trabajo informal son elementos esenciales para alcanzar el desarrollo económico con equidad. El respeto de los derechos de los trabajadores, la igualdad de oportunidades en el empleo y la mejora de las condiciones de trabajo son elementos esenciales para lograr la prosperidad. La cooperación y el diálogo social entre representantes de los gobiernos, los trabajadores, empleadores y otras partes interesadas promueven una buena gestión y una economía estable. </w:t>
      </w:r>
    </w:p>
  </w:footnote>
  <w:footnote w:id="204">
    <w:p w14:paraId="07188AE5" w14:textId="3EDB6B6A" w:rsidR="00D86616" w:rsidRDefault="00D86616" w:rsidP="006A2D03">
      <w:pPr>
        <w:tabs>
          <w:tab w:val="left" w:pos="567"/>
        </w:tabs>
        <w:jc w:val="both"/>
        <w:rPr>
          <w:rFonts w:ascii="Verdana" w:hAnsi="Verdana" w:cs="Arial"/>
          <w:sz w:val="16"/>
          <w:szCs w:val="16"/>
        </w:rPr>
      </w:pPr>
      <w:r>
        <w:rPr>
          <w:rStyle w:val="FootnoteReference"/>
          <w:sz w:val="16"/>
          <w:szCs w:val="16"/>
        </w:rPr>
        <w:footnoteRef/>
      </w:r>
      <w:r>
        <w:rPr>
          <w:rFonts w:ascii="Verdana" w:hAnsi="Verdana"/>
          <w:sz w:val="16"/>
          <w:szCs w:val="16"/>
        </w:rPr>
        <w:t xml:space="preserve"> </w:t>
      </w:r>
      <w:r>
        <w:rPr>
          <w:rFonts w:ascii="Verdana" w:hAnsi="Verdana"/>
          <w:sz w:val="16"/>
          <w:szCs w:val="16"/>
        </w:rPr>
        <w:tab/>
      </w:r>
      <w:r>
        <w:rPr>
          <w:rFonts w:ascii="Verdana" w:hAnsi="Verdana" w:cs="Arial"/>
          <w:sz w:val="16"/>
          <w:szCs w:val="16"/>
        </w:rPr>
        <w:t xml:space="preserve">Artículo 6. </w:t>
      </w:r>
      <w:r w:rsidRPr="00333304">
        <w:rPr>
          <w:rFonts w:ascii="Verdana" w:hAnsi="Verdana" w:cs="Arial"/>
          <w:sz w:val="16"/>
          <w:szCs w:val="16"/>
        </w:rPr>
        <w:t>Toda persona tiene derecho al trabajo</w:t>
      </w:r>
      <w:r w:rsidRPr="00A75D24">
        <w:rPr>
          <w:rFonts w:ascii="Verdana" w:hAnsi="Verdana" w:cs="Arial"/>
          <w:sz w:val="16"/>
          <w:szCs w:val="16"/>
        </w:rPr>
        <w:t>,</w:t>
      </w:r>
      <w:r>
        <w:rPr>
          <w:rFonts w:ascii="Verdana" w:hAnsi="Verdana" w:cs="Arial"/>
          <w:sz w:val="16"/>
          <w:szCs w:val="16"/>
        </w:rPr>
        <w:t xml:space="preserve"> el cual incluye la oportunidad de obtener los medios para llevar una vida digna y decorosa a través del desempeño de una actividad lícita libremente escogida o aceptada. Los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w:t>
      </w:r>
    </w:p>
    <w:p w14:paraId="53952A43" w14:textId="02B4A76A" w:rsidR="00D86616" w:rsidRPr="009E6ED2" w:rsidRDefault="00D86616" w:rsidP="006A2D03">
      <w:pPr>
        <w:pStyle w:val="FootnoteText"/>
        <w:spacing w:after="0"/>
        <w:rPr>
          <w:lang w:val="es-MX"/>
        </w:rPr>
      </w:pPr>
      <w:r w:rsidRPr="009E6ED2">
        <w:rPr>
          <w:lang w:val="es-MX"/>
        </w:rPr>
        <w:t>Artículo 7. Condiciones Justas, Equitativas y Satisfactorias de Trabajo - Los Estados partes en el presente Protocolo reconocen que el derecho al trabajo al que se refiere el artículo anterior, supone que toda persona goce del mismo en condiciones justas, equitativas y satisfactorias, para lo cual dichos Estados garantizarán en sus legislaciones nacionales, de manera particular: trabajo para lo cual se tendrán en cuenta sus calificaciones, competencia, probidad y tiempo de servicio; d. la estabilidad de los trabajadores en sus empleos, de acuerdo con las características de las industrias y profesiones y con las causas de justa separación. En casos de despido injustificado, el trabajador tendrá derecho a una indemnización o a la readmisión en el empleo o a cualquier otra prestación prevista por la legislación nacional […].</w:t>
      </w:r>
    </w:p>
  </w:footnote>
  <w:footnote w:id="205">
    <w:p w14:paraId="1C833996" w14:textId="4B02D327" w:rsidR="00D86616" w:rsidRDefault="00D86616" w:rsidP="006A2D03">
      <w:pPr>
        <w:tabs>
          <w:tab w:val="left" w:pos="567"/>
        </w:tabs>
        <w:jc w:val="both"/>
        <w:rPr>
          <w:rFonts w:ascii="Verdana" w:hAnsi="Verdana"/>
          <w:sz w:val="16"/>
          <w:szCs w:val="16"/>
        </w:rPr>
      </w:pPr>
      <w:r>
        <w:rPr>
          <w:rStyle w:val="FootnoteReference"/>
          <w:sz w:val="16"/>
          <w:szCs w:val="16"/>
        </w:rPr>
        <w:footnoteRef/>
      </w:r>
      <w:r>
        <w:rPr>
          <w:rFonts w:ascii="Verdana" w:hAnsi="Verdana"/>
          <w:sz w:val="16"/>
          <w:szCs w:val="16"/>
        </w:rPr>
        <w:t xml:space="preserve"> </w:t>
      </w:r>
      <w:r>
        <w:rPr>
          <w:rFonts w:ascii="Verdana" w:hAnsi="Verdana"/>
          <w:sz w:val="16"/>
          <w:szCs w:val="16"/>
        </w:rPr>
        <w:tab/>
      </w:r>
      <w:r>
        <w:rPr>
          <w:rFonts w:ascii="Verdana" w:hAnsi="Verdana"/>
          <w:bCs/>
          <w:color w:val="000000"/>
          <w:sz w:val="16"/>
          <w:szCs w:val="16"/>
        </w:rPr>
        <w:t xml:space="preserve">Artículo 11. </w:t>
      </w:r>
      <w:r>
        <w:rPr>
          <w:rFonts w:ascii="Verdana" w:hAnsi="Verdana"/>
          <w:color w:val="000000"/>
          <w:sz w:val="16"/>
          <w:szCs w:val="16"/>
        </w:rPr>
        <w:t>1. Los Estados Partes adoptarán todas las medidas apropiadas para eliminar la discriminación contra la mujer en la esfera del empleo a fin de asegurar, en condiciones de igualdad entre hombres y mujeres, los mismos derechos […]</w:t>
      </w:r>
      <w:r>
        <w:rPr>
          <w:rFonts w:ascii="Verdana" w:hAnsi="Verdana"/>
          <w:sz w:val="16"/>
          <w:szCs w:val="16"/>
        </w:rPr>
        <w:t>.</w:t>
      </w:r>
    </w:p>
  </w:footnote>
  <w:footnote w:id="206">
    <w:p w14:paraId="714502E2" w14:textId="1E81DC11" w:rsidR="00D86616" w:rsidRDefault="00D86616" w:rsidP="006A2D03">
      <w:pPr>
        <w:tabs>
          <w:tab w:val="left" w:pos="567"/>
        </w:tabs>
        <w:jc w:val="both"/>
        <w:rPr>
          <w:rFonts w:ascii="Verdana" w:hAnsi="Verdana"/>
          <w:sz w:val="16"/>
          <w:szCs w:val="16"/>
        </w:rPr>
      </w:pPr>
      <w:r>
        <w:rPr>
          <w:rStyle w:val="FootnoteReference"/>
          <w:sz w:val="16"/>
          <w:szCs w:val="16"/>
        </w:rPr>
        <w:footnoteRef/>
      </w:r>
      <w:r>
        <w:rPr>
          <w:rFonts w:ascii="Verdana" w:hAnsi="Verdana"/>
          <w:sz w:val="16"/>
          <w:szCs w:val="16"/>
        </w:rPr>
        <w:t xml:space="preserve"> </w:t>
      </w:r>
      <w:r>
        <w:rPr>
          <w:rFonts w:ascii="Verdana" w:hAnsi="Verdana"/>
          <w:sz w:val="16"/>
          <w:szCs w:val="16"/>
        </w:rPr>
        <w:tab/>
        <w:t xml:space="preserve">Artículo 32. </w:t>
      </w:r>
      <w:r w:rsidRPr="0015292E">
        <w:rPr>
          <w:rFonts w:ascii="Verdana" w:hAnsi="Verdana"/>
          <w:sz w:val="16"/>
          <w:szCs w:val="16"/>
        </w:rPr>
        <w:t xml:space="preserve">[…] </w:t>
      </w:r>
      <w:r>
        <w:rPr>
          <w:rFonts w:ascii="Verdana" w:hAnsi="Verdana"/>
          <w:sz w:val="16"/>
          <w:szCs w:val="16"/>
        </w:rPr>
        <w:t>2. 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 a) Fijarán una edad o edades mínimas para trabajar; b) Dispondrán la reglamentación apropiada de los horarios y condiciones de trabajo; c) Estipularán las penalidades u otras sanciones apropiadas para asegurar la aplicación efectiva del presente artículo.</w:t>
      </w:r>
    </w:p>
  </w:footnote>
  <w:footnote w:id="207">
    <w:p w14:paraId="7F8C9EAB" w14:textId="2B7C8B0E" w:rsidR="00D86616" w:rsidRPr="009E6ED2" w:rsidRDefault="00D86616" w:rsidP="006A2D03">
      <w:pPr>
        <w:pStyle w:val="FootnoteText"/>
        <w:spacing w:after="0"/>
        <w:rPr>
          <w:lang w:val="es-MX"/>
        </w:rPr>
      </w:pPr>
      <w:r w:rsidRPr="0018405A">
        <w:rPr>
          <w:rStyle w:val="FootnoteReference"/>
          <w:sz w:val="16"/>
        </w:rPr>
        <w:footnoteRef/>
      </w:r>
      <w:r w:rsidRPr="009E6ED2">
        <w:rPr>
          <w:lang w:val="es-MX"/>
        </w:rPr>
        <w:t xml:space="preserve"> </w:t>
      </w:r>
      <w:r w:rsidRPr="009E6ED2">
        <w:rPr>
          <w:lang w:val="es-MX"/>
        </w:rPr>
        <w:tab/>
        <w:t>Artículo 1. Derecho al trabajo. Para garantizar el ejercicio efectivo del derecho al trabajo, las Partes Contratantes se comprometen: 1. A reconocer como uno de sus principales objetivos y responsabilidades la obtención y el mantenimiento de un nivel lo más elevado y estable posible del empleo, con el fin de lograr el pleno empleo. 2. A proteger de manera eficaz el derecho del trabajador a ganarse la vida mediante un trabajo libremente elegido. 3. A establecer o mantener servicios gratuitos de empleo para todos los trabajadores. 4. A proporcionar o promover una orientación, formación y readaptación profesionales adecuadas.</w:t>
      </w:r>
    </w:p>
  </w:footnote>
  <w:footnote w:id="208">
    <w:p w14:paraId="50B00F04" w14:textId="72B630FE" w:rsidR="00D86616" w:rsidRPr="009E6ED2" w:rsidRDefault="00D86616" w:rsidP="006A2D03">
      <w:pPr>
        <w:pStyle w:val="FootnoteText"/>
        <w:spacing w:after="0"/>
        <w:rPr>
          <w:lang w:val="es-MX"/>
        </w:rPr>
      </w:pPr>
      <w:r w:rsidRPr="0018405A">
        <w:rPr>
          <w:rStyle w:val="FootnoteReference"/>
          <w:sz w:val="16"/>
        </w:rPr>
        <w:footnoteRef/>
      </w:r>
      <w:r w:rsidRPr="009E6ED2">
        <w:rPr>
          <w:lang w:val="es-MX"/>
        </w:rPr>
        <w:t xml:space="preserve"> </w:t>
      </w:r>
      <w:r w:rsidRPr="009E6ED2">
        <w:rPr>
          <w:lang w:val="es-MX"/>
        </w:rPr>
        <w:tab/>
        <w:t>Artículo 15. Todo individuo tendrá derecho a trabajar en condiciones justas y satisfactorias, y recibirá igual paga por igual trabajo.</w:t>
      </w:r>
    </w:p>
  </w:footnote>
  <w:footnote w:id="209">
    <w:p w14:paraId="0D3CE0E7" w14:textId="0EC82046" w:rsidR="00D86616" w:rsidRPr="004C3F47" w:rsidRDefault="00D86616" w:rsidP="006A2D03">
      <w:pPr>
        <w:widowControl w:val="0"/>
        <w:autoSpaceDE w:val="0"/>
        <w:autoSpaceDN w:val="0"/>
        <w:adjustRightInd w:val="0"/>
        <w:contextualSpacing/>
        <w:jc w:val="both"/>
        <w:rPr>
          <w:rFonts w:ascii="Verdana" w:hAnsi="Verdana" w:cs="Times"/>
          <w:sz w:val="16"/>
          <w:szCs w:val="16"/>
        </w:rPr>
      </w:pPr>
      <w:r w:rsidRPr="00CF7867">
        <w:rPr>
          <w:rStyle w:val="FootnoteReference"/>
          <w:sz w:val="16"/>
          <w:szCs w:val="16"/>
        </w:rPr>
        <w:footnoteRef/>
      </w:r>
      <w:r w:rsidRPr="00CF7867">
        <w:rPr>
          <w:rFonts w:ascii="Verdana" w:hAnsi="Verdana"/>
          <w:sz w:val="16"/>
          <w:szCs w:val="16"/>
        </w:rPr>
        <w:t xml:space="preserve"> </w:t>
      </w:r>
      <w:r w:rsidRPr="00CF7867">
        <w:rPr>
          <w:rFonts w:ascii="Verdana" w:hAnsi="Verdana"/>
          <w:sz w:val="16"/>
          <w:szCs w:val="16"/>
        </w:rPr>
        <w:tab/>
      </w:r>
      <w:r w:rsidRPr="00F77B70">
        <w:rPr>
          <w:rFonts w:ascii="Verdana" w:hAnsi="Verdana" w:cs="Times"/>
          <w:i/>
          <w:color w:val="1A1718"/>
          <w:sz w:val="16"/>
          <w:szCs w:val="16"/>
        </w:rPr>
        <w:t>Cfr.</w:t>
      </w:r>
      <w:r w:rsidRPr="00333304">
        <w:rPr>
          <w:rFonts w:ascii="Verdana" w:hAnsi="Verdana" w:cs="Times"/>
          <w:i/>
          <w:color w:val="1A1718"/>
          <w:sz w:val="16"/>
          <w:szCs w:val="16"/>
        </w:rPr>
        <w:t xml:space="preserve"> </w:t>
      </w:r>
      <w:r w:rsidRPr="0075627E">
        <w:rPr>
          <w:rFonts w:ascii="Verdana" w:hAnsi="Verdana" w:cs="Times"/>
          <w:i/>
          <w:color w:val="1A1718"/>
          <w:sz w:val="16"/>
          <w:szCs w:val="16"/>
        </w:rPr>
        <w:t>La Colegiaci</w:t>
      </w:r>
      <w:r w:rsidRPr="00B53BD8">
        <w:rPr>
          <w:rFonts w:ascii="Verdana" w:hAnsi="Verdana" w:cs="Times"/>
          <w:i/>
          <w:color w:val="1A1718"/>
          <w:sz w:val="16"/>
          <w:szCs w:val="16"/>
        </w:rPr>
        <w:t xml:space="preserve">ón Obligatoria de Periodistas (arts. 13 y 29 Convención Americana sobre Derechos Humanos), </w:t>
      </w:r>
      <w:r w:rsidRPr="00333304">
        <w:rPr>
          <w:rFonts w:ascii="Verdana" w:hAnsi="Verdana" w:cs="Times"/>
          <w:i/>
          <w:color w:val="1A1718"/>
          <w:sz w:val="16"/>
          <w:szCs w:val="16"/>
        </w:rPr>
        <w:t>OC-5/85</w:t>
      </w:r>
      <w:r w:rsidRPr="0075627E">
        <w:rPr>
          <w:rFonts w:ascii="Verdana" w:hAnsi="Verdana" w:cs="Times"/>
          <w:i/>
          <w:color w:val="1A1718"/>
          <w:sz w:val="16"/>
          <w:szCs w:val="16"/>
        </w:rPr>
        <w:t xml:space="preserve">, </w:t>
      </w:r>
      <w:r w:rsidRPr="002F31BD">
        <w:rPr>
          <w:rFonts w:ascii="Verdana" w:hAnsi="Verdana" w:cs="Times"/>
          <w:i/>
          <w:color w:val="1A1718"/>
          <w:sz w:val="16"/>
          <w:szCs w:val="16"/>
        </w:rPr>
        <w:t>supra</w:t>
      </w:r>
      <w:r w:rsidRPr="00333304">
        <w:rPr>
          <w:rFonts w:ascii="Verdana" w:hAnsi="Verdana" w:cs="Times"/>
          <w:i/>
          <w:color w:val="1A1718"/>
          <w:sz w:val="16"/>
          <w:szCs w:val="16"/>
        </w:rPr>
        <w:t xml:space="preserve">, </w:t>
      </w:r>
      <w:proofErr w:type="spellStart"/>
      <w:r w:rsidRPr="000B0EBE">
        <w:rPr>
          <w:rFonts w:ascii="Verdana" w:hAnsi="Verdana" w:cs="Times"/>
          <w:color w:val="1A1718"/>
          <w:sz w:val="16"/>
          <w:szCs w:val="16"/>
        </w:rPr>
        <w:t>párrs</w:t>
      </w:r>
      <w:proofErr w:type="spellEnd"/>
      <w:r w:rsidRPr="000B0EBE">
        <w:rPr>
          <w:rFonts w:ascii="Verdana" w:hAnsi="Verdana" w:cs="Times"/>
          <w:color w:val="1A1718"/>
          <w:sz w:val="16"/>
          <w:szCs w:val="16"/>
        </w:rPr>
        <w:t>. 51 y 52</w:t>
      </w:r>
      <w:r>
        <w:rPr>
          <w:rFonts w:ascii="Verdana" w:hAnsi="Verdana" w:cs="Times"/>
          <w:color w:val="1A1718"/>
          <w:sz w:val="16"/>
          <w:szCs w:val="16"/>
        </w:rPr>
        <w:t xml:space="preserve">; </w:t>
      </w:r>
      <w:r w:rsidRPr="00333304">
        <w:rPr>
          <w:rFonts w:ascii="Verdana" w:hAnsi="Verdana" w:cs="Times"/>
          <w:i/>
          <w:color w:val="1A1718"/>
          <w:sz w:val="16"/>
          <w:szCs w:val="16"/>
        </w:rPr>
        <w:t>Condición jurídica y derechos de los migrantes indocumentado</w:t>
      </w:r>
      <w:r w:rsidRPr="00A75D24">
        <w:rPr>
          <w:rFonts w:ascii="Verdana" w:hAnsi="Verdana" w:cs="Times"/>
          <w:color w:val="1A1718"/>
          <w:sz w:val="16"/>
          <w:szCs w:val="16"/>
        </w:rPr>
        <w:t>s</w:t>
      </w:r>
      <w:r>
        <w:rPr>
          <w:rFonts w:ascii="Verdana" w:hAnsi="Verdana" w:cs="Times"/>
          <w:color w:val="1A1718"/>
          <w:sz w:val="16"/>
          <w:szCs w:val="16"/>
        </w:rPr>
        <w:t xml:space="preserve">, </w:t>
      </w:r>
      <w:r w:rsidRPr="00333304">
        <w:rPr>
          <w:rFonts w:ascii="Verdana" w:hAnsi="Verdana"/>
          <w:i/>
          <w:color w:val="1A1718"/>
          <w:sz w:val="16"/>
        </w:rPr>
        <w:t>OC-18/2003</w:t>
      </w:r>
      <w:r>
        <w:rPr>
          <w:rFonts w:ascii="Verdana" w:hAnsi="Verdana" w:cs="Times"/>
          <w:color w:val="1A1718"/>
          <w:sz w:val="16"/>
          <w:szCs w:val="16"/>
        </w:rPr>
        <w:t xml:space="preserve"> de 17 de septiembre de 2003. Serie A No. 18</w:t>
      </w:r>
      <w:r w:rsidRPr="00CF7867">
        <w:rPr>
          <w:rFonts w:ascii="Verdana" w:hAnsi="Verdana" w:cs="Times"/>
          <w:color w:val="1A1718"/>
          <w:sz w:val="16"/>
          <w:szCs w:val="16"/>
        </w:rPr>
        <w:t>, párr</w:t>
      </w:r>
      <w:r>
        <w:rPr>
          <w:rFonts w:ascii="Verdana" w:hAnsi="Verdana" w:cs="Times"/>
          <w:color w:val="1A1718"/>
          <w:sz w:val="16"/>
          <w:szCs w:val="16"/>
        </w:rPr>
        <w:t>.</w:t>
      </w:r>
      <w:r w:rsidRPr="00CF7867">
        <w:rPr>
          <w:rFonts w:ascii="Verdana" w:hAnsi="Verdana" w:cs="Times"/>
          <w:color w:val="1A1718"/>
          <w:sz w:val="16"/>
          <w:szCs w:val="16"/>
        </w:rPr>
        <w:t xml:space="preserve"> 155. </w:t>
      </w:r>
      <w:r w:rsidRPr="00CF7867">
        <w:rPr>
          <w:rFonts w:ascii="Verdana" w:hAnsi="Verdana" w:cs="Times"/>
          <w:sz w:val="16"/>
          <w:szCs w:val="16"/>
        </w:rPr>
        <w:t>“</w:t>
      </w:r>
      <w:r w:rsidRPr="00CF7867">
        <w:rPr>
          <w:rFonts w:ascii="Verdana" w:hAnsi="Verdana" w:cs="Times"/>
          <w:color w:val="1A1718"/>
          <w:sz w:val="16"/>
          <w:szCs w:val="16"/>
        </w:rPr>
        <w:t xml:space="preserve">En </w:t>
      </w:r>
      <w:r w:rsidRPr="004C3F47">
        <w:rPr>
          <w:rFonts w:ascii="Verdana" w:hAnsi="Verdana" w:cs="Times"/>
          <w:color w:val="1A1718"/>
          <w:sz w:val="16"/>
          <w:szCs w:val="16"/>
        </w:rPr>
        <w:t>cuanto al alcance de los derechos laborales, amén de identificar un grupo de derechos que asumen una importancia central para los trabajadores migrantes,</w:t>
      </w:r>
      <w:r w:rsidRPr="004C3F47">
        <w:rPr>
          <w:rFonts w:ascii="Verdana" w:hAnsi="Verdana" w:cs="Times"/>
          <w:color w:val="1A1718"/>
          <w:position w:val="8"/>
          <w:sz w:val="16"/>
          <w:szCs w:val="16"/>
        </w:rPr>
        <w:t xml:space="preserve"> </w:t>
      </w:r>
      <w:r w:rsidRPr="004C3F47">
        <w:rPr>
          <w:rFonts w:ascii="Verdana" w:hAnsi="Verdana" w:cs="Times"/>
          <w:color w:val="1A1718"/>
          <w:sz w:val="16"/>
          <w:szCs w:val="16"/>
        </w:rPr>
        <w:t xml:space="preserve">la Corte aplico el principio </w:t>
      </w:r>
      <w:proofErr w:type="spellStart"/>
      <w:r w:rsidRPr="004C3F47">
        <w:rPr>
          <w:rFonts w:ascii="Verdana" w:hAnsi="Verdana" w:cs="Times"/>
          <w:i/>
          <w:iCs/>
          <w:color w:val="1A1718"/>
          <w:sz w:val="16"/>
          <w:szCs w:val="16"/>
        </w:rPr>
        <w:t>pro</w:t>
      </w:r>
      <w:proofErr w:type="spellEnd"/>
      <w:r w:rsidRPr="004C3F47">
        <w:rPr>
          <w:rFonts w:ascii="Verdana" w:hAnsi="Verdana" w:cs="Times"/>
          <w:i/>
          <w:iCs/>
          <w:color w:val="1A1718"/>
          <w:sz w:val="16"/>
          <w:szCs w:val="16"/>
        </w:rPr>
        <w:t xml:space="preserve"> </w:t>
      </w:r>
      <w:r>
        <w:rPr>
          <w:rFonts w:ascii="Verdana" w:hAnsi="Verdana" w:cs="Times"/>
          <w:i/>
          <w:iCs/>
          <w:color w:val="1A1718"/>
          <w:sz w:val="16"/>
          <w:szCs w:val="16"/>
        </w:rPr>
        <w:t>persona</w:t>
      </w:r>
      <w:r w:rsidRPr="004C3F47">
        <w:rPr>
          <w:rFonts w:ascii="Verdana" w:hAnsi="Verdana" w:cs="Times"/>
          <w:color w:val="1A1718"/>
          <w:sz w:val="16"/>
          <w:szCs w:val="16"/>
        </w:rPr>
        <w:t>, señalando que en caso de existir varios instrumentos que regulen la misma situación, ha de preferirse el instrumento interno o internacional que mejor proteja al trabajador”</w:t>
      </w:r>
      <w:r>
        <w:rPr>
          <w:rFonts w:ascii="Verdana" w:hAnsi="Verdana" w:cs="Times"/>
          <w:color w:val="1A1718"/>
          <w:sz w:val="16"/>
          <w:szCs w:val="16"/>
        </w:rPr>
        <w:t>.</w:t>
      </w:r>
    </w:p>
  </w:footnote>
  <w:footnote w:id="210">
    <w:p w14:paraId="738CA63A" w14:textId="10A947BE" w:rsidR="00D86616" w:rsidRPr="009E6ED2" w:rsidRDefault="00D86616" w:rsidP="006A2D03">
      <w:pPr>
        <w:pStyle w:val="FootnoteText"/>
        <w:spacing w:after="0"/>
        <w:rPr>
          <w:lang w:val="es-MX"/>
        </w:rPr>
      </w:pPr>
      <w:r w:rsidRPr="00363DED">
        <w:rPr>
          <w:rStyle w:val="FootnoteReference"/>
          <w:sz w:val="16"/>
        </w:rPr>
        <w:footnoteRef/>
      </w:r>
      <w:r w:rsidRPr="009E6ED2">
        <w:rPr>
          <w:lang w:val="es-MX"/>
        </w:rPr>
        <w:t xml:space="preserve"> </w:t>
      </w:r>
      <w:r w:rsidRPr="009E6ED2">
        <w:rPr>
          <w:lang w:val="es-MX"/>
        </w:rPr>
        <w:tab/>
      </w:r>
      <w:r w:rsidRPr="007F3588">
        <w:rPr>
          <w:i/>
          <w:lang w:val="es-MX"/>
        </w:rPr>
        <w:t>Cfr. Caso Baena Ricardo y otros Vs. Panamá. Fondo, Reparaciones y Costas.</w:t>
      </w:r>
      <w:r w:rsidRPr="009E6ED2">
        <w:rPr>
          <w:lang w:val="es-MX"/>
        </w:rPr>
        <w:t xml:space="preserve"> Sentencia de 2 de febrero de 2001. Serie C No. 72, párr. 134.</w:t>
      </w:r>
    </w:p>
  </w:footnote>
  <w:footnote w:id="211">
    <w:p w14:paraId="75D1F4A1" w14:textId="408801CF" w:rsidR="00D86616" w:rsidRPr="009E6ED2" w:rsidRDefault="00D86616" w:rsidP="006A2D03">
      <w:pPr>
        <w:pStyle w:val="FootnoteText"/>
        <w:spacing w:after="0"/>
        <w:rPr>
          <w:lang w:val="es-MX"/>
        </w:rPr>
      </w:pPr>
      <w:r w:rsidRPr="00363DED">
        <w:rPr>
          <w:rStyle w:val="FootnoteReference"/>
          <w:color w:val="000000"/>
          <w:sz w:val="16"/>
        </w:rPr>
        <w:footnoteRef/>
      </w:r>
      <w:r w:rsidRPr="009E6ED2">
        <w:rPr>
          <w:lang w:val="es-MX"/>
        </w:rPr>
        <w:t xml:space="preserve"> </w:t>
      </w:r>
      <w:r w:rsidRPr="009E6ED2">
        <w:rPr>
          <w:lang w:val="es-MX"/>
        </w:rPr>
        <w:tab/>
        <w:t xml:space="preserve">ONU. Comité de Derechos Económicos, Sociales y Culturales, </w:t>
      </w:r>
      <w:r w:rsidRPr="009E6ED2">
        <w:rPr>
          <w:i/>
          <w:lang w:val="es-MX"/>
        </w:rPr>
        <w:t>Observación General N</w:t>
      </w:r>
      <w:r w:rsidRPr="009E6ED2">
        <w:rPr>
          <w:i/>
          <w:vertAlign w:val="superscript"/>
          <w:lang w:val="es-MX"/>
        </w:rPr>
        <w:t xml:space="preserve">o </w:t>
      </w:r>
      <w:r w:rsidRPr="009E6ED2">
        <w:rPr>
          <w:i/>
          <w:lang w:val="es-MX"/>
        </w:rPr>
        <w:t>18: El derecho al Trabajo</w:t>
      </w:r>
      <w:r w:rsidRPr="009E6ED2">
        <w:rPr>
          <w:lang w:val="es-MX"/>
        </w:rPr>
        <w:t>, U.N. Doc. E/C.12/GC/18, 24 de noviembre de 2005.</w:t>
      </w:r>
    </w:p>
  </w:footnote>
  <w:footnote w:id="212">
    <w:p w14:paraId="12A2C48B" w14:textId="44AEC717" w:rsidR="00D86616" w:rsidRPr="009E6ED2" w:rsidRDefault="00D86616" w:rsidP="006A2D03">
      <w:pPr>
        <w:pStyle w:val="FootnoteText"/>
        <w:spacing w:after="0"/>
        <w:rPr>
          <w:lang w:val="es-MX"/>
        </w:rPr>
      </w:pPr>
      <w:r w:rsidRPr="00363DED">
        <w:rPr>
          <w:rStyle w:val="FootnoteReference"/>
          <w:color w:val="000000"/>
          <w:sz w:val="16"/>
        </w:rPr>
        <w:footnoteRef/>
      </w:r>
      <w:r w:rsidRPr="009E6ED2">
        <w:rPr>
          <w:lang w:val="es-MX"/>
        </w:rPr>
        <w:t xml:space="preserve"> </w:t>
      </w:r>
      <w:r w:rsidRPr="009E6ED2">
        <w:rPr>
          <w:lang w:val="es-MX"/>
        </w:rPr>
        <w:tab/>
        <w:t xml:space="preserve">ONU. Comité de Derechos Económicos, Sociales y Culturales, </w:t>
      </w:r>
      <w:r w:rsidRPr="009E6ED2">
        <w:rPr>
          <w:i/>
          <w:lang w:val="es-MX"/>
        </w:rPr>
        <w:t>Observación General N</w:t>
      </w:r>
      <w:r w:rsidRPr="009E6ED2">
        <w:rPr>
          <w:i/>
          <w:vertAlign w:val="superscript"/>
          <w:lang w:val="es-MX"/>
        </w:rPr>
        <w:t>o</w:t>
      </w:r>
      <w:r w:rsidRPr="009E6ED2">
        <w:rPr>
          <w:i/>
          <w:lang w:val="es-MX"/>
        </w:rPr>
        <w:t>18: El derecho al Trabajo, supra.</w:t>
      </w:r>
    </w:p>
  </w:footnote>
  <w:footnote w:id="213">
    <w:p w14:paraId="095ACC4F" w14:textId="34742F95" w:rsidR="00D86616" w:rsidRPr="009E6ED2" w:rsidRDefault="00D86616" w:rsidP="006A2D03">
      <w:pPr>
        <w:pStyle w:val="FootnoteText"/>
        <w:spacing w:after="0"/>
        <w:rPr>
          <w:i/>
          <w:lang w:val="es-MX"/>
        </w:rPr>
      </w:pPr>
      <w:r w:rsidRPr="00363DED">
        <w:rPr>
          <w:rStyle w:val="FootnoteReference"/>
          <w:color w:val="000000"/>
          <w:sz w:val="16"/>
        </w:rPr>
        <w:footnoteRef/>
      </w:r>
      <w:r w:rsidRPr="009E6ED2">
        <w:rPr>
          <w:lang w:val="es-MX"/>
        </w:rPr>
        <w:t xml:space="preserve"> </w:t>
      </w:r>
      <w:r w:rsidRPr="009E6ED2">
        <w:rPr>
          <w:lang w:val="es-MX"/>
        </w:rPr>
        <w:tab/>
        <w:t>OIT. Convenio sobre la terminación de la relación de trabajo por iniciativa del empleador</w:t>
      </w:r>
      <w:r>
        <w:rPr>
          <w:lang w:val="es-MX"/>
        </w:rPr>
        <w:t>.</w:t>
      </w:r>
      <w:r w:rsidRPr="009E6ED2">
        <w:rPr>
          <w:lang w:val="es-MX"/>
        </w:rPr>
        <w:t xml:space="preserve"> No. 158, 23 noviembre 1985. Cabe señalar que, tal como lo señaló el Estado peruano, el Convenio No. 158 no ha sido ratificada por Perú.</w:t>
      </w:r>
    </w:p>
  </w:footnote>
  <w:footnote w:id="214">
    <w:p w14:paraId="7B5CB4EF" w14:textId="42DA55C3" w:rsidR="00D86616" w:rsidRPr="004C3F47" w:rsidRDefault="00D86616" w:rsidP="006A2D03">
      <w:pPr>
        <w:shd w:val="clear" w:color="auto" w:fill="FFFFFF"/>
        <w:contextualSpacing/>
        <w:jc w:val="both"/>
        <w:rPr>
          <w:rFonts w:ascii="Verdana" w:eastAsia="Times New Roman" w:hAnsi="Verdana" w:cs="Arial"/>
          <w:color w:val="000000"/>
          <w:sz w:val="16"/>
          <w:szCs w:val="16"/>
          <w:lang w:eastAsia="es-MX"/>
        </w:rPr>
      </w:pPr>
      <w:r w:rsidRPr="004C3F47">
        <w:rPr>
          <w:rStyle w:val="FootnoteReference"/>
          <w:color w:val="000000"/>
          <w:sz w:val="16"/>
          <w:szCs w:val="16"/>
        </w:rPr>
        <w:footnoteRef/>
      </w:r>
      <w:r w:rsidRPr="004C3F47">
        <w:rPr>
          <w:rFonts w:ascii="Verdana" w:hAnsi="Verdana"/>
          <w:color w:val="000000"/>
          <w:sz w:val="16"/>
          <w:szCs w:val="16"/>
        </w:rPr>
        <w:t xml:space="preserve"> </w:t>
      </w:r>
      <w:r w:rsidRPr="004C3F47">
        <w:rPr>
          <w:rFonts w:ascii="Verdana" w:hAnsi="Verdana"/>
          <w:color w:val="000000"/>
          <w:sz w:val="16"/>
          <w:szCs w:val="16"/>
        </w:rPr>
        <w:tab/>
      </w:r>
      <w:r w:rsidRPr="004C3F47">
        <w:rPr>
          <w:rFonts w:ascii="Verdana" w:eastAsia="Times New Roman" w:hAnsi="Verdana" w:cs="Arial"/>
          <w:color w:val="000000"/>
          <w:sz w:val="16"/>
          <w:szCs w:val="16"/>
          <w:lang w:eastAsia="es-MX"/>
        </w:rPr>
        <w:t xml:space="preserve">Artículo 4 </w:t>
      </w:r>
      <w:r>
        <w:rPr>
          <w:rFonts w:ascii="Verdana" w:eastAsia="Times New Roman" w:hAnsi="Verdana" w:cs="Arial"/>
          <w:color w:val="000000"/>
          <w:sz w:val="16"/>
          <w:szCs w:val="16"/>
          <w:lang w:eastAsia="es-MX"/>
        </w:rPr>
        <w:t xml:space="preserve">del Convenio No. 158 </w:t>
      </w:r>
      <w:r w:rsidRPr="004C3F47">
        <w:rPr>
          <w:rFonts w:ascii="Verdana" w:eastAsia="Times New Roman" w:hAnsi="Verdana" w:cs="Arial"/>
          <w:color w:val="000000"/>
          <w:sz w:val="16"/>
          <w:szCs w:val="16"/>
          <w:lang w:eastAsia="es-MX"/>
        </w:rPr>
        <w:t>- No se pondrá término a la relación de trabajo de un trabajador a menos que exista para ello una causa justificada relacionada con su capacidad o su conducta o basada en las necesidades de funcionamiento de la empresa, establecimiento o servicio.</w:t>
      </w:r>
    </w:p>
  </w:footnote>
  <w:footnote w:id="215">
    <w:p w14:paraId="2E96248B" w14:textId="206E7AF1" w:rsidR="00D86616" w:rsidRPr="004C3F47" w:rsidRDefault="00D86616" w:rsidP="006A2D03">
      <w:pPr>
        <w:shd w:val="clear" w:color="auto" w:fill="FFFFFF"/>
        <w:tabs>
          <w:tab w:val="left" w:pos="630"/>
        </w:tabs>
        <w:contextualSpacing/>
        <w:jc w:val="both"/>
        <w:rPr>
          <w:rFonts w:ascii="Verdana" w:eastAsia="Times New Roman" w:hAnsi="Verdana" w:cs="Arial"/>
          <w:color w:val="000000"/>
          <w:sz w:val="16"/>
          <w:szCs w:val="16"/>
          <w:lang w:eastAsia="es-MX"/>
        </w:rPr>
      </w:pPr>
      <w:r w:rsidRPr="004C3F47">
        <w:rPr>
          <w:rStyle w:val="FootnoteReference"/>
          <w:color w:val="000000"/>
          <w:sz w:val="16"/>
          <w:szCs w:val="16"/>
        </w:rPr>
        <w:footnoteRef/>
      </w:r>
      <w:r w:rsidRPr="004C3F47">
        <w:rPr>
          <w:rFonts w:ascii="Verdana" w:hAnsi="Verdana"/>
          <w:color w:val="000000"/>
          <w:sz w:val="16"/>
          <w:szCs w:val="16"/>
        </w:rPr>
        <w:t xml:space="preserve"> </w:t>
      </w:r>
      <w:r w:rsidRPr="004C3F47">
        <w:rPr>
          <w:rFonts w:ascii="Verdana" w:hAnsi="Verdana"/>
          <w:color w:val="000000"/>
          <w:sz w:val="16"/>
          <w:szCs w:val="16"/>
        </w:rPr>
        <w:tab/>
      </w:r>
      <w:r w:rsidRPr="004C3F47">
        <w:rPr>
          <w:rFonts w:ascii="Verdana" w:eastAsia="Times New Roman" w:hAnsi="Verdana" w:cs="Arial"/>
          <w:color w:val="000000"/>
          <w:sz w:val="16"/>
          <w:szCs w:val="16"/>
          <w:lang w:eastAsia="es-MX"/>
        </w:rPr>
        <w:t xml:space="preserve">Artículo 5 </w:t>
      </w:r>
      <w:r>
        <w:rPr>
          <w:rFonts w:ascii="Verdana" w:eastAsia="Times New Roman" w:hAnsi="Verdana" w:cs="Arial"/>
          <w:color w:val="000000"/>
          <w:sz w:val="16"/>
          <w:szCs w:val="16"/>
          <w:lang w:eastAsia="es-MX"/>
        </w:rPr>
        <w:t xml:space="preserve">del Convenio No. 158 </w:t>
      </w:r>
      <w:r w:rsidRPr="004C3F47">
        <w:rPr>
          <w:rFonts w:ascii="Verdana" w:eastAsia="Times New Roman" w:hAnsi="Verdana" w:cs="Arial"/>
          <w:color w:val="000000"/>
          <w:sz w:val="16"/>
          <w:szCs w:val="16"/>
          <w:lang w:eastAsia="es-MX"/>
        </w:rPr>
        <w:t>- Entre los motivos que no constituirán causa justificada para la terminación de la relación de trabajo figuran los siguientes: (a) la afiliación a un sindicato o la participación en actividades sindicales fuera de las horas de trabajo o, con el consentimiento del empleador, durante las horas de trabajo; (b) ser candidato a representante de los trabajadores o actuar o haber actuado en esa calidad; (c) presentar una queja o participar en un procedimiento entablado contra un empleador por supuestas violaciones de leyes o reglamentos, o recurrir ante las autoridades administrativas competente</w:t>
      </w:r>
      <w:r w:rsidRPr="00950CFF">
        <w:rPr>
          <w:rFonts w:ascii="Verdana" w:eastAsia="Times New Roman" w:hAnsi="Verdana" w:cs="Arial"/>
          <w:color w:val="000000"/>
          <w:sz w:val="16"/>
          <w:szCs w:val="16"/>
          <w:lang w:eastAsia="es-MX"/>
        </w:rPr>
        <w:t xml:space="preserve">s; </w:t>
      </w:r>
      <w:r w:rsidRPr="00333304">
        <w:rPr>
          <w:rFonts w:ascii="Verdana" w:eastAsia="Times New Roman" w:hAnsi="Verdana" w:cs="Arial"/>
          <w:color w:val="000000"/>
          <w:sz w:val="16"/>
          <w:szCs w:val="16"/>
          <w:lang w:eastAsia="es-MX"/>
        </w:rPr>
        <w:t>[…].</w:t>
      </w:r>
    </w:p>
  </w:footnote>
  <w:footnote w:id="216">
    <w:p w14:paraId="6880762B" w14:textId="0A0757A6" w:rsidR="00D86616" w:rsidRPr="009E6ED2" w:rsidRDefault="00D86616" w:rsidP="006A2D03">
      <w:pPr>
        <w:pStyle w:val="FootnoteText"/>
        <w:spacing w:after="0"/>
        <w:rPr>
          <w:lang w:val="es-MX"/>
        </w:rPr>
      </w:pPr>
      <w:r w:rsidRPr="00D265A8">
        <w:rPr>
          <w:rStyle w:val="FootnoteReference"/>
          <w:sz w:val="16"/>
        </w:rPr>
        <w:footnoteRef/>
      </w:r>
      <w:r w:rsidRPr="009E6ED2">
        <w:rPr>
          <w:lang w:val="es-MX"/>
        </w:rPr>
        <w:t xml:space="preserve"> </w:t>
      </w:r>
      <w:r w:rsidRPr="009E6ED2">
        <w:rPr>
          <w:lang w:val="es-MX"/>
        </w:rPr>
        <w:tab/>
      </w:r>
      <w:r w:rsidRPr="009E6ED2">
        <w:rPr>
          <w:i/>
          <w:lang w:val="es-MX"/>
        </w:rPr>
        <w:t xml:space="preserve">Cfr. </w:t>
      </w:r>
      <w:r w:rsidRPr="009E6ED2">
        <w:rPr>
          <w:lang w:val="es-MX"/>
        </w:rPr>
        <w:t xml:space="preserve">OIT, Recomendación sobre la protección y facilidades que deben otorgarse a los representantes de los trabajadores en la empresa. No. 143. Sesión de la Conferencia: 56,23 de junio de 1971. </w:t>
      </w:r>
    </w:p>
    <w:p w14:paraId="3D4B9962" w14:textId="0EB0672B" w:rsidR="00D86616" w:rsidRPr="009E6ED2" w:rsidRDefault="00D86616" w:rsidP="006A2D03">
      <w:pPr>
        <w:pStyle w:val="FootnoteText"/>
        <w:spacing w:after="0"/>
        <w:rPr>
          <w:lang w:val="es-MX"/>
        </w:rPr>
      </w:pPr>
      <w:r w:rsidRPr="009E6ED2">
        <w:rPr>
          <w:lang w:val="es-MX"/>
        </w:rPr>
        <w:t>A saber: Punto 5: Los representantes de los trabajadores en la empresa deberían gozar de protección eficaz contra todo acto que pueda perjudicarlos, incluido el despido por razón de su condición de representantes de los trabajadores, de sus actividades como tales representantes, de su afiliación al sindicato, o de su participación en la actividad sindical, siempre que dichos representantes actúen conforme a las leyes, contratos colectivos u otros acuerdos comunes en vigor. Punto 6: (1) Cuando no existan suficientes medidas apropiadas de protección aplicables a los trabajadores en general, deberían adoptarse disposiciones específicas para garantizar la protección efectiva de los representantes de los trabajadores. (2) Tales disposiciones podrían incluir medidas como las siguientes: (a) definición detallada y precisa de los motivos que pueden justificar la terminación de la relación de trabajo de los representantes de los trabajadores; (b) exigencia de consulta, dictamen o acuerdo de un organismo independiente, público o privado, o de un organismo paritario antes de que el despido de un trabajador sea definitivo; (c) procedimiento especial de recurso accesible a los representantes de los trabajadores que consideren que se ha puesto fin injustamente a su relación de trabajo, o que sus condiciones de empleo han sido modificadas desfavorablemente, o que han sido objeto de trato injusto; (d) por lo que se refiere a la terminación injustificada de la relación de trabajo de los representantes de los trabajadores, el establecimiento de una reparación eficaz que comprenda, a menos que ello sea contrario a los principios fundamentales de derecho del país interesado, la reintegración de dichos representantes en su puesto, con el pago de los salarios no cobrados y el mantenimiento de sus derechos adquiridos; (e) imponer al empleador, cuando se alegue que el despido de un representante de los trabajadores o cualquier cambio desfavorable en sus condiciones de empleo tiene un carácter discriminatorio, la obligación de probar que dicho acto estaba justificado; (f) reconocer la prioridad que ha de darse a los representantes de los trabajadores respecto de su continuación en el empleo en caso de reducción del personal.</w:t>
      </w:r>
    </w:p>
  </w:footnote>
  <w:footnote w:id="217">
    <w:p w14:paraId="2796C456" w14:textId="20729F3C" w:rsidR="00D86616" w:rsidRPr="009E6ED2" w:rsidRDefault="00D86616" w:rsidP="006A2D03">
      <w:pPr>
        <w:pStyle w:val="FootnoteText"/>
        <w:spacing w:after="0"/>
        <w:rPr>
          <w:lang w:val="es-MX"/>
        </w:rPr>
      </w:pPr>
      <w:r w:rsidRPr="00950CFF">
        <w:rPr>
          <w:rStyle w:val="FootnoteReference"/>
          <w:sz w:val="16"/>
        </w:rPr>
        <w:footnoteRef/>
      </w:r>
      <w:r w:rsidRPr="009E6ED2">
        <w:rPr>
          <w:lang w:val="es-MX"/>
        </w:rPr>
        <w:t xml:space="preserve"> </w:t>
      </w:r>
      <w:r w:rsidRPr="009E6ED2">
        <w:rPr>
          <w:lang w:val="es-MX"/>
        </w:rPr>
        <w:tab/>
        <w:t xml:space="preserve">Asimismo, la Asamblea General de las Naciones Unidas adoptó la Agenda 2030, la cual cuenta con 17 Objetivos de Desarrollo Sostenible y 169 metas en favor de las personas, el planeta y la prosperidad. En particular, el objetivo 8 promueve el crecimiento económico sostenido, inclusivo y sostenible, el empleo pleno y productivo y el trabajo decente para todos. Las metas 8.5 y 8.8 están enfocados en proteger los derechos de los trabajadores y promover un entorno de trabajo seguro. </w:t>
      </w:r>
    </w:p>
  </w:footnote>
  <w:footnote w:id="218">
    <w:p w14:paraId="6DDD886F" w14:textId="25AC2900"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8D6117">
        <w:rPr>
          <w:i/>
          <w:lang w:val="es-MX"/>
        </w:rPr>
        <w:t xml:space="preserve">Mutatis </w:t>
      </w:r>
      <w:proofErr w:type="spellStart"/>
      <w:r w:rsidRPr="008D6117">
        <w:rPr>
          <w:i/>
          <w:lang w:val="es-MX"/>
        </w:rPr>
        <w:t>mutandi</w:t>
      </w:r>
      <w:proofErr w:type="spellEnd"/>
      <w:r w:rsidRPr="008D6117">
        <w:rPr>
          <w:i/>
          <w:lang w:val="es-MX"/>
        </w:rPr>
        <w:t xml:space="preserve">, Caso </w:t>
      </w:r>
      <w:proofErr w:type="spellStart"/>
      <w:r w:rsidRPr="008D6117">
        <w:rPr>
          <w:i/>
          <w:lang w:val="es-MX"/>
        </w:rPr>
        <w:t>Ximenes</w:t>
      </w:r>
      <w:proofErr w:type="spellEnd"/>
      <w:r w:rsidRPr="008D6117">
        <w:rPr>
          <w:i/>
          <w:lang w:val="es-MX"/>
        </w:rPr>
        <w:t xml:space="preserve"> </w:t>
      </w:r>
      <w:proofErr w:type="spellStart"/>
      <w:r w:rsidRPr="008D6117">
        <w:rPr>
          <w:i/>
          <w:lang w:val="es-MX"/>
        </w:rPr>
        <w:t>Lopes</w:t>
      </w:r>
      <w:proofErr w:type="spellEnd"/>
      <w:r w:rsidRPr="008D6117">
        <w:rPr>
          <w:i/>
          <w:lang w:val="es-MX"/>
        </w:rPr>
        <w:t xml:space="preserve"> Vs</w:t>
      </w:r>
      <w:r w:rsidRPr="008D6117">
        <w:rPr>
          <w:i/>
          <w:iCs/>
          <w:lang w:val="es-MX"/>
        </w:rPr>
        <w:t>.</w:t>
      </w:r>
      <w:r w:rsidRPr="008D6117">
        <w:rPr>
          <w:i/>
          <w:lang w:val="es-MX"/>
        </w:rPr>
        <w:t xml:space="preserve"> Brasil.</w:t>
      </w:r>
      <w:r w:rsidRPr="009E6ED2">
        <w:rPr>
          <w:lang w:val="es-MX"/>
        </w:rPr>
        <w:t xml:space="preserve"> Sentencia de 4 de julio de 2006. Serie C No. 149, párr. 99; </w:t>
      </w:r>
      <w:r w:rsidRPr="008D6117">
        <w:rPr>
          <w:i/>
          <w:lang w:val="es-MX"/>
        </w:rPr>
        <w:t>Caso Suárez Peralta Vs. Ecuador, supra</w:t>
      </w:r>
      <w:r w:rsidRPr="009E6ED2">
        <w:rPr>
          <w:lang w:val="es-MX"/>
        </w:rPr>
        <w:t xml:space="preserve">, párr. 133, y </w:t>
      </w:r>
      <w:r w:rsidRPr="008D6117">
        <w:rPr>
          <w:i/>
          <w:lang w:val="es-MX"/>
        </w:rPr>
        <w:t xml:space="preserve">Caso </w:t>
      </w:r>
      <w:proofErr w:type="spellStart"/>
      <w:r w:rsidRPr="008D6117">
        <w:rPr>
          <w:i/>
          <w:lang w:val="es-MX"/>
        </w:rPr>
        <w:t>Kaliña</w:t>
      </w:r>
      <w:proofErr w:type="spellEnd"/>
      <w:r w:rsidRPr="008D6117">
        <w:rPr>
          <w:i/>
          <w:lang w:val="es-MX"/>
        </w:rPr>
        <w:t xml:space="preserve"> y </w:t>
      </w:r>
      <w:proofErr w:type="spellStart"/>
      <w:r w:rsidRPr="008D6117">
        <w:rPr>
          <w:i/>
          <w:lang w:val="es-MX"/>
        </w:rPr>
        <w:t>Lokono</w:t>
      </w:r>
      <w:proofErr w:type="spellEnd"/>
      <w:r w:rsidRPr="008D6117">
        <w:rPr>
          <w:i/>
          <w:lang w:val="es-MX"/>
        </w:rPr>
        <w:t xml:space="preserve"> Vs. Surinam. Fondo, Reparaciones y Costas. </w:t>
      </w:r>
      <w:r w:rsidRPr="009E6ED2">
        <w:rPr>
          <w:lang w:val="es-MX"/>
        </w:rPr>
        <w:t>Sentencia de 25 de noviembre de 2015, Serie C No. 309, párr. 216.</w:t>
      </w:r>
    </w:p>
  </w:footnote>
  <w:footnote w:id="219">
    <w:p w14:paraId="487C6B70" w14:textId="1A264ACF" w:rsidR="00D86616" w:rsidRPr="009E6ED2" w:rsidRDefault="00D86616" w:rsidP="006A2D03">
      <w:pPr>
        <w:pStyle w:val="FootnoteText"/>
        <w:spacing w:after="0"/>
        <w:rPr>
          <w:lang w:val="es-MX"/>
        </w:rPr>
      </w:pPr>
      <w:r w:rsidRPr="00F23D52">
        <w:rPr>
          <w:rStyle w:val="FootnoteReference"/>
          <w:sz w:val="16"/>
        </w:rPr>
        <w:footnoteRef/>
      </w:r>
      <w:r w:rsidRPr="009E6ED2">
        <w:rPr>
          <w:lang w:val="es-MX"/>
        </w:rPr>
        <w:t xml:space="preserve"> </w:t>
      </w:r>
      <w:r w:rsidRPr="009E6ED2">
        <w:rPr>
          <w:lang w:val="es-MX"/>
        </w:rPr>
        <w:tab/>
      </w:r>
      <w:r w:rsidRPr="008D6117">
        <w:rPr>
          <w:i/>
          <w:lang w:val="es-MX"/>
        </w:rPr>
        <w:t xml:space="preserve">Cfr. </w:t>
      </w:r>
      <w:r w:rsidRPr="008D6117">
        <w:rPr>
          <w:rStyle w:val="Strong"/>
          <w:b w:val="0"/>
          <w:i/>
          <w:color w:val="000000"/>
          <w:shd w:val="clear" w:color="auto" w:fill="FFFFFF"/>
          <w:lang w:val="es-CR"/>
        </w:rPr>
        <w:t xml:space="preserve">Caso </w:t>
      </w:r>
      <w:proofErr w:type="spellStart"/>
      <w:r w:rsidRPr="008D6117">
        <w:rPr>
          <w:rStyle w:val="Strong"/>
          <w:b w:val="0"/>
          <w:i/>
          <w:color w:val="000000"/>
          <w:shd w:val="clear" w:color="auto" w:fill="FFFFFF"/>
          <w:lang w:val="es-CR"/>
        </w:rPr>
        <w:t>Escher</w:t>
      </w:r>
      <w:proofErr w:type="spellEnd"/>
      <w:r w:rsidRPr="008D6117">
        <w:rPr>
          <w:rStyle w:val="Strong"/>
          <w:b w:val="0"/>
          <w:i/>
          <w:color w:val="000000"/>
          <w:shd w:val="clear" w:color="auto" w:fill="FFFFFF"/>
          <w:lang w:val="es-CR"/>
        </w:rPr>
        <w:t xml:space="preserve"> y otros Vs. Brasil</w:t>
      </w:r>
      <w:r w:rsidRPr="00333304">
        <w:rPr>
          <w:rStyle w:val="Strong"/>
          <w:b w:val="0"/>
          <w:i/>
          <w:color w:val="000000"/>
          <w:shd w:val="clear" w:color="auto" w:fill="FFFFFF"/>
          <w:lang w:val="es-CR"/>
        </w:rPr>
        <w:t>. Excepciones Preliminares, Fondo, Reparaciones y Costas.</w:t>
      </w:r>
      <w:r w:rsidRPr="00F23D52">
        <w:rPr>
          <w:rStyle w:val="Strong"/>
          <w:b w:val="0"/>
          <w:color w:val="000000"/>
          <w:shd w:val="clear" w:color="auto" w:fill="FFFFFF"/>
          <w:lang w:val="es-CR"/>
        </w:rPr>
        <w:t xml:space="preserve"> Sentencia de 6 de julio de 2009. Serie C No. 200, párr. 169.</w:t>
      </w:r>
    </w:p>
  </w:footnote>
  <w:footnote w:id="220">
    <w:p w14:paraId="2FE182D0" w14:textId="2CD48D06" w:rsidR="00D86616" w:rsidRPr="003B45F4" w:rsidRDefault="00D86616" w:rsidP="006A2D03">
      <w:pPr>
        <w:pStyle w:val="FootnoteText"/>
        <w:spacing w:after="0"/>
        <w:rPr>
          <w:lang w:val="es-MX"/>
        </w:rPr>
      </w:pPr>
      <w:r w:rsidRPr="00F23D52">
        <w:rPr>
          <w:rStyle w:val="FootnoteReference"/>
          <w:sz w:val="16"/>
        </w:rPr>
        <w:footnoteRef/>
      </w:r>
      <w:r w:rsidRPr="003B45F4">
        <w:rPr>
          <w:lang w:val="es-MX"/>
        </w:rPr>
        <w:t xml:space="preserve"> </w:t>
      </w:r>
      <w:r w:rsidRPr="00F23D52">
        <w:rPr>
          <w:rStyle w:val="apple-converted-space"/>
          <w:bCs/>
          <w:color w:val="000000"/>
          <w:shd w:val="clear" w:color="auto" w:fill="FFFFFF"/>
          <w:lang w:val="es-CR"/>
        </w:rPr>
        <w:tab/>
      </w:r>
      <w:r w:rsidRPr="00F77B70">
        <w:rPr>
          <w:rStyle w:val="apple-converted-space"/>
          <w:bCs/>
          <w:i/>
          <w:color w:val="000000"/>
          <w:shd w:val="clear" w:color="auto" w:fill="FFFFFF"/>
          <w:lang w:val="es-CR"/>
        </w:rPr>
        <w:t>Cfr.</w:t>
      </w:r>
      <w:r w:rsidRPr="00333304">
        <w:rPr>
          <w:rStyle w:val="apple-converted-space"/>
          <w:bCs/>
          <w:i/>
          <w:color w:val="000000"/>
          <w:shd w:val="clear" w:color="auto" w:fill="FFFFFF"/>
          <w:lang w:val="es-CR"/>
        </w:rPr>
        <w:t xml:space="preserve"> </w:t>
      </w:r>
      <w:r w:rsidRPr="00333304">
        <w:rPr>
          <w:rStyle w:val="Strong"/>
          <w:b w:val="0"/>
          <w:i/>
          <w:color w:val="000000"/>
          <w:shd w:val="clear" w:color="auto" w:fill="FFFFFF"/>
          <w:lang w:val="es-CR"/>
        </w:rPr>
        <w:t>Caso Baena Ricardo y otros Vs. Panamá</w:t>
      </w:r>
      <w:r>
        <w:rPr>
          <w:rStyle w:val="Strong"/>
          <w:b w:val="0"/>
          <w:i/>
          <w:color w:val="000000"/>
          <w:shd w:val="clear" w:color="auto" w:fill="FFFFFF"/>
          <w:lang w:val="es-CR"/>
        </w:rPr>
        <w:t xml:space="preserve">. Fondo, Reparaciones y Costas, </w:t>
      </w:r>
      <w:r w:rsidRPr="002F31BD">
        <w:rPr>
          <w:rStyle w:val="Strong"/>
          <w:b w:val="0"/>
          <w:i/>
          <w:color w:val="000000"/>
          <w:shd w:val="clear" w:color="auto" w:fill="FFFFFF"/>
          <w:lang w:val="es-CR"/>
        </w:rPr>
        <w:t>supra</w:t>
      </w:r>
      <w:r>
        <w:rPr>
          <w:rStyle w:val="Strong"/>
          <w:b w:val="0"/>
          <w:i/>
          <w:color w:val="000000"/>
          <w:shd w:val="clear" w:color="auto" w:fill="FFFFFF"/>
          <w:lang w:val="es-CR"/>
        </w:rPr>
        <w:t>,</w:t>
      </w:r>
      <w:r w:rsidRPr="00F23D52">
        <w:rPr>
          <w:rStyle w:val="Strong"/>
          <w:b w:val="0"/>
          <w:color w:val="000000"/>
          <w:shd w:val="clear" w:color="auto" w:fill="FFFFFF"/>
          <w:lang w:val="es-CR"/>
        </w:rPr>
        <w:t xml:space="preserve"> párr. 1</w:t>
      </w:r>
      <w:r>
        <w:rPr>
          <w:rStyle w:val="Strong"/>
          <w:b w:val="0"/>
          <w:color w:val="000000"/>
          <w:shd w:val="clear" w:color="auto" w:fill="FFFFFF"/>
          <w:lang w:val="es-CR"/>
        </w:rPr>
        <w:t>56</w:t>
      </w:r>
      <w:r w:rsidRPr="00F23D52">
        <w:rPr>
          <w:rStyle w:val="Strong"/>
          <w:b w:val="0"/>
          <w:color w:val="000000"/>
          <w:shd w:val="clear" w:color="auto" w:fill="FFFFFF"/>
          <w:lang w:val="es-CR"/>
        </w:rPr>
        <w:t xml:space="preserve">, y </w:t>
      </w:r>
      <w:r w:rsidRPr="00333304">
        <w:rPr>
          <w:rStyle w:val="Strong"/>
          <w:b w:val="0"/>
          <w:i/>
          <w:color w:val="000000"/>
          <w:shd w:val="clear" w:color="auto" w:fill="FFFFFF"/>
          <w:lang w:val="es-CR"/>
        </w:rPr>
        <w:t xml:space="preserve">Caso Miembros de la Aldea </w:t>
      </w:r>
      <w:proofErr w:type="spellStart"/>
      <w:r w:rsidRPr="00333304">
        <w:rPr>
          <w:rStyle w:val="Strong"/>
          <w:b w:val="0"/>
          <w:i/>
          <w:color w:val="000000"/>
          <w:shd w:val="clear" w:color="auto" w:fill="FFFFFF"/>
          <w:lang w:val="es-CR"/>
        </w:rPr>
        <w:t>Chichupac</w:t>
      </w:r>
      <w:proofErr w:type="spellEnd"/>
      <w:r w:rsidRPr="00333304">
        <w:rPr>
          <w:rStyle w:val="Strong"/>
          <w:b w:val="0"/>
          <w:i/>
          <w:color w:val="000000"/>
          <w:shd w:val="clear" w:color="auto" w:fill="FFFFFF"/>
          <w:lang w:val="es-CR"/>
        </w:rPr>
        <w:t xml:space="preserve"> y comunidades vecinas del Municipio de Rabinal Vs. Guatemala.</w:t>
      </w:r>
      <w:r w:rsidRPr="008638D8">
        <w:rPr>
          <w:rStyle w:val="Strong"/>
          <w:b w:val="0"/>
          <w:color w:val="000000"/>
          <w:shd w:val="clear" w:color="auto" w:fill="FFFFFF"/>
          <w:lang w:val="es-CR"/>
        </w:rPr>
        <w:t xml:space="preserve"> </w:t>
      </w:r>
      <w:r w:rsidRPr="00333304">
        <w:rPr>
          <w:rStyle w:val="Strong"/>
          <w:b w:val="0"/>
          <w:i/>
          <w:color w:val="000000"/>
          <w:shd w:val="clear" w:color="auto" w:fill="FFFFFF"/>
          <w:lang w:val="es-CR"/>
        </w:rPr>
        <w:t>Excepciones Preliminares, Fondo, Reparaciones y Costas.</w:t>
      </w:r>
      <w:r w:rsidRPr="008638D8">
        <w:rPr>
          <w:rStyle w:val="Strong"/>
          <w:b w:val="0"/>
          <w:color w:val="000000"/>
          <w:shd w:val="clear" w:color="auto" w:fill="FFFFFF"/>
          <w:lang w:val="es-CR"/>
        </w:rPr>
        <w:t xml:space="preserve"> Sentencia de 30 de noviembre de 2016. Serie C No. 328</w:t>
      </w:r>
      <w:r>
        <w:rPr>
          <w:rStyle w:val="Strong"/>
          <w:b w:val="0"/>
          <w:color w:val="000000"/>
          <w:shd w:val="clear" w:color="auto" w:fill="FFFFFF"/>
          <w:lang w:val="es-CR"/>
        </w:rPr>
        <w:t>, párr. 205</w:t>
      </w:r>
      <w:r w:rsidRPr="008638D8">
        <w:rPr>
          <w:rStyle w:val="Strong"/>
          <w:b w:val="0"/>
          <w:color w:val="000000"/>
          <w:shd w:val="clear" w:color="auto" w:fill="FFFFFF"/>
          <w:lang w:val="es-CR"/>
        </w:rPr>
        <w:t>.</w:t>
      </w:r>
    </w:p>
  </w:footnote>
  <w:footnote w:id="221">
    <w:p w14:paraId="796435BC" w14:textId="0081653C" w:rsidR="00D86616" w:rsidRPr="003B45F4" w:rsidRDefault="00D86616" w:rsidP="006A2D03">
      <w:pPr>
        <w:pStyle w:val="FootnoteText"/>
        <w:spacing w:after="0"/>
        <w:rPr>
          <w:lang w:val="es-MX"/>
        </w:rPr>
      </w:pPr>
      <w:r w:rsidRPr="00F23D52">
        <w:rPr>
          <w:rStyle w:val="FootnoteReference"/>
          <w:sz w:val="16"/>
        </w:rPr>
        <w:footnoteRef/>
      </w:r>
      <w:r w:rsidRPr="003B45F4">
        <w:rPr>
          <w:lang w:val="es-MX"/>
        </w:rPr>
        <w:t xml:space="preserve"> </w:t>
      </w:r>
      <w:r w:rsidRPr="003B45F4">
        <w:rPr>
          <w:lang w:val="es-MX"/>
        </w:rPr>
        <w:tab/>
      </w:r>
      <w:r w:rsidRPr="008D6117">
        <w:rPr>
          <w:i/>
          <w:lang w:val="es-MX"/>
        </w:rPr>
        <w:t>Cfr</w:t>
      </w:r>
      <w:r w:rsidRPr="00333304">
        <w:rPr>
          <w:lang w:val="es-MX"/>
        </w:rPr>
        <w:t>.</w:t>
      </w:r>
      <w:r w:rsidRPr="00341FCF">
        <w:rPr>
          <w:lang w:val="es-MX"/>
        </w:rPr>
        <w:t xml:space="preserve"> </w:t>
      </w:r>
      <w:r w:rsidRPr="00333304">
        <w:rPr>
          <w:rStyle w:val="Strong"/>
          <w:b w:val="0"/>
          <w:i/>
          <w:color w:val="000000"/>
          <w:shd w:val="clear" w:color="auto" w:fill="FFFFFF"/>
          <w:lang w:val="es-CR"/>
        </w:rPr>
        <w:t xml:space="preserve">Caso </w:t>
      </w:r>
      <w:proofErr w:type="spellStart"/>
      <w:r w:rsidRPr="00333304">
        <w:rPr>
          <w:rStyle w:val="Strong"/>
          <w:b w:val="0"/>
          <w:i/>
          <w:color w:val="000000"/>
          <w:shd w:val="clear" w:color="auto" w:fill="FFFFFF"/>
          <w:lang w:val="es-CR"/>
        </w:rPr>
        <w:t>Huilca</w:t>
      </w:r>
      <w:proofErr w:type="spellEnd"/>
      <w:r w:rsidRPr="00333304">
        <w:rPr>
          <w:rStyle w:val="Strong"/>
          <w:b w:val="0"/>
          <w:i/>
          <w:color w:val="000000"/>
          <w:shd w:val="clear" w:color="auto" w:fill="FFFFFF"/>
          <w:lang w:val="es-CR"/>
        </w:rPr>
        <w:t xml:space="preserve"> </w:t>
      </w:r>
      <w:proofErr w:type="spellStart"/>
      <w:r w:rsidRPr="00333304">
        <w:rPr>
          <w:rStyle w:val="Strong"/>
          <w:b w:val="0"/>
          <w:i/>
          <w:color w:val="000000"/>
          <w:shd w:val="clear" w:color="auto" w:fill="FFFFFF"/>
          <w:lang w:val="es-CR"/>
        </w:rPr>
        <w:t>Tecse</w:t>
      </w:r>
      <w:proofErr w:type="spellEnd"/>
      <w:r w:rsidRPr="00333304">
        <w:rPr>
          <w:rStyle w:val="Strong"/>
          <w:b w:val="0"/>
          <w:i/>
          <w:color w:val="000000"/>
          <w:shd w:val="clear" w:color="auto" w:fill="FFFFFF"/>
          <w:lang w:val="es-CR"/>
        </w:rPr>
        <w:t xml:space="preserve"> Vs. Perú. Fondo, Reparaciones y Costas.</w:t>
      </w:r>
      <w:r w:rsidRPr="00F23D52">
        <w:rPr>
          <w:rStyle w:val="Strong"/>
          <w:b w:val="0"/>
          <w:color w:val="000000"/>
          <w:shd w:val="clear" w:color="auto" w:fill="FFFFFF"/>
          <w:lang w:val="es-CR"/>
        </w:rPr>
        <w:t xml:space="preserve"> Sentencia de 3 de marzo de 2005. Serie C No. 121, párr. 121, y </w:t>
      </w:r>
      <w:r w:rsidRPr="00333304">
        <w:rPr>
          <w:rStyle w:val="Strong"/>
          <w:b w:val="0"/>
          <w:i/>
          <w:color w:val="000000"/>
          <w:shd w:val="clear" w:color="auto" w:fill="FFFFFF"/>
          <w:lang w:val="es-CR"/>
        </w:rPr>
        <w:t xml:space="preserve">Caso </w:t>
      </w:r>
      <w:proofErr w:type="spellStart"/>
      <w:r w:rsidRPr="00333304">
        <w:rPr>
          <w:rStyle w:val="Strong"/>
          <w:b w:val="0"/>
          <w:i/>
          <w:color w:val="000000"/>
          <w:shd w:val="clear" w:color="auto" w:fill="FFFFFF"/>
          <w:lang w:val="es-CR"/>
        </w:rPr>
        <w:t>Yarce</w:t>
      </w:r>
      <w:proofErr w:type="spellEnd"/>
      <w:r w:rsidRPr="00333304">
        <w:rPr>
          <w:rStyle w:val="Strong"/>
          <w:b w:val="0"/>
          <w:i/>
          <w:color w:val="000000"/>
          <w:shd w:val="clear" w:color="auto" w:fill="FFFFFF"/>
          <w:lang w:val="es-CR"/>
        </w:rPr>
        <w:t xml:space="preserve"> y otras Vs. Colombia</w:t>
      </w:r>
      <w:r>
        <w:rPr>
          <w:rStyle w:val="Strong"/>
          <w:b w:val="0"/>
          <w:i/>
          <w:color w:val="000000"/>
          <w:shd w:val="clear" w:color="auto" w:fill="FFFFFF"/>
          <w:lang w:val="es-CR"/>
        </w:rPr>
        <w:t xml:space="preserve">, </w:t>
      </w:r>
      <w:r w:rsidRPr="002F31BD">
        <w:rPr>
          <w:rStyle w:val="Strong"/>
          <w:b w:val="0"/>
          <w:i/>
          <w:color w:val="000000"/>
          <w:shd w:val="clear" w:color="auto" w:fill="FFFFFF"/>
          <w:lang w:val="es-CR"/>
        </w:rPr>
        <w:t>supra</w:t>
      </w:r>
      <w:r w:rsidRPr="00F23D52">
        <w:rPr>
          <w:rStyle w:val="Strong"/>
          <w:b w:val="0"/>
          <w:color w:val="000000"/>
          <w:shd w:val="clear" w:color="auto" w:fill="FFFFFF"/>
          <w:lang w:val="es-CR"/>
        </w:rPr>
        <w:t>, párr. 271.</w:t>
      </w:r>
    </w:p>
  </w:footnote>
  <w:footnote w:id="222">
    <w:p w14:paraId="146E54C7" w14:textId="739DF61C" w:rsidR="00D86616" w:rsidRPr="003B45F4" w:rsidRDefault="00D86616" w:rsidP="006A2D03">
      <w:pPr>
        <w:pStyle w:val="FootnoteText"/>
        <w:spacing w:after="0"/>
        <w:rPr>
          <w:b/>
          <w:lang w:val="es-MX"/>
        </w:rPr>
      </w:pPr>
      <w:r w:rsidRPr="00F23D52">
        <w:rPr>
          <w:rStyle w:val="FootnoteReference"/>
          <w:sz w:val="16"/>
        </w:rPr>
        <w:footnoteRef/>
      </w:r>
      <w:r w:rsidRPr="003B45F4">
        <w:rPr>
          <w:lang w:val="es-MX"/>
        </w:rPr>
        <w:t xml:space="preserve"> </w:t>
      </w:r>
      <w:r w:rsidRPr="003B45F4">
        <w:rPr>
          <w:lang w:val="es-MX"/>
        </w:rPr>
        <w:tab/>
      </w:r>
      <w:r w:rsidRPr="00F77B70">
        <w:rPr>
          <w:rStyle w:val="apple-converted-space"/>
          <w:bCs/>
          <w:i/>
          <w:color w:val="000000"/>
          <w:shd w:val="clear" w:color="auto" w:fill="FFFFFF"/>
          <w:lang w:val="es-CR"/>
        </w:rPr>
        <w:t>Cfr.</w:t>
      </w:r>
      <w:r w:rsidRPr="00333304">
        <w:rPr>
          <w:rStyle w:val="apple-converted-space"/>
          <w:b/>
          <w:bCs/>
          <w:i/>
          <w:color w:val="000000"/>
          <w:shd w:val="clear" w:color="auto" w:fill="FFFFFF"/>
          <w:lang w:val="es-CR"/>
        </w:rPr>
        <w:t xml:space="preserve"> </w:t>
      </w:r>
      <w:r w:rsidRPr="00333304">
        <w:rPr>
          <w:rStyle w:val="Strong"/>
          <w:b w:val="0"/>
          <w:i/>
          <w:color w:val="000000"/>
          <w:shd w:val="clear" w:color="auto" w:fill="FFFFFF"/>
          <w:lang w:val="es-CR"/>
        </w:rPr>
        <w:t>Caso Baena Ricardo y otros Vs. Panamá</w:t>
      </w:r>
      <w:r>
        <w:rPr>
          <w:rStyle w:val="Strong"/>
          <w:b w:val="0"/>
          <w:i/>
          <w:color w:val="000000"/>
          <w:shd w:val="clear" w:color="auto" w:fill="FFFFFF"/>
          <w:lang w:val="es-CR"/>
        </w:rPr>
        <w:t xml:space="preserve">. Fondo, Reparaciones y Costas, </w:t>
      </w:r>
      <w:r w:rsidRPr="002F31BD">
        <w:rPr>
          <w:rStyle w:val="Strong"/>
          <w:b w:val="0"/>
          <w:i/>
          <w:color w:val="000000"/>
          <w:shd w:val="clear" w:color="auto" w:fill="FFFFFF"/>
          <w:lang w:val="es-CR"/>
        </w:rPr>
        <w:t>supra</w:t>
      </w:r>
      <w:r>
        <w:rPr>
          <w:rStyle w:val="Strong"/>
          <w:b w:val="0"/>
          <w:i/>
          <w:color w:val="000000"/>
          <w:shd w:val="clear" w:color="auto" w:fill="FFFFFF"/>
          <w:lang w:val="es-CR"/>
        </w:rPr>
        <w:t>,</w:t>
      </w:r>
      <w:r w:rsidRPr="00F23D52">
        <w:rPr>
          <w:rStyle w:val="Strong"/>
          <w:b w:val="0"/>
          <w:color w:val="000000"/>
          <w:shd w:val="clear" w:color="auto" w:fill="FFFFFF"/>
          <w:lang w:val="es-CR"/>
        </w:rPr>
        <w:t xml:space="preserve"> párr. 156.</w:t>
      </w:r>
    </w:p>
  </w:footnote>
  <w:footnote w:id="223">
    <w:p w14:paraId="67B703EC" w14:textId="45FE5DAB" w:rsidR="00D86616" w:rsidRPr="003B45F4" w:rsidRDefault="00D86616" w:rsidP="006A2D03">
      <w:pPr>
        <w:pStyle w:val="FootnoteText"/>
        <w:spacing w:after="0"/>
        <w:rPr>
          <w:lang w:val="es-MX"/>
        </w:rPr>
      </w:pPr>
      <w:r w:rsidRPr="00F23D52">
        <w:rPr>
          <w:rStyle w:val="FootnoteReference"/>
          <w:sz w:val="16"/>
        </w:rPr>
        <w:footnoteRef/>
      </w:r>
      <w:r w:rsidRPr="003B45F4">
        <w:rPr>
          <w:lang w:val="es-MX"/>
        </w:rPr>
        <w:t xml:space="preserve"> </w:t>
      </w:r>
      <w:r w:rsidRPr="003B45F4">
        <w:rPr>
          <w:lang w:val="es-MX"/>
        </w:rPr>
        <w:tab/>
      </w:r>
      <w:r w:rsidRPr="00F77B70">
        <w:rPr>
          <w:rStyle w:val="apple-converted-space"/>
          <w:bCs/>
          <w:i/>
          <w:color w:val="000000"/>
          <w:shd w:val="clear" w:color="auto" w:fill="FFFFFF"/>
          <w:lang w:val="es-CR"/>
        </w:rPr>
        <w:t>Cfr.</w:t>
      </w:r>
      <w:r w:rsidRPr="00333304">
        <w:rPr>
          <w:rStyle w:val="apple-converted-space"/>
          <w:b/>
          <w:bCs/>
          <w:i/>
          <w:color w:val="000000"/>
          <w:shd w:val="clear" w:color="auto" w:fill="FFFFFF"/>
          <w:lang w:val="es-CR"/>
        </w:rPr>
        <w:t xml:space="preserve"> </w:t>
      </w:r>
      <w:r w:rsidRPr="00333304">
        <w:rPr>
          <w:rStyle w:val="Strong"/>
          <w:b w:val="0"/>
          <w:i/>
          <w:color w:val="000000"/>
          <w:shd w:val="clear" w:color="auto" w:fill="FFFFFF"/>
          <w:lang w:val="es-CR"/>
        </w:rPr>
        <w:t>Caso Baena Ricardo y otros Vs. Panamá</w:t>
      </w:r>
      <w:r>
        <w:rPr>
          <w:rStyle w:val="Strong"/>
          <w:b w:val="0"/>
          <w:i/>
          <w:color w:val="000000"/>
          <w:shd w:val="clear" w:color="auto" w:fill="FFFFFF"/>
          <w:lang w:val="es-CR"/>
        </w:rPr>
        <w:t xml:space="preserve">. Fondo, Reparaciones y Costas, </w:t>
      </w:r>
      <w:r w:rsidRPr="002F31BD">
        <w:rPr>
          <w:rStyle w:val="Strong"/>
          <w:b w:val="0"/>
          <w:i/>
          <w:color w:val="000000"/>
          <w:shd w:val="clear" w:color="auto" w:fill="FFFFFF"/>
          <w:lang w:val="es-CR"/>
        </w:rPr>
        <w:t>supra</w:t>
      </w:r>
      <w:r>
        <w:rPr>
          <w:rStyle w:val="Strong"/>
          <w:b w:val="0"/>
          <w:color w:val="000000"/>
          <w:shd w:val="clear" w:color="auto" w:fill="FFFFFF"/>
          <w:lang w:val="es-CR"/>
        </w:rPr>
        <w:t>,</w:t>
      </w:r>
      <w:r w:rsidRPr="00F23D52">
        <w:rPr>
          <w:rStyle w:val="Strong"/>
          <w:b w:val="0"/>
          <w:color w:val="000000"/>
          <w:shd w:val="clear" w:color="auto" w:fill="FFFFFF"/>
          <w:lang w:val="es-CR"/>
        </w:rPr>
        <w:t xml:space="preserve"> párr. 158.</w:t>
      </w:r>
    </w:p>
  </w:footnote>
  <w:footnote w:id="224">
    <w:p w14:paraId="731E6653" w14:textId="4BC7CFA2" w:rsidR="00D86616" w:rsidRPr="003B45F4" w:rsidRDefault="00D86616" w:rsidP="006A2D03">
      <w:pPr>
        <w:pStyle w:val="FootnoteText"/>
        <w:spacing w:after="0"/>
        <w:rPr>
          <w:lang w:val="es-MX"/>
        </w:rPr>
      </w:pPr>
      <w:r w:rsidRPr="00F23D52">
        <w:rPr>
          <w:rStyle w:val="FootnoteReference"/>
          <w:sz w:val="16"/>
        </w:rPr>
        <w:footnoteRef/>
      </w:r>
      <w:r w:rsidRPr="003B45F4">
        <w:rPr>
          <w:lang w:val="es-MX"/>
        </w:rPr>
        <w:t xml:space="preserve"> </w:t>
      </w:r>
      <w:r w:rsidRPr="003B45F4">
        <w:rPr>
          <w:lang w:val="es-MX"/>
        </w:rPr>
        <w:tab/>
      </w:r>
      <w:r w:rsidRPr="008D6117">
        <w:rPr>
          <w:i/>
          <w:lang w:val="es-MX"/>
        </w:rPr>
        <w:t>Cfr.</w:t>
      </w:r>
      <w:r w:rsidRPr="00341FCF">
        <w:rPr>
          <w:lang w:val="es-MX"/>
        </w:rPr>
        <w:t xml:space="preserve"> </w:t>
      </w:r>
      <w:r w:rsidRPr="00333304">
        <w:rPr>
          <w:rStyle w:val="Strong"/>
          <w:b w:val="0"/>
          <w:i/>
          <w:color w:val="000000"/>
          <w:shd w:val="clear" w:color="auto" w:fill="FFFFFF"/>
          <w:lang w:val="es-CR"/>
        </w:rPr>
        <w:t xml:space="preserve">Caso </w:t>
      </w:r>
      <w:proofErr w:type="spellStart"/>
      <w:r w:rsidRPr="00333304">
        <w:rPr>
          <w:rStyle w:val="Strong"/>
          <w:b w:val="0"/>
          <w:i/>
          <w:color w:val="000000"/>
          <w:shd w:val="clear" w:color="auto" w:fill="FFFFFF"/>
          <w:lang w:val="es-CR"/>
        </w:rPr>
        <w:t>Huilca</w:t>
      </w:r>
      <w:proofErr w:type="spellEnd"/>
      <w:r w:rsidRPr="00333304">
        <w:rPr>
          <w:rStyle w:val="Strong"/>
          <w:b w:val="0"/>
          <w:i/>
          <w:color w:val="000000"/>
          <w:shd w:val="clear" w:color="auto" w:fill="FFFFFF"/>
          <w:lang w:val="es-CR"/>
        </w:rPr>
        <w:t xml:space="preserve"> </w:t>
      </w:r>
      <w:proofErr w:type="spellStart"/>
      <w:r w:rsidRPr="00333304">
        <w:rPr>
          <w:rStyle w:val="Strong"/>
          <w:b w:val="0"/>
          <w:i/>
          <w:color w:val="000000"/>
          <w:shd w:val="clear" w:color="auto" w:fill="FFFFFF"/>
          <w:lang w:val="es-CR"/>
        </w:rPr>
        <w:t>Tecse</w:t>
      </w:r>
      <w:proofErr w:type="spellEnd"/>
      <w:r w:rsidRPr="00333304">
        <w:rPr>
          <w:rStyle w:val="Strong"/>
          <w:b w:val="0"/>
          <w:i/>
          <w:color w:val="000000"/>
          <w:shd w:val="clear" w:color="auto" w:fill="FFFFFF"/>
          <w:lang w:val="es-CR"/>
        </w:rPr>
        <w:t xml:space="preserve"> Vs. Perú</w:t>
      </w:r>
      <w:r>
        <w:rPr>
          <w:rStyle w:val="Strong"/>
          <w:b w:val="0"/>
          <w:i/>
          <w:color w:val="000000"/>
          <w:shd w:val="clear" w:color="auto" w:fill="FFFFFF"/>
          <w:lang w:val="es-CR"/>
        </w:rPr>
        <w:t xml:space="preserve">, </w:t>
      </w:r>
      <w:r w:rsidRPr="002F31BD">
        <w:rPr>
          <w:rStyle w:val="Strong"/>
          <w:b w:val="0"/>
          <w:i/>
          <w:color w:val="000000"/>
          <w:shd w:val="clear" w:color="auto" w:fill="FFFFFF"/>
          <w:lang w:val="es-CR"/>
        </w:rPr>
        <w:t>supra</w:t>
      </w:r>
      <w:r>
        <w:rPr>
          <w:rStyle w:val="Strong"/>
          <w:b w:val="0"/>
          <w:i/>
          <w:color w:val="000000"/>
          <w:shd w:val="clear" w:color="auto" w:fill="FFFFFF"/>
          <w:lang w:val="es-CR"/>
        </w:rPr>
        <w:t>,</w:t>
      </w:r>
      <w:r w:rsidRPr="00F23D52">
        <w:rPr>
          <w:rStyle w:val="Strong"/>
          <w:b w:val="0"/>
          <w:color w:val="000000"/>
          <w:shd w:val="clear" w:color="auto" w:fill="FFFFFF"/>
          <w:lang w:val="es-CR"/>
        </w:rPr>
        <w:t xml:space="preserve"> párr. 77, y </w:t>
      </w:r>
      <w:r w:rsidRPr="00333304">
        <w:rPr>
          <w:rStyle w:val="Strong"/>
          <w:b w:val="0"/>
          <w:i/>
          <w:color w:val="000000"/>
          <w:shd w:val="clear" w:color="auto" w:fill="FFFFFF"/>
          <w:lang w:val="es-CR"/>
        </w:rPr>
        <w:t xml:space="preserve">Caso Cantoral </w:t>
      </w:r>
      <w:proofErr w:type="spellStart"/>
      <w:r w:rsidRPr="00333304">
        <w:rPr>
          <w:rStyle w:val="Strong"/>
          <w:b w:val="0"/>
          <w:i/>
          <w:color w:val="000000"/>
          <w:shd w:val="clear" w:color="auto" w:fill="FFFFFF"/>
          <w:lang w:val="es-CR"/>
        </w:rPr>
        <w:t>Huamaní</w:t>
      </w:r>
      <w:proofErr w:type="spellEnd"/>
      <w:r w:rsidRPr="00333304">
        <w:rPr>
          <w:rStyle w:val="Strong"/>
          <w:b w:val="0"/>
          <w:i/>
          <w:color w:val="000000"/>
          <w:shd w:val="clear" w:color="auto" w:fill="FFFFFF"/>
          <w:lang w:val="es-CR"/>
        </w:rPr>
        <w:t xml:space="preserve"> y García Santa Cruz Vs. Perú. Excepción Preliminar, Fondo, Reparaciones y Costas.</w:t>
      </w:r>
      <w:r w:rsidRPr="00F23D52">
        <w:rPr>
          <w:rStyle w:val="Strong"/>
          <w:b w:val="0"/>
          <w:color w:val="000000"/>
          <w:shd w:val="clear" w:color="auto" w:fill="FFFFFF"/>
          <w:lang w:val="es-CR"/>
        </w:rPr>
        <w:t xml:space="preserve"> Sentencia de 10 de julio de 2007. Serie C No. 167, párr. 146.</w:t>
      </w:r>
    </w:p>
  </w:footnote>
  <w:footnote w:id="225">
    <w:p w14:paraId="70486613" w14:textId="17D38C09" w:rsidR="00D86616" w:rsidRPr="003B45F4" w:rsidRDefault="00D86616" w:rsidP="006A2D03">
      <w:pPr>
        <w:pStyle w:val="FootnoteText"/>
        <w:spacing w:after="0"/>
        <w:rPr>
          <w:lang w:val="es-MX"/>
        </w:rPr>
      </w:pPr>
      <w:r w:rsidRPr="00F23D52">
        <w:rPr>
          <w:rStyle w:val="FootnoteReference"/>
          <w:sz w:val="16"/>
        </w:rPr>
        <w:footnoteRef/>
      </w:r>
      <w:r w:rsidRPr="003B45F4">
        <w:rPr>
          <w:lang w:val="es-MX"/>
        </w:rPr>
        <w:t xml:space="preserve"> </w:t>
      </w:r>
      <w:r w:rsidRPr="003B45F4">
        <w:rPr>
          <w:lang w:val="es-MX"/>
        </w:rPr>
        <w:tab/>
      </w:r>
      <w:r w:rsidRPr="000C066A">
        <w:rPr>
          <w:i/>
          <w:lang w:val="es-MX"/>
        </w:rPr>
        <w:t xml:space="preserve">Cfr. </w:t>
      </w:r>
      <w:r w:rsidRPr="000C066A">
        <w:rPr>
          <w:rStyle w:val="Strong"/>
          <w:b w:val="0"/>
          <w:i/>
          <w:color w:val="000000"/>
          <w:shd w:val="clear" w:color="auto" w:fill="FFFFFF"/>
          <w:lang w:val="es-CR"/>
        </w:rPr>
        <w:t xml:space="preserve">Caso </w:t>
      </w:r>
      <w:proofErr w:type="spellStart"/>
      <w:r w:rsidRPr="000C066A">
        <w:rPr>
          <w:rStyle w:val="Strong"/>
          <w:b w:val="0"/>
          <w:i/>
          <w:color w:val="000000"/>
          <w:shd w:val="clear" w:color="auto" w:fill="FFFFFF"/>
          <w:lang w:val="es-CR"/>
        </w:rPr>
        <w:t>Huilca</w:t>
      </w:r>
      <w:proofErr w:type="spellEnd"/>
      <w:r w:rsidRPr="000C066A">
        <w:rPr>
          <w:rStyle w:val="Strong"/>
          <w:b w:val="0"/>
          <w:i/>
          <w:color w:val="000000"/>
          <w:shd w:val="clear" w:color="auto" w:fill="FFFFFF"/>
          <w:lang w:val="es-CR"/>
        </w:rPr>
        <w:t xml:space="preserve"> </w:t>
      </w:r>
      <w:proofErr w:type="spellStart"/>
      <w:r w:rsidRPr="000C066A">
        <w:rPr>
          <w:rStyle w:val="Strong"/>
          <w:b w:val="0"/>
          <w:i/>
          <w:color w:val="000000"/>
          <w:shd w:val="clear" w:color="auto" w:fill="FFFFFF"/>
          <w:lang w:val="es-CR"/>
        </w:rPr>
        <w:t>Tecse</w:t>
      </w:r>
      <w:proofErr w:type="spellEnd"/>
      <w:r w:rsidRPr="000C066A">
        <w:rPr>
          <w:rStyle w:val="Strong"/>
          <w:b w:val="0"/>
          <w:i/>
          <w:color w:val="000000"/>
          <w:shd w:val="clear" w:color="auto" w:fill="FFFFFF"/>
          <w:lang w:val="es-CR"/>
        </w:rPr>
        <w:t xml:space="preserve"> Vs. Perú, supra,</w:t>
      </w:r>
      <w:r w:rsidRPr="00F23D52">
        <w:rPr>
          <w:rStyle w:val="Strong"/>
          <w:b w:val="0"/>
          <w:color w:val="000000"/>
          <w:shd w:val="clear" w:color="auto" w:fill="FFFFFF"/>
          <w:lang w:val="es-CR"/>
        </w:rPr>
        <w:t xml:space="preserve"> párr. 70.</w:t>
      </w:r>
    </w:p>
  </w:footnote>
  <w:footnote w:id="226">
    <w:p w14:paraId="2480E4B5" w14:textId="7CE5DE96" w:rsidR="00D86616" w:rsidRPr="009E6ED2" w:rsidRDefault="00D86616" w:rsidP="006A2D03">
      <w:pPr>
        <w:pStyle w:val="FootnoteText"/>
        <w:spacing w:after="0"/>
        <w:rPr>
          <w:lang w:val="es-MX"/>
        </w:rPr>
      </w:pPr>
      <w:r w:rsidRPr="00F23D52">
        <w:rPr>
          <w:rStyle w:val="FootnoteReference"/>
          <w:sz w:val="16"/>
        </w:rPr>
        <w:footnoteRef/>
      </w:r>
      <w:r w:rsidRPr="003B45F4">
        <w:rPr>
          <w:lang w:val="es-MX"/>
        </w:rPr>
        <w:t xml:space="preserve"> </w:t>
      </w:r>
      <w:r w:rsidRPr="003B45F4">
        <w:rPr>
          <w:lang w:val="es-MX"/>
        </w:rPr>
        <w:tab/>
      </w:r>
      <w:r w:rsidRPr="00F77B70">
        <w:rPr>
          <w:rStyle w:val="apple-converted-space"/>
          <w:bCs/>
          <w:i/>
          <w:shd w:val="clear" w:color="auto" w:fill="FFFFFF"/>
          <w:lang w:val="es-CR"/>
        </w:rPr>
        <w:t>Cfr.</w:t>
      </w:r>
      <w:r w:rsidRPr="00333304">
        <w:rPr>
          <w:rStyle w:val="apple-converted-space"/>
          <w:bCs/>
          <w:i/>
          <w:shd w:val="clear" w:color="auto" w:fill="FFFFFF"/>
          <w:lang w:val="es-CR"/>
        </w:rPr>
        <w:t xml:space="preserve"> </w:t>
      </w:r>
      <w:r w:rsidRPr="00333304">
        <w:rPr>
          <w:rStyle w:val="Strong"/>
          <w:b w:val="0"/>
          <w:i/>
          <w:shd w:val="clear" w:color="auto" w:fill="FFFFFF"/>
          <w:lang w:val="es-CR"/>
        </w:rPr>
        <w:t>Caso Baena Ricardo y otros Vs. Panamá</w:t>
      </w:r>
      <w:r>
        <w:rPr>
          <w:rStyle w:val="Strong"/>
          <w:b w:val="0"/>
          <w:shd w:val="clear" w:color="auto" w:fill="FFFFFF"/>
          <w:lang w:val="es-CR"/>
        </w:rPr>
        <w:t xml:space="preserve">. </w:t>
      </w:r>
      <w:r>
        <w:rPr>
          <w:rStyle w:val="Strong"/>
          <w:b w:val="0"/>
          <w:i/>
          <w:color w:val="000000"/>
          <w:shd w:val="clear" w:color="auto" w:fill="FFFFFF"/>
          <w:lang w:val="es-CR"/>
        </w:rPr>
        <w:t xml:space="preserve">Fondo, </w:t>
      </w:r>
      <w:r w:rsidRPr="002F31BD">
        <w:rPr>
          <w:rStyle w:val="Strong"/>
          <w:b w:val="0"/>
          <w:i/>
          <w:shd w:val="clear" w:color="auto" w:fill="FFFFFF"/>
          <w:lang w:val="es-CR"/>
        </w:rPr>
        <w:t>supra</w:t>
      </w:r>
      <w:r>
        <w:rPr>
          <w:rStyle w:val="Strong"/>
          <w:b w:val="0"/>
          <w:shd w:val="clear" w:color="auto" w:fill="FFFFFF"/>
          <w:lang w:val="es-CR"/>
        </w:rPr>
        <w:t>,</w:t>
      </w:r>
      <w:r w:rsidRPr="00F23D52">
        <w:rPr>
          <w:rStyle w:val="Strong"/>
          <w:b w:val="0"/>
          <w:shd w:val="clear" w:color="auto" w:fill="FFFFFF"/>
          <w:lang w:val="es-CR"/>
        </w:rPr>
        <w:t xml:space="preserve"> párr. 156</w:t>
      </w:r>
      <w:r w:rsidRPr="009E6ED2">
        <w:rPr>
          <w:lang w:val="es-MX"/>
        </w:rPr>
        <w:t xml:space="preserve">, y </w:t>
      </w:r>
      <w:r w:rsidRPr="000C066A">
        <w:rPr>
          <w:i/>
          <w:lang w:val="es-MX"/>
        </w:rPr>
        <w:t xml:space="preserve">Caso Cantoral </w:t>
      </w:r>
      <w:proofErr w:type="spellStart"/>
      <w:r w:rsidRPr="000C066A">
        <w:rPr>
          <w:i/>
          <w:lang w:val="es-MX"/>
        </w:rPr>
        <w:t>Huamaní</w:t>
      </w:r>
      <w:proofErr w:type="spellEnd"/>
      <w:r w:rsidRPr="000C066A">
        <w:rPr>
          <w:i/>
          <w:lang w:val="es-MX"/>
        </w:rPr>
        <w:t xml:space="preserve"> y García Santa Cruz Vs. Perú, supra,</w:t>
      </w:r>
      <w:r w:rsidRPr="009E6ED2">
        <w:rPr>
          <w:lang w:val="es-MX"/>
        </w:rPr>
        <w:t xml:space="preserve"> </w:t>
      </w:r>
      <w:proofErr w:type="spellStart"/>
      <w:r w:rsidRPr="009E6ED2">
        <w:rPr>
          <w:lang w:val="es-MX"/>
        </w:rPr>
        <w:t>párrs</w:t>
      </w:r>
      <w:proofErr w:type="spellEnd"/>
      <w:r w:rsidRPr="009E6ED2">
        <w:rPr>
          <w:lang w:val="es-MX"/>
        </w:rPr>
        <w:t>. 144, 145, 146.</w:t>
      </w:r>
    </w:p>
  </w:footnote>
  <w:footnote w:id="227">
    <w:p w14:paraId="7FD2CCB1" w14:textId="199911A3" w:rsidR="00D86616" w:rsidRPr="009E6ED2" w:rsidRDefault="00D86616" w:rsidP="006A2D03">
      <w:pPr>
        <w:pStyle w:val="FootnoteText"/>
        <w:spacing w:after="0"/>
        <w:rPr>
          <w:lang w:val="es-MX"/>
        </w:rPr>
      </w:pPr>
      <w:r w:rsidRPr="00F23D52">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OIT. Convenio Número 87 Relativo a la Libertad Sindical y a la Protección del Derecho de Sindicación, de 17 de junio de 1948 y Convenio Número 98 Relativo a la Aplicación de los Principios del Derecho de Sindicación y de Negociación Colectiva, de 8 de junio de 1949.</w:t>
      </w:r>
    </w:p>
  </w:footnote>
  <w:footnote w:id="228">
    <w:p w14:paraId="55039371" w14:textId="4786FA95" w:rsidR="00D86616" w:rsidRPr="003B45F4" w:rsidRDefault="00D86616" w:rsidP="006A2D03">
      <w:pPr>
        <w:pStyle w:val="FootnoteText"/>
        <w:spacing w:after="0"/>
        <w:rPr>
          <w:rFonts w:eastAsia="Calibri"/>
          <w:shd w:val="clear" w:color="auto" w:fill="FFFFFF"/>
          <w:lang w:val="es-MX" w:eastAsia="en-US"/>
        </w:rPr>
      </w:pPr>
      <w:r w:rsidRPr="00F23D52">
        <w:rPr>
          <w:rStyle w:val="FootnoteReference"/>
          <w:sz w:val="16"/>
        </w:rPr>
        <w:footnoteRef/>
      </w:r>
      <w:r w:rsidRPr="003B45F4">
        <w:rPr>
          <w:lang w:val="es-MX"/>
        </w:rPr>
        <w:t xml:space="preserve"> </w:t>
      </w:r>
      <w:r w:rsidRPr="003B45F4">
        <w:rPr>
          <w:lang w:val="es-MX"/>
        </w:rPr>
        <w:tab/>
      </w:r>
      <w:r w:rsidRPr="00F77B70">
        <w:rPr>
          <w:rStyle w:val="apple-converted-space"/>
          <w:bCs/>
          <w:i/>
          <w:color w:val="000000"/>
          <w:shd w:val="clear" w:color="auto" w:fill="FFFFFF"/>
          <w:lang w:val="es-CR"/>
        </w:rPr>
        <w:t>Cfr.</w:t>
      </w:r>
      <w:r w:rsidRPr="00333304">
        <w:rPr>
          <w:rStyle w:val="apple-converted-space"/>
          <w:b/>
          <w:bCs/>
          <w:i/>
          <w:color w:val="000000"/>
          <w:shd w:val="clear" w:color="auto" w:fill="FFFFFF"/>
          <w:lang w:val="es-CR"/>
        </w:rPr>
        <w:t xml:space="preserve"> </w:t>
      </w:r>
      <w:r w:rsidRPr="00333304">
        <w:rPr>
          <w:rStyle w:val="Strong"/>
          <w:b w:val="0"/>
          <w:i/>
          <w:color w:val="000000"/>
          <w:shd w:val="clear" w:color="auto" w:fill="FFFFFF"/>
          <w:lang w:val="es-CR"/>
        </w:rPr>
        <w:t>Caso Baena Ricardo y otros Vs. Panamá</w:t>
      </w:r>
      <w:r>
        <w:rPr>
          <w:rStyle w:val="Strong"/>
          <w:b w:val="0"/>
          <w:color w:val="000000"/>
          <w:shd w:val="clear" w:color="auto" w:fill="FFFFFF"/>
          <w:lang w:val="es-CR"/>
        </w:rPr>
        <w:t xml:space="preserve">. </w:t>
      </w:r>
      <w:r>
        <w:rPr>
          <w:rStyle w:val="Strong"/>
          <w:b w:val="0"/>
          <w:i/>
          <w:color w:val="000000"/>
          <w:shd w:val="clear" w:color="auto" w:fill="FFFFFF"/>
          <w:lang w:val="es-CR"/>
        </w:rPr>
        <w:t xml:space="preserve">Fondo, </w:t>
      </w:r>
      <w:r w:rsidRPr="002F31BD">
        <w:rPr>
          <w:rStyle w:val="Strong"/>
          <w:b w:val="0"/>
          <w:i/>
          <w:color w:val="000000"/>
          <w:shd w:val="clear" w:color="auto" w:fill="FFFFFF"/>
          <w:lang w:val="es-CR"/>
        </w:rPr>
        <w:t>supra</w:t>
      </w:r>
      <w:r>
        <w:rPr>
          <w:rStyle w:val="Strong"/>
          <w:b w:val="0"/>
          <w:i/>
          <w:color w:val="000000"/>
          <w:shd w:val="clear" w:color="auto" w:fill="FFFFFF"/>
          <w:lang w:val="es-CR"/>
        </w:rPr>
        <w:t>,</w:t>
      </w:r>
      <w:r>
        <w:rPr>
          <w:rStyle w:val="Strong"/>
          <w:b w:val="0"/>
          <w:color w:val="000000"/>
          <w:shd w:val="clear" w:color="auto" w:fill="FFFFFF"/>
          <w:lang w:val="es-CR"/>
        </w:rPr>
        <w:t xml:space="preserve"> párr. 158</w:t>
      </w:r>
      <w:r w:rsidRPr="00F23D52">
        <w:rPr>
          <w:rFonts w:cs="StempelSchneidler-Light"/>
          <w:lang w:val="es-EC"/>
        </w:rPr>
        <w:t>.</w:t>
      </w:r>
    </w:p>
  </w:footnote>
  <w:footnote w:id="229">
    <w:p w14:paraId="053C3A89" w14:textId="4942CCEB" w:rsidR="00D86616" w:rsidRPr="003B45F4" w:rsidRDefault="00D86616" w:rsidP="006A2D03">
      <w:pPr>
        <w:pStyle w:val="FootnoteText"/>
        <w:spacing w:after="0"/>
        <w:rPr>
          <w:lang w:val="es-MX"/>
        </w:rPr>
      </w:pPr>
      <w:r w:rsidRPr="00F23D52">
        <w:rPr>
          <w:rStyle w:val="FootnoteReference"/>
          <w:sz w:val="16"/>
        </w:rPr>
        <w:footnoteRef/>
      </w:r>
      <w:r w:rsidRPr="003B45F4">
        <w:rPr>
          <w:lang w:val="es-MX"/>
        </w:rPr>
        <w:t xml:space="preserve"> </w:t>
      </w:r>
      <w:r w:rsidRPr="003B45F4">
        <w:rPr>
          <w:lang w:val="es-MX"/>
        </w:rPr>
        <w:tab/>
      </w:r>
      <w:r w:rsidRPr="000C066A">
        <w:rPr>
          <w:i/>
          <w:lang w:val="es-MX"/>
        </w:rPr>
        <w:t>Cfr.</w:t>
      </w:r>
      <w:r w:rsidRPr="003B45F4">
        <w:rPr>
          <w:lang w:val="es-MX"/>
        </w:rPr>
        <w:t xml:space="preserve"> Protocolo de San Salvador, artículo 19.6</w:t>
      </w:r>
      <w:r>
        <w:rPr>
          <w:lang w:val="es-MX"/>
        </w:rPr>
        <w:t>;</w:t>
      </w:r>
      <w:r w:rsidRPr="003B45F4">
        <w:rPr>
          <w:lang w:val="es-MX"/>
        </w:rPr>
        <w:t xml:space="preserve"> </w:t>
      </w:r>
      <w:r w:rsidRPr="00333304">
        <w:rPr>
          <w:rStyle w:val="Strong"/>
          <w:b w:val="0"/>
          <w:i/>
          <w:color w:val="000000"/>
          <w:shd w:val="clear" w:color="auto" w:fill="FFFFFF"/>
          <w:lang w:val="es-CR"/>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F23D52">
        <w:rPr>
          <w:rStyle w:val="Strong"/>
          <w:b w:val="0"/>
          <w:color w:val="000000"/>
          <w:shd w:val="clear" w:color="auto" w:fill="FFFFFF"/>
          <w:lang w:val="es-CR"/>
        </w:rPr>
        <w:t xml:space="preserve"> </w:t>
      </w:r>
      <w:r w:rsidRPr="000D6295">
        <w:rPr>
          <w:rStyle w:val="Strong"/>
          <w:b w:val="0"/>
          <w:i/>
          <w:color w:val="000000"/>
          <w:shd w:val="clear" w:color="auto" w:fill="FFFFFF"/>
          <w:lang w:val="es-CR"/>
        </w:rPr>
        <w:t>Opinión Consultiva OC-22/16</w:t>
      </w:r>
      <w:r w:rsidRPr="00F23D52">
        <w:rPr>
          <w:rStyle w:val="Strong"/>
          <w:b w:val="0"/>
          <w:color w:val="000000"/>
          <w:shd w:val="clear" w:color="auto" w:fill="FFFFFF"/>
          <w:lang w:val="es-CR"/>
        </w:rPr>
        <w:t xml:space="preserve"> de 26 de febrero de 2016. Serie A No. 22, párr. 87, y</w:t>
      </w:r>
      <w:r w:rsidRPr="003B45F4">
        <w:rPr>
          <w:lang w:val="es-MX"/>
        </w:rPr>
        <w:t xml:space="preserve"> </w:t>
      </w:r>
      <w:r w:rsidRPr="000D6295">
        <w:rPr>
          <w:i/>
          <w:lang w:val="es-MX"/>
        </w:rPr>
        <w:t xml:space="preserve">Caso </w:t>
      </w:r>
      <w:proofErr w:type="spellStart"/>
      <w:r w:rsidRPr="000D6295">
        <w:rPr>
          <w:i/>
          <w:lang w:val="es-MX"/>
        </w:rPr>
        <w:t>Huilca</w:t>
      </w:r>
      <w:proofErr w:type="spellEnd"/>
      <w:r w:rsidRPr="000D6295">
        <w:rPr>
          <w:i/>
          <w:lang w:val="es-MX"/>
        </w:rPr>
        <w:t xml:space="preserve"> </w:t>
      </w:r>
      <w:proofErr w:type="spellStart"/>
      <w:r w:rsidRPr="000D6295">
        <w:rPr>
          <w:i/>
          <w:lang w:val="es-MX"/>
        </w:rPr>
        <w:t>Tecse</w:t>
      </w:r>
      <w:proofErr w:type="spellEnd"/>
      <w:r w:rsidRPr="000D6295">
        <w:rPr>
          <w:i/>
          <w:lang w:val="es-MX"/>
        </w:rPr>
        <w:t xml:space="preserve"> Vs. Perú, supra</w:t>
      </w:r>
      <w:r w:rsidRPr="003B45F4">
        <w:rPr>
          <w:lang w:val="es-MX"/>
        </w:rPr>
        <w:t>, párr. 74</w:t>
      </w:r>
      <w:r w:rsidRPr="00392C24">
        <w:rPr>
          <w:rStyle w:val="Strong"/>
          <w:b w:val="0"/>
          <w:color w:val="000000"/>
          <w:shd w:val="clear" w:color="auto" w:fill="FFFFFF"/>
          <w:lang w:val="es-CR"/>
        </w:rPr>
        <w:t>.</w:t>
      </w:r>
    </w:p>
  </w:footnote>
  <w:footnote w:id="230">
    <w:p w14:paraId="729E3D22" w14:textId="520E15BF" w:rsidR="00D86616" w:rsidRPr="009E6ED2" w:rsidRDefault="00D86616" w:rsidP="006A2D03">
      <w:pPr>
        <w:pStyle w:val="FootnoteText"/>
        <w:spacing w:after="0"/>
        <w:rPr>
          <w:lang w:val="es-MX"/>
        </w:rPr>
      </w:pPr>
      <w:r w:rsidRPr="00F23D52">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Declaración Americana de los Derechos y Deberes del Hombre, artículo XXII; Carta de la Organización de los Estados Americanos, artículo 45, inciso c); Carta Democrática Interamericana, Preámbulo, y Convenio sobre los representantes de los trabajadores, </w:t>
      </w:r>
      <w:r w:rsidRPr="009E6ED2">
        <w:rPr>
          <w:i/>
          <w:lang w:val="es-MX"/>
        </w:rPr>
        <w:t>supra</w:t>
      </w:r>
      <w:r w:rsidRPr="009E6ED2">
        <w:rPr>
          <w:lang w:val="es-MX"/>
        </w:rPr>
        <w:t xml:space="preserve">, artículo 3 (b). </w:t>
      </w:r>
    </w:p>
  </w:footnote>
  <w:footnote w:id="231">
    <w:p w14:paraId="3B9C375D" w14:textId="1FE546A6"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 xml:space="preserve">Convenio sobre los representantes de los trabajadores, </w:t>
      </w:r>
      <w:r w:rsidRPr="009E6ED2">
        <w:rPr>
          <w:i/>
          <w:lang w:val="es-MX"/>
        </w:rPr>
        <w:t>supra</w:t>
      </w:r>
      <w:r w:rsidRPr="009E6ED2">
        <w:rPr>
          <w:lang w:val="es-MX"/>
        </w:rPr>
        <w:t>, artículo 3 (b).</w:t>
      </w:r>
    </w:p>
  </w:footnote>
  <w:footnote w:id="232">
    <w:p w14:paraId="7304C7EB" w14:textId="1FBD9012"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Recomendación 143 sobre los representantes de los trabajadores, </w:t>
      </w:r>
      <w:r w:rsidRPr="009E6ED2">
        <w:rPr>
          <w:i/>
          <w:lang w:val="es-MX"/>
        </w:rPr>
        <w:t xml:space="preserve">supra, </w:t>
      </w:r>
      <w:r w:rsidRPr="009E6ED2">
        <w:rPr>
          <w:lang w:val="es-MX"/>
        </w:rPr>
        <w:t xml:space="preserve">punto 5, y </w:t>
      </w:r>
      <w:r w:rsidRPr="009E6ED2">
        <w:rPr>
          <w:i/>
          <w:lang w:val="es-MX"/>
        </w:rPr>
        <w:t xml:space="preserve">mutatis </w:t>
      </w:r>
      <w:proofErr w:type="spellStart"/>
      <w:r w:rsidRPr="009E6ED2">
        <w:rPr>
          <w:i/>
          <w:lang w:val="es-MX"/>
        </w:rPr>
        <w:t>mutandi</w:t>
      </w:r>
      <w:proofErr w:type="spellEnd"/>
      <w:r w:rsidRPr="009E6ED2">
        <w:rPr>
          <w:lang w:val="es-MX"/>
        </w:rPr>
        <w:t xml:space="preserve">, TEDH, </w:t>
      </w:r>
      <w:r w:rsidRPr="009E6ED2">
        <w:rPr>
          <w:i/>
          <w:lang w:val="es-MX"/>
        </w:rPr>
        <w:t xml:space="preserve">Caso </w:t>
      </w:r>
      <w:proofErr w:type="spellStart"/>
      <w:r w:rsidRPr="009E6ED2">
        <w:rPr>
          <w:i/>
          <w:lang w:val="es-MX"/>
        </w:rPr>
        <w:t>Csánics</w:t>
      </w:r>
      <w:proofErr w:type="spellEnd"/>
      <w:r w:rsidRPr="009E6ED2">
        <w:rPr>
          <w:i/>
          <w:lang w:val="es-MX"/>
        </w:rPr>
        <w:t xml:space="preserve"> Vs. </w:t>
      </w:r>
      <w:proofErr w:type="spellStart"/>
      <w:r w:rsidRPr="009E6ED2">
        <w:rPr>
          <w:i/>
          <w:lang w:val="es-MX"/>
        </w:rPr>
        <w:t>Hungria</w:t>
      </w:r>
      <w:proofErr w:type="spellEnd"/>
      <w:r w:rsidRPr="009E6ED2">
        <w:rPr>
          <w:lang w:val="es-MX"/>
        </w:rPr>
        <w:t xml:space="preserve">, No. 12188/06. Sentencia de 20 de enero de 2009; TEDH, </w:t>
      </w:r>
      <w:r w:rsidRPr="009E6ED2">
        <w:rPr>
          <w:i/>
          <w:lang w:val="es-MX"/>
        </w:rPr>
        <w:t xml:space="preserve">Caso </w:t>
      </w:r>
      <w:proofErr w:type="spellStart"/>
      <w:r w:rsidRPr="009E6ED2">
        <w:rPr>
          <w:i/>
          <w:lang w:val="es-MX"/>
        </w:rPr>
        <w:t>Szima</w:t>
      </w:r>
      <w:proofErr w:type="spellEnd"/>
      <w:r w:rsidRPr="009E6ED2">
        <w:rPr>
          <w:i/>
          <w:lang w:val="es-MX"/>
        </w:rPr>
        <w:t xml:space="preserve"> Vs. Hungría</w:t>
      </w:r>
      <w:r w:rsidRPr="009E6ED2">
        <w:rPr>
          <w:lang w:val="es-MX"/>
        </w:rPr>
        <w:t xml:space="preserve">, No. 29723/11. Sentencia de 9 de octubre de 2012, y TEDH, </w:t>
      </w:r>
      <w:r w:rsidRPr="009E6ED2">
        <w:rPr>
          <w:i/>
          <w:lang w:val="es-MX"/>
        </w:rPr>
        <w:t xml:space="preserve">Caso </w:t>
      </w:r>
      <w:proofErr w:type="spellStart"/>
      <w:r w:rsidRPr="009E6ED2">
        <w:rPr>
          <w:i/>
          <w:lang w:val="es-MX"/>
        </w:rPr>
        <w:t>Heinisch</w:t>
      </w:r>
      <w:proofErr w:type="spellEnd"/>
      <w:r w:rsidRPr="009E6ED2">
        <w:rPr>
          <w:i/>
          <w:lang w:val="es-MX"/>
        </w:rPr>
        <w:t xml:space="preserve"> Vs. Alemania</w:t>
      </w:r>
      <w:r w:rsidRPr="009E6ED2">
        <w:rPr>
          <w:lang w:val="es-MX"/>
        </w:rPr>
        <w:t>, No. 28274/08. Sentencia de 21 de julio de 2011.</w:t>
      </w:r>
    </w:p>
  </w:footnote>
  <w:footnote w:id="233">
    <w:p w14:paraId="19767A1C" w14:textId="32D8E6B4"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4868B2">
        <w:rPr>
          <w:lang w:val="es-MX"/>
        </w:rPr>
        <w:t>TEDH</w:t>
      </w:r>
      <w:r>
        <w:rPr>
          <w:lang w:val="es-MX"/>
        </w:rPr>
        <w:t>.</w:t>
      </w:r>
      <w:r w:rsidRPr="009E6ED2">
        <w:rPr>
          <w:lang w:val="es-MX"/>
        </w:rPr>
        <w:t xml:space="preserve"> </w:t>
      </w:r>
      <w:r w:rsidRPr="000C066A">
        <w:rPr>
          <w:i/>
          <w:lang w:val="es-MX"/>
        </w:rPr>
        <w:t>Caso Palomo Sánchez y otros Vs. España [GS], supra</w:t>
      </w:r>
      <w:r w:rsidRPr="009E6ED2">
        <w:rPr>
          <w:lang w:val="es-MX"/>
        </w:rPr>
        <w:t>, párr. 56.</w:t>
      </w:r>
    </w:p>
  </w:footnote>
  <w:footnote w:id="234">
    <w:p w14:paraId="713741AF" w14:textId="7FB7E8BD" w:rsidR="00D86616" w:rsidRPr="00801513" w:rsidRDefault="00D86616" w:rsidP="006A2D03">
      <w:pPr>
        <w:pStyle w:val="FootnoteText"/>
        <w:spacing w:after="0"/>
        <w:rPr>
          <w:lang w:val="es-MX"/>
        </w:rPr>
      </w:pPr>
      <w:r w:rsidRPr="00363DED">
        <w:rPr>
          <w:rStyle w:val="FootnoteReference"/>
          <w:sz w:val="16"/>
        </w:rPr>
        <w:footnoteRef/>
      </w:r>
      <w:r w:rsidRPr="004C3F47">
        <w:rPr>
          <w:lang w:val="es-MX"/>
        </w:rPr>
        <w:t xml:space="preserve"> </w:t>
      </w:r>
      <w:r w:rsidRPr="004C3F47">
        <w:rPr>
          <w:lang w:val="es-MX"/>
        </w:rPr>
        <w:tab/>
      </w:r>
      <w:r w:rsidRPr="009E6ED2">
        <w:rPr>
          <w:i/>
          <w:lang w:val="es-MX"/>
        </w:rPr>
        <w:t xml:space="preserve">Cfr. </w:t>
      </w:r>
      <w:r w:rsidRPr="00333304">
        <w:rPr>
          <w:rStyle w:val="Strong"/>
          <w:b w:val="0"/>
          <w:i/>
          <w:color w:val="000000"/>
          <w:shd w:val="clear" w:color="auto" w:fill="FFFFFF"/>
          <w:lang w:val="es-CR"/>
        </w:rPr>
        <w:t xml:space="preserve">Caso </w:t>
      </w:r>
      <w:proofErr w:type="spellStart"/>
      <w:r w:rsidRPr="00333304">
        <w:rPr>
          <w:rStyle w:val="Strong"/>
          <w:b w:val="0"/>
          <w:i/>
          <w:color w:val="000000"/>
          <w:shd w:val="clear" w:color="auto" w:fill="FFFFFF"/>
          <w:lang w:val="es-CR"/>
        </w:rPr>
        <w:t>Huilca</w:t>
      </w:r>
      <w:proofErr w:type="spellEnd"/>
      <w:r w:rsidRPr="00333304">
        <w:rPr>
          <w:rStyle w:val="Strong"/>
          <w:b w:val="0"/>
          <w:i/>
          <w:color w:val="000000"/>
          <w:shd w:val="clear" w:color="auto" w:fill="FFFFFF"/>
          <w:lang w:val="es-CR"/>
        </w:rPr>
        <w:t xml:space="preserve"> </w:t>
      </w:r>
      <w:proofErr w:type="spellStart"/>
      <w:r w:rsidRPr="00333304">
        <w:rPr>
          <w:rStyle w:val="Strong"/>
          <w:b w:val="0"/>
          <w:i/>
          <w:color w:val="000000"/>
          <w:shd w:val="clear" w:color="auto" w:fill="FFFFFF"/>
          <w:lang w:val="es-CR"/>
        </w:rPr>
        <w:t>Tecse</w:t>
      </w:r>
      <w:proofErr w:type="spellEnd"/>
      <w:r w:rsidRPr="00333304">
        <w:rPr>
          <w:rStyle w:val="Strong"/>
          <w:b w:val="0"/>
          <w:i/>
          <w:color w:val="000000"/>
          <w:shd w:val="clear" w:color="auto" w:fill="FFFFFF"/>
          <w:lang w:val="es-CR"/>
        </w:rPr>
        <w:t xml:space="preserve"> Vs. Perú</w:t>
      </w:r>
      <w:r>
        <w:rPr>
          <w:rStyle w:val="Strong"/>
          <w:b w:val="0"/>
          <w:i/>
          <w:color w:val="000000"/>
          <w:shd w:val="clear" w:color="auto" w:fill="FFFFFF"/>
          <w:lang w:val="es-CR"/>
        </w:rPr>
        <w:t xml:space="preserve">, </w:t>
      </w:r>
      <w:r w:rsidRPr="002F31BD">
        <w:rPr>
          <w:rStyle w:val="Strong"/>
          <w:b w:val="0"/>
          <w:i/>
          <w:color w:val="000000"/>
          <w:shd w:val="clear" w:color="auto" w:fill="FFFFFF"/>
          <w:lang w:val="es-CR"/>
        </w:rPr>
        <w:t>supra</w:t>
      </w:r>
      <w:r>
        <w:rPr>
          <w:rStyle w:val="Strong"/>
          <w:b w:val="0"/>
          <w:i/>
          <w:color w:val="000000"/>
          <w:shd w:val="clear" w:color="auto" w:fill="FFFFFF"/>
          <w:lang w:val="es-CR"/>
        </w:rPr>
        <w:t xml:space="preserve">, </w:t>
      </w:r>
      <w:proofErr w:type="spellStart"/>
      <w:r w:rsidRPr="004C3F47">
        <w:rPr>
          <w:rStyle w:val="Strong"/>
          <w:b w:val="0"/>
          <w:color w:val="000000"/>
          <w:shd w:val="clear" w:color="auto" w:fill="FFFFFF"/>
          <w:lang w:val="es-CR"/>
        </w:rPr>
        <w:t>párr</w:t>
      </w:r>
      <w:r>
        <w:rPr>
          <w:rStyle w:val="Strong"/>
          <w:b w:val="0"/>
          <w:color w:val="000000"/>
          <w:shd w:val="clear" w:color="auto" w:fill="FFFFFF"/>
          <w:lang w:val="es-CR"/>
        </w:rPr>
        <w:t>s</w:t>
      </w:r>
      <w:proofErr w:type="spellEnd"/>
      <w:r w:rsidRPr="004C3F47">
        <w:rPr>
          <w:rStyle w:val="Strong"/>
          <w:b w:val="0"/>
          <w:color w:val="000000"/>
          <w:shd w:val="clear" w:color="auto" w:fill="FFFFFF"/>
          <w:lang w:val="es-CR"/>
        </w:rPr>
        <w:t>. 70</w:t>
      </w:r>
      <w:r>
        <w:rPr>
          <w:rStyle w:val="Strong"/>
          <w:b w:val="0"/>
          <w:color w:val="000000"/>
          <w:shd w:val="clear" w:color="auto" w:fill="FFFFFF"/>
          <w:lang w:val="es-CR"/>
        </w:rPr>
        <w:t xml:space="preserve"> a </w:t>
      </w:r>
      <w:r w:rsidRPr="004C3F47">
        <w:rPr>
          <w:rStyle w:val="Strong"/>
          <w:b w:val="0"/>
          <w:color w:val="000000"/>
          <w:shd w:val="clear" w:color="auto" w:fill="FFFFFF"/>
          <w:lang w:val="es-CR"/>
        </w:rPr>
        <w:t xml:space="preserve">72, y </w:t>
      </w:r>
      <w:r w:rsidRPr="00333304">
        <w:rPr>
          <w:rStyle w:val="Strong"/>
          <w:b w:val="0"/>
          <w:i/>
          <w:color w:val="000000"/>
          <w:shd w:val="clear" w:color="auto" w:fill="FFFFFF"/>
          <w:lang w:val="es-CR"/>
        </w:rPr>
        <w:t xml:space="preserve">Caso Cantoral </w:t>
      </w:r>
      <w:proofErr w:type="spellStart"/>
      <w:r w:rsidRPr="00333304">
        <w:rPr>
          <w:rStyle w:val="Strong"/>
          <w:b w:val="0"/>
          <w:i/>
          <w:color w:val="000000"/>
          <w:shd w:val="clear" w:color="auto" w:fill="FFFFFF"/>
          <w:lang w:val="es-CR"/>
        </w:rPr>
        <w:t>Huamaní</w:t>
      </w:r>
      <w:proofErr w:type="spellEnd"/>
      <w:r w:rsidRPr="00333304">
        <w:rPr>
          <w:rStyle w:val="Strong"/>
          <w:b w:val="0"/>
          <w:i/>
          <w:color w:val="000000"/>
          <w:shd w:val="clear" w:color="auto" w:fill="FFFFFF"/>
          <w:lang w:val="es-CR"/>
        </w:rPr>
        <w:t xml:space="preserve"> y García Santa Cruz Vs. Perú, </w:t>
      </w:r>
      <w:r w:rsidRPr="002F31BD">
        <w:rPr>
          <w:rStyle w:val="Strong"/>
          <w:b w:val="0"/>
          <w:i/>
          <w:color w:val="000000"/>
          <w:shd w:val="clear" w:color="auto" w:fill="FFFFFF"/>
          <w:lang w:val="es-CR"/>
        </w:rPr>
        <w:t>supra</w:t>
      </w:r>
      <w:r w:rsidRPr="00333304">
        <w:rPr>
          <w:rStyle w:val="Strong"/>
          <w:b w:val="0"/>
          <w:i/>
          <w:color w:val="000000"/>
          <w:shd w:val="clear" w:color="auto" w:fill="FFFFFF"/>
          <w:lang w:val="es-CR"/>
        </w:rPr>
        <w:t>,</w:t>
      </w:r>
      <w:r>
        <w:rPr>
          <w:rStyle w:val="Strong"/>
          <w:b w:val="0"/>
          <w:color w:val="000000"/>
          <w:shd w:val="clear" w:color="auto" w:fill="FFFFFF"/>
          <w:lang w:val="es-CR"/>
        </w:rPr>
        <w:t xml:space="preserve"> </w:t>
      </w:r>
      <w:r w:rsidRPr="004C3F47">
        <w:rPr>
          <w:rStyle w:val="Strong"/>
          <w:b w:val="0"/>
          <w:color w:val="000000"/>
          <w:shd w:val="clear" w:color="auto" w:fill="FFFFFF"/>
          <w:lang w:val="es-CR"/>
        </w:rPr>
        <w:t>párr. 148.</w:t>
      </w:r>
    </w:p>
  </w:footnote>
  <w:footnote w:id="235">
    <w:p w14:paraId="6FDFDBA5" w14:textId="3EED7A58" w:rsidR="00D86616" w:rsidRPr="003B45F4" w:rsidRDefault="00D86616" w:rsidP="006A2D03">
      <w:pPr>
        <w:pStyle w:val="FootnoteText"/>
        <w:spacing w:after="0"/>
        <w:rPr>
          <w:lang w:val="es-MX"/>
        </w:rPr>
      </w:pPr>
      <w:r w:rsidRPr="004C3F47">
        <w:rPr>
          <w:rStyle w:val="FootnoteReference"/>
          <w:sz w:val="16"/>
        </w:rPr>
        <w:footnoteRef/>
      </w:r>
      <w:r w:rsidRPr="004C3F47">
        <w:rPr>
          <w:lang w:val="es-MX"/>
        </w:rPr>
        <w:t xml:space="preserve"> </w:t>
      </w:r>
      <w:r w:rsidRPr="004C3F47">
        <w:rPr>
          <w:lang w:val="es-MX"/>
        </w:rPr>
        <w:tab/>
      </w:r>
      <w:r w:rsidRPr="009E6ED2">
        <w:rPr>
          <w:i/>
          <w:lang w:val="es-MX"/>
        </w:rPr>
        <w:t xml:space="preserve">Mutatis </w:t>
      </w:r>
      <w:proofErr w:type="spellStart"/>
      <w:r w:rsidRPr="009E6ED2">
        <w:rPr>
          <w:i/>
          <w:lang w:val="es-MX"/>
        </w:rPr>
        <w:t>mutandi</w:t>
      </w:r>
      <w:proofErr w:type="spellEnd"/>
      <w:r w:rsidRPr="004C3F47">
        <w:rPr>
          <w:lang w:val="es-MX"/>
        </w:rPr>
        <w:t xml:space="preserve">, </w:t>
      </w:r>
      <w:r w:rsidRPr="00333304">
        <w:rPr>
          <w:rStyle w:val="Strong"/>
          <w:b w:val="0"/>
          <w:i/>
          <w:color w:val="000000"/>
          <w:shd w:val="clear" w:color="auto" w:fill="FFFFFF"/>
          <w:lang w:val="es-CR"/>
        </w:rPr>
        <w:t xml:space="preserve">Caso </w:t>
      </w:r>
      <w:proofErr w:type="spellStart"/>
      <w:r w:rsidRPr="00333304">
        <w:rPr>
          <w:rStyle w:val="Strong"/>
          <w:b w:val="0"/>
          <w:i/>
          <w:color w:val="000000"/>
          <w:shd w:val="clear" w:color="auto" w:fill="FFFFFF"/>
          <w:lang w:val="es-CR"/>
        </w:rPr>
        <w:t>Chitay</w:t>
      </w:r>
      <w:proofErr w:type="spellEnd"/>
      <w:r w:rsidRPr="00333304">
        <w:rPr>
          <w:rStyle w:val="Strong"/>
          <w:b w:val="0"/>
          <w:i/>
          <w:color w:val="000000"/>
          <w:shd w:val="clear" w:color="auto" w:fill="FFFFFF"/>
          <w:lang w:val="es-CR"/>
        </w:rPr>
        <w:t xml:space="preserve"> </w:t>
      </w:r>
      <w:proofErr w:type="spellStart"/>
      <w:r w:rsidRPr="00333304">
        <w:rPr>
          <w:rStyle w:val="Strong"/>
          <w:b w:val="0"/>
          <w:i/>
          <w:color w:val="000000"/>
          <w:shd w:val="clear" w:color="auto" w:fill="FFFFFF"/>
          <w:lang w:val="es-CR"/>
        </w:rPr>
        <w:t>Nech</w:t>
      </w:r>
      <w:proofErr w:type="spellEnd"/>
      <w:r w:rsidRPr="00333304">
        <w:rPr>
          <w:rStyle w:val="Strong"/>
          <w:b w:val="0"/>
          <w:i/>
          <w:color w:val="000000"/>
          <w:shd w:val="clear" w:color="auto" w:fill="FFFFFF"/>
          <w:lang w:val="es-CR"/>
        </w:rPr>
        <w:t xml:space="preserve"> y otros Vs. Guatemala. Excepciones Preliminares, Fondo, Reparaciones y Costas.</w:t>
      </w:r>
      <w:r w:rsidRPr="004C3F47">
        <w:rPr>
          <w:rStyle w:val="Strong"/>
          <w:color w:val="000000"/>
          <w:shd w:val="clear" w:color="auto" w:fill="FFFFFF"/>
          <w:lang w:val="es-CR"/>
        </w:rPr>
        <w:t xml:space="preserve"> </w:t>
      </w:r>
      <w:r w:rsidRPr="004C3F47">
        <w:rPr>
          <w:rStyle w:val="Strong"/>
          <w:b w:val="0"/>
          <w:color w:val="000000"/>
          <w:shd w:val="clear" w:color="auto" w:fill="FFFFFF"/>
          <w:lang w:val="es-CR"/>
        </w:rPr>
        <w:t>Sentencia de 25 de mayo de 2010. Serie C No. 212</w:t>
      </w:r>
      <w:r w:rsidRPr="00795E3D">
        <w:rPr>
          <w:rStyle w:val="Strong"/>
          <w:b w:val="0"/>
          <w:color w:val="000000"/>
          <w:shd w:val="clear" w:color="auto" w:fill="FFFFFF"/>
          <w:lang w:val="es-CR"/>
        </w:rPr>
        <w:t>,</w:t>
      </w:r>
      <w:r w:rsidRPr="004C3F47">
        <w:rPr>
          <w:rStyle w:val="Strong"/>
          <w:color w:val="000000"/>
          <w:shd w:val="clear" w:color="auto" w:fill="FFFFFF"/>
          <w:lang w:val="es-CR"/>
        </w:rPr>
        <w:t xml:space="preserve"> </w:t>
      </w:r>
      <w:r w:rsidRPr="004C3F47">
        <w:rPr>
          <w:rStyle w:val="Strong"/>
          <w:b w:val="0"/>
          <w:color w:val="000000"/>
          <w:shd w:val="clear" w:color="auto" w:fill="FFFFFF"/>
          <w:lang w:val="es-CR"/>
        </w:rPr>
        <w:t>párr. 115.</w:t>
      </w:r>
    </w:p>
  </w:footnote>
  <w:footnote w:id="236">
    <w:p w14:paraId="6DC7EB71" w14:textId="2ED7DDB3"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w:t>
      </w:r>
      <w:r w:rsidRPr="009E6ED2">
        <w:rPr>
          <w:i/>
          <w:lang w:val="es-MX"/>
        </w:rPr>
        <w:t xml:space="preserve">Caso </w:t>
      </w:r>
      <w:proofErr w:type="spellStart"/>
      <w:r w:rsidRPr="009E6ED2">
        <w:rPr>
          <w:i/>
          <w:lang w:val="es-MX"/>
        </w:rPr>
        <w:t>Genie</w:t>
      </w:r>
      <w:proofErr w:type="spellEnd"/>
      <w:r w:rsidRPr="009E6ED2">
        <w:rPr>
          <w:i/>
          <w:lang w:val="es-MX"/>
        </w:rPr>
        <w:t xml:space="preserve"> Lacayo Vs. Nicaragua. Excepciones Preliminares.</w:t>
      </w:r>
      <w:r w:rsidRPr="009E6ED2">
        <w:rPr>
          <w:lang w:val="es-MX"/>
        </w:rPr>
        <w:t xml:space="preserve"> Sentencia de 27 de enero de 1995. Serie C No. 21, párr. 50, y </w:t>
      </w:r>
      <w:r w:rsidRPr="009E6ED2">
        <w:rPr>
          <w:i/>
          <w:lang w:val="es-MX"/>
        </w:rPr>
        <w:t>Caso J. Vs. Perú. supra</w:t>
      </w:r>
      <w:r w:rsidRPr="009E6ED2">
        <w:rPr>
          <w:lang w:val="es-MX"/>
        </w:rPr>
        <w:t>, párr. 213.</w:t>
      </w:r>
    </w:p>
  </w:footnote>
  <w:footnote w:id="237">
    <w:p w14:paraId="3916C15E" w14:textId="602A8C58" w:rsidR="00D86616" w:rsidRPr="009E6ED2" w:rsidRDefault="00D86616" w:rsidP="006A2D03">
      <w:pPr>
        <w:pStyle w:val="FootnoteText"/>
        <w:spacing w:after="0"/>
        <w:rPr>
          <w:lang w:val="es-MX"/>
        </w:rPr>
      </w:pPr>
      <w:r w:rsidRPr="00E66DD7">
        <w:rPr>
          <w:rStyle w:val="FootnoteReference"/>
          <w:sz w:val="16"/>
        </w:rPr>
        <w:footnoteRef/>
      </w:r>
      <w:r w:rsidRPr="009E6ED2">
        <w:rPr>
          <w:lang w:val="es-MX"/>
        </w:rPr>
        <w:t xml:space="preserve"> </w:t>
      </w:r>
      <w:r w:rsidRPr="009E6ED2">
        <w:rPr>
          <w:lang w:val="es-MX"/>
        </w:rPr>
        <w:tab/>
        <w:t>Cabe señalar que ante la Comisión alegaron las violaciones de los artículos 8 y 25 de la Convención, no obstante en la admisibilidad la CIDH declaró inadmisible el artículo 25, al considerar que no contó elementos de juicio que le permita inferir una presunta caracterización de violación de los artículos 24 y 25 de la Convención.</w:t>
      </w:r>
    </w:p>
  </w:footnote>
  <w:footnote w:id="238">
    <w:p w14:paraId="39050BA4" w14:textId="77777777" w:rsidR="00D86616" w:rsidRPr="009E6ED2" w:rsidRDefault="00D86616" w:rsidP="006A2D03">
      <w:pPr>
        <w:pStyle w:val="FootnoteText"/>
        <w:spacing w:after="0"/>
        <w:rPr>
          <w:lang w:val="es-MX"/>
        </w:rPr>
      </w:pPr>
      <w:r w:rsidRPr="00E66DD7">
        <w:rPr>
          <w:rStyle w:val="FootnoteReference"/>
          <w:sz w:val="16"/>
        </w:rPr>
        <w:footnoteRef/>
      </w:r>
      <w:r w:rsidRPr="009E6ED2">
        <w:rPr>
          <w:lang w:val="es-MX"/>
        </w:rPr>
        <w:t xml:space="preserve"> </w:t>
      </w:r>
      <w:r w:rsidRPr="009E6ED2">
        <w:rPr>
          <w:lang w:val="es-MX"/>
        </w:rPr>
        <w:tab/>
        <w:t>En su demanda ante el Tribunal del Trabajo se evidencia la controversia laboral. En su petitorio se señala que siendo notorio el carácter improcedente e injustificado del despido que […] solicitó al juzgado ordenar la suspensión del despido y su reincorporación a su puesto habitual de trabajo.</w:t>
      </w:r>
    </w:p>
  </w:footnote>
  <w:footnote w:id="239">
    <w:p w14:paraId="6832898B" w14:textId="1C29AB9A" w:rsidR="00D86616" w:rsidRPr="009E6ED2" w:rsidRDefault="00D86616" w:rsidP="006A2D03">
      <w:pPr>
        <w:pStyle w:val="FootnoteText"/>
        <w:spacing w:after="0"/>
        <w:rPr>
          <w:lang w:val="es-MX"/>
        </w:rPr>
      </w:pPr>
      <w:r w:rsidRPr="00E66DD7">
        <w:rPr>
          <w:rStyle w:val="FootnoteReference"/>
          <w:sz w:val="16"/>
        </w:rPr>
        <w:footnoteRef/>
      </w:r>
      <w:r w:rsidRPr="009E6ED2">
        <w:rPr>
          <w:lang w:val="es-MX"/>
        </w:rPr>
        <w:t xml:space="preserve"> </w:t>
      </w:r>
      <w:r w:rsidRPr="009E6ED2">
        <w:rPr>
          <w:lang w:val="es-MX"/>
        </w:rPr>
        <w:tab/>
        <w:t xml:space="preserve">En particular, la Corte resalta que desde su primer escrito de 13 de octubre dirigido a la Comisión Interamericana, el peticionario precisó, entre otros, que se había violado “[su] derecho a la estabilidad en el trabajo, señalado en el </w:t>
      </w:r>
      <w:proofErr w:type="gramStart"/>
      <w:r w:rsidRPr="009E6ED2">
        <w:rPr>
          <w:lang w:val="es-MX"/>
        </w:rPr>
        <w:t>art[</w:t>
      </w:r>
      <w:proofErr w:type="spellStart"/>
      <w:proofErr w:type="gramEnd"/>
      <w:r w:rsidRPr="009E6ED2">
        <w:rPr>
          <w:lang w:val="es-MX"/>
        </w:rPr>
        <w:t>ículo</w:t>
      </w:r>
      <w:proofErr w:type="spellEnd"/>
      <w:r w:rsidRPr="009E6ED2">
        <w:rPr>
          <w:lang w:val="es-MX"/>
        </w:rPr>
        <w:t>] 48 de la Constitución y art[</w:t>
      </w:r>
      <w:proofErr w:type="spellStart"/>
      <w:r w:rsidRPr="009E6ED2">
        <w:rPr>
          <w:lang w:val="es-MX"/>
        </w:rPr>
        <w:t>ículos</w:t>
      </w:r>
      <w:proofErr w:type="spellEnd"/>
      <w:r w:rsidRPr="009E6ED2">
        <w:rPr>
          <w:lang w:val="es-MX"/>
        </w:rPr>
        <w:t>] 27 y 26 del nuevo proyecto”. Petición inicial ante la CIDH (expediente de trámite ante la CIDH, f. 439).</w:t>
      </w:r>
    </w:p>
  </w:footnote>
  <w:footnote w:id="240">
    <w:p w14:paraId="3632167D" w14:textId="77777777" w:rsidR="00D86616" w:rsidRPr="00E66DD7" w:rsidRDefault="00D86616" w:rsidP="006A2D03">
      <w:pPr>
        <w:autoSpaceDE w:val="0"/>
        <w:autoSpaceDN w:val="0"/>
        <w:adjustRightInd w:val="0"/>
        <w:jc w:val="both"/>
        <w:rPr>
          <w:rFonts w:ascii="Verdana" w:hAnsi="Verdana"/>
          <w:i/>
          <w:iCs/>
          <w:sz w:val="16"/>
          <w:szCs w:val="16"/>
          <w:lang w:val="es-EC"/>
        </w:rPr>
      </w:pPr>
      <w:r w:rsidRPr="00E66DD7">
        <w:rPr>
          <w:rStyle w:val="FootnoteReference"/>
          <w:sz w:val="16"/>
          <w:szCs w:val="16"/>
        </w:rPr>
        <w:footnoteRef/>
      </w:r>
      <w:r w:rsidRPr="00E66DD7">
        <w:rPr>
          <w:sz w:val="16"/>
          <w:szCs w:val="16"/>
          <w:lang w:val="es-EC"/>
        </w:rPr>
        <w:t xml:space="preserve"> </w:t>
      </w:r>
      <w:r w:rsidRPr="00E66DD7">
        <w:rPr>
          <w:sz w:val="16"/>
          <w:szCs w:val="16"/>
          <w:lang w:val="es-EC"/>
        </w:rPr>
        <w:tab/>
      </w:r>
      <w:r w:rsidRPr="00E66DD7">
        <w:rPr>
          <w:rFonts w:ascii="Verdana" w:hAnsi="Verdana"/>
          <w:i/>
          <w:iCs/>
          <w:sz w:val="16"/>
          <w:szCs w:val="16"/>
          <w:lang w:val="es-EC"/>
        </w:rPr>
        <w:t>Caso Castillo Páez vs. Perú</w:t>
      </w:r>
      <w:r w:rsidRPr="00333304">
        <w:rPr>
          <w:rFonts w:ascii="Verdana" w:hAnsi="Verdana"/>
          <w:i/>
          <w:sz w:val="16"/>
          <w:szCs w:val="16"/>
          <w:lang w:val="es-EC"/>
        </w:rPr>
        <w:t>. Fondo.</w:t>
      </w:r>
      <w:r w:rsidRPr="00E66DD7">
        <w:rPr>
          <w:rFonts w:ascii="Verdana" w:hAnsi="Verdana"/>
          <w:sz w:val="16"/>
          <w:szCs w:val="16"/>
          <w:lang w:val="es-EC"/>
        </w:rPr>
        <w:t xml:space="preserve"> Sentencia de 3 de noviembre de 1997. Serie C No. 34, párr. 82, y </w:t>
      </w:r>
      <w:r w:rsidRPr="00E66DD7">
        <w:rPr>
          <w:rFonts w:ascii="Verdana" w:hAnsi="Verdana"/>
          <w:i/>
          <w:iCs/>
          <w:sz w:val="16"/>
          <w:szCs w:val="16"/>
          <w:lang w:val="es-EC"/>
        </w:rPr>
        <w:t xml:space="preserve">Caso Mohamed vs. Argentina. </w:t>
      </w:r>
      <w:r w:rsidRPr="00333304">
        <w:rPr>
          <w:rFonts w:ascii="Verdana" w:hAnsi="Verdana"/>
          <w:i/>
          <w:sz w:val="16"/>
          <w:szCs w:val="16"/>
          <w:lang w:val="es-EC"/>
        </w:rPr>
        <w:t>Excepción preliminar, Fondo, Reparaciones y Costas.</w:t>
      </w:r>
      <w:r w:rsidRPr="00E66DD7">
        <w:rPr>
          <w:rFonts w:ascii="Verdana" w:hAnsi="Verdana"/>
          <w:sz w:val="16"/>
          <w:szCs w:val="16"/>
          <w:lang w:val="es-EC"/>
        </w:rPr>
        <w:t xml:space="preserve"> Sentencia de 23 noviembre de 2012. Serie C No. 255, párr. 82.</w:t>
      </w:r>
    </w:p>
  </w:footnote>
  <w:footnote w:id="241">
    <w:p w14:paraId="3A9580E4" w14:textId="77777777" w:rsidR="00D86616" w:rsidRPr="00E66DD7" w:rsidRDefault="00D86616" w:rsidP="006A2D03">
      <w:pPr>
        <w:autoSpaceDE w:val="0"/>
        <w:autoSpaceDN w:val="0"/>
        <w:adjustRightInd w:val="0"/>
        <w:jc w:val="both"/>
        <w:rPr>
          <w:rFonts w:ascii="Verdana" w:hAnsi="Verdana"/>
          <w:sz w:val="16"/>
          <w:szCs w:val="16"/>
          <w:lang w:val="es-EC"/>
        </w:rPr>
      </w:pPr>
      <w:r w:rsidRPr="00E66DD7">
        <w:rPr>
          <w:rStyle w:val="FootnoteReference"/>
          <w:sz w:val="16"/>
          <w:szCs w:val="16"/>
        </w:rPr>
        <w:footnoteRef/>
      </w:r>
      <w:r w:rsidRPr="00E66DD7">
        <w:rPr>
          <w:sz w:val="16"/>
          <w:szCs w:val="16"/>
        </w:rPr>
        <w:t xml:space="preserve"> </w:t>
      </w:r>
      <w:r w:rsidRPr="00E66DD7">
        <w:rPr>
          <w:sz w:val="16"/>
          <w:szCs w:val="16"/>
        </w:rPr>
        <w:tab/>
      </w:r>
      <w:r w:rsidRPr="00E66DD7">
        <w:rPr>
          <w:rFonts w:ascii="Verdana" w:hAnsi="Verdana"/>
          <w:i/>
          <w:iCs/>
          <w:sz w:val="16"/>
          <w:szCs w:val="16"/>
          <w:lang w:val="es-EC"/>
        </w:rPr>
        <w:t xml:space="preserve">Caso </w:t>
      </w:r>
      <w:proofErr w:type="spellStart"/>
      <w:r w:rsidRPr="00E66DD7">
        <w:rPr>
          <w:rFonts w:ascii="Verdana" w:hAnsi="Verdana"/>
          <w:i/>
          <w:iCs/>
          <w:sz w:val="16"/>
          <w:szCs w:val="16"/>
          <w:lang w:val="es-EC"/>
        </w:rPr>
        <w:t>Goiburú</w:t>
      </w:r>
      <w:proofErr w:type="spellEnd"/>
      <w:r w:rsidRPr="00E66DD7">
        <w:rPr>
          <w:rFonts w:ascii="Verdana" w:hAnsi="Verdana"/>
          <w:i/>
          <w:iCs/>
          <w:sz w:val="16"/>
          <w:szCs w:val="16"/>
          <w:lang w:val="es-EC"/>
        </w:rPr>
        <w:t xml:space="preserve"> y otros vs. Paraguay</w:t>
      </w:r>
      <w:r w:rsidRPr="00E66DD7">
        <w:rPr>
          <w:rFonts w:ascii="Verdana" w:hAnsi="Verdana"/>
          <w:sz w:val="16"/>
          <w:szCs w:val="16"/>
          <w:lang w:val="es-EC"/>
        </w:rPr>
        <w:t xml:space="preserve">. </w:t>
      </w:r>
      <w:r w:rsidRPr="00333304">
        <w:rPr>
          <w:rFonts w:ascii="Verdana" w:hAnsi="Verdana"/>
          <w:i/>
          <w:sz w:val="16"/>
          <w:szCs w:val="16"/>
          <w:lang w:val="es-EC"/>
        </w:rPr>
        <w:t>Fondo, Reparaciones y Costas.</w:t>
      </w:r>
      <w:r w:rsidRPr="00E66DD7">
        <w:rPr>
          <w:rFonts w:ascii="Verdana" w:hAnsi="Verdana"/>
          <w:sz w:val="16"/>
          <w:szCs w:val="16"/>
          <w:lang w:val="es-EC"/>
        </w:rPr>
        <w:t xml:space="preserve"> Sentencia de 22 de septiembre de 2006. Serie C No. 153, párr. 131.</w:t>
      </w:r>
    </w:p>
  </w:footnote>
  <w:footnote w:id="242">
    <w:p w14:paraId="147E8F9C" w14:textId="461753E4" w:rsidR="00D86616" w:rsidRPr="00E66DD7" w:rsidRDefault="00D86616" w:rsidP="006A2D03">
      <w:pPr>
        <w:autoSpaceDE w:val="0"/>
        <w:autoSpaceDN w:val="0"/>
        <w:adjustRightInd w:val="0"/>
        <w:jc w:val="both"/>
        <w:rPr>
          <w:rFonts w:ascii="Verdana" w:hAnsi="Verdana"/>
          <w:sz w:val="16"/>
          <w:szCs w:val="16"/>
          <w:lang w:val="es-EC"/>
        </w:rPr>
      </w:pPr>
      <w:r w:rsidRPr="00E66DD7">
        <w:rPr>
          <w:rStyle w:val="FootnoteReference"/>
          <w:sz w:val="16"/>
          <w:szCs w:val="16"/>
        </w:rPr>
        <w:footnoteRef/>
      </w:r>
      <w:r w:rsidRPr="00E66DD7">
        <w:rPr>
          <w:rFonts w:ascii="Verdana" w:hAnsi="Verdana"/>
          <w:sz w:val="16"/>
          <w:szCs w:val="16"/>
        </w:rPr>
        <w:t xml:space="preserve"> </w:t>
      </w:r>
      <w:r w:rsidRPr="00E66DD7">
        <w:rPr>
          <w:rFonts w:ascii="Verdana" w:hAnsi="Verdana"/>
          <w:sz w:val="16"/>
          <w:szCs w:val="16"/>
          <w:lang w:val="es-EC"/>
        </w:rPr>
        <w:tab/>
      </w:r>
      <w:r w:rsidRPr="00F77B70">
        <w:rPr>
          <w:rFonts w:ascii="Verdana" w:hAnsi="Verdana"/>
          <w:i/>
          <w:sz w:val="16"/>
          <w:szCs w:val="16"/>
          <w:lang w:val="es-EC"/>
        </w:rPr>
        <w:t xml:space="preserve">Mutatis </w:t>
      </w:r>
      <w:proofErr w:type="spellStart"/>
      <w:r w:rsidRPr="00F77B70">
        <w:rPr>
          <w:rFonts w:ascii="Verdana" w:hAnsi="Verdana"/>
          <w:i/>
          <w:sz w:val="16"/>
          <w:szCs w:val="16"/>
          <w:lang w:val="es-EC"/>
        </w:rPr>
        <w:t>mutandi</w:t>
      </w:r>
      <w:proofErr w:type="spellEnd"/>
      <w:r w:rsidRPr="00E66DD7">
        <w:rPr>
          <w:rFonts w:ascii="Verdana" w:hAnsi="Verdana"/>
          <w:i/>
          <w:sz w:val="16"/>
          <w:szCs w:val="16"/>
          <w:lang w:val="es-EC"/>
        </w:rPr>
        <w:t>,</w:t>
      </w:r>
      <w:r w:rsidRPr="00E66DD7">
        <w:rPr>
          <w:rFonts w:ascii="Verdana" w:hAnsi="Verdana"/>
          <w:sz w:val="16"/>
          <w:szCs w:val="16"/>
          <w:lang w:val="es-EC"/>
        </w:rPr>
        <w:t xml:space="preserve"> </w:t>
      </w:r>
      <w:r w:rsidRPr="00E66DD7">
        <w:rPr>
          <w:rFonts w:ascii="Verdana" w:hAnsi="Verdana"/>
          <w:i/>
          <w:iCs/>
          <w:sz w:val="16"/>
          <w:szCs w:val="16"/>
          <w:lang w:val="es-EC"/>
        </w:rPr>
        <w:t xml:space="preserve">Caso Mejía </w:t>
      </w:r>
      <w:proofErr w:type="spellStart"/>
      <w:r w:rsidRPr="00E66DD7">
        <w:rPr>
          <w:rFonts w:ascii="Verdana" w:hAnsi="Verdana"/>
          <w:i/>
          <w:iCs/>
          <w:sz w:val="16"/>
          <w:szCs w:val="16"/>
          <w:lang w:val="es-EC"/>
        </w:rPr>
        <w:t>Idrovo</w:t>
      </w:r>
      <w:proofErr w:type="spellEnd"/>
      <w:r w:rsidRPr="00E66DD7">
        <w:rPr>
          <w:rFonts w:ascii="Verdana" w:hAnsi="Verdana"/>
          <w:i/>
          <w:iCs/>
          <w:sz w:val="16"/>
          <w:szCs w:val="16"/>
          <w:lang w:val="es-EC"/>
        </w:rPr>
        <w:t xml:space="preserve"> </w:t>
      </w:r>
      <w:r>
        <w:rPr>
          <w:rFonts w:ascii="Verdana" w:hAnsi="Verdana"/>
          <w:i/>
          <w:iCs/>
          <w:sz w:val="16"/>
          <w:szCs w:val="16"/>
          <w:lang w:val="es-EC"/>
        </w:rPr>
        <w:t>V</w:t>
      </w:r>
      <w:r w:rsidRPr="00E66DD7">
        <w:rPr>
          <w:rFonts w:ascii="Verdana" w:hAnsi="Verdana"/>
          <w:i/>
          <w:iCs/>
          <w:sz w:val="16"/>
          <w:szCs w:val="16"/>
          <w:lang w:val="es-EC"/>
        </w:rPr>
        <w:t>s. Ecuador</w:t>
      </w:r>
      <w:r w:rsidRPr="00E66DD7">
        <w:rPr>
          <w:rFonts w:ascii="Verdana" w:hAnsi="Verdana"/>
          <w:sz w:val="16"/>
          <w:szCs w:val="16"/>
          <w:lang w:val="es-EC"/>
        </w:rPr>
        <w:t xml:space="preserve">. </w:t>
      </w:r>
      <w:r w:rsidRPr="00E66DD7">
        <w:rPr>
          <w:rFonts w:ascii="Verdana" w:hAnsi="Verdana"/>
          <w:i/>
          <w:sz w:val="16"/>
          <w:szCs w:val="16"/>
          <w:lang w:val="es-EC"/>
        </w:rPr>
        <w:t>Excepciones preliminares, Fondo, Reparaciones y Costas</w:t>
      </w:r>
      <w:r w:rsidRPr="00E66DD7">
        <w:rPr>
          <w:rFonts w:ascii="Verdana" w:hAnsi="Verdana"/>
          <w:sz w:val="16"/>
          <w:szCs w:val="16"/>
          <w:lang w:val="es-EC"/>
        </w:rPr>
        <w:t>. Sentencia de 5 de julio de 2011. Serie</w:t>
      </w:r>
      <w:r w:rsidRPr="00E66DD7">
        <w:rPr>
          <w:rFonts w:ascii="Verdana" w:hAnsi="Verdana"/>
          <w:iCs/>
          <w:sz w:val="16"/>
          <w:szCs w:val="16"/>
          <w:lang w:val="es-EC"/>
        </w:rPr>
        <w:t xml:space="preserve"> C No.228</w:t>
      </w:r>
      <w:r w:rsidRPr="00E66DD7">
        <w:rPr>
          <w:rFonts w:ascii="Verdana" w:hAnsi="Verdana"/>
          <w:i/>
          <w:iCs/>
          <w:sz w:val="16"/>
          <w:szCs w:val="16"/>
          <w:lang w:val="es-EC"/>
        </w:rPr>
        <w:t xml:space="preserve">, </w:t>
      </w:r>
      <w:r w:rsidRPr="00E66DD7">
        <w:rPr>
          <w:rFonts w:ascii="Verdana" w:hAnsi="Verdana"/>
          <w:sz w:val="16"/>
          <w:szCs w:val="16"/>
          <w:lang w:val="es-EC"/>
        </w:rPr>
        <w:t xml:space="preserve">párr. 106, </w:t>
      </w:r>
      <w:r w:rsidRPr="0013567C">
        <w:rPr>
          <w:rFonts w:ascii="Verdana" w:hAnsi="Verdana"/>
          <w:sz w:val="16"/>
          <w:szCs w:val="16"/>
          <w:lang w:val="es-EC"/>
        </w:rPr>
        <w:t xml:space="preserve">y </w:t>
      </w:r>
      <w:r w:rsidRPr="00333304">
        <w:rPr>
          <w:rFonts w:ascii="Verdana" w:hAnsi="Verdana"/>
          <w:bCs/>
          <w:i/>
          <w:sz w:val="16"/>
          <w:szCs w:val="16"/>
        </w:rPr>
        <w:t xml:space="preserve">Caso </w:t>
      </w:r>
      <w:proofErr w:type="spellStart"/>
      <w:r w:rsidRPr="00333304">
        <w:rPr>
          <w:rFonts w:ascii="Verdana" w:hAnsi="Verdana"/>
          <w:bCs/>
          <w:i/>
          <w:sz w:val="16"/>
          <w:szCs w:val="16"/>
        </w:rPr>
        <w:t>Furlan</w:t>
      </w:r>
      <w:proofErr w:type="spellEnd"/>
      <w:r w:rsidRPr="00333304">
        <w:rPr>
          <w:rFonts w:ascii="Verdana" w:hAnsi="Verdana"/>
          <w:bCs/>
          <w:i/>
          <w:sz w:val="16"/>
          <w:szCs w:val="16"/>
        </w:rPr>
        <w:t xml:space="preserve"> y familiares Vs. Argentina. Excepciones Preliminares, Fondo, Reparaciones y Costas.</w:t>
      </w:r>
      <w:r w:rsidRPr="00333304">
        <w:rPr>
          <w:rFonts w:ascii="Verdana" w:hAnsi="Verdana"/>
          <w:bCs/>
          <w:sz w:val="16"/>
          <w:szCs w:val="16"/>
        </w:rPr>
        <w:t xml:space="preserve"> Sentencia de 31 de agosto de 2012. Serie C No. 246</w:t>
      </w:r>
      <w:r>
        <w:rPr>
          <w:rFonts w:ascii="Verdana" w:hAnsi="Verdana"/>
          <w:bCs/>
          <w:sz w:val="16"/>
          <w:szCs w:val="16"/>
        </w:rPr>
        <w:t>, párr. 211.</w:t>
      </w:r>
    </w:p>
  </w:footnote>
  <w:footnote w:id="243">
    <w:p w14:paraId="4F322191" w14:textId="67D95F69" w:rsidR="00D86616" w:rsidRPr="00E60C92" w:rsidRDefault="00D86616" w:rsidP="006A2D03">
      <w:pPr>
        <w:jc w:val="both"/>
        <w:rPr>
          <w:szCs w:val="16"/>
          <w:lang w:val="es-EC"/>
        </w:rPr>
      </w:pPr>
      <w:r w:rsidRPr="00E66DD7">
        <w:rPr>
          <w:rStyle w:val="FootnoteReference"/>
          <w:sz w:val="16"/>
          <w:szCs w:val="16"/>
        </w:rPr>
        <w:footnoteRef/>
      </w:r>
      <w:r w:rsidRPr="00E66DD7">
        <w:rPr>
          <w:sz w:val="16"/>
          <w:szCs w:val="16"/>
        </w:rPr>
        <w:t xml:space="preserve"> </w:t>
      </w:r>
      <w:r w:rsidRPr="00E66DD7">
        <w:rPr>
          <w:sz w:val="16"/>
          <w:szCs w:val="16"/>
        </w:rPr>
        <w:tab/>
      </w:r>
      <w:r w:rsidRPr="00F77B70">
        <w:rPr>
          <w:rFonts w:ascii="Verdana" w:hAnsi="Verdana"/>
          <w:i/>
          <w:sz w:val="16"/>
          <w:szCs w:val="16"/>
          <w:lang w:val="es-EC"/>
        </w:rPr>
        <w:t>Cfr.</w:t>
      </w:r>
      <w:r w:rsidRPr="0013567C">
        <w:rPr>
          <w:rFonts w:ascii="Verdana" w:hAnsi="Verdana"/>
          <w:i/>
          <w:sz w:val="16"/>
          <w:szCs w:val="16"/>
          <w:lang w:val="es-EC"/>
        </w:rPr>
        <w:t xml:space="preserve"> </w:t>
      </w:r>
      <w:r w:rsidRPr="00333304">
        <w:rPr>
          <w:rFonts w:ascii="Verdana" w:hAnsi="Verdana"/>
          <w:bCs/>
          <w:i/>
          <w:sz w:val="16"/>
          <w:szCs w:val="16"/>
        </w:rPr>
        <w:t>Caso V</w:t>
      </w:r>
      <w:r w:rsidRPr="00444E07">
        <w:rPr>
          <w:rFonts w:ascii="Verdana" w:hAnsi="Verdana"/>
          <w:bCs/>
          <w:i/>
          <w:sz w:val="16"/>
          <w:szCs w:val="16"/>
        </w:rPr>
        <w:t>elásquez Rodríguez Vs. Hondura</w:t>
      </w:r>
      <w:r>
        <w:rPr>
          <w:rFonts w:ascii="Verdana" w:hAnsi="Verdana"/>
          <w:bCs/>
          <w:i/>
          <w:sz w:val="16"/>
          <w:szCs w:val="16"/>
        </w:rPr>
        <w:t>s, supra nota 23,</w:t>
      </w:r>
      <w:r>
        <w:rPr>
          <w:rFonts w:ascii="Verdana" w:hAnsi="Verdana"/>
          <w:bCs/>
          <w:sz w:val="16"/>
          <w:szCs w:val="16"/>
        </w:rPr>
        <w:t xml:space="preserve"> </w:t>
      </w:r>
      <w:r w:rsidRPr="00333304">
        <w:rPr>
          <w:rFonts w:ascii="Verdana" w:hAnsi="Verdana"/>
          <w:bCs/>
          <w:sz w:val="16"/>
          <w:szCs w:val="16"/>
        </w:rPr>
        <w:t>párr. 219</w:t>
      </w:r>
      <w:r>
        <w:rPr>
          <w:rFonts w:ascii="Verdana" w:hAnsi="Verdana"/>
          <w:bCs/>
          <w:sz w:val="16"/>
          <w:szCs w:val="16"/>
        </w:rPr>
        <w:t>,</w:t>
      </w:r>
      <w:r w:rsidRPr="00333304">
        <w:rPr>
          <w:rFonts w:ascii="Verdana" w:hAnsi="Verdana"/>
          <w:bCs/>
          <w:sz w:val="16"/>
          <w:szCs w:val="16"/>
        </w:rPr>
        <w:t xml:space="preserve"> y </w:t>
      </w:r>
      <w:r w:rsidRPr="00E66DD7">
        <w:rPr>
          <w:rFonts w:ascii="Verdana" w:hAnsi="Verdana" w:cs="Helvetica"/>
          <w:i/>
          <w:sz w:val="16"/>
          <w:szCs w:val="16"/>
        </w:rPr>
        <w:t xml:space="preserve">Caso Duque Vs. Colombia. </w:t>
      </w:r>
      <w:r w:rsidRPr="00E66DD7">
        <w:rPr>
          <w:rFonts w:ascii="Verdana" w:hAnsi="Verdana"/>
          <w:i/>
          <w:sz w:val="16"/>
          <w:szCs w:val="16"/>
          <w:lang w:val="es-EC"/>
        </w:rPr>
        <w:t>Excepciones Preliminares, Fondo, Reparaciones y Costas</w:t>
      </w:r>
      <w:r w:rsidRPr="00E66DD7">
        <w:rPr>
          <w:rFonts w:ascii="Verdana" w:hAnsi="Verdana"/>
          <w:sz w:val="16"/>
          <w:szCs w:val="16"/>
          <w:lang w:val="es-EC"/>
        </w:rPr>
        <w:t>. Sentencia de 26 de febrero de 2016. Serie C No.</w:t>
      </w:r>
      <w:r>
        <w:rPr>
          <w:rFonts w:ascii="Verdana" w:hAnsi="Verdana"/>
          <w:sz w:val="16"/>
          <w:szCs w:val="16"/>
          <w:lang w:val="es-EC"/>
        </w:rPr>
        <w:t xml:space="preserve"> </w:t>
      </w:r>
      <w:r w:rsidRPr="00E66DD7">
        <w:rPr>
          <w:rFonts w:ascii="Verdana" w:hAnsi="Verdana"/>
          <w:sz w:val="16"/>
          <w:szCs w:val="16"/>
          <w:lang w:val="es-EC"/>
        </w:rPr>
        <w:t>310</w:t>
      </w:r>
      <w:r w:rsidRPr="00E66DD7">
        <w:rPr>
          <w:rFonts w:ascii="Verdana" w:hAnsi="Verdana" w:cs="Helvetica"/>
          <w:sz w:val="16"/>
          <w:szCs w:val="16"/>
        </w:rPr>
        <w:t>, párr. 148</w:t>
      </w:r>
      <w:r>
        <w:rPr>
          <w:rFonts w:ascii="Verdana" w:hAnsi="Verdana" w:cs="Helvetica"/>
          <w:sz w:val="16"/>
          <w:szCs w:val="16"/>
        </w:rPr>
        <w:t>.</w:t>
      </w:r>
    </w:p>
  </w:footnote>
  <w:footnote w:id="244">
    <w:p w14:paraId="0BDA5A2D" w14:textId="120027A6" w:rsidR="00D86616" w:rsidRPr="00E66DD7" w:rsidRDefault="00D86616" w:rsidP="006A2D03">
      <w:pPr>
        <w:contextualSpacing/>
        <w:jc w:val="both"/>
        <w:rPr>
          <w:rFonts w:ascii="Verdana" w:hAnsi="Verdana"/>
          <w:sz w:val="16"/>
          <w:szCs w:val="16"/>
        </w:rPr>
      </w:pPr>
      <w:r w:rsidRPr="00E66DD7">
        <w:rPr>
          <w:rStyle w:val="FootnoteReference"/>
          <w:sz w:val="16"/>
          <w:szCs w:val="16"/>
        </w:rPr>
        <w:footnoteRef/>
      </w:r>
      <w:r w:rsidRPr="00E66DD7">
        <w:rPr>
          <w:rFonts w:ascii="Verdana" w:hAnsi="Verdana"/>
          <w:sz w:val="16"/>
          <w:szCs w:val="16"/>
        </w:rPr>
        <w:t xml:space="preserve"> </w:t>
      </w:r>
      <w:r w:rsidRPr="00E66DD7">
        <w:rPr>
          <w:rFonts w:ascii="Verdana" w:hAnsi="Verdana"/>
          <w:sz w:val="16"/>
          <w:szCs w:val="16"/>
        </w:rPr>
        <w:tab/>
      </w:r>
      <w:r w:rsidRPr="00F77B70">
        <w:rPr>
          <w:rFonts w:ascii="Verdana" w:hAnsi="Verdana"/>
          <w:i/>
          <w:sz w:val="16"/>
          <w:szCs w:val="16"/>
        </w:rPr>
        <w:t>Cfr.</w:t>
      </w:r>
      <w:r w:rsidRPr="00E66DD7">
        <w:rPr>
          <w:rFonts w:ascii="Verdana" w:hAnsi="Verdana"/>
          <w:sz w:val="16"/>
          <w:szCs w:val="16"/>
        </w:rPr>
        <w:t xml:space="preserve"> </w:t>
      </w:r>
      <w:r w:rsidRPr="00E66DD7">
        <w:rPr>
          <w:rFonts w:ascii="Verdana" w:hAnsi="Verdana"/>
          <w:i/>
          <w:sz w:val="16"/>
          <w:szCs w:val="16"/>
        </w:rPr>
        <w:t>Caso Baena Ricardo y otros Vs. Panamá́</w:t>
      </w:r>
      <w:r w:rsidRPr="00333304">
        <w:rPr>
          <w:rFonts w:ascii="Verdana" w:hAnsi="Verdana"/>
          <w:i/>
          <w:sz w:val="16"/>
          <w:szCs w:val="16"/>
        </w:rPr>
        <w:t>. Competencia.</w:t>
      </w:r>
      <w:r w:rsidRPr="00E66DD7">
        <w:rPr>
          <w:rFonts w:ascii="Verdana" w:hAnsi="Verdana"/>
          <w:sz w:val="16"/>
          <w:szCs w:val="16"/>
        </w:rPr>
        <w:t xml:space="preserve"> Sentencia de 28 de noviembre de 2003. Serie C No 104. párr. 73</w:t>
      </w:r>
      <w:r>
        <w:rPr>
          <w:rFonts w:ascii="Verdana" w:hAnsi="Verdana"/>
          <w:sz w:val="16"/>
          <w:szCs w:val="16"/>
        </w:rPr>
        <w:t>, y</w:t>
      </w:r>
      <w:r w:rsidRPr="00E66DD7">
        <w:rPr>
          <w:rFonts w:ascii="Verdana" w:hAnsi="Verdana"/>
          <w:sz w:val="16"/>
          <w:szCs w:val="16"/>
        </w:rPr>
        <w:t xml:space="preserve"> </w:t>
      </w:r>
      <w:r w:rsidRPr="00E66DD7">
        <w:rPr>
          <w:rFonts w:ascii="Verdana" w:hAnsi="Verdana"/>
          <w:i/>
          <w:sz w:val="16"/>
          <w:szCs w:val="16"/>
        </w:rPr>
        <w:t>Caso Acevedo Buendía y otros (“Cesantes y Jubilados de la Contraloría”) Vs. Perú́</w:t>
      </w:r>
      <w:r>
        <w:rPr>
          <w:rFonts w:ascii="Verdana" w:hAnsi="Verdana"/>
          <w:i/>
          <w:sz w:val="16"/>
          <w:szCs w:val="16"/>
        </w:rPr>
        <w:t>,</w:t>
      </w:r>
      <w:r w:rsidRPr="00E66DD7">
        <w:rPr>
          <w:rFonts w:ascii="Verdana" w:hAnsi="Verdana"/>
          <w:sz w:val="16"/>
          <w:szCs w:val="16"/>
        </w:rPr>
        <w:t xml:space="preserve"> </w:t>
      </w:r>
      <w:r>
        <w:rPr>
          <w:rFonts w:ascii="Verdana" w:hAnsi="Verdana"/>
          <w:i/>
          <w:sz w:val="16"/>
          <w:szCs w:val="16"/>
        </w:rPr>
        <w:t>supra</w:t>
      </w:r>
      <w:r w:rsidRPr="00E66DD7">
        <w:rPr>
          <w:rFonts w:ascii="Verdana" w:hAnsi="Verdana"/>
          <w:sz w:val="16"/>
          <w:szCs w:val="16"/>
        </w:rPr>
        <w:t>, párr. 6</w:t>
      </w:r>
      <w:r>
        <w:rPr>
          <w:rFonts w:ascii="Verdana" w:hAnsi="Verdana"/>
          <w:sz w:val="16"/>
          <w:szCs w:val="16"/>
        </w:rPr>
        <w:t>9</w:t>
      </w:r>
      <w:r w:rsidRPr="00E66DD7">
        <w:rPr>
          <w:rFonts w:ascii="Verdana" w:hAnsi="Verdana"/>
          <w:sz w:val="16"/>
          <w:szCs w:val="16"/>
        </w:rPr>
        <w:t xml:space="preserve">. </w:t>
      </w:r>
    </w:p>
  </w:footnote>
  <w:footnote w:id="245">
    <w:p w14:paraId="52C2288B" w14:textId="2667C748" w:rsidR="00D86616" w:rsidRPr="00E66DD7" w:rsidRDefault="00D86616" w:rsidP="006A2D03">
      <w:pPr>
        <w:widowControl w:val="0"/>
        <w:autoSpaceDE w:val="0"/>
        <w:autoSpaceDN w:val="0"/>
        <w:adjustRightInd w:val="0"/>
        <w:ind w:right="4"/>
        <w:jc w:val="both"/>
        <w:rPr>
          <w:rFonts w:ascii="Verdana" w:hAnsi="Verdana" w:cs="Times"/>
          <w:sz w:val="16"/>
          <w:szCs w:val="16"/>
        </w:rPr>
      </w:pPr>
      <w:r w:rsidRPr="00E66DD7">
        <w:rPr>
          <w:rStyle w:val="FootnoteReference"/>
          <w:sz w:val="16"/>
          <w:szCs w:val="16"/>
        </w:rPr>
        <w:footnoteRef/>
      </w:r>
      <w:r w:rsidRPr="00E66DD7">
        <w:rPr>
          <w:rFonts w:ascii="Verdana" w:hAnsi="Verdana"/>
          <w:sz w:val="16"/>
          <w:szCs w:val="16"/>
        </w:rPr>
        <w:t xml:space="preserve"> </w:t>
      </w:r>
      <w:r w:rsidRPr="00E66DD7">
        <w:rPr>
          <w:rFonts w:ascii="Verdana" w:hAnsi="Verdana"/>
          <w:sz w:val="16"/>
          <w:szCs w:val="16"/>
        </w:rPr>
        <w:tab/>
      </w:r>
      <w:r w:rsidRPr="00F77B70">
        <w:rPr>
          <w:rFonts w:ascii="Verdana" w:hAnsi="Verdana"/>
          <w:i/>
          <w:sz w:val="16"/>
          <w:szCs w:val="16"/>
        </w:rPr>
        <w:t>Cfr.</w:t>
      </w:r>
      <w:r w:rsidRPr="00E66DD7">
        <w:rPr>
          <w:rFonts w:ascii="Verdana" w:hAnsi="Verdana"/>
          <w:sz w:val="16"/>
          <w:szCs w:val="16"/>
        </w:rPr>
        <w:t xml:space="preserve"> </w:t>
      </w:r>
      <w:r w:rsidRPr="00E66DD7">
        <w:rPr>
          <w:rFonts w:ascii="Verdana" w:hAnsi="Verdana"/>
          <w:sz w:val="16"/>
          <w:szCs w:val="16"/>
          <w:lang w:eastAsia="es-MX"/>
        </w:rPr>
        <w:t xml:space="preserve">Congreso de la República de Perú. Constitución Política del Perú 12 de julio de 1979. </w:t>
      </w:r>
      <w:r>
        <w:rPr>
          <w:rFonts w:ascii="Verdana" w:hAnsi="Verdana"/>
          <w:bCs/>
          <w:sz w:val="16"/>
          <w:szCs w:val="16"/>
          <w:shd w:val="clear" w:color="auto" w:fill="FFFFFF"/>
        </w:rPr>
        <w:t>Artículo 48 “</w:t>
      </w:r>
      <w:r w:rsidRPr="00E66DD7">
        <w:rPr>
          <w:rFonts w:ascii="Verdana" w:hAnsi="Verdana"/>
          <w:color w:val="000000"/>
          <w:sz w:val="16"/>
          <w:szCs w:val="16"/>
          <w:shd w:val="clear" w:color="auto" w:fill="FFFFFF"/>
        </w:rPr>
        <w:t>El Estado reconoce el derecho de estabilidad en el trabajo. El trabajador solo puede ser despedido por causa justa, señalada en la ley debidamente comprobada”.</w:t>
      </w:r>
      <w:r w:rsidRPr="00E66DD7">
        <w:rPr>
          <w:rFonts w:ascii="Verdana" w:hAnsi="Verdana" w:cs="Times"/>
          <w:sz w:val="16"/>
          <w:szCs w:val="16"/>
        </w:rPr>
        <w:t xml:space="preserve"> </w:t>
      </w:r>
      <w:r w:rsidRPr="00E66DD7">
        <w:rPr>
          <w:rFonts w:ascii="Verdana" w:hAnsi="Verdana"/>
          <w:sz w:val="16"/>
          <w:szCs w:val="16"/>
          <w:lang w:eastAsia="es-MX"/>
        </w:rPr>
        <w:t xml:space="preserve">Congreso de la República de Perú. Constitución Política del Perú 29 de diciembre de 1993 </w:t>
      </w:r>
      <w:r w:rsidRPr="00E66DD7">
        <w:rPr>
          <w:rFonts w:ascii="Verdana" w:hAnsi="Verdana" w:cs="Arial"/>
          <w:bCs/>
          <w:color w:val="000000"/>
          <w:sz w:val="16"/>
          <w:szCs w:val="16"/>
        </w:rPr>
        <w:t>Artículo 22°</w:t>
      </w:r>
      <w:r w:rsidRPr="00E66DD7">
        <w:rPr>
          <w:rFonts w:ascii="Verdana" w:hAnsi="Verdana" w:cs="Arial"/>
          <w:color w:val="000000"/>
          <w:sz w:val="16"/>
          <w:szCs w:val="16"/>
        </w:rPr>
        <w:t xml:space="preserve">.- El trabajo es un deber y un derecho. Es base del bienestar social y un medio de realización de la persona y en </w:t>
      </w:r>
      <w:r w:rsidRPr="00E66DD7">
        <w:rPr>
          <w:rFonts w:ascii="Verdana" w:hAnsi="Verdana" w:cs="Arial"/>
          <w:bCs/>
          <w:sz w:val="16"/>
          <w:szCs w:val="16"/>
        </w:rPr>
        <w:t>Artículo 27°</w:t>
      </w:r>
      <w:r w:rsidRPr="00E66DD7">
        <w:rPr>
          <w:rFonts w:ascii="Verdana" w:hAnsi="Verdana" w:cs="Arial"/>
          <w:sz w:val="16"/>
          <w:szCs w:val="16"/>
        </w:rPr>
        <w:t xml:space="preserve">.- La ley otorga al trabajador adecuada protección contra el despido arbitrario. </w:t>
      </w:r>
      <w:r w:rsidRPr="00E66DD7">
        <w:rPr>
          <w:rFonts w:ascii="Verdana" w:hAnsi="Verdana"/>
          <w:sz w:val="16"/>
          <w:szCs w:val="16"/>
          <w:lang w:eastAsia="es-MX"/>
        </w:rPr>
        <w:t>Congreso de la República de Perú</w:t>
      </w:r>
      <w:r w:rsidRPr="00E66DD7" w:rsidDel="0065052F">
        <w:rPr>
          <w:rFonts w:ascii="Verdana" w:hAnsi="Verdana" w:cs="Arial Narrow"/>
          <w:sz w:val="16"/>
          <w:szCs w:val="16"/>
          <w:lang w:eastAsia="es-MX"/>
        </w:rPr>
        <w:t xml:space="preserve"> </w:t>
      </w:r>
      <w:r w:rsidRPr="00E66DD7">
        <w:rPr>
          <w:rFonts w:ascii="Verdana" w:hAnsi="Verdana" w:cs="Arial Narrow"/>
          <w:sz w:val="16"/>
          <w:szCs w:val="16"/>
          <w:lang w:eastAsia="es-MX"/>
        </w:rPr>
        <w:t xml:space="preserve"> Ley N°24514. Artículo 2.- Están amparados por la presente ley los trabajadores sujetos al régimen laboral de la actividad privada o de las empresas públicas sometidas al régimen de la actividad privada </w:t>
      </w:r>
      <w:r>
        <w:rPr>
          <w:rFonts w:ascii="Verdana" w:hAnsi="Verdana" w:cs="Arial Narrow"/>
          <w:sz w:val="16"/>
          <w:szCs w:val="16"/>
          <w:lang w:eastAsia="es-MX"/>
        </w:rPr>
        <w:t>[</w:t>
      </w:r>
      <w:r w:rsidRPr="00E66DD7">
        <w:rPr>
          <w:rFonts w:ascii="Verdana" w:hAnsi="Verdana" w:cs="Arial Narrow"/>
          <w:sz w:val="16"/>
          <w:szCs w:val="16"/>
          <w:lang w:eastAsia="es-MX"/>
        </w:rPr>
        <w:t>…</w:t>
      </w:r>
      <w:r>
        <w:rPr>
          <w:rFonts w:ascii="Verdana" w:hAnsi="Verdana" w:cs="Arial Narrow"/>
          <w:sz w:val="16"/>
          <w:szCs w:val="16"/>
          <w:lang w:eastAsia="es-MX"/>
        </w:rPr>
        <w:t>].</w:t>
      </w:r>
    </w:p>
  </w:footnote>
  <w:footnote w:id="246">
    <w:p w14:paraId="7D9A3F2C" w14:textId="7654DB83" w:rsidR="00D86616" w:rsidRPr="009E6ED2" w:rsidRDefault="00D86616" w:rsidP="006A2D03">
      <w:pPr>
        <w:pStyle w:val="FootnoteText"/>
        <w:spacing w:after="0"/>
        <w:rPr>
          <w:lang w:val="es-MX"/>
        </w:rPr>
      </w:pPr>
      <w:r w:rsidRPr="00E66DD7">
        <w:rPr>
          <w:rStyle w:val="FootnoteReference"/>
          <w:sz w:val="16"/>
        </w:rPr>
        <w:footnoteRef/>
      </w:r>
      <w:r w:rsidRPr="009E6ED2">
        <w:rPr>
          <w:lang w:val="es-MX"/>
        </w:rPr>
        <w:t xml:space="preserve"> </w:t>
      </w:r>
      <w:r w:rsidRPr="009E6ED2">
        <w:rPr>
          <w:lang w:val="es-MX"/>
        </w:rPr>
        <w:tab/>
      </w:r>
      <w:r w:rsidRPr="009E6ED2">
        <w:rPr>
          <w:i/>
          <w:lang w:val="es-MX"/>
        </w:rPr>
        <w:t>Cfr. Caso de los “Niños de la Calle” (Villagrán Morales y otros) Vs. Guatemala. Fondo.</w:t>
      </w:r>
      <w:r w:rsidRPr="009E6ED2">
        <w:rPr>
          <w:lang w:val="es-MX"/>
        </w:rPr>
        <w:t xml:space="preserve"> Sentencia de 19 de noviembre de 1999. Serie C No. 63, párr. 237, </w:t>
      </w:r>
      <w:r w:rsidRPr="009E6ED2">
        <w:rPr>
          <w:i/>
          <w:lang w:val="es-MX"/>
        </w:rPr>
        <w:t xml:space="preserve">Caso </w:t>
      </w:r>
      <w:r w:rsidRPr="00333304">
        <w:rPr>
          <w:bCs/>
          <w:i/>
          <w:lang w:val="es-ES_tradnl"/>
        </w:rPr>
        <w:t xml:space="preserve">Duque Vs. Colombia, </w:t>
      </w:r>
      <w:r>
        <w:rPr>
          <w:bCs/>
          <w:i/>
          <w:lang w:val="es-ES_tradnl"/>
        </w:rPr>
        <w:t>s</w:t>
      </w:r>
      <w:r w:rsidRPr="00333304">
        <w:rPr>
          <w:bCs/>
          <w:i/>
          <w:lang w:val="es-ES_tradnl"/>
        </w:rPr>
        <w:t>upra</w:t>
      </w:r>
      <w:r>
        <w:rPr>
          <w:bCs/>
          <w:lang w:val="es-ES_tradnl"/>
        </w:rPr>
        <w:t xml:space="preserve">, párr. 177, y </w:t>
      </w:r>
      <w:r w:rsidRPr="009E6ED2">
        <w:rPr>
          <w:lang w:val="es-MX"/>
        </w:rPr>
        <w:t>Comisión Interamericana de Derechos Humanos. El acceso a la justicia como garantía de los derechos económicos, sociales y culturales. estudio de los estándares fijados por el sistema interamericano de derechos humanos, párr.</w:t>
      </w:r>
      <w:r>
        <w:rPr>
          <w:lang w:val="es-MX"/>
        </w:rPr>
        <w:t xml:space="preserve"> </w:t>
      </w:r>
      <w:r w:rsidRPr="009E6ED2">
        <w:rPr>
          <w:color w:val="000000"/>
          <w:lang w:val="es-MX"/>
        </w:rPr>
        <w:t>17.</w:t>
      </w:r>
    </w:p>
  </w:footnote>
  <w:footnote w:id="247">
    <w:p w14:paraId="217683A8" w14:textId="3EB3EA84" w:rsidR="00D86616" w:rsidRPr="009E6ED2" w:rsidRDefault="00D86616" w:rsidP="006A2D03">
      <w:pPr>
        <w:pStyle w:val="FootnoteText"/>
        <w:spacing w:after="0"/>
        <w:rPr>
          <w:lang w:val="es-MX"/>
        </w:rPr>
      </w:pPr>
      <w:r w:rsidRPr="00E66DD7">
        <w:rPr>
          <w:rStyle w:val="FootnoteReference"/>
          <w:sz w:val="16"/>
        </w:rPr>
        <w:footnoteRef/>
      </w:r>
      <w:r w:rsidRPr="009E6ED2">
        <w:rPr>
          <w:lang w:val="es-MX"/>
        </w:rPr>
        <w:t xml:space="preserve"> </w:t>
      </w:r>
      <w:r w:rsidRPr="009E6ED2">
        <w:rPr>
          <w:b/>
          <w:lang w:val="es-MX"/>
        </w:rPr>
        <w:tab/>
      </w:r>
      <w:r w:rsidRPr="009E6ED2">
        <w:rPr>
          <w:i/>
          <w:lang w:val="es-MX"/>
        </w:rPr>
        <w:t>Cfr. Caso Velásquez Rodríguez vs. Honduras, supra</w:t>
      </w:r>
      <w:r w:rsidRPr="009E6ED2">
        <w:rPr>
          <w:lang w:val="es-MX"/>
        </w:rPr>
        <w:t xml:space="preserve"> nota 12, párr. 91, y </w:t>
      </w:r>
      <w:r w:rsidRPr="009E6ED2">
        <w:rPr>
          <w:bCs/>
          <w:i/>
          <w:lang w:val="es-ES_tradnl"/>
        </w:rPr>
        <w:t xml:space="preserve">Caso Favela Nova </w:t>
      </w:r>
      <w:proofErr w:type="spellStart"/>
      <w:r w:rsidRPr="009E6ED2">
        <w:rPr>
          <w:bCs/>
          <w:i/>
          <w:lang w:val="es-ES_tradnl"/>
        </w:rPr>
        <w:t>Brasília</w:t>
      </w:r>
      <w:proofErr w:type="spellEnd"/>
      <w:r w:rsidRPr="009E6ED2">
        <w:rPr>
          <w:bCs/>
          <w:i/>
          <w:lang w:val="es-ES_tradnl"/>
        </w:rPr>
        <w:t xml:space="preserve"> Vs. Brasil, supra</w:t>
      </w:r>
      <w:r w:rsidRPr="00333304">
        <w:rPr>
          <w:bCs/>
          <w:lang w:val="es-ES_tradnl"/>
        </w:rPr>
        <w:t>,</w:t>
      </w:r>
      <w:r>
        <w:rPr>
          <w:bCs/>
          <w:lang w:val="es-ES_tradnl"/>
        </w:rPr>
        <w:t xml:space="preserve"> </w:t>
      </w:r>
      <w:r w:rsidRPr="00333304">
        <w:rPr>
          <w:bCs/>
          <w:lang w:val="es-ES_tradnl"/>
        </w:rPr>
        <w:t>párr. 183.</w:t>
      </w:r>
    </w:p>
  </w:footnote>
  <w:footnote w:id="248">
    <w:p w14:paraId="5AA5837F" w14:textId="71F68767" w:rsidR="00D86616" w:rsidRPr="00685D4D" w:rsidRDefault="00D86616" w:rsidP="006A2D03">
      <w:pPr>
        <w:widowControl w:val="0"/>
        <w:autoSpaceDE w:val="0"/>
        <w:autoSpaceDN w:val="0"/>
        <w:adjustRightInd w:val="0"/>
        <w:jc w:val="both"/>
        <w:rPr>
          <w:rFonts w:ascii="Verdana" w:hAnsi="Verdana" w:cs="Helvetica"/>
          <w:sz w:val="16"/>
          <w:szCs w:val="16"/>
        </w:rPr>
      </w:pPr>
      <w:r w:rsidRPr="00E66DD7">
        <w:rPr>
          <w:rStyle w:val="FootnoteReference"/>
          <w:sz w:val="16"/>
          <w:szCs w:val="16"/>
        </w:rPr>
        <w:footnoteRef/>
      </w:r>
      <w:r w:rsidRPr="00E66DD7">
        <w:rPr>
          <w:rFonts w:ascii="Verdana" w:hAnsi="Verdana"/>
          <w:sz w:val="16"/>
          <w:szCs w:val="16"/>
        </w:rPr>
        <w:t xml:space="preserve"> </w:t>
      </w:r>
      <w:r w:rsidRPr="00E66DD7">
        <w:rPr>
          <w:rFonts w:ascii="Verdana" w:hAnsi="Verdana"/>
          <w:sz w:val="16"/>
          <w:szCs w:val="16"/>
        </w:rPr>
        <w:tab/>
      </w:r>
      <w:r w:rsidRPr="00F77B70">
        <w:rPr>
          <w:rFonts w:ascii="Verdana" w:hAnsi="Verdana" w:cs="Times"/>
          <w:i/>
          <w:sz w:val="16"/>
          <w:szCs w:val="16"/>
        </w:rPr>
        <w:t>Cfr.</w:t>
      </w:r>
      <w:r w:rsidRPr="00E66DD7">
        <w:rPr>
          <w:rFonts w:ascii="Verdana" w:hAnsi="Verdana" w:cs="Times"/>
          <w:sz w:val="16"/>
          <w:szCs w:val="16"/>
        </w:rPr>
        <w:t xml:space="preserve"> </w:t>
      </w:r>
      <w:r w:rsidRPr="00E66DD7">
        <w:rPr>
          <w:rFonts w:ascii="Verdana" w:hAnsi="Verdana" w:cs="Times"/>
          <w:i/>
          <w:sz w:val="16"/>
          <w:szCs w:val="16"/>
        </w:rPr>
        <w:t>Caso López Álvarez Vs. Honduras.</w:t>
      </w:r>
      <w:r w:rsidRPr="00E66DD7">
        <w:rPr>
          <w:rFonts w:ascii="Verdana" w:hAnsi="Verdana" w:cs="Times"/>
          <w:sz w:val="16"/>
          <w:szCs w:val="16"/>
        </w:rPr>
        <w:t xml:space="preserve"> </w:t>
      </w:r>
      <w:r w:rsidRPr="00E66DD7">
        <w:rPr>
          <w:rFonts w:ascii="Verdana" w:hAnsi="Verdana" w:cs="Times"/>
          <w:i/>
          <w:sz w:val="16"/>
          <w:szCs w:val="16"/>
        </w:rPr>
        <w:t>Fondo, Reparaciones </w:t>
      </w:r>
      <w:r w:rsidRPr="00E66DD7">
        <w:rPr>
          <w:rFonts w:ascii="Verdana" w:hAnsi="Verdana" w:cs="Helvetica"/>
          <w:i/>
          <w:sz w:val="16"/>
          <w:szCs w:val="16"/>
        </w:rPr>
        <w:t>y Costas.</w:t>
      </w:r>
      <w:r w:rsidRPr="00E66DD7">
        <w:rPr>
          <w:rFonts w:ascii="Verdana" w:hAnsi="Verdana" w:cs="Helvetica"/>
          <w:sz w:val="16"/>
          <w:szCs w:val="16"/>
        </w:rPr>
        <w:t xml:space="preserve"> Sentencia de 1 de febrero de 2006. Serie C No. 141, párr. 96, y </w:t>
      </w:r>
      <w:r w:rsidRPr="00F1353C">
        <w:rPr>
          <w:rFonts w:ascii="Verdana" w:hAnsi="Verdana" w:cs="Helvetica"/>
          <w:bCs/>
          <w:i/>
          <w:sz w:val="16"/>
          <w:szCs w:val="16"/>
        </w:rPr>
        <w:t>Caso Zegarra Marín Vs. Perú</w:t>
      </w:r>
      <w:r w:rsidRPr="00333304">
        <w:rPr>
          <w:rFonts w:ascii="Verdana" w:hAnsi="Verdana" w:cs="Helvetica"/>
          <w:bCs/>
          <w:sz w:val="16"/>
          <w:szCs w:val="16"/>
        </w:rPr>
        <w:t>,</w:t>
      </w:r>
      <w:r>
        <w:rPr>
          <w:rFonts w:ascii="Verdana" w:hAnsi="Verdana" w:cs="Helvetica"/>
          <w:bCs/>
          <w:sz w:val="16"/>
          <w:szCs w:val="16"/>
        </w:rPr>
        <w:t xml:space="preserve"> </w:t>
      </w:r>
      <w:r w:rsidRPr="00333304">
        <w:rPr>
          <w:rFonts w:ascii="Verdana" w:hAnsi="Verdana" w:cs="Helvetica"/>
          <w:bCs/>
          <w:i/>
          <w:sz w:val="16"/>
          <w:szCs w:val="16"/>
        </w:rPr>
        <w:t>supra</w:t>
      </w:r>
      <w:r>
        <w:rPr>
          <w:rFonts w:ascii="Verdana" w:hAnsi="Verdana" w:cs="Helvetica"/>
          <w:bCs/>
          <w:sz w:val="16"/>
          <w:szCs w:val="16"/>
        </w:rPr>
        <w:t xml:space="preserve">, </w:t>
      </w:r>
      <w:r w:rsidRPr="00333304">
        <w:rPr>
          <w:rFonts w:ascii="Verdana" w:hAnsi="Verdana" w:cs="Helvetica"/>
          <w:bCs/>
          <w:sz w:val="16"/>
          <w:szCs w:val="16"/>
        </w:rPr>
        <w:t xml:space="preserve">párr. 179. </w:t>
      </w:r>
    </w:p>
  </w:footnote>
  <w:footnote w:id="249">
    <w:p w14:paraId="1AB27335" w14:textId="21270F17" w:rsidR="00D86616" w:rsidRPr="009E6ED2" w:rsidRDefault="00D86616" w:rsidP="006A2D03">
      <w:pPr>
        <w:pStyle w:val="FootnoteText"/>
        <w:spacing w:after="0"/>
        <w:rPr>
          <w:lang w:val="es-MX"/>
        </w:rPr>
      </w:pPr>
      <w:r w:rsidRPr="006F503A">
        <w:rPr>
          <w:rStyle w:val="FootnoteReference"/>
          <w:sz w:val="16"/>
        </w:rPr>
        <w:footnoteRef/>
      </w:r>
      <w:r w:rsidRPr="009E6ED2">
        <w:rPr>
          <w:lang w:val="es-MX"/>
        </w:rPr>
        <w:t xml:space="preserve"> </w:t>
      </w:r>
      <w:r w:rsidRPr="009E6ED2">
        <w:rPr>
          <w:lang w:val="es-MX"/>
        </w:rPr>
        <w:tab/>
        <w:t xml:space="preserve">Alegó que las expresiones vertidas en la revista “La Razón” le correspondían a Lagos del Campo, ya que no había atribuido dichas palabras como autoría del entrevistador, al momento de contestar la carta de formulación de cargos, únicamente había alegado que fueron vertidas en el ejercicio de su derecho constitucional a la libertad de expresión y en su calidad de Presidente del Comité Electoral. </w:t>
      </w:r>
      <w:r>
        <w:rPr>
          <w:lang w:val="es-ES_tradnl"/>
        </w:rPr>
        <w:t xml:space="preserve">(expediente de prueba, anexos al informe de fondo 9 y 10, </w:t>
      </w:r>
      <w:r w:rsidRPr="004E7321">
        <w:rPr>
          <w:lang w:val="es-ES_tradnl"/>
        </w:rPr>
        <w:t>f</w:t>
      </w:r>
      <w:r>
        <w:rPr>
          <w:lang w:val="es-ES_tradnl"/>
        </w:rPr>
        <w:t>olios 33 a 41</w:t>
      </w:r>
      <w:r w:rsidRPr="00752D43">
        <w:rPr>
          <w:lang w:val="es-ES_tradnl"/>
        </w:rPr>
        <w:t>)</w:t>
      </w:r>
      <w:r>
        <w:rPr>
          <w:lang w:val="es-ES_tradnl"/>
        </w:rPr>
        <w:t>.</w:t>
      </w:r>
    </w:p>
  </w:footnote>
  <w:footnote w:id="250">
    <w:p w14:paraId="4AFA8A73" w14:textId="19B566FE" w:rsidR="00D86616" w:rsidRPr="00E66DD7" w:rsidRDefault="00D86616" w:rsidP="006A2D03">
      <w:pPr>
        <w:autoSpaceDE w:val="0"/>
        <w:autoSpaceDN w:val="0"/>
        <w:adjustRightInd w:val="0"/>
        <w:jc w:val="both"/>
        <w:rPr>
          <w:rFonts w:ascii="Verdana" w:hAnsi="Verdana"/>
          <w:sz w:val="16"/>
          <w:szCs w:val="16"/>
        </w:rPr>
      </w:pPr>
      <w:r w:rsidRPr="00E66DD7">
        <w:rPr>
          <w:rStyle w:val="FootnoteReference"/>
          <w:sz w:val="16"/>
          <w:szCs w:val="16"/>
        </w:rPr>
        <w:footnoteRef/>
      </w:r>
      <w:r w:rsidRPr="00E66DD7">
        <w:rPr>
          <w:sz w:val="16"/>
          <w:szCs w:val="16"/>
        </w:rPr>
        <w:t xml:space="preserve"> </w:t>
      </w:r>
      <w:r w:rsidRPr="00E66DD7">
        <w:rPr>
          <w:sz w:val="16"/>
          <w:szCs w:val="16"/>
        </w:rPr>
        <w:tab/>
      </w:r>
      <w:r w:rsidRPr="00F77B70">
        <w:rPr>
          <w:rFonts w:ascii="Verdana" w:hAnsi="Verdana"/>
          <w:i/>
          <w:sz w:val="16"/>
          <w:szCs w:val="16"/>
        </w:rPr>
        <w:t>Cfr.</w:t>
      </w:r>
      <w:r w:rsidRPr="00E66DD7">
        <w:rPr>
          <w:rFonts w:ascii="Verdana" w:hAnsi="Verdana"/>
          <w:sz w:val="16"/>
          <w:szCs w:val="16"/>
        </w:rPr>
        <w:t xml:space="preserve"> </w:t>
      </w:r>
      <w:r w:rsidRPr="00E66DD7">
        <w:rPr>
          <w:rFonts w:ascii="Verdana" w:hAnsi="Verdana"/>
          <w:sz w:val="16"/>
          <w:szCs w:val="16"/>
          <w:lang w:eastAsia="es-MX"/>
        </w:rPr>
        <w:t xml:space="preserve">Escrito de contestación al recurso de apelación dirigido por el señor Lagos del Campo al Segundo Tribunal de Trabajo de Lima. 1 de agosto de 1991, Expediente No. 839-91. </w:t>
      </w:r>
      <w:r>
        <w:rPr>
          <w:rFonts w:ascii="Verdana" w:hAnsi="Verdana"/>
          <w:sz w:val="16"/>
          <w:szCs w:val="16"/>
          <w:lang w:eastAsia="es-MX"/>
        </w:rPr>
        <w:t>A</w:t>
      </w:r>
      <w:r w:rsidRPr="00E66DD7">
        <w:rPr>
          <w:rFonts w:ascii="Verdana" w:hAnsi="Verdana"/>
          <w:sz w:val="16"/>
          <w:szCs w:val="16"/>
          <w:lang w:eastAsia="es-MX"/>
        </w:rPr>
        <w:t xml:space="preserve">nexos a la comunicación de los peticionarios de fecha 23 de julio de 1998 </w:t>
      </w:r>
      <w:r w:rsidRPr="00E66DD7">
        <w:rPr>
          <w:rFonts w:ascii="Verdana" w:hAnsi="Verdana"/>
          <w:sz w:val="16"/>
          <w:szCs w:val="16"/>
        </w:rPr>
        <w:t>(expediente de prueba</w:t>
      </w:r>
      <w:r>
        <w:rPr>
          <w:rFonts w:ascii="Verdana" w:hAnsi="Verdana"/>
          <w:sz w:val="16"/>
          <w:szCs w:val="16"/>
        </w:rPr>
        <w:t xml:space="preserve">, </w:t>
      </w:r>
      <w:proofErr w:type="spellStart"/>
      <w:r w:rsidRPr="004E7321">
        <w:rPr>
          <w:rFonts w:ascii="Verdana" w:hAnsi="Verdana"/>
          <w:sz w:val="16"/>
          <w:szCs w:val="16"/>
        </w:rPr>
        <w:t>ff</w:t>
      </w:r>
      <w:proofErr w:type="spellEnd"/>
      <w:r w:rsidRPr="004E7321">
        <w:rPr>
          <w:rFonts w:ascii="Verdana" w:hAnsi="Verdana"/>
          <w:sz w:val="16"/>
          <w:szCs w:val="16"/>
        </w:rPr>
        <w:t>.</w:t>
      </w:r>
      <w:r>
        <w:rPr>
          <w:rFonts w:ascii="Verdana" w:hAnsi="Verdana"/>
          <w:sz w:val="16"/>
          <w:szCs w:val="16"/>
        </w:rPr>
        <w:t xml:space="preserve"> </w:t>
      </w:r>
      <w:r w:rsidRPr="00E66DD7">
        <w:rPr>
          <w:rFonts w:ascii="Verdana" w:hAnsi="Verdana"/>
          <w:sz w:val="16"/>
          <w:szCs w:val="16"/>
        </w:rPr>
        <w:t xml:space="preserve">43 a 45).  </w:t>
      </w:r>
    </w:p>
    <w:p w14:paraId="089E4196" w14:textId="77777777" w:rsidR="00D86616" w:rsidRPr="00E66DD7" w:rsidRDefault="00D86616" w:rsidP="006A2D03">
      <w:pPr>
        <w:autoSpaceDE w:val="0"/>
        <w:autoSpaceDN w:val="0"/>
        <w:adjustRightInd w:val="0"/>
        <w:jc w:val="both"/>
        <w:rPr>
          <w:rFonts w:ascii="Verdana" w:hAnsi="Verdana"/>
          <w:sz w:val="16"/>
          <w:szCs w:val="16"/>
        </w:rPr>
      </w:pPr>
      <w:r w:rsidRPr="00E66DD7">
        <w:rPr>
          <w:rFonts w:ascii="Verdana" w:hAnsi="Verdana"/>
          <w:sz w:val="16"/>
          <w:szCs w:val="16"/>
        </w:rPr>
        <w:t xml:space="preserve">Mediante el cual señaló, alegó que tanto en la carta de descargo como en el escrito de la demanda, había afirmado que la entrevista no era de su autoría, por ende la responsabilidad de la publicación de la entrevista correspondía al periodista y Director de “La Razón”. Respecto del escrito presentado por la empresa el 25 de junio de 1991, Lagos del Campo mencionó que la empresa le atribuyó como autor de palabras que no se encontraban en la publicación de la entrevista en la revista “La Razón”. </w:t>
      </w:r>
    </w:p>
  </w:footnote>
  <w:footnote w:id="251">
    <w:p w14:paraId="12976CA8" w14:textId="3567D2E1" w:rsidR="00D86616" w:rsidRPr="00E66DD7" w:rsidRDefault="00D86616" w:rsidP="006A2D03">
      <w:pPr>
        <w:pStyle w:val="FootnoteText"/>
        <w:spacing w:after="0"/>
        <w:rPr>
          <w:lang w:val="es-EC"/>
        </w:rPr>
      </w:pPr>
      <w:r w:rsidRPr="00E66DD7">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w:t>
      </w:r>
      <w:r w:rsidRPr="009E6ED2">
        <w:rPr>
          <w:lang w:val="es-MX" w:eastAsia="es-MX"/>
        </w:rPr>
        <w:t xml:space="preserve">Constitución Política del Perú 12 de julio de 1979. </w:t>
      </w:r>
      <w:r w:rsidRPr="009E6ED2">
        <w:rPr>
          <w:lang w:val="es-MX"/>
        </w:rPr>
        <w:t xml:space="preserve">Artículo 233, buena administración de justicia: numeral 4.- La motivación escrita de las resoluciones, en todas las instancias, con mención expresa de la ley aplicable y de los fundamentos en que se sustentan; </w:t>
      </w:r>
      <w:r w:rsidRPr="009E6ED2">
        <w:rPr>
          <w:lang w:val="es-MX" w:eastAsia="es-MX"/>
        </w:rPr>
        <w:t xml:space="preserve">Congreso de la República de Perú. Ley 24514. Ley del derecho de estabilidad en el trabajo. 4 de junio de 1986. </w:t>
      </w:r>
      <w:r w:rsidRPr="009E6ED2">
        <w:rPr>
          <w:lang w:val="es-MX"/>
        </w:rPr>
        <w:t xml:space="preserve">(expediente de prueba, </w:t>
      </w:r>
      <w:proofErr w:type="spellStart"/>
      <w:r w:rsidRPr="009E6ED2">
        <w:rPr>
          <w:lang w:val="es-MX"/>
        </w:rPr>
        <w:t>ff</w:t>
      </w:r>
      <w:proofErr w:type="spellEnd"/>
      <w:r w:rsidRPr="009E6ED2">
        <w:rPr>
          <w:lang w:val="es-MX"/>
        </w:rPr>
        <w:t>. 33bis a 38bis</w:t>
      </w:r>
      <w:r w:rsidRPr="009E6ED2">
        <w:rPr>
          <w:i/>
          <w:lang w:val="es-MX"/>
        </w:rPr>
        <w:t>.</w:t>
      </w:r>
      <w:r w:rsidRPr="009E6ED2">
        <w:rPr>
          <w:lang w:val="es-MX"/>
        </w:rPr>
        <w:t>) Artículo 3.- Los trabajadores a que se refiere el Art.</w:t>
      </w:r>
      <w:r>
        <w:rPr>
          <w:lang w:val="es-MX"/>
        </w:rPr>
        <w:t xml:space="preserve"> </w:t>
      </w:r>
      <w:r w:rsidRPr="009E6ED2">
        <w:rPr>
          <w:lang w:val="es-MX"/>
        </w:rPr>
        <w:t>2, solo podrán ser despedidos por causa justa señalada en la presente Ley y debidamente motivada.</w:t>
      </w:r>
    </w:p>
  </w:footnote>
  <w:footnote w:id="252">
    <w:p w14:paraId="56302CC4" w14:textId="690D2CEB" w:rsidR="00D86616" w:rsidRPr="009E6ED2" w:rsidRDefault="00D86616" w:rsidP="006A2D03">
      <w:pPr>
        <w:pStyle w:val="FootnoteText"/>
        <w:spacing w:after="0"/>
        <w:rPr>
          <w:lang w:val="es-MX"/>
        </w:rPr>
      </w:pPr>
      <w:r w:rsidRPr="00E66DD7">
        <w:rPr>
          <w:rStyle w:val="FootnoteReference"/>
          <w:rFonts w:eastAsia="Calibri"/>
          <w:sz w:val="16"/>
        </w:rPr>
        <w:footnoteRef/>
      </w:r>
      <w:r w:rsidRPr="009E6ED2">
        <w:rPr>
          <w:lang w:val="es-MX"/>
        </w:rPr>
        <w:t xml:space="preserve"> </w:t>
      </w:r>
      <w:r w:rsidRPr="009E6ED2">
        <w:rPr>
          <w:lang w:val="es-MX"/>
        </w:rPr>
        <w:tab/>
        <w:t>A saber: a) demanda de calificación de despido el 26 de julio de 1989; b)  recurso de "revisión y reconsideración" el 26 de agosto de 1991; c) recurso de nulidad el 2 de septiembre 1991; d) acción de amparo el 8 de noviembre de 1991; e) recurso de nulidad el 26 de agosto de 1992; f) oficio ante el Presidente de la Sala de Derecho Constitucional y Social de la Corte Suprema de Justicia el 30 de marzo de 1993; g) recurso de revisión para que su asunto fuera conocido en la Sala Plena de la Corte Suprema de Justicia el 28 de abril y 4 de mayo de 1993; h) recurso de apelación el 18 de julio de 1997; i) recurso de queja el 19 de agosto de 1997; j) recurso de queja ante el Presidente del Tribunal Constitucional, el 2 de octubre de 1997.</w:t>
      </w:r>
    </w:p>
  </w:footnote>
  <w:footnote w:id="253">
    <w:p w14:paraId="11323CD6" w14:textId="6B11C77F" w:rsidR="00D86616" w:rsidRPr="009E6ED2" w:rsidRDefault="00D86616" w:rsidP="006A2D03">
      <w:pPr>
        <w:pStyle w:val="FootnoteText"/>
        <w:spacing w:after="0"/>
        <w:rPr>
          <w:lang w:val="es-MX"/>
        </w:rPr>
      </w:pPr>
      <w:r w:rsidRPr="00E66DD7">
        <w:rPr>
          <w:rStyle w:val="FootnoteReference"/>
          <w:sz w:val="16"/>
        </w:rPr>
        <w:footnoteRef/>
      </w:r>
      <w:r w:rsidRPr="009E6ED2">
        <w:rPr>
          <w:lang w:val="es-MX"/>
        </w:rPr>
        <w:t xml:space="preserve"> </w:t>
      </w:r>
      <w:r w:rsidRPr="009E6ED2">
        <w:rPr>
          <w:lang w:val="es-MX"/>
        </w:rPr>
        <w:tab/>
        <w:t xml:space="preserve">Decreto Supremo 03-80-TR. Acciones en el fuero de trabajo y Comunidades Laborales. Art. </w:t>
      </w:r>
      <w:r w:rsidRPr="009E6ED2">
        <w:rPr>
          <w:rFonts w:eastAsia="HiddenHorzOCR" w:cs="HiddenHorzOCR"/>
          <w:lang w:val="es-MX"/>
        </w:rPr>
        <w:t xml:space="preserve">9.- </w:t>
      </w:r>
      <w:r w:rsidRPr="009E6ED2">
        <w:rPr>
          <w:lang w:val="es-MX"/>
        </w:rPr>
        <w:t xml:space="preserve">Los escritos que </w:t>
      </w:r>
      <w:r w:rsidRPr="009E6ED2">
        <w:rPr>
          <w:rFonts w:eastAsia="HiddenHorzOCR" w:cs="HiddenHorzOCR"/>
          <w:lang w:val="es-MX"/>
        </w:rPr>
        <w:t xml:space="preserve">presenten las partes a los terceros se </w:t>
      </w:r>
      <w:r w:rsidRPr="009E6ED2">
        <w:rPr>
          <w:iCs/>
          <w:lang w:val="es-MX"/>
        </w:rPr>
        <w:t>proveerán</w:t>
      </w:r>
      <w:r w:rsidRPr="009E6ED2">
        <w:rPr>
          <w:i/>
          <w:iCs/>
          <w:lang w:val="es-MX"/>
        </w:rPr>
        <w:t xml:space="preserve"> </w:t>
      </w:r>
      <w:r w:rsidRPr="009E6ED2">
        <w:rPr>
          <w:lang w:val="es-MX"/>
        </w:rPr>
        <w:t xml:space="preserve">dentro </w:t>
      </w:r>
      <w:r w:rsidRPr="009E6ED2">
        <w:rPr>
          <w:rFonts w:eastAsia="HiddenHorzOCR" w:cs="HiddenHorzOCR"/>
          <w:lang w:val="es-MX"/>
        </w:rPr>
        <w:t>de las</w:t>
      </w:r>
      <w:r w:rsidRPr="009E6ED2">
        <w:rPr>
          <w:lang w:val="es-MX"/>
        </w:rPr>
        <w:t xml:space="preserve"> 48 horas siguientes a su recepción bajo responsabilidad. (expediente de prueba, anexo 2 del trámite ante la CIDH, folio 720)</w:t>
      </w:r>
      <w:r>
        <w:rPr>
          <w:lang w:val="es-MX"/>
        </w:rPr>
        <w:t>.</w:t>
      </w:r>
    </w:p>
  </w:footnote>
  <w:footnote w:id="254">
    <w:p w14:paraId="4F54AB38" w14:textId="6C21C382" w:rsidR="00D86616" w:rsidRPr="00E66DD7" w:rsidRDefault="00D86616" w:rsidP="006A2D03">
      <w:pPr>
        <w:pStyle w:val="NormalWeb"/>
        <w:spacing w:before="0" w:beforeAutospacing="0" w:after="0" w:afterAutospacing="0"/>
        <w:jc w:val="both"/>
        <w:rPr>
          <w:rFonts w:ascii="Verdana" w:hAnsi="Verdana"/>
          <w:color w:val="000000"/>
          <w:sz w:val="16"/>
          <w:szCs w:val="16"/>
          <w:lang w:val="es-EC"/>
        </w:rPr>
      </w:pPr>
      <w:r w:rsidRPr="00E66DD7">
        <w:rPr>
          <w:rStyle w:val="FootnoteReference"/>
          <w:sz w:val="16"/>
          <w:szCs w:val="16"/>
        </w:rPr>
        <w:footnoteRef/>
      </w:r>
      <w:r w:rsidRPr="00E66DD7">
        <w:rPr>
          <w:sz w:val="16"/>
          <w:szCs w:val="16"/>
        </w:rPr>
        <w:t xml:space="preserve"> </w:t>
      </w:r>
      <w:r w:rsidRPr="00E66DD7">
        <w:rPr>
          <w:sz w:val="16"/>
          <w:szCs w:val="16"/>
        </w:rPr>
        <w:tab/>
      </w:r>
      <w:r w:rsidRPr="00F77B70">
        <w:rPr>
          <w:rFonts w:ascii="Verdana" w:hAnsi="Verdana"/>
          <w:i/>
          <w:sz w:val="16"/>
          <w:szCs w:val="16"/>
          <w:lang w:val="es-EC"/>
        </w:rPr>
        <w:t>Cfr.</w:t>
      </w:r>
      <w:r w:rsidRPr="00E66DD7">
        <w:rPr>
          <w:rFonts w:ascii="Verdana" w:hAnsi="Verdana"/>
          <w:sz w:val="16"/>
          <w:szCs w:val="16"/>
          <w:lang w:val="es-EC"/>
        </w:rPr>
        <w:t xml:space="preserve"> Congreso de la República de Perú. Constitución Política del Perú 12 de julio de 1979. </w:t>
      </w:r>
      <w:r w:rsidRPr="00E66DD7">
        <w:rPr>
          <w:rFonts w:ascii="Verdana" w:hAnsi="Verdana"/>
          <w:bCs/>
          <w:color w:val="000000"/>
          <w:sz w:val="16"/>
          <w:szCs w:val="16"/>
          <w:lang w:val="es-EC"/>
        </w:rPr>
        <w:t>Artículo 295.</w:t>
      </w:r>
      <w:r w:rsidRPr="00E66DD7">
        <w:rPr>
          <w:rFonts w:ascii="Verdana" w:hAnsi="Verdana"/>
          <w:bCs/>
          <w:color w:val="000000"/>
          <w:sz w:val="16"/>
          <w:szCs w:val="16"/>
          <w:lang w:val="es-EC"/>
        </w:rPr>
        <w:softHyphen/>
      </w:r>
      <w:r w:rsidRPr="00E66DD7">
        <w:rPr>
          <w:rFonts w:ascii="Verdana" w:hAnsi="Verdana"/>
          <w:color w:val="000000"/>
          <w:sz w:val="16"/>
          <w:szCs w:val="16"/>
          <w:lang w:val="es-EC"/>
        </w:rPr>
        <w:t xml:space="preserve"> La acción de amparo cautela los derechos reconocidos por la Constitución que sean vulnerados o amenazados por cualquier autoridad, funcionario o persona. La acción de amparo tiene el mismo trámite que la acción de habeas corpus en los que es aplicable.</w:t>
      </w:r>
    </w:p>
  </w:footnote>
  <w:footnote w:id="255">
    <w:p w14:paraId="7E395623" w14:textId="1B45AD8F" w:rsidR="00D86616" w:rsidRPr="00474F8F" w:rsidRDefault="00D86616" w:rsidP="006A2D03">
      <w:pPr>
        <w:contextualSpacing/>
        <w:jc w:val="both"/>
        <w:rPr>
          <w:rFonts w:ascii="Verdana" w:hAnsi="Verdana" w:cs="Verdana"/>
          <w:color w:val="000000"/>
          <w:sz w:val="16"/>
          <w:szCs w:val="16"/>
        </w:rPr>
      </w:pPr>
      <w:r w:rsidRPr="00E66DD7">
        <w:rPr>
          <w:rStyle w:val="FootnoteReference"/>
          <w:sz w:val="16"/>
          <w:szCs w:val="16"/>
        </w:rPr>
        <w:footnoteRef/>
      </w:r>
      <w:r w:rsidRPr="00E66DD7">
        <w:rPr>
          <w:sz w:val="16"/>
          <w:szCs w:val="16"/>
        </w:rPr>
        <w:t xml:space="preserve"> </w:t>
      </w:r>
      <w:r w:rsidRPr="00E66DD7">
        <w:rPr>
          <w:sz w:val="16"/>
          <w:szCs w:val="16"/>
          <w:lang w:val="es-CR"/>
        </w:rPr>
        <w:tab/>
      </w:r>
      <w:r w:rsidRPr="00E66DD7">
        <w:rPr>
          <w:rFonts w:ascii="Verdana" w:hAnsi="Verdana"/>
          <w:sz w:val="16"/>
          <w:szCs w:val="16"/>
          <w:lang w:val="es-EC"/>
        </w:rPr>
        <w:t>El Tribunal ha resaltado que la obligación del artículo 25 supone</w:t>
      </w:r>
      <w:r w:rsidRPr="00E66DD7">
        <w:rPr>
          <w:rFonts w:ascii="Verdana" w:hAnsi="Verdana"/>
          <w:sz w:val="16"/>
          <w:szCs w:val="16"/>
        </w:rPr>
        <w:t xml:space="preserve"> </w:t>
      </w:r>
      <w:r w:rsidRPr="00E66DD7">
        <w:rPr>
          <w:rFonts w:ascii="Verdana" w:hAnsi="Verdana" w:cs="TimesNewRomanPSMT"/>
          <w:sz w:val="16"/>
          <w:szCs w:val="16"/>
          <w:lang w:val="es-EC"/>
        </w:rPr>
        <w:t xml:space="preserve">que el recurso sea “adecuado”, lo cual significa que la función de éste dentro del sistema del </w:t>
      </w:r>
      <w:r w:rsidRPr="00E66DD7">
        <w:rPr>
          <w:rFonts w:ascii="Verdana" w:hAnsi="Verdana"/>
          <w:sz w:val="16"/>
          <w:szCs w:val="16"/>
          <w:lang w:val="es-EC"/>
        </w:rPr>
        <w:t>derecho</w:t>
      </w:r>
      <w:r w:rsidRPr="00E66DD7">
        <w:rPr>
          <w:rFonts w:ascii="Verdana" w:hAnsi="Verdana"/>
          <w:sz w:val="16"/>
          <w:szCs w:val="16"/>
        </w:rPr>
        <w:t xml:space="preserve"> </w:t>
      </w:r>
      <w:r w:rsidRPr="00E66DD7">
        <w:rPr>
          <w:rFonts w:ascii="Verdana" w:hAnsi="Verdana"/>
          <w:sz w:val="16"/>
          <w:szCs w:val="16"/>
          <w:lang w:val="es-EC"/>
        </w:rPr>
        <w:t>interno debe ser “idónea” para proteger la situación jurídica infringida</w:t>
      </w:r>
      <w:r w:rsidRPr="00E66DD7">
        <w:rPr>
          <w:rStyle w:val="FootnoteReference"/>
          <w:sz w:val="16"/>
          <w:szCs w:val="16"/>
          <w:lang w:val="es-EC"/>
        </w:rPr>
        <w:footnoteRef/>
      </w:r>
      <w:r w:rsidRPr="00E66DD7">
        <w:rPr>
          <w:rFonts w:ascii="Verdana" w:hAnsi="Verdana"/>
          <w:sz w:val="16"/>
          <w:szCs w:val="16"/>
          <w:lang w:val="es-EC"/>
        </w:rPr>
        <w:t xml:space="preserve">. </w:t>
      </w:r>
      <w:r w:rsidRPr="009E6ED2">
        <w:rPr>
          <w:rFonts w:ascii="Verdana" w:hAnsi="Verdana"/>
          <w:i/>
          <w:sz w:val="16"/>
          <w:szCs w:val="16"/>
        </w:rPr>
        <w:t xml:space="preserve">Cfr. </w:t>
      </w:r>
      <w:r w:rsidRPr="009E6ED2">
        <w:rPr>
          <w:rFonts w:ascii="Verdana" w:hAnsi="Verdana"/>
          <w:i/>
          <w:iCs/>
          <w:sz w:val="16"/>
          <w:szCs w:val="16"/>
          <w:lang w:val="es-EC"/>
        </w:rPr>
        <w:t>Caso Velásquez Rodríguez vs. Honduras</w:t>
      </w:r>
      <w:r w:rsidRPr="009E6ED2">
        <w:rPr>
          <w:rFonts w:ascii="Verdana" w:hAnsi="Verdana"/>
          <w:i/>
          <w:sz w:val="16"/>
          <w:szCs w:val="16"/>
          <w:lang w:val="es-EC"/>
        </w:rPr>
        <w:t>, supra</w:t>
      </w:r>
      <w:r>
        <w:rPr>
          <w:rFonts w:ascii="Verdana" w:hAnsi="Verdana"/>
          <w:i/>
          <w:sz w:val="16"/>
          <w:szCs w:val="16"/>
          <w:lang w:val="es-EC"/>
        </w:rPr>
        <w:t>,</w:t>
      </w:r>
      <w:r w:rsidRPr="00E66DD7">
        <w:rPr>
          <w:rFonts w:ascii="Verdana" w:hAnsi="Verdana"/>
          <w:i/>
          <w:iCs/>
          <w:sz w:val="16"/>
          <w:szCs w:val="16"/>
          <w:lang w:val="es-EC"/>
        </w:rPr>
        <w:t xml:space="preserve"> </w:t>
      </w:r>
      <w:r w:rsidRPr="00E66DD7">
        <w:rPr>
          <w:rFonts w:ascii="Verdana" w:hAnsi="Verdana"/>
          <w:sz w:val="16"/>
          <w:szCs w:val="16"/>
          <w:lang w:val="es-EC"/>
        </w:rPr>
        <w:t xml:space="preserve">párr. 64, y </w:t>
      </w:r>
      <w:r w:rsidRPr="009E6ED2">
        <w:rPr>
          <w:rFonts w:ascii="Verdana" w:hAnsi="Verdana"/>
          <w:bCs/>
          <w:i/>
          <w:iCs/>
          <w:sz w:val="16"/>
          <w:szCs w:val="16"/>
        </w:rPr>
        <w:t xml:space="preserve">Caso </w:t>
      </w:r>
      <w:r w:rsidRPr="00333304">
        <w:rPr>
          <w:rFonts w:ascii="Verdana" w:hAnsi="Verdana"/>
          <w:bCs/>
          <w:i/>
          <w:iCs/>
          <w:sz w:val="16"/>
          <w:szCs w:val="16"/>
        </w:rPr>
        <w:t>Maldonado Ordóñez Vs. Guatemala. Excepción Preliminar, Fondo, Reparaciones y Costas.</w:t>
      </w:r>
      <w:r w:rsidRPr="00333304">
        <w:rPr>
          <w:rFonts w:ascii="Verdana" w:hAnsi="Verdana"/>
          <w:bCs/>
          <w:iCs/>
          <w:sz w:val="16"/>
          <w:szCs w:val="16"/>
        </w:rPr>
        <w:t xml:space="preserve"> Sentencia de 3 de mayo de </w:t>
      </w:r>
      <w:r w:rsidRPr="00474F8F">
        <w:rPr>
          <w:rFonts w:ascii="Verdana" w:hAnsi="Verdana"/>
          <w:bCs/>
          <w:iCs/>
          <w:sz w:val="16"/>
          <w:szCs w:val="16"/>
        </w:rPr>
        <w:t>2016. Serie C No. 311</w:t>
      </w:r>
      <w:r>
        <w:rPr>
          <w:rFonts w:ascii="Verdana" w:hAnsi="Verdana"/>
          <w:bCs/>
          <w:iCs/>
          <w:sz w:val="16"/>
          <w:szCs w:val="16"/>
        </w:rPr>
        <w:t>, párr. 109.</w:t>
      </w:r>
    </w:p>
  </w:footnote>
  <w:footnote w:id="256">
    <w:p w14:paraId="78AA71E6" w14:textId="58C93B8E" w:rsidR="00D86616" w:rsidRPr="009E6ED2" w:rsidRDefault="00D86616" w:rsidP="006A2D03">
      <w:pPr>
        <w:pStyle w:val="FootnoteText"/>
        <w:spacing w:after="0"/>
        <w:rPr>
          <w:lang w:val="es-MX"/>
        </w:rPr>
      </w:pPr>
      <w:r w:rsidRPr="00E66DD7">
        <w:rPr>
          <w:rStyle w:val="FootnoteReference"/>
          <w:sz w:val="16"/>
        </w:rPr>
        <w:footnoteRef/>
      </w:r>
      <w:r w:rsidRPr="009E6ED2">
        <w:rPr>
          <w:lang w:val="es-MX"/>
        </w:rPr>
        <w:t xml:space="preserve"> </w:t>
      </w:r>
      <w:r w:rsidRPr="009E6ED2">
        <w:rPr>
          <w:lang w:val="es-MX"/>
        </w:rPr>
        <w:tab/>
      </w:r>
      <w:r w:rsidRPr="009E6ED2">
        <w:rPr>
          <w:i/>
          <w:lang w:val="es-MX"/>
        </w:rPr>
        <w:t>Cfr. Caso Duque Vs. Colombia. supra</w:t>
      </w:r>
      <w:r w:rsidRPr="009E6ED2">
        <w:rPr>
          <w:lang w:val="es-MX"/>
        </w:rPr>
        <w:t xml:space="preserve">, párr. 96, y </w:t>
      </w:r>
      <w:r w:rsidRPr="009E6ED2">
        <w:rPr>
          <w:bCs/>
          <w:i/>
          <w:lang w:val="es-ES_tradnl"/>
        </w:rPr>
        <w:t xml:space="preserve">Caso Favela Nova </w:t>
      </w:r>
      <w:proofErr w:type="spellStart"/>
      <w:r w:rsidRPr="009E6ED2">
        <w:rPr>
          <w:bCs/>
          <w:i/>
          <w:lang w:val="es-ES_tradnl"/>
        </w:rPr>
        <w:t>Brasília</w:t>
      </w:r>
      <w:proofErr w:type="spellEnd"/>
      <w:r w:rsidRPr="009E6ED2">
        <w:rPr>
          <w:bCs/>
          <w:i/>
          <w:lang w:val="es-ES_tradnl"/>
        </w:rPr>
        <w:t xml:space="preserve"> Vs. Brasil, supra</w:t>
      </w:r>
      <w:r w:rsidRPr="00333304">
        <w:rPr>
          <w:bCs/>
          <w:lang w:val="es-ES_tradnl"/>
        </w:rPr>
        <w:t>,</w:t>
      </w:r>
      <w:r w:rsidRPr="00843EB1">
        <w:rPr>
          <w:bCs/>
          <w:lang w:val="es-ES_tradnl"/>
        </w:rPr>
        <w:t xml:space="preserve"> p</w:t>
      </w:r>
      <w:r>
        <w:rPr>
          <w:bCs/>
          <w:lang w:val="es-ES_tradnl"/>
        </w:rPr>
        <w:t>árr. 233.</w:t>
      </w:r>
      <w:r w:rsidRPr="009E6ED2">
        <w:rPr>
          <w:lang w:val="es-MX"/>
        </w:rPr>
        <w:t xml:space="preserve">   </w:t>
      </w:r>
    </w:p>
  </w:footnote>
  <w:footnote w:id="257">
    <w:p w14:paraId="3DE0880E" w14:textId="67E34908" w:rsidR="00D86616" w:rsidRPr="00E66DD7" w:rsidRDefault="00D86616" w:rsidP="006A2D03">
      <w:pPr>
        <w:autoSpaceDE w:val="0"/>
        <w:autoSpaceDN w:val="0"/>
        <w:adjustRightInd w:val="0"/>
        <w:jc w:val="both"/>
        <w:rPr>
          <w:rFonts w:ascii="Verdana" w:hAnsi="Verdana"/>
          <w:sz w:val="16"/>
          <w:szCs w:val="16"/>
        </w:rPr>
      </w:pPr>
      <w:r w:rsidRPr="00E66DD7">
        <w:rPr>
          <w:rStyle w:val="FootnoteReference"/>
          <w:sz w:val="16"/>
          <w:szCs w:val="16"/>
        </w:rPr>
        <w:footnoteRef/>
      </w:r>
      <w:r w:rsidRPr="00E66DD7">
        <w:rPr>
          <w:rFonts w:ascii="Verdana" w:hAnsi="Verdana"/>
          <w:sz w:val="16"/>
          <w:szCs w:val="16"/>
        </w:rPr>
        <w:t xml:space="preserve"> </w:t>
      </w:r>
      <w:r w:rsidRPr="00E66DD7">
        <w:rPr>
          <w:rFonts w:ascii="Verdana" w:hAnsi="Verdana"/>
          <w:sz w:val="16"/>
          <w:szCs w:val="16"/>
        </w:rPr>
        <w:tab/>
        <w:t xml:space="preserve">Ver por ejemplo, </w:t>
      </w:r>
      <w:r w:rsidRPr="00E66DD7">
        <w:rPr>
          <w:rFonts w:ascii="Verdana" w:hAnsi="Verdana" w:cs="Verdana"/>
          <w:bCs/>
          <w:i/>
          <w:sz w:val="16"/>
          <w:szCs w:val="16"/>
          <w:lang w:eastAsia="es-MX"/>
        </w:rPr>
        <w:t xml:space="preserve">Caso Trabajadores Cesados del Congreso (Aguado Alfaro y otros) </w:t>
      </w:r>
      <w:r w:rsidRPr="00E66DD7">
        <w:rPr>
          <w:rFonts w:ascii="Verdana" w:hAnsi="Verdana" w:cs="Verdana"/>
          <w:bCs/>
          <w:i/>
          <w:iCs/>
          <w:sz w:val="16"/>
          <w:szCs w:val="16"/>
          <w:lang w:eastAsia="es-MX"/>
        </w:rPr>
        <w:t>Vs</w:t>
      </w:r>
      <w:r w:rsidRPr="00E66DD7">
        <w:rPr>
          <w:rFonts w:ascii="Verdana" w:hAnsi="Verdana" w:cs="Verdana"/>
          <w:bCs/>
          <w:i/>
          <w:sz w:val="16"/>
          <w:szCs w:val="16"/>
          <w:lang w:eastAsia="es-MX"/>
        </w:rPr>
        <w:t>. Perú</w:t>
      </w:r>
      <w:r>
        <w:rPr>
          <w:rFonts w:ascii="Verdana" w:hAnsi="Verdana" w:cs="Verdana"/>
          <w:bCs/>
          <w:i/>
          <w:sz w:val="16"/>
          <w:szCs w:val="16"/>
          <w:lang w:eastAsia="es-MX"/>
        </w:rPr>
        <w:t>,</w:t>
      </w:r>
      <w:r w:rsidRPr="00E66DD7">
        <w:rPr>
          <w:rFonts w:ascii="Verdana" w:hAnsi="Verdana" w:cs="Verdana"/>
          <w:bCs/>
          <w:i/>
          <w:sz w:val="16"/>
          <w:szCs w:val="16"/>
          <w:lang w:eastAsia="es-MX"/>
        </w:rPr>
        <w:t xml:space="preserve"> </w:t>
      </w:r>
      <w:r>
        <w:rPr>
          <w:rFonts w:ascii="Verdana" w:hAnsi="Verdana" w:cs="Verdana"/>
          <w:bCs/>
          <w:i/>
          <w:iCs/>
          <w:sz w:val="16"/>
          <w:szCs w:val="16"/>
          <w:lang w:eastAsia="es-MX"/>
        </w:rPr>
        <w:t>supra,</w:t>
      </w:r>
      <w:r w:rsidRPr="00E66DD7">
        <w:rPr>
          <w:rFonts w:ascii="Verdana" w:hAnsi="Verdana" w:cs="Verdana"/>
          <w:bCs/>
          <w:sz w:val="16"/>
          <w:szCs w:val="16"/>
          <w:lang w:eastAsia="es-MX"/>
        </w:rPr>
        <w:t xml:space="preserve"> </w:t>
      </w:r>
      <w:r>
        <w:rPr>
          <w:rFonts w:ascii="Verdana" w:hAnsi="Verdana" w:cs="Verdana"/>
          <w:bCs/>
          <w:sz w:val="16"/>
          <w:szCs w:val="16"/>
          <w:lang w:eastAsia="es-MX"/>
        </w:rPr>
        <w:t>pá</w:t>
      </w:r>
      <w:r w:rsidRPr="00E66DD7">
        <w:rPr>
          <w:rFonts w:ascii="Verdana" w:hAnsi="Verdana" w:cs="Verdana"/>
          <w:bCs/>
          <w:sz w:val="16"/>
          <w:szCs w:val="16"/>
          <w:lang w:eastAsia="es-MX"/>
        </w:rPr>
        <w:t>rr. 89.2</w:t>
      </w:r>
      <w:r>
        <w:rPr>
          <w:rFonts w:ascii="Verdana" w:hAnsi="Verdana" w:cs="Verdana"/>
          <w:bCs/>
          <w:sz w:val="16"/>
          <w:szCs w:val="16"/>
          <w:lang w:eastAsia="es-MX"/>
        </w:rPr>
        <w:t>.</w:t>
      </w:r>
      <w:r w:rsidRPr="00E66DD7">
        <w:rPr>
          <w:rFonts w:ascii="Verdana" w:hAnsi="Verdana" w:cs="Verdana"/>
          <w:bCs/>
          <w:sz w:val="16"/>
          <w:szCs w:val="16"/>
          <w:lang w:eastAsia="es-MX"/>
        </w:rPr>
        <w:t xml:space="preserve"> </w:t>
      </w:r>
      <w:r w:rsidRPr="00E66DD7">
        <w:rPr>
          <w:rStyle w:val="st1"/>
          <w:rFonts w:ascii="Verdana" w:hAnsi="Verdana" w:cs="Arial"/>
          <w:color w:val="000000"/>
          <w:sz w:val="16"/>
          <w:szCs w:val="16"/>
          <w:lang w:val="es-CR"/>
        </w:rPr>
        <w:t>“</w:t>
      </w:r>
      <w:r w:rsidRPr="00E66DD7">
        <w:rPr>
          <w:rFonts w:ascii="Verdana" w:hAnsi="Verdana" w:cs="Verdana"/>
          <w:sz w:val="16"/>
          <w:szCs w:val="16"/>
          <w:lang w:eastAsia="es-MX"/>
        </w:rPr>
        <w:t>El 5 de abril de 1992 el Presidente Fujimori transmitió el “Manifiesto</w:t>
      </w:r>
      <w:r w:rsidRPr="00E66DD7">
        <w:rPr>
          <w:rFonts w:ascii="Verdana" w:hAnsi="Verdana" w:cs="Verdana"/>
          <w:bCs/>
          <w:sz w:val="16"/>
          <w:szCs w:val="16"/>
          <w:lang w:eastAsia="es-MX"/>
        </w:rPr>
        <w:t xml:space="preserve"> </w:t>
      </w:r>
      <w:r w:rsidRPr="00E66DD7">
        <w:rPr>
          <w:rFonts w:ascii="Verdana" w:hAnsi="Verdana" w:cs="Verdana"/>
          <w:sz w:val="16"/>
          <w:szCs w:val="16"/>
          <w:lang w:eastAsia="es-MX"/>
        </w:rPr>
        <w:t xml:space="preserve">a la Nación” en el cual expresó, </w:t>
      </w:r>
      <w:r w:rsidRPr="00F77B70">
        <w:rPr>
          <w:rFonts w:ascii="Verdana" w:hAnsi="Verdana" w:cs="Verdana"/>
          <w:i/>
          <w:iCs/>
          <w:sz w:val="16"/>
          <w:szCs w:val="16"/>
          <w:lang w:eastAsia="es-MX"/>
        </w:rPr>
        <w:t xml:space="preserve">inter </w:t>
      </w:r>
      <w:proofErr w:type="spellStart"/>
      <w:r w:rsidRPr="00F77B70">
        <w:rPr>
          <w:rFonts w:ascii="Verdana" w:hAnsi="Verdana" w:cs="Verdana"/>
          <w:i/>
          <w:iCs/>
          <w:sz w:val="16"/>
          <w:szCs w:val="16"/>
          <w:lang w:eastAsia="es-MX"/>
        </w:rPr>
        <w:t>alia</w:t>
      </w:r>
      <w:proofErr w:type="spellEnd"/>
      <w:r w:rsidRPr="00E66DD7">
        <w:rPr>
          <w:rFonts w:ascii="Verdana" w:hAnsi="Verdana" w:cs="Verdana"/>
          <w:sz w:val="16"/>
          <w:szCs w:val="16"/>
          <w:lang w:eastAsia="es-MX"/>
        </w:rPr>
        <w:t>, que se sentía “en la responsabilidad de</w:t>
      </w:r>
      <w:r w:rsidRPr="00E66DD7">
        <w:rPr>
          <w:rFonts w:ascii="Verdana" w:hAnsi="Verdana" w:cs="Verdana"/>
          <w:bCs/>
          <w:sz w:val="16"/>
          <w:szCs w:val="16"/>
          <w:lang w:eastAsia="es-MX"/>
        </w:rPr>
        <w:t xml:space="preserve"> </w:t>
      </w:r>
      <w:r w:rsidRPr="00E66DD7">
        <w:rPr>
          <w:rFonts w:ascii="Verdana" w:hAnsi="Verdana" w:cs="Verdana"/>
          <w:sz w:val="16"/>
          <w:szCs w:val="16"/>
          <w:lang w:eastAsia="es-MX"/>
        </w:rPr>
        <w:t>asumir una actitud de excepción para procurar aligerar el proceso de […]</w:t>
      </w:r>
      <w:r w:rsidRPr="00E66DD7">
        <w:rPr>
          <w:rFonts w:ascii="Verdana" w:hAnsi="Verdana" w:cs="Verdana"/>
          <w:bCs/>
          <w:sz w:val="16"/>
          <w:szCs w:val="16"/>
          <w:lang w:eastAsia="es-MX"/>
        </w:rPr>
        <w:t xml:space="preserve"> </w:t>
      </w:r>
      <w:r w:rsidRPr="00E66DD7">
        <w:rPr>
          <w:rFonts w:ascii="Verdana" w:hAnsi="Verdana" w:cs="Verdana"/>
          <w:sz w:val="16"/>
          <w:szCs w:val="16"/>
          <w:lang w:eastAsia="es-MX"/>
        </w:rPr>
        <w:t xml:space="preserve">reconstrucción nacional, por lo que […] </w:t>
      </w:r>
      <w:proofErr w:type="spellStart"/>
      <w:r w:rsidRPr="00E66DD7">
        <w:rPr>
          <w:rFonts w:ascii="Verdana" w:hAnsi="Verdana" w:cs="Verdana"/>
          <w:sz w:val="16"/>
          <w:szCs w:val="16"/>
          <w:lang w:eastAsia="es-MX"/>
        </w:rPr>
        <w:t>decidi</w:t>
      </w:r>
      <w:proofErr w:type="spellEnd"/>
      <w:r w:rsidRPr="00E66DD7">
        <w:rPr>
          <w:rFonts w:ascii="Verdana" w:hAnsi="Verdana" w:cs="Verdana"/>
          <w:sz w:val="16"/>
          <w:szCs w:val="16"/>
          <w:lang w:eastAsia="es-MX"/>
        </w:rPr>
        <w:t>[</w:t>
      </w:r>
      <w:proofErr w:type="spellStart"/>
      <w:r w:rsidRPr="00E66DD7">
        <w:rPr>
          <w:rFonts w:ascii="Verdana" w:hAnsi="Verdana" w:cs="Verdana"/>
          <w:sz w:val="16"/>
          <w:szCs w:val="16"/>
          <w:lang w:eastAsia="es-MX"/>
        </w:rPr>
        <w:t>ó</w:t>
      </w:r>
      <w:proofErr w:type="spellEnd"/>
      <w:r w:rsidRPr="00E66DD7">
        <w:rPr>
          <w:rFonts w:ascii="Verdana" w:hAnsi="Verdana" w:cs="Verdana"/>
          <w:sz w:val="16"/>
          <w:szCs w:val="16"/>
          <w:lang w:eastAsia="es-MX"/>
        </w:rPr>
        <w:t>] […] disolver temporalmente el</w:t>
      </w:r>
      <w:r w:rsidRPr="00E66DD7">
        <w:rPr>
          <w:rFonts w:ascii="Verdana" w:hAnsi="Verdana" w:cs="Verdana"/>
          <w:bCs/>
          <w:sz w:val="16"/>
          <w:szCs w:val="16"/>
          <w:lang w:eastAsia="es-MX"/>
        </w:rPr>
        <w:t xml:space="preserve"> </w:t>
      </w:r>
      <w:r w:rsidRPr="00E66DD7">
        <w:rPr>
          <w:rFonts w:ascii="Verdana" w:hAnsi="Verdana" w:cs="Verdana"/>
          <w:sz w:val="16"/>
          <w:szCs w:val="16"/>
          <w:lang w:eastAsia="es-MX"/>
        </w:rPr>
        <w:t>Congreso de la República […] modernizar la administración pública [y] reorganizar</w:t>
      </w:r>
      <w:r w:rsidRPr="00E66DD7">
        <w:rPr>
          <w:rFonts w:ascii="Verdana" w:hAnsi="Verdana" w:cs="Verdana"/>
          <w:bCs/>
          <w:sz w:val="16"/>
          <w:szCs w:val="16"/>
          <w:lang w:eastAsia="es-MX"/>
        </w:rPr>
        <w:t xml:space="preserve"> </w:t>
      </w:r>
      <w:r w:rsidRPr="00E66DD7">
        <w:rPr>
          <w:rFonts w:ascii="Verdana" w:hAnsi="Verdana" w:cs="Verdana"/>
          <w:sz w:val="16"/>
          <w:szCs w:val="16"/>
          <w:lang w:eastAsia="es-MX"/>
        </w:rPr>
        <w:t>totalmente el Poder Judicial”</w:t>
      </w:r>
      <w:r>
        <w:rPr>
          <w:rFonts w:ascii="Verdana" w:hAnsi="Verdana" w:cs="Verdana"/>
          <w:sz w:val="16"/>
          <w:szCs w:val="16"/>
          <w:lang w:eastAsia="es-MX"/>
        </w:rPr>
        <w:t>.</w:t>
      </w:r>
    </w:p>
  </w:footnote>
  <w:footnote w:id="258">
    <w:p w14:paraId="69D05288" w14:textId="1E260A00" w:rsidR="00D86616" w:rsidRPr="009E6ED2" w:rsidRDefault="00D86616" w:rsidP="006A2D03">
      <w:pPr>
        <w:pStyle w:val="FootnoteText"/>
        <w:spacing w:after="0"/>
        <w:rPr>
          <w:lang w:val="es-MX"/>
        </w:rPr>
      </w:pPr>
      <w:r w:rsidRPr="00E66DD7">
        <w:rPr>
          <w:rStyle w:val="FootnoteReference"/>
          <w:sz w:val="16"/>
        </w:rPr>
        <w:footnoteRef/>
      </w:r>
      <w:r w:rsidRPr="009E6ED2">
        <w:rPr>
          <w:lang w:val="es-MX"/>
        </w:rPr>
        <w:t xml:space="preserve"> </w:t>
      </w:r>
      <w:r w:rsidRPr="009E6ED2">
        <w:rPr>
          <w:lang w:val="es-MX"/>
        </w:rPr>
        <w:tab/>
        <w:t xml:space="preserve">Artículo 46.2. Las disposiciones de los incisos 1.a. y 1.b. del presente artículo no se aplicarán cuando: </w:t>
      </w:r>
    </w:p>
    <w:p w14:paraId="77FB1640" w14:textId="77777777" w:rsidR="00D86616" w:rsidRPr="009E6ED2" w:rsidRDefault="00D86616" w:rsidP="006A2D03">
      <w:pPr>
        <w:pStyle w:val="FootnoteText"/>
        <w:spacing w:after="0"/>
        <w:rPr>
          <w:lang w:val="es-MX"/>
        </w:rPr>
      </w:pPr>
      <w:r w:rsidRPr="009E6ED2">
        <w:rPr>
          <w:lang w:val="es-MX"/>
        </w:rPr>
        <w:t xml:space="preserve"> a) no exista en la legislación interna del Estado de que se trata el debido proceso legal para la protección del derecho o derechos que se alega han sido violados; </w:t>
      </w:r>
    </w:p>
    <w:p w14:paraId="76919633" w14:textId="77777777" w:rsidR="00D86616" w:rsidRPr="009E6ED2" w:rsidRDefault="00D86616" w:rsidP="006A2D03">
      <w:pPr>
        <w:pStyle w:val="FootnoteText"/>
        <w:spacing w:after="0"/>
        <w:rPr>
          <w:lang w:val="es-MX"/>
        </w:rPr>
      </w:pPr>
      <w:r w:rsidRPr="009E6ED2">
        <w:rPr>
          <w:lang w:val="es-MX"/>
        </w:rPr>
        <w:t xml:space="preserve"> b) no se haya permitido al presunto lesionado en sus derechos el acceso a los recursos de la jurisdicción interna, o haya sido impedido de agotarlos, y </w:t>
      </w:r>
    </w:p>
    <w:p w14:paraId="4A3C1398" w14:textId="77777777" w:rsidR="00D86616" w:rsidRPr="009E6ED2" w:rsidRDefault="00D86616" w:rsidP="006A2D03">
      <w:pPr>
        <w:pStyle w:val="FootnoteText"/>
        <w:spacing w:after="0"/>
        <w:rPr>
          <w:lang w:val="es-MX"/>
        </w:rPr>
      </w:pPr>
      <w:r w:rsidRPr="009E6ED2">
        <w:rPr>
          <w:lang w:val="es-MX"/>
        </w:rPr>
        <w:t xml:space="preserve"> c) haya retardo injustificado en la decisión sobre los mencionados recursos.</w:t>
      </w:r>
    </w:p>
  </w:footnote>
  <w:footnote w:id="259">
    <w:p w14:paraId="7DC88BCD" w14:textId="613B5806" w:rsidR="00D86616" w:rsidRPr="00E66DD7" w:rsidRDefault="00D86616" w:rsidP="006A2D03">
      <w:pPr>
        <w:widowControl w:val="0"/>
        <w:autoSpaceDE w:val="0"/>
        <w:autoSpaceDN w:val="0"/>
        <w:adjustRightInd w:val="0"/>
        <w:contextualSpacing/>
        <w:jc w:val="both"/>
        <w:rPr>
          <w:rFonts w:ascii="Verdana" w:hAnsi="Verdana" w:cs="Times"/>
          <w:sz w:val="16"/>
          <w:szCs w:val="16"/>
        </w:rPr>
      </w:pPr>
      <w:r w:rsidRPr="00E66DD7">
        <w:rPr>
          <w:rStyle w:val="FootnoteReference"/>
          <w:sz w:val="16"/>
          <w:szCs w:val="16"/>
        </w:rPr>
        <w:footnoteRef/>
      </w:r>
      <w:r w:rsidRPr="00333304">
        <w:rPr>
          <w:rFonts w:ascii="Verdana" w:hAnsi="Verdana"/>
          <w:sz w:val="16"/>
          <w:szCs w:val="16"/>
          <w:lang w:val="pt-BR"/>
        </w:rPr>
        <w:t xml:space="preserve"> </w:t>
      </w:r>
      <w:r w:rsidRPr="00333304">
        <w:rPr>
          <w:rFonts w:ascii="Verdana" w:hAnsi="Verdana"/>
          <w:sz w:val="16"/>
          <w:szCs w:val="16"/>
          <w:lang w:val="pt-BR"/>
        </w:rPr>
        <w:tab/>
      </w:r>
      <w:r w:rsidRPr="009E6ED2">
        <w:rPr>
          <w:rFonts w:ascii="Verdana" w:hAnsi="Verdana" w:cs="Verdana"/>
          <w:i/>
          <w:iCs/>
          <w:sz w:val="16"/>
          <w:szCs w:val="16"/>
          <w:lang w:val="pt-BR"/>
        </w:rPr>
        <w:t>Cfr. Caso del Tribunal Constitucional, supra</w:t>
      </w:r>
      <w:r w:rsidRPr="00333304">
        <w:rPr>
          <w:rFonts w:ascii="Verdana" w:hAnsi="Verdana" w:cs="Verdana"/>
          <w:i/>
          <w:iCs/>
          <w:sz w:val="16"/>
          <w:szCs w:val="16"/>
          <w:lang w:val="pt-BR"/>
        </w:rPr>
        <w:t xml:space="preserve"> </w:t>
      </w:r>
      <w:r w:rsidRPr="00333304">
        <w:rPr>
          <w:rFonts w:ascii="Verdana" w:hAnsi="Verdana" w:cs="Verdana"/>
          <w:sz w:val="16"/>
          <w:szCs w:val="16"/>
          <w:lang w:val="pt-BR"/>
        </w:rPr>
        <w:t xml:space="preserve">párr. 89, </w:t>
      </w:r>
      <w:r>
        <w:rPr>
          <w:rFonts w:ascii="Verdana" w:hAnsi="Verdana" w:cs="Verdana"/>
          <w:sz w:val="16"/>
          <w:szCs w:val="16"/>
          <w:lang w:val="pt-BR"/>
        </w:rPr>
        <w:t xml:space="preserve">y </w:t>
      </w:r>
      <w:r w:rsidRPr="009E6ED2">
        <w:rPr>
          <w:rFonts w:ascii="Verdana" w:hAnsi="Verdana" w:cs="Verdana"/>
          <w:bCs/>
          <w:i/>
          <w:sz w:val="16"/>
          <w:szCs w:val="16"/>
          <w:lang w:val="pt-BR"/>
        </w:rPr>
        <w:t xml:space="preserve">Caso Favela Nova Brasília Vs. </w:t>
      </w:r>
      <w:r w:rsidRPr="009E6ED2">
        <w:rPr>
          <w:rFonts w:ascii="Verdana" w:hAnsi="Verdana" w:cs="Verdana"/>
          <w:bCs/>
          <w:i/>
          <w:sz w:val="16"/>
          <w:szCs w:val="16"/>
        </w:rPr>
        <w:t>Brasil. supra,</w:t>
      </w:r>
      <w:r>
        <w:rPr>
          <w:rFonts w:ascii="Verdana" w:hAnsi="Verdana" w:cs="Verdana"/>
          <w:bCs/>
          <w:i/>
          <w:sz w:val="16"/>
          <w:szCs w:val="16"/>
        </w:rPr>
        <w:t xml:space="preserve"> </w:t>
      </w:r>
      <w:r w:rsidRPr="00474F8F">
        <w:rPr>
          <w:rFonts w:ascii="Verdana" w:hAnsi="Verdana" w:cs="Verdana"/>
          <w:bCs/>
          <w:sz w:val="16"/>
          <w:szCs w:val="16"/>
        </w:rPr>
        <w:t xml:space="preserve">párr. </w:t>
      </w:r>
      <w:r>
        <w:rPr>
          <w:rFonts w:ascii="Verdana" w:hAnsi="Verdana" w:cs="Verdana"/>
          <w:bCs/>
          <w:sz w:val="16"/>
          <w:szCs w:val="16"/>
        </w:rPr>
        <w:t>233</w:t>
      </w:r>
      <w:r w:rsidRPr="00E66DD7">
        <w:rPr>
          <w:rFonts w:ascii="Verdana" w:hAnsi="Verdana" w:cs="Verdana"/>
          <w:sz w:val="16"/>
          <w:szCs w:val="16"/>
        </w:rPr>
        <w:t xml:space="preserve">; y </w:t>
      </w:r>
      <w:r w:rsidRPr="009E6ED2">
        <w:rPr>
          <w:rFonts w:ascii="Verdana" w:hAnsi="Verdana" w:cs="Verdana"/>
          <w:i/>
          <w:iCs/>
          <w:sz w:val="16"/>
          <w:szCs w:val="16"/>
        </w:rPr>
        <w:t xml:space="preserve">Garantías Judiciales en Estados de Emergencia </w:t>
      </w:r>
      <w:r w:rsidRPr="009E6ED2">
        <w:rPr>
          <w:rFonts w:ascii="Verdana" w:hAnsi="Verdana" w:cs="Verdana"/>
          <w:i/>
          <w:sz w:val="16"/>
          <w:szCs w:val="16"/>
        </w:rPr>
        <w:t xml:space="preserve">(arts. 27.2, 25 y 8 Convención Americana sobre Derechos Humanos), OC-9/87, </w:t>
      </w:r>
      <w:r w:rsidRPr="009E6ED2">
        <w:rPr>
          <w:rFonts w:ascii="Verdana" w:hAnsi="Verdana" w:cs="Verdana"/>
          <w:i/>
          <w:iCs/>
          <w:sz w:val="16"/>
          <w:szCs w:val="16"/>
        </w:rPr>
        <w:t>supra</w:t>
      </w:r>
      <w:r w:rsidRPr="00E66DD7">
        <w:rPr>
          <w:rFonts w:ascii="Verdana" w:hAnsi="Verdana" w:cs="Verdana"/>
          <w:sz w:val="16"/>
          <w:szCs w:val="16"/>
        </w:rPr>
        <w:t>, párr. 23</w:t>
      </w:r>
      <w:r>
        <w:rPr>
          <w:rFonts w:ascii="Verdana" w:hAnsi="Verdana" w:cs="Verdana"/>
          <w:sz w:val="16"/>
          <w:szCs w:val="16"/>
        </w:rPr>
        <w:t xml:space="preserve"> a 24.</w:t>
      </w:r>
    </w:p>
  </w:footnote>
  <w:footnote w:id="260">
    <w:p w14:paraId="47626979" w14:textId="77777777" w:rsidR="00D86616" w:rsidRPr="009E6ED2" w:rsidRDefault="00D86616" w:rsidP="006A2D03">
      <w:pPr>
        <w:pStyle w:val="2Footnotes"/>
        <w:spacing w:before="0" w:after="0"/>
        <w:rPr>
          <w:lang w:val="es-MX"/>
        </w:rPr>
      </w:pPr>
      <w:r w:rsidRPr="004C3F47">
        <w:rPr>
          <w:rStyle w:val="FootnoteReference"/>
          <w:rFonts w:eastAsia="Batang"/>
          <w:sz w:val="16"/>
          <w:szCs w:val="16"/>
        </w:rPr>
        <w:footnoteRef/>
      </w:r>
      <w:r w:rsidRPr="009E6ED2">
        <w:rPr>
          <w:lang w:val="es-MX"/>
        </w:rPr>
        <w:t xml:space="preserve"> </w:t>
      </w:r>
      <w:r w:rsidRPr="009E6ED2">
        <w:rPr>
          <w:lang w:val="es-MX"/>
        </w:rPr>
        <w:tab/>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w:t>
      </w:r>
      <w:r w:rsidRPr="009E6ED2">
        <w:rPr>
          <w:lang w:val="es-MX" w:bidi="en-US"/>
        </w:rPr>
        <w:t>lner</w:t>
      </w:r>
      <w:r w:rsidRPr="009E6ED2">
        <w:rPr>
          <w:lang w:val="es-MX"/>
        </w:rPr>
        <w:t>ación de esos derechos y el pago de una justa indemnización a la parte lesionada”.</w:t>
      </w:r>
    </w:p>
  </w:footnote>
  <w:footnote w:id="261">
    <w:p w14:paraId="16CBE290" w14:textId="34DCEAF5" w:rsidR="00D86616" w:rsidRPr="009E6ED2" w:rsidRDefault="00D86616" w:rsidP="006A2D03">
      <w:pPr>
        <w:pStyle w:val="2Footnotes"/>
        <w:spacing w:before="0" w:after="0"/>
        <w:rPr>
          <w:lang w:val="es-MX" w:bidi="en-US"/>
        </w:rPr>
      </w:pPr>
      <w:r w:rsidRPr="004C3F47">
        <w:rPr>
          <w:rStyle w:val="FootnoteReference"/>
          <w:rFonts w:eastAsia="Batang"/>
          <w:sz w:val="16"/>
          <w:szCs w:val="16"/>
        </w:rPr>
        <w:footnoteRef/>
      </w:r>
      <w:r w:rsidRPr="004C3F47">
        <w:rPr>
          <w:lang w:val="es-CL"/>
        </w:rPr>
        <w:tab/>
      </w:r>
      <w:r w:rsidRPr="009E6ED2">
        <w:rPr>
          <w:i/>
          <w:lang w:val="es-MX" w:bidi="en-US"/>
        </w:rPr>
        <w:t>Cfr. Caso Velásquez Rodríguez Vs. Honduras. Reparaciones y Costas.</w:t>
      </w:r>
      <w:r w:rsidRPr="009E6ED2">
        <w:rPr>
          <w:lang w:val="es-MX" w:bidi="en-US"/>
        </w:rPr>
        <w:t xml:space="preserve"> Sentencia de 21 de julio de 1989. Serie C No. 7, párr. 25, y </w:t>
      </w:r>
      <w:r w:rsidRPr="009E6ED2">
        <w:rPr>
          <w:i/>
          <w:lang w:val="es-MX"/>
        </w:rPr>
        <w:t>Caso Acosta y otros Vs. Nicaragua, supra,</w:t>
      </w:r>
      <w:r w:rsidRPr="009E6ED2">
        <w:rPr>
          <w:lang w:val="es-MX"/>
        </w:rPr>
        <w:t xml:space="preserve"> párr. 209.</w:t>
      </w:r>
    </w:p>
  </w:footnote>
  <w:footnote w:id="262">
    <w:p w14:paraId="26BF7712" w14:textId="46AEFF3E" w:rsidR="00D86616" w:rsidRPr="009E6ED2" w:rsidRDefault="00D86616" w:rsidP="006A2D03">
      <w:pPr>
        <w:pStyle w:val="2Footnotes"/>
        <w:spacing w:before="0" w:after="0"/>
        <w:rPr>
          <w:rFonts w:cs="Verdana"/>
          <w:lang w:val="es-MX" w:bidi="en-US"/>
        </w:rPr>
      </w:pPr>
      <w:r w:rsidRPr="004C3F47">
        <w:rPr>
          <w:rStyle w:val="FootnoteReference"/>
          <w:rFonts w:eastAsia="Batang"/>
          <w:sz w:val="16"/>
          <w:szCs w:val="16"/>
          <w:lang w:val="es-EC"/>
        </w:rPr>
        <w:footnoteRef/>
      </w:r>
      <w:r w:rsidRPr="004C3F47">
        <w:rPr>
          <w:lang w:val="es-CL"/>
        </w:rPr>
        <w:tab/>
      </w:r>
      <w:r w:rsidRPr="009E6ED2">
        <w:rPr>
          <w:i/>
          <w:lang w:val="es-MX"/>
        </w:rPr>
        <w:t>Cfr. Caso Ticona Estrada y otros Vs. Bolivia. Fondo, Reparaciones y Costas.</w:t>
      </w:r>
      <w:r w:rsidRPr="009E6ED2">
        <w:rPr>
          <w:lang w:val="es-MX"/>
        </w:rPr>
        <w:t xml:space="preserve"> Sentencia de 27 de noviembre de 2008.</w:t>
      </w:r>
      <w:r>
        <w:rPr>
          <w:lang w:val="es-MX"/>
        </w:rPr>
        <w:t xml:space="preserve"> </w:t>
      </w:r>
      <w:r w:rsidRPr="009E6ED2">
        <w:rPr>
          <w:lang w:val="es-MX"/>
        </w:rPr>
        <w:t>Serie C No. 191, párr. 110</w:t>
      </w:r>
      <w:r w:rsidRPr="004C3F47">
        <w:rPr>
          <w:lang w:val="es-PE"/>
        </w:rPr>
        <w:t xml:space="preserve">, </w:t>
      </w:r>
      <w:r w:rsidRPr="009E6ED2">
        <w:rPr>
          <w:lang w:val="es-MX" w:bidi="en-US"/>
        </w:rPr>
        <w:t xml:space="preserve">y </w:t>
      </w:r>
      <w:r w:rsidRPr="009E6ED2">
        <w:rPr>
          <w:i/>
          <w:lang w:val="es-MX"/>
        </w:rPr>
        <w:t>Caso Acosta y otros Vs. Nicaragua, supra,</w:t>
      </w:r>
      <w:r w:rsidRPr="009E6ED2">
        <w:rPr>
          <w:lang w:val="es-MX"/>
        </w:rPr>
        <w:t xml:space="preserve"> párr. 210.</w:t>
      </w:r>
    </w:p>
  </w:footnote>
  <w:footnote w:id="263">
    <w:p w14:paraId="1A47AF54" w14:textId="3FCB44A1" w:rsidR="00D86616" w:rsidRPr="009E6ED2" w:rsidRDefault="00D86616" w:rsidP="006A2D03">
      <w:pPr>
        <w:pStyle w:val="2Footnotes"/>
        <w:spacing w:before="0" w:after="0"/>
        <w:rPr>
          <w:bCs/>
          <w:lang w:val="es-MX" w:bidi="en-US"/>
        </w:rPr>
      </w:pPr>
      <w:r w:rsidRPr="004C3F47">
        <w:rPr>
          <w:rStyle w:val="FootnoteReference"/>
          <w:rFonts w:eastAsia="MS Mincho"/>
          <w:sz w:val="16"/>
          <w:szCs w:val="16"/>
        </w:rPr>
        <w:footnoteRef/>
      </w:r>
      <w:r w:rsidRPr="009E6ED2">
        <w:rPr>
          <w:lang w:val="es-MX"/>
        </w:rPr>
        <w:t xml:space="preserve"> </w:t>
      </w:r>
      <w:r w:rsidRPr="009E6ED2">
        <w:rPr>
          <w:lang w:val="es-MX"/>
        </w:rPr>
        <w:tab/>
      </w:r>
      <w:r w:rsidRPr="009E6ED2">
        <w:rPr>
          <w:i/>
          <w:lang w:val="es-MX"/>
        </w:rPr>
        <w:t xml:space="preserve">Cfr. </w:t>
      </w:r>
      <w:r w:rsidRPr="009E6ED2">
        <w:rPr>
          <w:i/>
          <w:lang w:val="es-MX" w:bidi="en-US"/>
        </w:rPr>
        <w:t xml:space="preserve">Caso Velásquez Rodríguez Vs. Honduras. </w:t>
      </w:r>
      <w:r w:rsidRPr="009E6ED2">
        <w:rPr>
          <w:i/>
          <w:lang w:val="es-MX"/>
        </w:rPr>
        <w:t xml:space="preserve">Reparaciones, </w:t>
      </w:r>
      <w:r w:rsidRPr="009E6ED2">
        <w:rPr>
          <w:i/>
          <w:lang w:val="es-MX" w:bidi="en-US"/>
        </w:rPr>
        <w:t>supra,</w:t>
      </w:r>
      <w:r w:rsidRPr="009E6ED2">
        <w:rPr>
          <w:lang w:val="es-MX" w:bidi="en-US"/>
        </w:rPr>
        <w:t xml:space="preserve"> párr. 26, </w:t>
      </w:r>
      <w:r w:rsidRPr="009E6ED2">
        <w:rPr>
          <w:bCs/>
          <w:lang w:val="es-MX" w:bidi="en-US"/>
        </w:rPr>
        <w:t>y</w:t>
      </w:r>
      <w:r w:rsidRPr="009E6ED2">
        <w:rPr>
          <w:lang w:val="es-MX" w:bidi="en-US"/>
        </w:rPr>
        <w:t xml:space="preserve"> </w:t>
      </w:r>
      <w:r w:rsidRPr="009E6ED2">
        <w:rPr>
          <w:i/>
          <w:lang w:val="es-MX"/>
        </w:rPr>
        <w:t>Caso Acosta y otros Vs. Nicaragua, supra,</w:t>
      </w:r>
      <w:r w:rsidRPr="009E6ED2">
        <w:rPr>
          <w:lang w:val="es-MX"/>
        </w:rPr>
        <w:t xml:space="preserve"> párr. 210.</w:t>
      </w:r>
    </w:p>
  </w:footnote>
  <w:footnote w:id="264">
    <w:p w14:paraId="5676EE21" w14:textId="1629EE73" w:rsidR="00D86616" w:rsidRPr="009E6ED2" w:rsidRDefault="00D86616" w:rsidP="006A2D03">
      <w:pPr>
        <w:pStyle w:val="2Footnotes"/>
        <w:spacing w:before="0" w:after="0"/>
        <w:rPr>
          <w:lang w:val="es-MX" w:bidi="en-US"/>
        </w:rPr>
      </w:pPr>
      <w:r w:rsidRPr="004C3F47">
        <w:rPr>
          <w:rStyle w:val="FootnoteReference"/>
          <w:sz w:val="16"/>
          <w:szCs w:val="16"/>
        </w:rPr>
        <w:footnoteRef/>
      </w:r>
      <w:r w:rsidRPr="009E6ED2">
        <w:rPr>
          <w:lang w:val="es-MX"/>
        </w:rPr>
        <w:t xml:space="preserve"> </w:t>
      </w:r>
      <w:r w:rsidRPr="009E6ED2">
        <w:rPr>
          <w:lang w:val="es-MX"/>
        </w:rPr>
        <w:tab/>
      </w:r>
      <w:r w:rsidRPr="009E6ED2">
        <w:rPr>
          <w:i/>
          <w:lang w:val="es-MX"/>
        </w:rPr>
        <w:t>Cfr. Caso Velásquez Rodríguez. Reparaciones, supra,</w:t>
      </w:r>
      <w:r w:rsidRPr="009E6ED2">
        <w:rPr>
          <w:lang w:val="es-MX"/>
        </w:rPr>
        <w:t xml:space="preserve"> </w:t>
      </w:r>
      <w:r w:rsidRPr="009E6ED2">
        <w:rPr>
          <w:lang w:val="es-MX" w:bidi="en-US"/>
        </w:rPr>
        <w:t xml:space="preserve">párr. 189, y </w:t>
      </w:r>
      <w:r w:rsidRPr="009E6ED2">
        <w:rPr>
          <w:i/>
          <w:lang w:val="es-MX"/>
        </w:rPr>
        <w:t>Caso Acosta y otros Vs. Nicaragua, supra,</w:t>
      </w:r>
      <w:r w:rsidRPr="009E6ED2">
        <w:rPr>
          <w:lang w:val="es-MX"/>
        </w:rPr>
        <w:t xml:space="preserve"> párr. 211.</w:t>
      </w:r>
    </w:p>
  </w:footnote>
  <w:footnote w:id="265">
    <w:p w14:paraId="44EEE0D7" w14:textId="52134EB1"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 xml:space="preserve">Cfr. </w:t>
      </w:r>
      <w:r w:rsidRPr="009E6ED2">
        <w:rPr>
          <w:rStyle w:val="Strong"/>
          <w:b w:val="0"/>
          <w:i/>
          <w:color w:val="000000"/>
          <w:shd w:val="clear" w:color="auto" w:fill="FFFFFF"/>
          <w:lang w:val="es-CR"/>
        </w:rPr>
        <w:t xml:space="preserve">Caso </w:t>
      </w:r>
      <w:proofErr w:type="spellStart"/>
      <w:r w:rsidRPr="009E6ED2">
        <w:rPr>
          <w:rStyle w:val="Strong"/>
          <w:b w:val="0"/>
          <w:i/>
          <w:color w:val="000000"/>
          <w:shd w:val="clear" w:color="auto" w:fill="FFFFFF"/>
          <w:lang w:val="es-CR"/>
        </w:rPr>
        <w:t>Chitay</w:t>
      </w:r>
      <w:proofErr w:type="spellEnd"/>
      <w:r w:rsidRPr="009E6ED2">
        <w:rPr>
          <w:rStyle w:val="Strong"/>
          <w:b w:val="0"/>
          <w:i/>
          <w:color w:val="000000"/>
          <w:shd w:val="clear" w:color="auto" w:fill="FFFFFF"/>
          <w:lang w:val="es-CR"/>
        </w:rPr>
        <w:t xml:space="preserve"> </w:t>
      </w:r>
      <w:proofErr w:type="spellStart"/>
      <w:r w:rsidRPr="009E6ED2">
        <w:rPr>
          <w:rStyle w:val="Strong"/>
          <w:b w:val="0"/>
          <w:i/>
          <w:color w:val="000000"/>
          <w:shd w:val="clear" w:color="auto" w:fill="FFFFFF"/>
          <w:lang w:val="es-CR"/>
        </w:rPr>
        <w:t>Nech</w:t>
      </w:r>
      <w:proofErr w:type="spellEnd"/>
      <w:r w:rsidRPr="009E6ED2">
        <w:rPr>
          <w:rStyle w:val="Strong"/>
          <w:b w:val="0"/>
          <w:i/>
          <w:color w:val="000000"/>
          <w:shd w:val="clear" w:color="auto" w:fill="FFFFFF"/>
          <w:lang w:val="es-CR"/>
        </w:rPr>
        <w:t xml:space="preserve"> y otros Vs. Guatemala, supra,</w:t>
      </w:r>
      <w:r>
        <w:rPr>
          <w:rStyle w:val="Strong"/>
          <w:b w:val="0"/>
          <w:i/>
          <w:color w:val="000000"/>
          <w:shd w:val="clear" w:color="auto" w:fill="FFFFFF"/>
          <w:lang w:val="es-CR"/>
        </w:rPr>
        <w:t xml:space="preserve"> </w:t>
      </w:r>
      <w:r>
        <w:rPr>
          <w:rStyle w:val="Strong"/>
          <w:b w:val="0"/>
          <w:color w:val="000000"/>
          <w:shd w:val="clear" w:color="auto" w:fill="FFFFFF"/>
          <w:lang w:val="es-CR"/>
        </w:rPr>
        <w:t xml:space="preserve">párr. 244, y </w:t>
      </w:r>
      <w:r w:rsidRPr="009E6ED2">
        <w:rPr>
          <w:i/>
          <w:lang w:val="es-MX"/>
        </w:rPr>
        <w:t>Caso Zegarra Marín Vs. Perú, supra</w:t>
      </w:r>
      <w:r w:rsidRPr="009E6ED2">
        <w:rPr>
          <w:lang w:val="es-MX"/>
        </w:rPr>
        <w:t>, párr. 205.</w:t>
      </w:r>
    </w:p>
  </w:footnote>
  <w:footnote w:id="266">
    <w:p w14:paraId="6D75B009" w14:textId="1A2E7EFD" w:rsidR="00D86616" w:rsidRPr="009E6ED2" w:rsidRDefault="00D86616" w:rsidP="006A2D03">
      <w:pPr>
        <w:pStyle w:val="FootnoteText"/>
        <w:spacing w:after="0"/>
        <w:rPr>
          <w:lang w:val="es-MX"/>
        </w:rPr>
      </w:pPr>
      <w:r w:rsidRPr="004C3F47">
        <w:rPr>
          <w:rStyle w:val="FootnoteReference"/>
          <w:color w:val="000000"/>
          <w:sz w:val="16"/>
        </w:rPr>
        <w:footnoteRef/>
      </w:r>
      <w:r w:rsidRPr="009E6ED2">
        <w:rPr>
          <w:lang w:val="es-MX"/>
        </w:rPr>
        <w:tab/>
        <w:t xml:space="preserve">Este Tribunal ha establecido que el daño material supone “la pérdida o detrimento de los ingresos de las víctimas, los gastos efectuados con motivo de los hechos y las consecuencias de carácter pecuniario que tengan un nexo causal con los hechos del caso”. </w:t>
      </w:r>
      <w:r w:rsidRPr="009E6ED2">
        <w:rPr>
          <w:i/>
          <w:lang w:val="es-MX"/>
        </w:rPr>
        <w:t xml:space="preserve">Caso </w:t>
      </w:r>
      <w:proofErr w:type="spellStart"/>
      <w:r w:rsidRPr="009E6ED2">
        <w:rPr>
          <w:i/>
          <w:lang w:val="es-MX"/>
        </w:rPr>
        <w:t>Bámaca</w:t>
      </w:r>
      <w:proofErr w:type="spellEnd"/>
      <w:r w:rsidRPr="009E6ED2">
        <w:rPr>
          <w:i/>
          <w:lang w:val="es-MX"/>
        </w:rPr>
        <w:t xml:space="preserve"> Velásquez Vs. Guatemala.</w:t>
      </w:r>
      <w:r w:rsidRPr="009E6ED2">
        <w:rPr>
          <w:lang w:val="es-MX"/>
        </w:rPr>
        <w:t xml:space="preserve"> </w:t>
      </w:r>
      <w:r w:rsidRPr="009E6ED2">
        <w:rPr>
          <w:i/>
          <w:lang w:val="es-MX"/>
        </w:rPr>
        <w:t>Reparaciones y Costas.</w:t>
      </w:r>
      <w:r w:rsidRPr="009E6ED2">
        <w:rPr>
          <w:lang w:val="es-MX"/>
        </w:rPr>
        <w:t xml:space="preserve"> Sentencia de 22 de febrero de 2002. Serie C No. 91, párr. 43, </w:t>
      </w:r>
      <w:r w:rsidRPr="009E6ED2">
        <w:rPr>
          <w:i/>
          <w:lang w:val="es-MX"/>
        </w:rPr>
        <w:t>y Caso Acosta y otros Vs. Nicaragua,</w:t>
      </w:r>
      <w:r w:rsidRPr="009E6ED2">
        <w:rPr>
          <w:lang w:val="es-MX"/>
        </w:rPr>
        <w:t xml:space="preserve"> </w:t>
      </w:r>
      <w:r w:rsidRPr="009E6ED2">
        <w:rPr>
          <w:i/>
          <w:lang w:val="es-MX"/>
        </w:rPr>
        <w:t>supra</w:t>
      </w:r>
      <w:r w:rsidRPr="009E6ED2">
        <w:rPr>
          <w:lang w:val="es-MX"/>
        </w:rPr>
        <w:t>, párr. 233.</w:t>
      </w:r>
    </w:p>
  </w:footnote>
  <w:footnote w:id="267">
    <w:p w14:paraId="56EF3970" w14:textId="15759C17" w:rsidR="00D86616" w:rsidRPr="009E6ED2" w:rsidRDefault="00D86616" w:rsidP="006A2D03">
      <w:pPr>
        <w:pStyle w:val="FootnoteText"/>
        <w:spacing w:after="0"/>
        <w:rPr>
          <w:lang w:val="es-MX"/>
        </w:rPr>
      </w:pPr>
      <w:r w:rsidRPr="004C3F47">
        <w:rPr>
          <w:rStyle w:val="FootnoteReference"/>
          <w:color w:val="000000"/>
          <w:sz w:val="16"/>
        </w:rPr>
        <w:footnoteRef/>
      </w:r>
      <w:r w:rsidRPr="009E6ED2">
        <w:rPr>
          <w:lang w:val="es-MX"/>
        </w:rPr>
        <w:tab/>
        <w:t xml:space="preserve">Este Tribunal ha establecido que el daño inmaterial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 </w:t>
      </w:r>
      <w:r w:rsidRPr="009E6ED2">
        <w:rPr>
          <w:i/>
          <w:lang w:val="es-MX"/>
        </w:rPr>
        <w:t>Caso de los Niños de la Calle (Villagrán Morales y otros) Vs. Guatemala</w:t>
      </w:r>
      <w:r w:rsidRPr="009E6ED2">
        <w:rPr>
          <w:lang w:val="es-MX"/>
        </w:rPr>
        <w:t xml:space="preserve">. </w:t>
      </w:r>
      <w:r w:rsidRPr="009E6ED2">
        <w:rPr>
          <w:i/>
          <w:lang w:val="es-MX"/>
        </w:rPr>
        <w:t>Reparaciones y Costas</w:t>
      </w:r>
      <w:r w:rsidRPr="009E6ED2">
        <w:rPr>
          <w:lang w:val="es-MX"/>
        </w:rPr>
        <w:t xml:space="preserve">. Sentencia de 26 de mayo de 2001. Serie C No. 77, párr. 84, y </w:t>
      </w:r>
      <w:r w:rsidRPr="009E6ED2">
        <w:rPr>
          <w:bCs/>
          <w:i/>
          <w:iCs/>
          <w:lang w:val="es-MX"/>
        </w:rPr>
        <w:t>Caso Vásquez Durand y otros Vs. Ecuador, supra</w:t>
      </w:r>
      <w:r w:rsidRPr="009E6ED2">
        <w:rPr>
          <w:bCs/>
          <w:iCs/>
          <w:lang w:val="es-MX"/>
        </w:rPr>
        <w:t>, párr. 332.</w:t>
      </w:r>
    </w:p>
  </w:footnote>
  <w:footnote w:id="268">
    <w:p w14:paraId="25A6E61A" w14:textId="282E37FF" w:rsidR="00D86616" w:rsidRPr="009E6ED2" w:rsidRDefault="00D86616" w:rsidP="006A2D03">
      <w:pPr>
        <w:pStyle w:val="FootnoteText"/>
        <w:spacing w:after="0"/>
        <w:rPr>
          <w:lang w:val="es-MX"/>
        </w:rPr>
      </w:pPr>
      <w:r w:rsidRPr="00341FCF">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w:t>
      </w:r>
      <w:r w:rsidRPr="00A532BE">
        <w:rPr>
          <w:i/>
          <w:lang w:val="es-MX"/>
        </w:rPr>
        <w:t xml:space="preserve">Caso </w:t>
      </w:r>
      <w:proofErr w:type="spellStart"/>
      <w:r w:rsidRPr="00A532BE">
        <w:rPr>
          <w:i/>
          <w:lang w:val="es-MX"/>
        </w:rPr>
        <w:t>Bámaca</w:t>
      </w:r>
      <w:proofErr w:type="spellEnd"/>
      <w:r w:rsidRPr="00A532BE">
        <w:rPr>
          <w:i/>
          <w:lang w:val="es-MX"/>
        </w:rPr>
        <w:t xml:space="preserve"> Velásquez Vs. Guatemala. Reparaciones</w:t>
      </w:r>
      <w:r>
        <w:rPr>
          <w:i/>
          <w:lang w:val="es-MX"/>
        </w:rPr>
        <w:t>, supra</w:t>
      </w:r>
      <w:r w:rsidRPr="009E6ED2">
        <w:rPr>
          <w:lang w:val="es-MX"/>
        </w:rPr>
        <w:t xml:space="preserve">, párr. 43, </w:t>
      </w:r>
      <w:r w:rsidRPr="00A532BE">
        <w:rPr>
          <w:i/>
          <w:lang w:val="es-MX"/>
        </w:rPr>
        <w:t>y Caso Vásquez Durand Vs. Ecuador, supra</w:t>
      </w:r>
      <w:r w:rsidRPr="009E6ED2">
        <w:rPr>
          <w:lang w:val="es-MX"/>
        </w:rPr>
        <w:t>, párr. 227.</w:t>
      </w:r>
    </w:p>
  </w:footnote>
  <w:footnote w:id="269">
    <w:p w14:paraId="52D99776" w14:textId="1B9543B0"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Cfr.</w:t>
      </w:r>
      <w:r w:rsidRPr="009E6ED2">
        <w:rPr>
          <w:lang w:val="es-MX"/>
        </w:rPr>
        <w:t xml:space="preserve"> </w:t>
      </w:r>
      <w:r w:rsidRPr="009E6ED2">
        <w:rPr>
          <w:iCs/>
          <w:lang w:val="es-MX"/>
        </w:rPr>
        <w:t xml:space="preserve">Juez </w:t>
      </w:r>
      <w:r w:rsidRPr="009E6ED2">
        <w:rPr>
          <w:lang w:val="es-MX"/>
        </w:rPr>
        <w:t>Décimo Quinto del juzgado de Trabajo de Lima. Sentencia 25-91 de 5 de marzo de 1991. anexos a la comunicación de los peticionarios de fecha 23 de julio de 1998 (expediente de prueba, anexo 8 del Informe de Fondo, f. 29); CEPER-PIRELLI. Boleta de Pago de Alfredo Lagos del Campo. Semana del 26 de junio al 2 de julio de 1989. Anexos a la comunicación de los peticionarios de fecha 23 de julio de 1998. Anexo 2 del Informe de Fondo 27/15 (La cantidad de 19,258.53 Intis - USD $6.41 aprox.)</w:t>
      </w:r>
      <w:r>
        <w:rPr>
          <w:lang w:val="es-MX"/>
        </w:rPr>
        <w:t>.</w:t>
      </w:r>
    </w:p>
  </w:footnote>
  <w:footnote w:id="270">
    <w:p w14:paraId="327B5461" w14:textId="48526AB6" w:rsidR="00D86616" w:rsidRPr="009E6ED2" w:rsidRDefault="00D86616" w:rsidP="006A2D03">
      <w:pPr>
        <w:pStyle w:val="FootnoteText"/>
        <w:spacing w:after="0"/>
        <w:rPr>
          <w:bCs/>
          <w:lang w:val="es-MX"/>
        </w:rPr>
      </w:pPr>
      <w:r w:rsidRPr="004C3F47">
        <w:rPr>
          <w:rStyle w:val="FootnoteReference"/>
          <w:sz w:val="16"/>
        </w:rPr>
        <w:footnoteRef/>
      </w:r>
      <w:r w:rsidRPr="004C3F47">
        <w:rPr>
          <w:rStyle w:val="FootnoteReference"/>
          <w:sz w:val="16"/>
          <w:lang w:val="es-CR"/>
        </w:rPr>
        <w:t xml:space="preserve"> </w:t>
      </w:r>
      <w:r w:rsidRPr="009E6ED2">
        <w:rPr>
          <w:lang w:val="es-MX"/>
        </w:rPr>
        <w:tab/>
      </w:r>
      <w:r w:rsidRPr="009E6ED2">
        <w:rPr>
          <w:i/>
          <w:lang w:val="es-MX"/>
        </w:rPr>
        <w:t xml:space="preserve">Cfr. Caso de los “Niños de la Calle” (Villagrán Morales y otros) Vs. Guatemala, </w:t>
      </w:r>
      <w:r>
        <w:rPr>
          <w:i/>
          <w:lang w:val="es-MX"/>
        </w:rPr>
        <w:t xml:space="preserve">Reparaciones, </w:t>
      </w:r>
      <w:r w:rsidRPr="009E6ED2">
        <w:rPr>
          <w:i/>
          <w:lang w:val="es-MX"/>
        </w:rPr>
        <w:t>supra,</w:t>
      </w:r>
      <w:r w:rsidRPr="009E6ED2">
        <w:rPr>
          <w:lang w:val="es-MX"/>
        </w:rPr>
        <w:t xml:space="preserve"> párr. 84, </w:t>
      </w:r>
      <w:r w:rsidRPr="004C3F47">
        <w:rPr>
          <w:rStyle w:val="FootnoteTextChar"/>
          <w:rFonts w:cs="Arial"/>
          <w:lang w:val="es-CR"/>
        </w:rPr>
        <w:t>y</w:t>
      </w:r>
      <w:r w:rsidRPr="009E6ED2">
        <w:rPr>
          <w:bCs/>
          <w:lang w:val="es-MX"/>
        </w:rPr>
        <w:t xml:space="preserve"> </w:t>
      </w:r>
      <w:r w:rsidRPr="009E6ED2">
        <w:rPr>
          <w:bCs/>
          <w:i/>
          <w:lang w:val="es-MX"/>
        </w:rPr>
        <w:t>Caso Acosta y otros Vs. Nicaragua, supra</w:t>
      </w:r>
      <w:r w:rsidRPr="009E6ED2">
        <w:rPr>
          <w:bCs/>
          <w:lang w:val="es-MX"/>
        </w:rPr>
        <w:t>, párr. 236.</w:t>
      </w:r>
    </w:p>
  </w:footnote>
  <w:footnote w:id="271">
    <w:p w14:paraId="4060ED26" w14:textId="3FC8B45A"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 xml:space="preserve">Declaración pericial de Carlos </w:t>
      </w:r>
      <w:proofErr w:type="spellStart"/>
      <w:r w:rsidRPr="009E6ED2">
        <w:rPr>
          <w:lang w:val="es-MX"/>
        </w:rPr>
        <w:t>Jibaja</w:t>
      </w:r>
      <w:proofErr w:type="spellEnd"/>
      <w:r w:rsidRPr="009E6ED2">
        <w:rPr>
          <w:lang w:val="es-MX"/>
        </w:rPr>
        <w:t xml:space="preserve"> Zárate (expediente de fondo, f. 463)</w:t>
      </w:r>
      <w:r>
        <w:rPr>
          <w:lang w:val="es-MX"/>
        </w:rPr>
        <w:t>.</w:t>
      </w:r>
    </w:p>
  </w:footnote>
  <w:footnote w:id="272">
    <w:p w14:paraId="68355CFB" w14:textId="11BBC5DA" w:rsidR="00D86616" w:rsidRPr="00664C48" w:rsidRDefault="00D86616" w:rsidP="006A2D03">
      <w:pPr>
        <w:pStyle w:val="FootnoteText"/>
        <w:spacing w:after="0"/>
        <w:rPr>
          <w:i/>
          <w:strike/>
          <w:lang w:val="es-CR"/>
        </w:rPr>
      </w:pPr>
      <w:r w:rsidRPr="004C3F47">
        <w:rPr>
          <w:rStyle w:val="FootnoteReference"/>
          <w:sz w:val="16"/>
        </w:rPr>
        <w:footnoteRef/>
      </w:r>
      <w:r w:rsidRPr="009E6ED2">
        <w:rPr>
          <w:lang w:val="es-MX"/>
        </w:rPr>
        <w:t xml:space="preserve"> </w:t>
      </w:r>
      <w:r w:rsidRPr="009E6ED2">
        <w:rPr>
          <w:lang w:val="es-MX"/>
        </w:rPr>
        <w:tab/>
        <w:t xml:space="preserve">Como gastos futuros únicamente se aportó el pasaje aéreo del señor Christian </w:t>
      </w:r>
      <w:proofErr w:type="spellStart"/>
      <w:r w:rsidRPr="009E6ED2">
        <w:rPr>
          <w:lang w:val="es-MX"/>
        </w:rPr>
        <w:t>Huaylinos</w:t>
      </w:r>
      <w:proofErr w:type="spellEnd"/>
      <w:r w:rsidRPr="009E6ED2">
        <w:rPr>
          <w:lang w:val="es-MX"/>
        </w:rPr>
        <w:t xml:space="preserve"> </w:t>
      </w:r>
      <w:proofErr w:type="spellStart"/>
      <w:r w:rsidRPr="009E6ED2">
        <w:rPr>
          <w:lang w:val="es-MX"/>
        </w:rPr>
        <w:t>Camacuari</w:t>
      </w:r>
      <w:proofErr w:type="spellEnd"/>
      <w:r w:rsidRPr="009E6ED2">
        <w:rPr>
          <w:lang w:val="es-MX"/>
        </w:rPr>
        <w:t xml:space="preserve"> por US$ 450,11 </w:t>
      </w:r>
      <w:r w:rsidRPr="00664C48">
        <w:rPr>
          <w:lang w:val="es-CR"/>
        </w:rPr>
        <w:t xml:space="preserve">(expediente de fondo, </w:t>
      </w:r>
      <w:proofErr w:type="spellStart"/>
      <w:r w:rsidRPr="00664C48">
        <w:rPr>
          <w:lang w:val="es-CR"/>
        </w:rPr>
        <w:t>ff</w:t>
      </w:r>
      <w:proofErr w:type="spellEnd"/>
      <w:r w:rsidRPr="00664C48">
        <w:rPr>
          <w:lang w:val="es-CR"/>
        </w:rPr>
        <w:t>. 444.3 a 444.5).</w:t>
      </w:r>
    </w:p>
  </w:footnote>
  <w:footnote w:id="273">
    <w:p w14:paraId="61769176" w14:textId="3DE571BB" w:rsidR="00D86616" w:rsidRPr="00664C48" w:rsidRDefault="00D86616" w:rsidP="006A2D03">
      <w:pPr>
        <w:pStyle w:val="FootnoteText"/>
        <w:spacing w:after="0"/>
        <w:rPr>
          <w:bCs/>
          <w:lang w:val="es-CR"/>
        </w:rPr>
      </w:pPr>
      <w:r w:rsidRPr="004C3F47">
        <w:rPr>
          <w:rStyle w:val="FootnoteReference"/>
          <w:sz w:val="16"/>
        </w:rPr>
        <w:footnoteRef/>
      </w:r>
      <w:r w:rsidRPr="009E6ED2">
        <w:rPr>
          <w:lang w:val="es-MX"/>
        </w:rPr>
        <w:t xml:space="preserve"> </w:t>
      </w:r>
      <w:r w:rsidRPr="009E6ED2">
        <w:rPr>
          <w:lang w:val="es-MX"/>
        </w:rPr>
        <w:tab/>
      </w:r>
      <w:r w:rsidRPr="009E6ED2">
        <w:rPr>
          <w:i/>
          <w:lang w:val="es-MX"/>
        </w:rPr>
        <w:t xml:space="preserve">Cfr. Caso Velásquez Rodríguez Vs. </w:t>
      </w:r>
      <w:r w:rsidRPr="00664C48">
        <w:rPr>
          <w:i/>
          <w:lang w:val="es-CR"/>
        </w:rPr>
        <w:t xml:space="preserve">Honduras. </w:t>
      </w:r>
      <w:r w:rsidRPr="009E6ED2">
        <w:rPr>
          <w:i/>
          <w:lang w:val="es-MX"/>
        </w:rPr>
        <w:t>Reparaciones, supra,</w:t>
      </w:r>
      <w:r w:rsidRPr="009E6ED2">
        <w:rPr>
          <w:lang w:val="es-MX"/>
        </w:rPr>
        <w:t xml:space="preserve"> párr. 42, y </w:t>
      </w:r>
      <w:r w:rsidRPr="009E6ED2">
        <w:rPr>
          <w:bCs/>
          <w:i/>
          <w:lang w:val="es-MX"/>
        </w:rPr>
        <w:t xml:space="preserve">Caso Zegarra Marín Vs. </w:t>
      </w:r>
      <w:r w:rsidRPr="00664C48">
        <w:rPr>
          <w:bCs/>
          <w:i/>
          <w:lang w:val="es-CR"/>
        </w:rPr>
        <w:t>Perú, supra,</w:t>
      </w:r>
      <w:r w:rsidRPr="00664C48">
        <w:rPr>
          <w:bCs/>
          <w:lang w:val="es-CR"/>
        </w:rPr>
        <w:t xml:space="preserve"> párr. 229.</w:t>
      </w:r>
    </w:p>
  </w:footnote>
  <w:footnote w:id="274">
    <w:p w14:paraId="1CB740B9" w14:textId="079A7B71" w:rsidR="00D86616" w:rsidRPr="00664C48" w:rsidRDefault="00D86616" w:rsidP="006A2D03">
      <w:pPr>
        <w:pStyle w:val="FootnoteText"/>
        <w:spacing w:after="0"/>
        <w:rPr>
          <w:bCs/>
          <w:lang w:val="es-CR"/>
        </w:rPr>
      </w:pPr>
      <w:r w:rsidRPr="004C3F47">
        <w:rPr>
          <w:rStyle w:val="FootnoteReference"/>
          <w:sz w:val="16"/>
        </w:rPr>
        <w:footnoteRef/>
      </w:r>
      <w:r w:rsidRPr="009E6ED2">
        <w:rPr>
          <w:lang w:val="es-MX"/>
        </w:rPr>
        <w:t xml:space="preserve"> </w:t>
      </w:r>
      <w:r w:rsidRPr="009E6ED2">
        <w:rPr>
          <w:lang w:val="es-MX"/>
        </w:rPr>
        <w:tab/>
      </w:r>
      <w:r w:rsidRPr="009E6ED2">
        <w:rPr>
          <w:i/>
          <w:lang w:val="es-MX"/>
        </w:rPr>
        <w:t xml:space="preserve">Cfr. Caso Garrido y </w:t>
      </w:r>
      <w:proofErr w:type="spellStart"/>
      <w:r w:rsidRPr="009E6ED2">
        <w:rPr>
          <w:i/>
          <w:lang w:val="es-MX"/>
        </w:rPr>
        <w:t>Baigorria</w:t>
      </w:r>
      <w:proofErr w:type="spellEnd"/>
      <w:r w:rsidRPr="009E6ED2">
        <w:rPr>
          <w:i/>
          <w:lang w:val="es-MX"/>
        </w:rPr>
        <w:t xml:space="preserve"> Vs. </w:t>
      </w:r>
      <w:r w:rsidRPr="00BD701A">
        <w:rPr>
          <w:i/>
          <w:lang w:val="es-CR"/>
        </w:rPr>
        <w:t>Argentina</w:t>
      </w:r>
      <w:r w:rsidRPr="00664C48">
        <w:rPr>
          <w:i/>
          <w:lang w:val="es-CR"/>
        </w:rPr>
        <w:t xml:space="preserve">. </w:t>
      </w:r>
      <w:r w:rsidRPr="009E6ED2">
        <w:rPr>
          <w:i/>
          <w:lang w:val="es-MX"/>
        </w:rPr>
        <w:t>Reparaciones y Costas.</w:t>
      </w:r>
      <w:r w:rsidRPr="009E6ED2">
        <w:rPr>
          <w:lang w:val="es-MX"/>
        </w:rPr>
        <w:t xml:space="preserve"> Sentencia de 27 de agosto de 1998. Serie C No. 39, párr. 82, y </w:t>
      </w:r>
      <w:r w:rsidRPr="009E6ED2">
        <w:rPr>
          <w:bCs/>
          <w:i/>
          <w:lang w:val="es-MX"/>
        </w:rPr>
        <w:t>Caso Zegarra Marín Vs. Perú, supra,</w:t>
      </w:r>
      <w:r w:rsidRPr="009E6ED2">
        <w:rPr>
          <w:bCs/>
          <w:lang w:val="es-MX"/>
        </w:rPr>
        <w:t xml:space="preserve"> párr. </w:t>
      </w:r>
      <w:r w:rsidRPr="00664C48">
        <w:rPr>
          <w:bCs/>
          <w:lang w:val="es-CR"/>
        </w:rPr>
        <w:t>229</w:t>
      </w:r>
      <w:r w:rsidRPr="00664C48">
        <w:rPr>
          <w:bCs/>
          <w:color w:val="000000"/>
          <w:shd w:val="clear" w:color="auto" w:fill="FFFFFF"/>
          <w:lang w:val="es-CR"/>
        </w:rPr>
        <w:t>.</w:t>
      </w:r>
    </w:p>
  </w:footnote>
  <w:footnote w:id="275">
    <w:p w14:paraId="3D3ABF6A" w14:textId="1C3FD17F" w:rsidR="00D86616" w:rsidRPr="00664C48" w:rsidRDefault="00D86616" w:rsidP="006A2D03">
      <w:pPr>
        <w:pStyle w:val="FootnoteText"/>
        <w:spacing w:after="0"/>
        <w:rPr>
          <w:bCs/>
          <w:lang w:val="es-CR"/>
        </w:rPr>
      </w:pPr>
      <w:r w:rsidRPr="004C3F47">
        <w:rPr>
          <w:rStyle w:val="FootnoteReference"/>
          <w:sz w:val="16"/>
        </w:rPr>
        <w:footnoteRef/>
      </w:r>
      <w:r w:rsidRPr="009E6ED2">
        <w:rPr>
          <w:lang w:val="es-MX"/>
        </w:rPr>
        <w:t xml:space="preserve"> </w:t>
      </w:r>
      <w:r w:rsidRPr="009E6ED2">
        <w:rPr>
          <w:lang w:val="es-MX"/>
        </w:rPr>
        <w:tab/>
      </w:r>
      <w:r w:rsidRPr="009E6ED2">
        <w:rPr>
          <w:i/>
          <w:lang w:val="es-MX"/>
        </w:rPr>
        <w:t>Cfr. C</w:t>
      </w:r>
      <w:r w:rsidRPr="009E6ED2">
        <w:rPr>
          <w:i/>
          <w:spacing w:val="-1"/>
          <w:lang w:val="es-MX"/>
        </w:rPr>
        <w:t>a</w:t>
      </w:r>
      <w:r w:rsidRPr="009E6ED2">
        <w:rPr>
          <w:i/>
          <w:lang w:val="es-MX"/>
        </w:rPr>
        <w:t xml:space="preserve">so Garrido y </w:t>
      </w:r>
      <w:proofErr w:type="spellStart"/>
      <w:r w:rsidRPr="009E6ED2">
        <w:rPr>
          <w:i/>
          <w:lang w:val="es-MX"/>
        </w:rPr>
        <w:t>Baigorria</w:t>
      </w:r>
      <w:proofErr w:type="spellEnd"/>
      <w:r w:rsidRPr="009E6ED2">
        <w:rPr>
          <w:i/>
          <w:lang w:val="es-MX"/>
        </w:rPr>
        <w:t xml:space="preserve"> Vs. </w:t>
      </w:r>
      <w:r w:rsidRPr="00664C48">
        <w:rPr>
          <w:i/>
          <w:lang w:val="es-CR"/>
        </w:rPr>
        <w:t xml:space="preserve">Argentina. </w:t>
      </w:r>
      <w:r w:rsidRPr="009E6ED2">
        <w:rPr>
          <w:i/>
          <w:lang w:val="es-MX"/>
        </w:rPr>
        <w:t>Reparaciones,</w:t>
      </w:r>
      <w:r w:rsidRPr="009E6ED2">
        <w:rPr>
          <w:lang w:val="es-MX"/>
        </w:rPr>
        <w:t xml:space="preserve"> </w:t>
      </w:r>
      <w:r w:rsidRPr="00A532BE">
        <w:rPr>
          <w:i/>
          <w:lang w:val="es-MX"/>
        </w:rPr>
        <w:t>supra,</w:t>
      </w:r>
      <w:r w:rsidRPr="009E6ED2">
        <w:rPr>
          <w:lang w:val="es-MX"/>
        </w:rPr>
        <w:t xml:space="preserve"> p</w:t>
      </w:r>
      <w:r w:rsidRPr="009E6ED2">
        <w:rPr>
          <w:spacing w:val="-3"/>
          <w:lang w:val="es-MX"/>
        </w:rPr>
        <w:t>á</w:t>
      </w:r>
      <w:r w:rsidRPr="009E6ED2">
        <w:rPr>
          <w:spacing w:val="1"/>
          <w:lang w:val="es-MX"/>
        </w:rPr>
        <w:t>rr</w:t>
      </w:r>
      <w:r w:rsidRPr="009E6ED2">
        <w:rPr>
          <w:lang w:val="es-MX"/>
        </w:rPr>
        <w:t>.</w:t>
      </w:r>
      <w:r w:rsidRPr="009E6ED2">
        <w:rPr>
          <w:spacing w:val="-1"/>
          <w:lang w:val="es-MX"/>
        </w:rPr>
        <w:t>7</w:t>
      </w:r>
      <w:r w:rsidRPr="009E6ED2">
        <w:rPr>
          <w:spacing w:val="1"/>
          <w:lang w:val="es-MX"/>
        </w:rPr>
        <w:t>9</w:t>
      </w:r>
      <w:r w:rsidRPr="009E6ED2">
        <w:rPr>
          <w:lang w:val="es-MX"/>
        </w:rPr>
        <w:t>,</w:t>
      </w:r>
      <w:r w:rsidRPr="009E6ED2">
        <w:rPr>
          <w:spacing w:val="36"/>
          <w:lang w:val="es-MX"/>
        </w:rPr>
        <w:t xml:space="preserve"> </w:t>
      </w:r>
      <w:r w:rsidRPr="009E6ED2">
        <w:rPr>
          <w:lang w:val="es-MX"/>
        </w:rPr>
        <w:t>y</w:t>
      </w:r>
      <w:r w:rsidRPr="009E6ED2">
        <w:rPr>
          <w:spacing w:val="37"/>
          <w:lang w:val="es-MX"/>
        </w:rPr>
        <w:t xml:space="preserve"> </w:t>
      </w:r>
      <w:r w:rsidRPr="009E6ED2">
        <w:rPr>
          <w:bCs/>
          <w:i/>
          <w:lang w:val="es-MX"/>
        </w:rPr>
        <w:t xml:space="preserve">Caso Zegarra Marín Vs. </w:t>
      </w:r>
      <w:r w:rsidRPr="00664C48">
        <w:rPr>
          <w:bCs/>
          <w:i/>
          <w:lang w:val="es-CR"/>
        </w:rPr>
        <w:t>Perú, supra,</w:t>
      </w:r>
      <w:r w:rsidRPr="00664C48">
        <w:rPr>
          <w:bCs/>
          <w:lang w:val="es-CR"/>
        </w:rPr>
        <w:t xml:space="preserve"> párr. 230.</w:t>
      </w:r>
    </w:p>
  </w:footnote>
  <w:footnote w:id="276">
    <w:p w14:paraId="11CE26EB" w14:textId="1163C1F8" w:rsidR="00D86616" w:rsidRPr="009E6ED2" w:rsidRDefault="00D86616" w:rsidP="006A2D03">
      <w:pPr>
        <w:pStyle w:val="FootnoteText"/>
        <w:spacing w:after="0"/>
        <w:rPr>
          <w:bCs/>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Cfr.</w:t>
      </w:r>
      <w:r w:rsidRPr="009E6ED2">
        <w:rPr>
          <w:i/>
          <w:spacing w:val="15"/>
          <w:lang w:val="es-MX"/>
        </w:rPr>
        <w:t xml:space="preserve"> </w:t>
      </w:r>
      <w:r w:rsidRPr="009E6ED2">
        <w:rPr>
          <w:i/>
          <w:lang w:val="es-MX"/>
        </w:rPr>
        <w:t>C</w:t>
      </w:r>
      <w:r w:rsidRPr="009E6ED2">
        <w:rPr>
          <w:i/>
          <w:spacing w:val="-1"/>
          <w:lang w:val="es-MX"/>
        </w:rPr>
        <w:t>a</w:t>
      </w:r>
      <w:r w:rsidRPr="009E6ED2">
        <w:rPr>
          <w:i/>
          <w:spacing w:val="-2"/>
          <w:lang w:val="es-MX"/>
        </w:rPr>
        <w:t>s</w:t>
      </w:r>
      <w:r w:rsidRPr="009E6ED2">
        <w:rPr>
          <w:i/>
          <w:lang w:val="es-MX"/>
        </w:rPr>
        <w:t>o</w:t>
      </w:r>
      <w:r w:rsidRPr="009E6ED2">
        <w:rPr>
          <w:i/>
          <w:spacing w:val="16"/>
          <w:lang w:val="es-MX"/>
        </w:rPr>
        <w:t xml:space="preserve"> </w:t>
      </w:r>
      <w:r w:rsidRPr="00BD701A">
        <w:rPr>
          <w:lang w:val="es-MX"/>
        </w:rPr>
        <w:t>C</w:t>
      </w:r>
      <w:r w:rsidRPr="00BD701A">
        <w:rPr>
          <w:spacing w:val="-1"/>
          <w:lang w:val="es-MX"/>
        </w:rPr>
        <w:t>h</w:t>
      </w:r>
      <w:r w:rsidRPr="00BD701A">
        <w:rPr>
          <w:spacing w:val="-3"/>
          <w:lang w:val="es-MX"/>
        </w:rPr>
        <w:t>a</w:t>
      </w:r>
      <w:r w:rsidRPr="00BD701A">
        <w:rPr>
          <w:lang w:val="es-MX"/>
        </w:rPr>
        <w:t>p</w:t>
      </w:r>
      <w:r w:rsidRPr="00BD701A">
        <w:rPr>
          <w:spacing w:val="-1"/>
          <w:lang w:val="es-MX"/>
        </w:rPr>
        <w:t>ar</w:t>
      </w:r>
      <w:r w:rsidRPr="00BD701A">
        <w:rPr>
          <w:lang w:val="es-MX"/>
        </w:rPr>
        <w:t>ro</w:t>
      </w:r>
      <w:r w:rsidRPr="009E6ED2">
        <w:rPr>
          <w:i/>
          <w:spacing w:val="14"/>
          <w:lang w:val="es-MX"/>
        </w:rPr>
        <w:t xml:space="preserve"> </w:t>
      </w:r>
      <w:r w:rsidRPr="009E6ED2">
        <w:rPr>
          <w:i/>
          <w:lang w:val="es-MX"/>
        </w:rPr>
        <w:t>Á</w:t>
      </w:r>
      <w:r w:rsidRPr="009E6ED2">
        <w:rPr>
          <w:i/>
          <w:spacing w:val="-1"/>
          <w:lang w:val="es-MX"/>
        </w:rPr>
        <w:t>l</w:t>
      </w:r>
      <w:r w:rsidRPr="009E6ED2">
        <w:rPr>
          <w:i/>
          <w:lang w:val="es-MX"/>
        </w:rPr>
        <w:t>v</w:t>
      </w:r>
      <w:r w:rsidRPr="009E6ED2">
        <w:rPr>
          <w:i/>
          <w:spacing w:val="-3"/>
          <w:lang w:val="es-MX"/>
        </w:rPr>
        <w:t>a</w:t>
      </w:r>
      <w:r w:rsidRPr="009E6ED2">
        <w:rPr>
          <w:i/>
          <w:lang w:val="es-MX"/>
        </w:rPr>
        <w:t>rez</w:t>
      </w:r>
      <w:r w:rsidRPr="009E6ED2">
        <w:rPr>
          <w:i/>
          <w:spacing w:val="13"/>
          <w:lang w:val="es-MX"/>
        </w:rPr>
        <w:t xml:space="preserve"> </w:t>
      </w:r>
      <w:r w:rsidRPr="009E6ED2">
        <w:rPr>
          <w:i/>
          <w:lang w:val="es-MX"/>
        </w:rPr>
        <w:t>y</w:t>
      </w:r>
      <w:r w:rsidRPr="009E6ED2">
        <w:rPr>
          <w:i/>
          <w:spacing w:val="14"/>
          <w:lang w:val="es-MX"/>
        </w:rPr>
        <w:t xml:space="preserve"> </w:t>
      </w:r>
      <w:r w:rsidRPr="009E6ED2">
        <w:rPr>
          <w:i/>
          <w:spacing w:val="-1"/>
          <w:lang w:val="es-MX"/>
        </w:rPr>
        <w:t>La</w:t>
      </w:r>
      <w:r w:rsidRPr="009E6ED2">
        <w:rPr>
          <w:i/>
          <w:lang w:val="es-MX"/>
        </w:rPr>
        <w:t>po</w:t>
      </w:r>
      <w:r w:rsidRPr="009E6ED2">
        <w:rPr>
          <w:i/>
          <w:spacing w:val="16"/>
          <w:lang w:val="es-MX"/>
        </w:rPr>
        <w:t xml:space="preserve"> </w:t>
      </w:r>
      <w:r w:rsidRPr="009E6ED2">
        <w:rPr>
          <w:i/>
          <w:lang w:val="es-MX"/>
        </w:rPr>
        <w:t>Í</w:t>
      </w:r>
      <w:r w:rsidRPr="009E6ED2">
        <w:rPr>
          <w:i/>
          <w:spacing w:val="-1"/>
          <w:lang w:val="es-MX"/>
        </w:rPr>
        <w:t>ñi</w:t>
      </w:r>
      <w:r w:rsidRPr="009E6ED2">
        <w:rPr>
          <w:i/>
          <w:lang w:val="es-MX"/>
        </w:rPr>
        <w:t>g</w:t>
      </w:r>
      <w:r w:rsidRPr="009E6ED2">
        <w:rPr>
          <w:i/>
          <w:spacing w:val="-1"/>
          <w:lang w:val="es-MX"/>
        </w:rPr>
        <w:t>u</w:t>
      </w:r>
      <w:r w:rsidRPr="009E6ED2">
        <w:rPr>
          <w:i/>
          <w:lang w:val="es-MX"/>
        </w:rPr>
        <w:t>ez</w:t>
      </w:r>
      <w:r w:rsidRPr="009E6ED2">
        <w:rPr>
          <w:i/>
          <w:spacing w:val="13"/>
          <w:lang w:val="es-MX"/>
        </w:rPr>
        <w:t xml:space="preserve"> </w:t>
      </w:r>
      <w:r w:rsidRPr="009E6ED2">
        <w:rPr>
          <w:i/>
          <w:lang w:val="es-MX"/>
        </w:rPr>
        <w:t>Vs.</w:t>
      </w:r>
      <w:r w:rsidRPr="009E6ED2">
        <w:rPr>
          <w:i/>
          <w:spacing w:val="15"/>
          <w:lang w:val="es-MX"/>
        </w:rPr>
        <w:t xml:space="preserve"> </w:t>
      </w:r>
      <w:r w:rsidRPr="00664C48">
        <w:rPr>
          <w:i/>
          <w:spacing w:val="-1"/>
          <w:lang w:val="es-CR"/>
        </w:rPr>
        <w:t>E</w:t>
      </w:r>
      <w:r w:rsidRPr="00664C48">
        <w:rPr>
          <w:i/>
          <w:lang w:val="es-CR"/>
        </w:rPr>
        <w:t>c</w:t>
      </w:r>
      <w:r w:rsidRPr="00664C48">
        <w:rPr>
          <w:i/>
          <w:spacing w:val="-1"/>
          <w:lang w:val="es-CR"/>
        </w:rPr>
        <w:t>u</w:t>
      </w:r>
      <w:r w:rsidRPr="00664C48">
        <w:rPr>
          <w:i/>
          <w:spacing w:val="-3"/>
          <w:lang w:val="es-CR"/>
        </w:rPr>
        <w:t>a</w:t>
      </w:r>
      <w:r w:rsidRPr="00664C48">
        <w:rPr>
          <w:i/>
          <w:lang w:val="es-CR"/>
        </w:rPr>
        <w:t>d</w:t>
      </w:r>
      <w:r w:rsidRPr="00664C48">
        <w:rPr>
          <w:i/>
          <w:spacing w:val="-2"/>
          <w:lang w:val="es-CR"/>
        </w:rPr>
        <w:t>o</w:t>
      </w:r>
      <w:r w:rsidRPr="00664C48">
        <w:rPr>
          <w:i/>
          <w:lang w:val="es-CR"/>
        </w:rPr>
        <w:t xml:space="preserve">r. </w:t>
      </w:r>
      <w:r w:rsidRPr="009E6ED2">
        <w:rPr>
          <w:i/>
          <w:lang w:val="es-MX"/>
        </w:rPr>
        <w:t>Excepciones Preliminares, Fondo, Reparaciones y Costas.</w:t>
      </w:r>
      <w:r w:rsidRPr="009E6ED2">
        <w:rPr>
          <w:lang w:val="es-MX"/>
        </w:rPr>
        <w:t xml:space="preserve"> Sentencia de 21 de noviembre de 2007. Serie C No. 170, </w:t>
      </w:r>
      <w:r w:rsidRPr="009E6ED2">
        <w:rPr>
          <w:spacing w:val="-2"/>
          <w:lang w:val="es-MX"/>
        </w:rPr>
        <w:t>p</w:t>
      </w:r>
      <w:r w:rsidRPr="009E6ED2">
        <w:rPr>
          <w:spacing w:val="-1"/>
          <w:lang w:val="es-MX"/>
        </w:rPr>
        <w:t>á</w:t>
      </w:r>
      <w:r w:rsidRPr="009E6ED2">
        <w:rPr>
          <w:lang w:val="es-MX"/>
        </w:rPr>
        <w:t>rr.</w:t>
      </w:r>
      <w:r w:rsidRPr="009E6ED2">
        <w:rPr>
          <w:spacing w:val="-2"/>
          <w:lang w:val="es-MX"/>
        </w:rPr>
        <w:t xml:space="preserve"> </w:t>
      </w:r>
      <w:r w:rsidRPr="009E6ED2">
        <w:rPr>
          <w:spacing w:val="-1"/>
          <w:lang w:val="es-MX"/>
        </w:rPr>
        <w:t>2</w:t>
      </w:r>
      <w:r w:rsidRPr="009E6ED2">
        <w:rPr>
          <w:lang w:val="es-MX"/>
        </w:rPr>
        <w:t xml:space="preserve">77, y </w:t>
      </w:r>
      <w:r w:rsidRPr="00A532BE">
        <w:rPr>
          <w:bCs/>
          <w:i/>
          <w:lang w:val="es-MX"/>
        </w:rPr>
        <w:t>Caso Zegarra Marín Vs. Perú, supra,</w:t>
      </w:r>
      <w:r w:rsidRPr="009E6ED2">
        <w:rPr>
          <w:bCs/>
          <w:lang w:val="es-MX"/>
        </w:rPr>
        <w:t xml:space="preserve"> párr. 230.</w:t>
      </w:r>
    </w:p>
  </w:footnote>
  <w:footnote w:id="277">
    <w:p w14:paraId="1FFEA5B6" w14:textId="302AF5B6"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r>
      <w:r w:rsidRPr="009E6ED2">
        <w:rPr>
          <w:i/>
          <w:lang w:val="es-MX"/>
        </w:rPr>
        <w:t>Caso Lagos del Campo Vs. Perú.</w:t>
      </w:r>
      <w:r w:rsidRPr="009E6ED2">
        <w:rPr>
          <w:lang w:val="es-MX"/>
        </w:rPr>
        <w:t xml:space="preserve"> Fondo de Asistencia Legal de las Víctimas. Resolución del Presidente de la Corte Interamericana de Derechos Humanos de 14 de julio de 2016, Punto Resolutivo 1. Disponible en:</w:t>
      </w:r>
      <w:r w:rsidRPr="004C3F47">
        <w:rPr>
          <w:rStyle w:val="Strong"/>
          <w:color w:val="000000"/>
          <w:shd w:val="clear" w:color="auto" w:fill="FFFFFF"/>
          <w:lang w:val="es-MX"/>
        </w:rPr>
        <w:t xml:space="preserve"> </w:t>
      </w:r>
      <w:hyperlink r:id="rId6" w:history="1">
        <w:r w:rsidRPr="004C3F47">
          <w:rPr>
            <w:rStyle w:val="Hyperlink"/>
            <w:lang w:val="es-CR"/>
          </w:rPr>
          <w:t>http://www.corteidh.or.cr/docs/asuntos/lagos_fv_16.pdf</w:t>
        </w:r>
      </w:hyperlink>
    </w:p>
  </w:footnote>
  <w:footnote w:id="278">
    <w:p w14:paraId="072804D2" w14:textId="6BA1F7E9"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 xml:space="preserve">El monto requerido corresponde al: i) boleto aéreo por el monto de USD 457.81 (cuatrocientos cincuenta y siete dólares de los Estados Unidos de América), ii) viáticos por el monto de USD 636.00 (seiscientos treinta y seis dólares de los Estados Unidos de América), iii) gastos terminales por transporte por el monto de USD 100.00 (cien dólares de los Estados Unidos de América), y iv) </w:t>
      </w:r>
      <w:r w:rsidRPr="009E6ED2">
        <w:rPr>
          <w:i/>
          <w:lang w:val="es-MX"/>
        </w:rPr>
        <w:t>affidávit</w:t>
      </w:r>
      <w:r w:rsidRPr="009E6ED2">
        <w:rPr>
          <w:lang w:val="es-MX"/>
        </w:rPr>
        <w:t xml:space="preserve"> por el monto de USD 143.00 (ciento cuarenta y tres dólares de los Estados Unidos de América) (expediente de fondo, f. 759)</w:t>
      </w:r>
      <w:r>
        <w:rPr>
          <w:lang w:val="es-MX"/>
        </w:rPr>
        <w:t>.</w:t>
      </w:r>
    </w:p>
  </w:footnote>
  <w:footnote w:id="279">
    <w:p w14:paraId="7BAA06AD" w14:textId="1E81AACC" w:rsidR="00D86616" w:rsidRPr="009E6ED2" w:rsidRDefault="00D86616" w:rsidP="006A2D03">
      <w:pPr>
        <w:pStyle w:val="FootnoteText"/>
        <w:spacing w:after="0"/>
        <w:rPr>
          <w:lang w:val="es-MX"/>
        </w:rPr>
      </w:pPr>
      <w:r w:rsidRPr="004C3F47">
        <w:rPr>
          <w:rStyle w:val="FootnoteReference"/>
          <w:sz w:val="16"/>
        </w:rPr>
        <w:footnoteRef/>
      </w:r>
      <w:r w:rsidRPr="009E6ED2">
        <w:rPr>
          <w:lang w:val="es-MX"/>
        </w:rPr>
        <w:t xml:space="preserve"> </w:t>
      </w:r>
      <w:r w:rsidRPr="009E6ED2">
        <w:rPr>
          <w:lang w:val="es-MX"/>
        </w:rPr>
        <w:tab/>
        <w:t xml:space="preserve">El Estado presentó sus observaciones el 17 de abril de 2017. Perú sostuvo que el monto entregado por concepto de viáticos asciende a la suma de $636 (seiscientos treinta y seis con 00/100 dólares americanos), equivalentes a $212 (doscientos doce con 00/100 dólares americanos) por día, sin que se diera mayor explicación con relación a la asignación de dicho monto. Tampoco se indica por qué la Corte ha seleccionado la categoría “PS”, cuyo gasto diario asignado asciende a $212, por lo que el Estado solicitó a la Corte que precise qué implica cada uno de los criterios que emplea para seleccionar una u otra categoría, y precise en el caso en concreto por qué se determinó y seleccionó la categoría “PS”. Además el Estado solicitó que, al no contar con información que acredite de forma completa el rubro referido a gastos terminales, la Corte precise el cálculo final del rubro correspondiente y cómo fue aplicado al caso en concreto. Al respecto, mediante comunicación de 2 de mayo de 2017 (CIDH-322-17 - de 27 de abril de 2017), la Secretaría de la Corte dio respuesta a las observaciones del Estado (expediente de fondo, </w:t>
      </w:r>
      <w:proofErr w:type="spellStart"/>
      <w:r w:rsidRPr="009E6ED2">
        <w:rPr>
          <w:lang w:val="es-MX"/>
        </w:rPr>
        <w:t>ff</w:t>
      </w:r>
      <w:proofErr w:type="spellEnd"/>
      <w:r w:rsidRPr="009E6ED2">
        <w:rPr>
          <w:lang w:val="es-MX"/>
        </w:rPr>
        <w:t>. 795-798).</w:t>
      </w:r>
    </w:p>
  </w:footnote>
  <w:footnote w:id="280">
    <w:p w14:paraId="0CA031E4" w14:textId="77777777" w:rsidR="00D86616" w:rsidRPr="0082528A" w:rsidRDefault="00D86616" w:rsidP="00F83E8F">
      <w:pPr>
        <w:pStyle w:val="FootnoteText"/>
        <w:spacing w:after="0"/>
        <w:rPr>
          <w:lang w:val="es-ES"/>
        </w:rPr>
      </w:pPr>
      <w:r w:rsidRPr="0082528A">
        <w:rPr>
          <w:rStyle w:val="FootnoteReference"/>
        </w:rPr>
        <w:footnoteRef/>
      </w:r>
      <w:r w:rsidRPr="0082528A">
        <w:rPr>
          <w:lang w:val="es-ES"/>
        </w:rPr>
        <w:t xml:space="preserve"> El término “Derechos Económicos, Sociales y Culturales – DESC” pasó recién a ter agregada la palabra “ambiental”, o sea, pasa a ser “Derechos Económicos, Sociales, Culturales y Ambientales – DESCA”, ante la emergencia del enfoque y protección del Derecho Ambiental como Derecho Humano. Parte de la doctrina y de la sociedad civil hace algún tiempo lo reivindicaba. Eso también tiene mucho sentido ante el diálogo fluido que desarrollan Corte y Comisión Interamericana, y ésta ha creado una nueva relatoría agregando el término: Relatoría Especial de los Derechos Económicos, Sociales, Culturales y Ambientales – REDESCA. Por lo tanto, he pasado a utilizar la misma nomenclatura agregada, entendiendo que el derecho ambiental es parte fundamental e interdependiente de los Derechos Sociales. </w:t>
      </w:r>
    </w:p>
  </w:footnote>
  <w:footnote w:id="281">
    <w:p w14:paraId="78A69E1D" w14:textId="77777777" w:rsidR="00D86616" w:rsidRPr="000D35BC" w:rsidRDefault="00D86616" w:rsidP="00F83E8F">
      <w:pPr>
        <w:pStyle w:val="FootnoteText"/>
        <w:spacing w:after="0"/>
        <w:rPr>
          <w:lang w:val="es-CR"/>
        </w:rPr>
      </w:pPr>
      <w:r w:rsidRPr="00AD4B67">
        <w:rPr>
          <w:rStyle w:val="FootnoteReference"/>
        </w:rPr>
        <w:footnoteRef/>
      </w:r>
      <w:r w:rsidRPr="000D35BC">
        <w:rPr>
          <w:lang w:val="es-CR"/>
        </w:rPr>
        <w:t xml:space="preserve"> Por ejemplo, la Corte Suprema de la India fue pionera, en los años 1980, en interpretar el derecho a la vida de forma amplia, incluyendo una serie de derechos económicos y sociales. La Corte Constitucional Sudafricana, en el paradigmático caso </w:t>
      </w:r>
      <w:proofErr w:type="spellStart"/>
      <w:r w:rsidRPr="000D35BC">
        <w:rPr>
          <w:i/>
          <w:lang w:val="es-CR"/>
        </w:rPr>
        <w:t>Grootboom</w:t>
      </w:r>
      <w:proofErr w:type="spellEnd"/>
      <w:r w:rsidRPr="000D35BC">
        <w:rPr>
          <w:lang w:val="es-CR"/>
        </w:rPr>
        <w:t xml:space="preserve">, juzgado en 2000, examinó la situación de un grupo de personas que, desalojadas de vivienda irregular, pasaron a vivir en tiendas localizadas en un centro deportivo. La Corte consideró que esas personas tuvieron su derecho a vivienda adecuada violado y determinaron a varios órganos del gobierno desarrollar medidas efectivas en su favor. En nuestro continente, la Corte Constitucional de Colombia desarrolló la doctrina de la situación inconstitucional para responder a violaciones de derechos económicos e sociales. </w:t>
      </w:r>
    </w:p>
  </w:footnote>
  <w:footnote w:id="282">
    <w:p w14:paraId="2B0CB7C5" w14:textId="77777777" w:rsidR="00D86616" w:rsidRPr="000D35BC" w:rsidRDefault="00D86616" w:rsidP="00F83E8F">
      <w:pPr>
        <w:pStyle w:val="FootnoteText"/>
        <w:spacing w:after="0"/>
        <w:rPr>
          <w:lang w:val="es-CR"/>
        </w:rPr>
      </w:pPr>
      <w:r>
        <w:rPr>
          <w:rStyle w:val="FootnoteReference"/>
        </w:rPr>
        <w:footnoteRef/>
      </w:r>
      <w:r w:rsidRPr="000D35BC">
        <w:rPr>
          <w:lang w:val="es-CR"/>
        </w:rPr>
        <w:t xml:space="preserve"> Aquí no hay ninguna </w:t>
      </w:r>
      <w:proofErr w:type="spellStart"/>
      <w:r w:rsidRPr="000D35BC">
        <w:rPr>
          <w:lang w:val="es-CR"/>
        </w:rPr>
        <w:t>conotación</w:t>
      </w:r>
      <w:proofErr w:type="spellEnd"/>
      <w:r w:rsidRPr="000D35BC">
        <w:rPr>
          <w:lang w:val="es-CR"/>
        </w:rPr>
        <w:t xml:space="preserve"> de culpar a la Comisión por esa omisión pues en ese momento la </w:t>
      </w:r>
      <w:proofErr w:type="spellStart"/>
      <w:r w:rsidRPr="000D35BC">
        <w:rPr>
          <w:lang w:val="es-CR"/>
        </w:rPr>
        <w:t>própia</w:t>
      </w:r>
      <w:proofErr w:type="spellEnd"/>
      <w:r w:rsidRPr="000D35BC">
        <w:rPr>
          <w:lang w:val="es-CR"/>
        </w:rPr>
        <w:t xml:space="preserve"> jurisprudencia de la Corte Interamericana no había reconocido el derecho laboral como tal ni de los otros derechos sociales.</w:t>
      </w:r>
    </w:p>
  </w:footnote>
  <w:footnote w:id="283">
    <w:p w14:paraId="21F2D65D" w14:textId="77777777" w:rsidR="00D86616" w:rsidRPr="006B3905" w:rsidRDefault="00D86616" w:rsidP="00F83E8F">
      <w:pPr>
        <w:pStyle w:val="FootnoteText"/>
        <w:spacing w:after="0"/>
        <w:rPr>
          <w:sz w:val="18"/>
          <w:lang w:val="es-MX"/>
        </w:rPr>
      </w:pPr>
      <w:r w:rsidRPr="006B3905">
        <w:rPr>
          <w:rStyle w:val="FootnoteReference"/>
        </w:rPr>
        <w:footnoteRef/>
      </w:r>
      <w:r w:rsidRPr="00C44F79">
        <w:rPr>
          <w:lang w:val="es-CR"/>
        </w:rPr>
        <w:t xml:space="preserve"> A manera de ejemplo</w:t>
      </w:r>
      <w:r w:rsidRPr="00C44F79">
        <w:rPr>
          <w:i/>
          <w:lang w:val="es-CR"/>
        </w:rPr>
        <w:t xml:space="preserve">: </w:t>
      </w:r>
      <w:r w:rsidRPr="00C44F79">
        <w:rPr>
          <w:lang w:val="es-CR"/>
        </w:rPr>
        <w:t xml:space="preserve">en el </w:t>
      </w:r>
      <w:r w:rsidRPr="00C44F79">
        <w:rPr>
          <w:i/>
          <w:lang w:val="es-CR"/>
        </w:rPr>
        <w:t>Caso</w:t>
      </w:r>
      <w:r w:rsidRPr="00C44F79">
        <w:rPr>
          <w:lang w:val="es-CR"/>
        </w:rPr>
        <w:t xml:space="preserve"> </w:t>
      </w:r>
      <w:r w:rsidRPr="00C44F79">
        <w:rPr>
          <w:i/>
          <w:lang w:val="es-CR"/>
        </w:rPr>
        <w:t xml:space="preserve">de </w:t>
      </w:r>
      <w:proofErr w:type="spellStart"/>
      <w:r w:rsidRPr="00C44F79">
        <w:rPr>
          <w:i/>
          <w:lang w:val="es-CR"/>
        </w:rPr>
        <w:t>Antoine</w:t>
      </w:r>
      <w:proofErr w:type="spellEnd"/>
      <w:r w:rsidRPr="00C44F79">
        <w:rPr>
          <w:i/>
          <w:lang w:val="es-CR"/>
        </w:rPr>
        <w:t xml:space="preserve"> </w:t>
      </w:r>
      <w:proofErr w:type="spellStart"/>
      <w:r w:rsidRPr="00C44F79">
        <w:rPr>
          <w:i/>
          <w:lang w:val="es-CR"/>
        </w:rPr>
        <w:t>Bissangou</w:t>
      </w:r>
      <w:proofErr w:type="spellEnd"/>
      <w:r w:rsidRPr="00C44F79">
        <w:rPr>
          <w:i/>
          <w:lang w:val="es-CR"/>
        </w:rPr>
        <w:t xml:space="preserve"> Vs. La República del Congo</w:t>
      </w:r>
      <w:r w:rsidRPr="00C44F79">
        <w:rPr>
          <w:lang w:val="es-CR"/>
        </w:rPr>
        <w:t xml:space="preserve">, la Comisión Africana encontró violaciones de los artículos 3, 7 y 14 de la Carta Africana de Derechos Humanos y de los Pueblos cuando el peticionario había alegado violaciones de los artículos 2, 3 y 21 (2). Comisión Africana de Derechos Humanos y de los Pueblos, Comunicación No. 253/2002. Sentencia de noviembre de 2006, </w:t>
      </w:r>
      <w:proofErr w:type="spellStart"/>
      <w:r w:rsidRPr="00C44F79">
        <w:rPr>
          <w:lang w:val="es-CR"/>
        </w:rPr>
        <w:t>párrs</w:t>
      </w:r>
      <w:proofErr w:type="spellEnd"/>
      <w:r w:rsidRPr="00C44F79">
        <w:rPr>
          <w:lang w:val="es-CR"/>
        </w:rPr>
        <w:t>. 5, 73 a 76.</w:t>
      </w:r>
      <w:r w:rsidRPr="00C44F79">
        <w:rPr>
          <w:i/>
          <w:lang w:val="es-CR"/>
        </w:rPr>
        <w:t xml:space="preserve"> Ver también casos del Comité de Derechos Humanos de la ONU: </w:t>
      </w:r>
      <w:r w:rsidRPr="006B3905">
        <w:rPr>
          <w:i/>
          <w:lang w:val="es-CR"/>
        </w:rPr>
        <w:t xml:space="preserve">Caso de </w:t>
      </w:r>
      <w:proofErr w:type="spellStart"/>
      <w:r w:rsidRPr="006B3905">
        <w:rPr>
          <w:i/>
          <w:lang w:val="es-CR"/>
        </w:rPr>
        <w:t>Olimzhon</w:t>
      </w:r>
      <w:proofErr w:type="spellEnd"/>
      <w:r w:rsidRPr="006B3905">
        <w:rPr>
          <w:i/>
          <w:lang w:val="es-CR"/>
        </w:rPr>
        <w:t xml:space="preserve"> </w:t>
      </w:r>
      <w:proofErr w:type="spellStart"/>
      <w:r w:rsidRPr="006B3905">
        <w:rPr>
          <w:i/>
          <w:lang w:val="es-CR"/>
        </w:rPr>
        <w:t>Eshonov</w:t>
      </w:r>
      <w:proofErr w:type="spellEnd"/>
      <w:r w:rsidRPr="006B3905">
        <w:rPr>
          <w:i/>
          <w:lang w:val="es-CR"/>
        </w:rPr>
        <w:t xml:space="preserve"> Vs. </w:t>
      </w:r>
      <w:r w:rsidRPr="006B3905">
        <w:rPr>
          <w:i/>
        </w:rPr>
        <w:t>Uzbekistán</w:t>
      </w:r>
      <w:r w:rsidRPr="006B3905">
        <w:t>: The State party contested the admissibility of the communication, arguing that the author has failed to substantiate his claims under article 2 and article 7 of the Covenant. The Committee considers, however, that the arguments advanced by the State party are closely linked to the merits of the communication and should be taken up when the merits of the communication are examined. The Committee considers that the author has sufficiently substantiated his claims, for purposes of admissibility, in that they appear to raise issues under article 2; article 6, paragraph 1; and article 7 of the Covenant, and declares them admissible</w:t>
      </w:r>
      <w:r>
        <w:t>.</w:t>
      </w:r>
      <w:r w:rsidRPr="006B3905">
        <w:t xml:space="preserve"> </w:t>
      </w:r>
      <w:r w:rsidRPr="006B3905">
        <w:rPr>
          <w:lang w:val="es-MX"/>
        </w:rPr>
        <w:t>Comité de Derechos Humanos Comunicación No. 1225/2003, U.N. Doc.</w:t>
      </w:r>
      <w:r>
        <w:rPr>
          <w:lang w:val="es-MX"/>
        </w:rPr>
        <w:t>(</w:t>
      </w:r>
      <w:r w:rsidRPr="006B3905">
        <w:rPr>
          <w:lang w:val="es-MX"/>
        </w:rPr>
        <w:t xml:space="preserve"> CCPR/C/99/D/1225/2003</w:t>
      </w:r>
      <w:r>
        <w:rPr>
          <w:lang w:val="es-MX"/>
        </w:rPr>
        <w:t>)</w:t>
      </w:r>
      <w:r w:rsidRPr="006B3905">
        <w:rPr>
          <w:lang w:val="es-MX"/>
        </w:rPr>
        <w:t xml:space="preserve"> </w:t>
      </w:r>
      <w:r>
        <w:rPr>
          <w:lang w:val="es-MX"/>
        </w:rPr>
        <w:t>18 de agosto de 2010,</w:t>
      </w:r>
      <w:r w:rsidRPr="006B3905">
        <w:rPr>
          <w:lang w:val="es-MX"/>
        </w:rPr>
        <w:t xml:space="preserve"> párrs.1.1 3.3, 8.3, 9.7, 9.9 y 10</w:t>
      </w:r>
      <w:r>
        <w:rPr>
          <w:lang w:val="es-MX"/>
        </w:rPr>
        <w:t xml:space="preserve">; </w:t>
      </w:r>
      <w:r w:rsidRPr="000D35BC">
        <w:rPr>
          <w:lang w:val="es-CR"/>
        </w:rPr>
        <w:t xml:space="preserve">Caso Mariano Pimentel y otros Vs. </w:t>
      </w:r>
      <w:r w:rsidRPr="006B3905">
        <w:t xml:space="preserve">Filipinas: The authors claim that their proceedings in the Philippines on the enforcement of the US judgement have been unreasonably prolonged and that the exorbitant filing fee amounts to a de facto denial of their right to an effective remedy to obtain compensation for their injuries, under article 2 of the Covenant. They argue that they are not required to exhaust domestic remedies, as the proceedings before the Philippine courts have been unreasonably prolonged. The communication also appears to raise issues under article 14, paragraph 1, of the Covenant. […]The Committee observes that since the authors brought their action before the Regional Trial Court in 1997, the same Court and the Supreme Court considered the issue of the required filing fee arising from the authors claim on three subsequent occasions (9 September 1998, 28 July 1999 and 15 April 2005) and over a period of eight years before reaching a conclusion in favour of the authors. The Committee considers that the length of time taken to resolve this issue raises an admissible issue under article 14, paragraph 1, as well as article 2, paragraph 3, and should be considered on the merits. </w:t>
      </w:r>
      <w:r w:rsidRPr="000D35BC">
        <w:rPr>
          <w:lang w:val="es-CR"/>
        </w:rPr>
        <w:t xml:space="preserve">Comité de Derechos Humanos Comunicación No. 1320/2004, U.N. Doc. (CCPR/C/89/D/1320/2004) 3 de abril 2007, párrs,1, 3, 8.3, 9.2 y 10; </w:t>
      </w:r>
      <w:r w:rsidRPr="006B3905">
        <w:rPr>
          <w:i/>
          <w:lang w:val="pt-BR"/>
        </w:rPr>
        <w:t xml:space="preserve">Caso de Davlatbibi Shukurova Vs. </w:t>
      </w:r>
      <w:r w:rsidRPr="006B3905">
        <w:rPr>
          <w:i/>
        </w:rPr>
        <w:t>Tayikistán</w:t>
      </w:r>
      <w:r w:rsidRPr="006B3905">
        <w:t>: The author claims that the facts set out above amount to a violation of the rights of Sherali and Dovud Nazriev under articles 6; 7; 9; and 14, paragraphs 1, 3 (b), (d), (e), (f), (g), and 5 of the Covenant. Although the author does not specifically invoke article 7 in her own respect, the communication also appears to raise issues under this provision.</w:t>
      </w:r>
      <w:r w:rsidRPr="006B3905">
        <w:rPr>
          <w:sz w:val="18"/>
        </w:rPr>
        <w:t xml:space="preserve"> </w:t>
      </w:r>
      <w:r w:rsidRPr="00930699">
        <w:rPr>
          <w:lang w:val="es-MX"/>
        </w:rPr>
        <w:t xml:space="preserve">Comité de Derechos Humanos Comunicación </w:t>
      </w:r>
      <w:r w:rsidRPr="006B3905">
        <w:rPr>
          <w:lang w:val="es-MX"/>
        </w:rPr>
        <w:t>No. 1044/2002, U</w:t>
      </w:r>
      <w:r>
        <w:rPr>
          <w:lang w:val="es-MX"/>
        </w:rPr>
        <w:t>.N. Doc. (CCPR/C/86/D/1044/2002) marzo de 2006</w:t>
      </w:r>
      <w:r w:rsidRPr="00930699">
        <w:rPr>
          <w:lang w:val="es-MX"/>
        </w:rPr>
        <w:t>, párrs.1.1, 3, 8.2, 8.7 y</w:t>
      </w:r>
      <w:r>
        <w:rPr>
          <w:lang w:val="es-MX"/>
        </w:rPr>
        <w:t xml:space="preserve"> </w:t>
      </w:r>
      <w:r w:rsidRPr="00930699">
        <w:rPr>
          <w:lang w:val="es-MX"/>
        </w:rPr>
        <w:t>9</w:t>
      </w:r>
      <w:r>
        <w:rPr>
          <w:lang w:val="es-MX"/>
        </w:rPr>
        <w:t xml:space="preserve">. </w:t>
      </w:r>
      <w:r w:rsidRPr="006B3905">
        <w:rPr>
          <w:i/>
          <w:lang w:val="es-MX"/>
        </w:rPr>
        <w:t>Cfr.</w:t>
      </w:r>
      <w:r>
        <w:rPr>
          <w:lang w:val="es-MX"/>
        </w:rPr>
        <w:t xml:space="preserve"> </w:t>
      </w:r>
      <w:r w:rsidRPr="000D35BC">
        <w:rPr>
          <w:i/>
          <w:lang w:val="es-CR"/>
        </w:rPr>
        <w:t>Caso</w:t>
      </w:r>
      <w:r w:rsidRPr="000D35BC">
        <w:rPr>
          <w:lang w:val="es-CR"/>
        </w:rPr>
        <w:t xml:space="preserve"> </w:t>
      </w:r>
      <w:proofErr w:type="spellStart"/>
      <w:r w:rsidRPr="000D35BC">
        <w:rPr>
          <w:i/>
          <w:lang w:val="es-CR"/>
        </w:rPr>
        <w:t>Weerawansa</w:t>
      </w:r>
      <w:proofErr w:type="spellEnd"/>
      <w:r w:rsidRPr="000D35BC">
        <w:rPr>
          <w:i/>
          <w:lang w:val="es-CR"/>
        </w:rPr>
        <w:t xml:space="preserve"> Vs. Sri Lanka</w:t>
      </w:r>
      <w:r w:rsidRPr="000D35BC">
        <w:rPr>
          <w:lang w:val="es-CR"/>
        </w:rPr>
        <w:t xml:space="preserve">, Comité de Derechos Humanos Comunicación No. 1406/2005 (UN </w:t>
      </w:r>
      <w:proofErr w:type="spellStart"/>
      <w:r w:rsidRPr="000D35BC">
        <w:rPr>
          <w:lang w:val="es-CR"/>
        </w:rPr>
        <w:t>Doc</w:t>
      </w:r>
      <w:proofErr w:type="spellEnd"/>
      <w:r w:rsidRPr="000D35BC">
        <w:rPr>
          <w:lang w:val="es-CR"/>
        </w:rPr>
        <w:t xml:space="preserve"> CCPR/C/95/D/1406/2005) de 14 de mayo de 2009, </w:t>
      </w:r>
      <w:proofErr w:type="spellStart"/>
      <w:r w:rsidRPr="000D35BC">
        <w:rPr>
          <w:lang w:val="es-CR"/>
        </w:rPr>
        <w:t>párrs</w:t>
      </w:r>
      <w:proofErr w:type="spellEnd"/>
      <w:r w:rsidRPr="000D35BC">
        <w:rPr>
          <w:lang w:val="es-CR"/>
        </w:rPr>
        <w:t xml:space="preserve">, 1, 3.3, 7.4 y 8; </w:t>
      </w:r>
      <w:r w:rsidRPr="000D35BC">
        <w:rPr>
          <w:i/>
          <w:lang w:val="es-CR"/>
        </w:rPr>
        <w:t xml:space="preserve">Caso </w:t>
      </w:r>
      <w:proofErr w:type="spellStart"/>
      <w:r w:rsidRPr="006B3905">
        <w:rPr>
          <w:i/>
          <w:lang w:val="es-CR"/>
        </w:rPr>
        <w:t>Boudjemai</w:t>
      </w:r>
      <w:proofErr w:type="spellEnd"/>
      <w:r w:rsidRPr="006B3905">
        <w:rPr>
          <w:i/>
          <w:lang w:val="es-CR"/>
        </w:rPr>
        <w:t xml:space="preserve"> Vs. </w:t>
      </w:r>
      <w:r w:rsidRPr="000D35BC">
        <w:rPr>
          <w:i/>
          <w:lang w:val="es-CR"/>
        </w:rPr>
        <w:t>Argelia</w:t>
      </w:r>
      <w:r w:rsidRPr="000D35BC">
        <w:rPr>
          <w:lang w:val="es-CR"/>
        </w:rPr>
        <w:t xml:space="preserve">, Comité de Derechos Humanos Comunicación No. 1791/2008 (UN </w:t>
      </w:r>
      <w:proofErr w:type="spellStart"/>
      <w:r w:rsidRPr="000D35BC">
        <w:rPr>
          <w:lang w:val="es-CR"/>
        </w:rPr>
        <w:t>Doc</w:t>
      </w:r>
      <w:proofErr w:type="spellEnd"/>
      <w:r w:rsidRPr="000D35BC">
        <w:rPr>
          <w:lang w:val="es-CR"/>
        </w:rPr>
        <w:t xml:space="preserve"> CCPR/C/107/D/1791/2008) 5 de junio de 2013, párr. 8.11 y 9. </w:t>
      </w:r>
      <w:r w:rsidRPr="000D35BC">
        <w:rPr>
          <w:i/>
          <w:lang w:val="es-CR"/>
        </w:rPr>
        <w:t>Caso</w:t>
      </w:r>
      <w:r w:rsidRPr="000D35BC">
        <w:rPr>
          <w:lang w:val="es-CR"/>
        </w:rPr>
        <w:t xml:space="preserve"> </w:t>
      </w:r>
      <w:proofErr w:type="spellStart"/>
      <w:r w:rsidRPr="006B3905">
        <w:rPr>
          <w:i/>
          <w:lang w:val="es-CR"/>
        </w:rPr>
        <w:t>Benaziza</w:t>
      </w:r>
      <w:proofErr w:type="spellEnd"/>
      <w:r w:rsidRPr="006B3905">
        <w:rPr>
          <w:i/>
          <w:lang w:val="es-CR"/>
        </w:rPr>
        <w:t xml:space="preserve"> Vs. </w:t>
      </w:r>
      <w:r w:rsidRPr="006B3905">
        <w:rPr>
          <w:i/>
          <w:lang w:val="es-MX"/>
        </w:rPr>
        <w:t>Argelia</w:t>
      </w:r>
      <w:r w:rsidRPr="006B3905">
        <w:rPr>
          <w:lang w:val="es-MX"/>
        </w:rPr>
        <w:t>,</w:t>
      </w:r>
      <w:r w:rsidRPr="000D35BC">
        <w:rPr>
          <w:lang w:val="es-CR"/>
        </w:rPr>
        <w:t xml:space="preserve"> Comité de Derechos Humanos</w:t>
      </w:r>
      <w:r w:rsidRPr="006B3905">
        <w:rPr>
          <w:lang w:val="es-MX"/>
        </w:rPr>
        <w:t xml:space="preserve"> Comunicación No. 1588/2007 (CCPR/C/99/D/1588/2007) 16 de septiembre de 2010</w:t>
      </w:r>
      <w:proofErr w:type="gramStart"/>
      <w:r w:rsidRPr="006B3905">
        <w:rPr>
          <w:lang w:val="es-MX"/>
        </w:rPr>
        <w:t>,párrs</w:t>
      </w:r>
      <w:proofErr w:type="gramEnd"/>
      <w:r w:rsidRPr="006B3905">
        <w:rPr>
          <w:lang w:val="es-MX"/>
        </w:rPr>
        <w:t xml:space="preserve">. </w:t>
      </w:r>
      <w:r w:rsidRPr="000D35BC">
        <w:rPr>
          <w:lang w:val="es-CR"/>
        </w:rPr>
        <w:t xml:space="preserve">9.9 y 10; </w:t>
      </w:r>
      <w:r w:rsidRPr="006B3905">
        <w:rPr>
          <w:i/>
          <w:lang w:val="es-MX"/>
        </w:rPr>
        <w:t>Cfr.</w:t>
      </w:r>
      <w:r>
        <w:rPr>
          <w:lang w:val="es-MX"/>
        </w:rPr>
        <w:t xml:space="preserve"> </w:t>
      </w:r>
      <w:r w:rsidRPr="000D35BC">
        <w:rPr>
          <w:lang w:val="es-CR"/>
        </w:rPr>
        <w:t>(UN Doc. CCPR/C/107/D/1917</w:t>
      </w:r>
      <w:proofErr w:type="gramStart"/>
      <w:r w:rsidRPr="000D35BC">
        <w:rPr>
          <w:lang w:val="es-CR"/>
        </w:rPr>
        <w:t>,1918,1925</w:t>
      </w:r>
      <w:proofErr w:type="gramEnd"/>
      <w:r w:rsidRPr="000D35BC">
        <w:rPr>
          <w:lang w:val="es-CR"/>
        </w:rPr>
        <w:t xml:space="preserve">/2009&amp;1953/2010) (2013), Opinión independiente del Sr. Fabián Omar </w:t>
      </w:r>
      <w:proofErr w:type="spellStart"/>
      <w:r w:rsidRPr="000D35BC">
        <w:rPr>
          <w:lang w:val="es-CR"/>
        </w:rPr>
        <w:t>Salvioli</w:t>
      </w:r>
      <w:proofErr w:type="spellEnd"/>
      <w:r w:rsidRPr="000D35BC">
        <w:rPr>
          <w:lang w:val="es-CR"/>
        </w:rPr>
        <w:t xml:space="preserve">, miembro del Comité. </w:t>
      </w:r>
    </w:p>
  </w:footnote>
  <w:footnote w:id="284">
    <w:p w14:paraId="7C16606F" w14:textId="77777777" w:rsidR="00D86616" w:rsidRPr="006B3905" w:rsidRDefault="00D86616" w:rsidP="00F83E8F">
      <w:pPr>
        <w:pStyle w:val="FootnoteText"/>
        <w:spacing w:after="0"/>
        <w:rPr>
          <w:lang w:val="es-CR"/>
        </w:rPr>
      </w:pPr>
      <w:r>
        <w:rPr>
          <w:rStyle w:val="FootnoteReference"/>
        </w:rPr>
        <w:footnoteRef/>
      </w:r>
      <w:r w:rsidRPr="000D35BC">
        <w:rPr>
          <w:lang w:val="es-CR"/>
        </w:rPr>
        <w:t xml:space="preserve"> </w:t>
      </w:r>
      <w:r>
        <w:rPr>
          <w:lang w:val="es-CR"/>
        </w:rPr>
        <w:t xml:space="preserve">Ver también artículos 112 y 150 del Protocolo de Reformas a la Carta de la 0rganizacion de los Estados Americanos </w:t>
      </w:r>
      <w:r w:rsidRPr="005C52D2">
        <w:rPr>
          <w:lang w:val="es-CR"/>
        </w:rPr>
        <w:t>(B-31)</w:t>
      </w:r>
      <w:r>
        <w:rPr>
          <w:lang w:val="es-CR"/>
        </w:rPr>
        <w:t xml:space="preserve"> "Protocolo de Buenos Aires", </w:t>
      </w:r>
      <w:r w:rsidRPr="005C52D2">
        <w:rPr>
          <w:lang w:val="es-CR"/>
        </w:rPr>
        <w:t>Suscrito en la Tercera Conferencia</w:t>
      </w:r>
      <w:r>
        <w:rPr>
          <w:lang w:val="es-CR"/>
        </w:rPr>
        <w:t xml:space="preserve"> Interamericana Extraordinaria. Buenos Aires, </w:t>
      </w:r>
      <w:r w:rsidRPr="005C52D2">
        <w:rPr>
          <w:lang w:val="es-CR"/>
        </w:rPr>
        <w:t>27 de febrero de 1967</w:t>
      </w:r>
      <w:r>
        <w:rPr>
          <w:lang w:val="es-CR"/>
        </w:rPr>
        <w:t>.</w:t>
      </w:r>
    </w:p>
  </w:footnote>
  <w:footnote w:id="285">
    <w:p w14:paraId="214EFC55" w14:textId="77777777" w:rsidR="00D86616" w:rsidRPr="004F7F0A" w:rsidRDefault="00D86616" w:rsidP="00F83E8F">
      <w:pPr>
        <w:jc w:val="both"/>
        <w:rPr>
          <w:rFonts w:ascii="Verdana" w:eastAsia="Times New Roman" w:hAnsi="Verdana"/>
          <w:sz w:val="16"/>
          <w:szCs w:val="16"/>
          <w:lang w:val="es-MX"/>
        </w:rPr>
      </w:pPr>
      <w:r w:rsidRPr="00206283">
        <w:rPr>
          <w:rStyle w:val="FootnoteReference"/>
          <w:sz w:val="16"/>
          <w:szCs w:val="16"/>
        </w:rPr>
        <w:footnoteRef/>
      </w:r>
      <w:r w:rsidRPr="00206283">
        <w:rPr>
          <w:rFonts w:ascii="Verdana" w:hAnsi="Verdana"/>
          <w:sz w:val="16"/>
          <w:szCs w:val="16"/>
        </w:rPr>
        <w:t xml:space="preserve"> </w:t>
      </w:r>
      <w:r w:rsidRPr="00206283">
        <w:rPr>
          <w:rFonts w:ascii="Verdana" w:hAnsi="Verdana"/>
          <w:sz w:val="16"/>
          <w:szCs w:val="16"/>
        </w:rPr>
        <w:tab/>
      </w:r>
      <w:r>
        <w:rPr>
          <w:rFonts w:ascii="Verdana" w:hAnsi="Verdana"/>
          <w:sz w:val="16"/>
          <w:szCs w:val="16"/>
        </w:rPr>
        <w:t xml:space="preserve">La </w:t>
      </w:r>
      <w:r w:rsidRPr="00206283">
        <w:rPr>
          <w:rFonts w:ascii="Verdana" w:hAnsi="Verdana"/>
          <w:sz w:val="16"/>
          <w:szCs w:val="16"/>
        </w:rPr>
        <w:t>Corte</w:t>
      </w:r>
      <w:r>
        <w:rPr>
          <w:rFonts w:ascii="Verdana" w:hAnsi="Verdana"/>
          <w:sz w:val="16"/>
          <w:szCs w:val="16"/>
        </w:rPr>
        <w:t xml:space="preserve"> IDH</w:t>
      </w:r>
      <w:r w:rsidRPr="00206283">
        <w:rPr>
          <w:rFonts w:ascii="Verdana" w:hAnsi="Verdana"/>
          <w:sz w:val="16"/>
          <w:szCs w:val="16"/>
        </w:rPr>
        <w:t xml:space="preserve"> ha </w:t>
      </w:r>
      <w:proofErr w:type="spellStart"/>
      <w:r w:rsidRPr="00206283">
        <w:rPr>
          <w:rFonts w:ascii="Verdana" w:hAnsi="Verdana"/>
          <w:sz w:val="16"/>
          <w:szCs w:val="16"/>
        </w:rPr>
        <w:t>señalado</w:t>
      </w:r>
      <w:proofErr w:type="spellEnd"/>
      <w:r w:rsidRPr="00206283">
        <w:rPr>
          <w:rFonts w:ascii="Verdana" w:hAnsi="Verdana"/>
          <w:sz w:val="16"/>
          <w:szCs w:val="16"/>
        </w:rPr>
        <w:t xml:space="preserve"> que los tratados de derechos humanos son instrumentos vivos, cuya </w:t>
      </w:r>
      <w:proofErr w:type="spellStart"/>
      <w:r w:rsidRPr="00206283">
        <w:rPr>
          <w:rFonts w:ascii="Verdana" w:hAnsi="Verdana"/>
          <w:sz w:val="16"/>
          <w:szCs w:val="16"/>
        </w:rPr>
        <w:t>interpretación</w:t>
      </w:r>
      <w:proofErr w:type="spellEnd"/>
      <w:r w:rsidRPr="00206283">
        <w:rPr>
          <w:rFonts w:ascii="Verdana" w:hAnsi="Verdana"/>
          <w:sz w:val="16"/>
          <w:szCs w:val="16"/>
        </w:rPr>
        <w:t xml:space="preserve"> tiene que </w:t>
      </w:r>
      <w:proofErr w:type="spellStart"/>
      <w:r w:rsidRPr="00206283">
        <w:rPr>
          <w:rFonts w:ascii="Verdana" w:hAnsi="Verdana"/>
          <w:sz w:val="16"/>
          <w:szCs w:val="16"/>
        </w:rPr>
        <w:t>acompañar</w:t>
      </w:r>
      <w:proofErr w:type="spellEnd"/>
      <w:r w:rsidRPr="00206283">
        <w:rPr>
          <w:rFonts w:ascii="Verdana" w:hAnsi="Verdana"/>
          <w:sz w:val="16"/>
          <w:szCs w:val="16"/>
        </w:rPr>
        <w:t xml:space="preserve"> la </w:t>
      </w:r>
      <w:proofErr w:type="spellStart"/>
      <w:r w:rsidRPr="00206283">
        <w:rPr>
          <w:rFonts w:ascii="Verdana" w:hAnsi="Verdana"/>
          <w:sz w:val="16"/>
          <w:szCs w:val="16"/>
        </w:rPr>
        <w:t>evolución</w:t>
      </w:r>
      <w:proofErr w:type="spellEnd"/>
      <w:r w:rsidRPr="00206283">
        <w:rPr>
          <w:rFonts w:ascii="Verdana" w:hAnsi="Verdana"/>
          <w:sz w:val="16"/>
          <w:szCs w:val="16"/>
        </w:rPr>
        <w:t xml:space="preserve"> de los tiempos y las condiciones de vida actuales. Tal </w:t>
      </w:r>
      <w:proofErr w:type="spellStart"/>
      <w:r w:rsidRPr="00206283">
        <w:rPr>
          <w:rFonts w:ascii="Verdana" w:hAnsi="Verdana"/>
          <w:sz w:val="16"/>
          <w:szCs w:val="16"/>
        </w:rPr>
        <w:t>interpretación</w:t>
      </w:r>
      <w:proofErr w:type="spellEnd"/>
      <w:r w:rsidRPr="00206283">
        <w:rPr>
          <w:rFonts w:ascii="Verdana" w:hAnsi="Verdana"/>
          <w:sz w:val="16"/>
          <w:szCs w:val="16"/>
        </w:rPr>
        <w:t xml:space="preserve"> evolutiva es consecuente con las reglas generales de </w:t>
      </w:r>
      <w:proofErr w:type="spellStart"/>
      <w:r w:rsidRPr="00206283">
        <w:rPr>
          <w:rFonts w:ascii="Verdana" w:hAnsi="Verdana"/>
          <w:sz w:val="16"/>
          <w:szCs w:val="16"/>
        </w:rPr>
        <w:t>interpretación</w:t>
      </w:r>
      <w:proofErr w:type="spellEnd"/>
      <w:r w:rsidRPr="00206283">
        <w:rPr>
          <w:rFonts w:ascii="Verdana" w:hAnsi="Verdana"/>
          <w:sz w:val="16"/>
          <w:szCs w:val="16"/>
        </w:rPr>
        <w:t xml:space="preserve"> consagradas en el </w:t>
      </w:r>
      <w:proofErr w:type="spellStart"/>
      <w:r w:rsidRPr="00206283">
        <w:rPr>
          <w:rFonts w:ascii="Verdana" w:hAnsi="Verdana"/>
          <w:sz w:val="16"/>
          <w:szCs w:val="16"/>
        </w:rPr>
        <w:t>artículo</w:t>
      </w:r>
      <w:proofErr w:type="spellEnd"/>
      <w:r w:rsidRPr="00206283">
        <w:rPr>
          <w:rFonts w:ascii="Verdana" w:hAnsi="Verdana"/>
          <w:sz w:val="16"/>
          <w:szCs w:val="16"/>
        </w:rPr>
        <w:t xml:space="preserve"> 29 d</w:t>
      </w:r>
      <w:r>
        <w:rPr>
          <w:rFonts w:ascii="Verdana" w:hAnsi="Verdana"/>
          <w:sz w:val="16"/>
          <w:szCs w:val="16"/>
        </w:rPr>
        <w:t xml:space="preserve">e la </w:t>
      </w:r>
      <w:proofErr w:type="spellStart"/>
      <w:r>
        <w:rPr>
          <w:rFonts w:ascii="Verdana" w:hAnsi="Verdana"/>
          <w:sz w:val="16"/>
          <w:szCs w:val="16"/>
        </w:rPr>
        <w:t>Convención</w:t>
      </w:r>
      <w:proofErr w:type="spellEnd"/>
      <w:r>
        <w:rPr>
          <w:rFonts w:ascii="Verdana" w:hAnsi="Verdana"/>
          <w:sz w:val="16"/>
          <w:szCs w:val="16"/>
        </w:rPr>
        <w:t xml:space="preserve"> Americana, así</w:t>
      </w:r>
      <w:r w:rsidRPr="00206283">
        <w:rPr>
          <w:rFonts w:ascii="Verdana" w:hAnsi="Verdana"/>
          <w:sz w:val="16"/>
          <w:szCs w:val="16"/>
        </w:rPr>
        <w:t xml:space="preserve"> como las establecidas por la </w:t>
      </w:r>
      <w:proofErr w:type="spellStart"/>
      <w:r w:rsidRPr="00206283">
        <w:rPr>
          <w:rFonts w:ascii="Verdana" w:hAnsi="Verdana"/>
          <w:sz w:val="16"/>
          <w:szCs w:val="16"/>
        </w:rPr>
        <w:t>Convención</w:t>
      </w:r>
      <w:proofErr w:type="spellEnd"/>
      <w:r w:rsidRPr="00206283">
        <w:rPr>
          <w:rFonts w:ascii="Verdana" w:hAnsi="Verdana"/>
          <w:sz w:val="16"/>
          <w:szCs w:val="16"/>
        </w:rPr>
        <w:t xml:space="preserve"> de Viena sobre el Derecho de los Tratados. </w:t>
      </w:r>
      <w:r w:rsidRPr="00206283">
        <w:rPr>
          <w:rFonts w:ascii="Verdana" w:hAnsi="Verdana"/>
          <w:i/>
          <w:sz w:val="16"/>
          <w:szCs w:val="16"/>
        </w:rPr>
        <w:t>Cfr.</w:t>
      </w:r>
      <w:r w:rsidRPr="00206283">
        <w:rPr>
          <w:rFonts w:ascii="Verdana" w:hAnsi="Verdana"/>
          <w:sz w:val="16"/>
          <w:szCs w:val="16"/>
        </w:rPr>
        <w:t xml:space="preserve"> </w:t>
      </w:r>
      <w:r w:rsidRPr="00206283">
        <w:rPr>
          <w:rFonts w:ascii="Verdana" w:hAnsi="Verdana"/>
          <w:i/>
          <w:sz w:val="16"/>
          <w:szCs w:val="16"/>
        </w:rPr>
        <w:t xml:space="preserve">El Derecho a la </w:t>
      </w:r>
      <w:proofErr w:type="spellStart"/>
      <w:r w:rsidRPr="00206283">
        <w:rPr>
          <w:rFonts w:ascii="Verdana" w:hAnsi="Verdana"/>
          <w:i/>
          <w:sz w:val="16"/>
          <w:szCs w:val="16"/>
        </w:rPr>
        <w:t>Información</w:t>
      </w:r>
      <w:proofErr w:type="spellEnd"/>
      <w:r w:rsidRPr="00206283">
        <w:rPr>
          <w:rFonts w:ascii="Verdana" w:hAnsi="Verdana"/>
          <w:i/>
          <w:sz w:val="16"/>
          <w:szCs w:val="16"/>
        </w:rPr>
        <w:t xml:space="preserve"> sobre la Asistencia Consular en el Marco de las </w:t>
      </w:r>
      <w:proofErr w:type="spellStart"/>
      <w:r w:rsidRPr="00206283">
        <w:rPr>
          <w:rFonts w:ascii="Verdana" w:hAnsi="Verdana"/>
          <w:i/>
          <w:sz w:val="16"/>
          <w:szCs w:val="16"/>
        </w:rPr>
        <w:t>Garantías</w:t>
      </w:r>
      <w:proofErr w:type="spellEnd"/>
      <w:r w:rsidRPr="00206283">
        <w:rPr>
          <w:rFonts w:ascii="Verdana" w:hAnsi="Verdana"/>
          <w:i/>
          <w:sz w:val="16"/>
          <w:szCs w:val="16"/>
        </w:rPr>
        <w:t xml:space="preserve"> del Debido Proceso Legal.</w:t>
      </w:r>
      <w:r w:rsidRPr="00206283">
        <w:rPr>
          <w:rFonts w:ascii="Verdana" w:hAnsi="Verdana"/>
          <w:sz w:val="16"/>
          <w:szCs w:val="16"/>
        </w:rPr>
        <w:t xml:space="preserve"> </w:t>
      </w:r>
      <w:proofErr w:type="spellStart"/>
      <w:r w:rsidRPr="00206283">
        <w:rPr>
          <w:rFonts w:ascii="Verdana" w:hAnsi="Verdana"/>
          <w:sz w:val="16"/>
          <w:szCs w:val="16"/>
        </w:rPr>
        <w:t>Opinión</w:t>
      </w:r>
      <w:proofErr w:type="spellEnd"/>
      <w:r w:rsidRPr="00206283">
        <w:rPr>
          <w:rFonts w:ascii="Verdana" w:hAnsi="Verdana"/>
          <w:sz w:val="16"/>
          <w:szCs w:val="16"/>
        </w:rPr>
        <w:t xml:space="preserve"> Consultiva OC-16/99 </w:t>
      </w:r>
      <w:r w:rsidRPr="001B7C9D">
        <w:rPr>
          <w:rFonts w:ascii="Verdana" w:hAnsi="Verdana"/>
          <w:sz w:val="16"/>
          <w:szCs w:val="16"/>
        </w:rPr>
        <w:t>de 1</w:t>
      </w:r>
      <w:r w:rsidRPr="006E4E07">
        <w:rPr>
          <w:rFonts w:ascii="Verdana" w:hAnsi="Verdana"/>
          <w:sz w:val="16"/>
          <w:szCs w:val="16"/>
        </w:rPr>
        <w:t xml:space="preserve"> de</w:t>
      </w:r>
      <w:r w:rsidRPr="00206283">
        <w:rPr>
          <w:rFonts w:ascii="Verdana" w:hAnsi="Verdana"/>
          <w:sz w:val="16"/>
          <w:szCs w:val="16"/>
        </w:rPr>
        <w:t xml:space="preserve"> octubre de 1999. Serie A No. 16, </w:t>
      </w:r>
      <w:proofErr w:type="spellStart"/>
      <w:r w:rsidRPr="00206283">
        <w:rPr>
          <w:rFonts w:ascii="Verdana" w:hAnsi="Verdana"/>
          <w:sz w:val="16"/>
          <w:szCs w:val="16"/>
        </w:rPr>
        <w:t>párr</w:t>
      </w:r>
      <w:proofErr w:type="spellEnd"/>
      <w:r w:rsidRPr="00206283">
        <w:rPr>
          <w:rFonts w:ascii="Verdana" w:hAnsi="Verdana"/>
          <w:sz w:val="16"/>
          <w:szCs w:val="16"/>
        </w:rPr>
        <w:t>. 114</w:t>
      </w:r>
      <w:r>
        <w:rPr>
          <w:rFonts w:ascii="Verdana" w:hAnsi="Verdana"/>
          <w:sz w:val="16"/>
          <w:szCs w:val="16"/>
        </w:rPr>
        <w:t>;</w:t>
      </w:r>
      <w:r w:rsidRPr="00206283">
        <w:rPr>
          <w:rFonts w:ascii="Verdana" w:hAnsi="Verdana"/>
          <w:sz w:val="16"/>
          <w:szCs w:val="16"/>
        </w:rPr>
        <w:t xml:space="preserve"> y </w:t>
      </w:r>
      <w:r w:rsidRPr="00206283">
        <w:rPr>
          <w:rFonts w:ascii="Verdana" w:eastAsia="Times New Roman" w:hAnsi="Verdana"/>
          <w:bCs/>
          <w:i/>
          <w:color w:val="000000"/>
          <w:sz w:val="16"/>
          <w:szCs w:val="16"/>
          <w:lang w:val="es-MX"/>
        </w:rPr>
        <w:t>Caso Trabajadores de la Hacienda Brasil Verde Vs. Brasil. Excepciones Preliminares, Fondo, Reparaciones y Costas.</w:t>
      </w:r>
      <w:r w:rsidRPr="00206283">
        <w:rPr>
          <w:rFonts w:ascii="Verdana" w:eastAsia="Times New Roman" w:hAnsi="Verdana"/>
          <w:bCs/>
          <w:color w:val="000000"/>
          <w:sz w:val="16"/>
          <w:szCs w:val="16"/>
          <w:lang w:val="es-MX"/>
        </w:rPr>
        <w:t xml:space="preserve"> Sentencia de 20 de octubre de 2016. Serie C No. 318, párr. 245.</w:t>
      </w:r>
      <w:r w:rsidRPr="004F7F0A">
        <w:rPr>
          <w:rFonts w:ascii="Verdana" w:eastAsia="Times New Roman" w:hAnsi="Verdana"/>
          <w:bCs/>
          <w:color w:val="000000"/>
          <w:sz w:val="16"/>
          <w:szCs w:val="16"/>
          <w:lang w:val="es-MX"/>
        </w:rPr>
        <w:t xml:space="preserve"> </w:t>
      </w:r>
    </w:p>
    <w:p w14:paraId="6E3300D9" w14:textId="77777777" w:rsidR="00D86616" w:rsidRPr="004F7F0A" w:rsidRDefault="00D86616" w:rsidP="00F83E8F">
      <w:pPr>
        <w:pStyle w:val="FootnoteText"/>
        <w:rPr>
          <w:lang w:val="es-ES_tradnl"/>
        </w:rPr>
      </w:pPr>
    </w:p>
  </w:footnote>
  <w:footnote w:id="286">
    <w:p w14:paraId="35B478F9" w14:textId="77777777" w:rsidR="00D86616" w:rsidRDefault="00D86616" w:rsidP="00F83E8F">
      <w:pPr>
        <w:jc w:val="both"/>
        <w:rPr>
          <w:rFonts w:ascii="Verdana" w:hAnsi="Verdana"/>
          <w:sz w:val="16"/>
          <w:szCs w:val="16"/>
        </w:rPr>
      </w:pPr>
      <w:r w:rsidRPr="00CF137F">
        <w:rPr>
          <w:rStyle w:val="FootnoteReference"/>
          <w:sz w:val="16"/>
          <w:szCs w:val="16"/>
        </w:rPr>
        <w:footnoteRef/>
      </w:r>
      <w:r w:rsidRPr="00CF137F">
        <w:rPr>
          <w:rFonts w:ascii="Verdana" w:hAnsi="Verdana"/>
          <w:sz w:val="16"/>
          <w:szCs w:val="16"/>
        </w:rPr>
        <w:tab/>
      </w:r>
      <w:r w:rsidRPr="00CF137F">
        <w:rPr>
          <w:rFonts w:ascii="Verdana" w:hAnsi="Verdana"/>
          <w:i/>
          <w:iCs/>
          <w:sz w:val="16"/>
          <w:szCs w:val="16"/>
        </w:rPr>
        <w:t>La Colegiación Obligatoria de Periodistas (arts. 13 y 29 Convención Americana sobre Derechos Humanos)</w:t>
      </w:r>
      <w:r>
        <w:rPr>
          <w:rFonts w:ascii="Verdana" w:hAnsi="Verdana"/>
          <w:i/>
          <w:iCs/>
          <w:sz w:val="16"/>
          <w:szCs w:val="16"/>
        </w:rPr>
        <w:t xml:space="preserve"> Opinión Consultiva OC- 5/85, </w:t>
      </w:r>
      <w:r>
        <w:rPr>
          <w:rFonts w:ascii="Verdana" w:hAnsi="Verdana"/>
          <w:iCs/>
          <w:sz w:val="16"/>
          <w:szCs w:val="16"/>
        </w:rPr>
        <w:t>del 13 de noviembre de 1985.</w:t>
      </w:r>
      <w:r w:rsidRPr="00151A7C">
        <w:rPr>
          <w:rFonts w:ascii="Verdana" w:hAnsi="Verdana"/>
          <w:iCs/>
          <w:sz w:val="16"/>
          <w:szCs w:val="16"/>
        </w:rPr>
        <w:t xml:space="preserve"> </w:t>
      </w:r>
      <w:r>
        <w:rPr>
          <w:rFonts w:ascii="Verdana" w:hAnsi="Verdana"/>
          <w:iCs/>
          <w:sz w:val="16"/>
          <w:szCs w:val="16"/>
        </w:rPr>
        <w:t>S</w:t>
      </w:r>
      <w:r w:rsidRPr="00BA6F15">
        <w:rPr>
          <w:rFonts w:ascii="Verdana" w:hAnsi="Verdana"/>
          <w:iCs/>
          <w:sz w:val="16"/>
          <w:szCs w:val="16"/>
        </w:rPr>
        <w:t>erie No. 5</w:t>
      </w:r>
      <w:r w:rsidRPr="00FE4104">
        <w:rPr>
          <w:rFonts w:ascii="Verdana" w:hAnsi="Verdana"/>
          <w:sz w:val="16"/>
          <w:szCs w:val="16"/>
        </w:rPr>
        <w:t>;</w:t>
      </w:r>
      <w:r w:rsidRPr="00CF137F">
        <w:rPr>
          <w:rFonts w:ascii="Verdana" w:hAnsi="Verdana"/>
          <w:sz w:val="16"/>
          <w:szCs w:val="16"/>
        </w:rPr>
        <w:t xml:space="preserve"> </w:t>
      </w:r>
      <w:r w:rsidRPr="00FE4104">
        <w:rPr>
          <w:rFonts w:ascii="Verdana" w:hAnsi="Verdana"/>
          <w:i/>
          <w:iCs/>
          <w:sz w:val="16"/>
          <w:szCs w:val="16"/>
        </w:rPr>
        <w:t>Caso “La Última Tentación de Cristo” (Olmedo Bustos y otros) Vs. Chile</w:t>
      </w:r>
      <w:r>
        <w:rPr>
          <w:rFonts w:ascii="Verdana" w:hAnsi="Verdana"/>
          <w:i/>
          <w:iCs/>
          <w:sz w:val="16"/>
          <w:szCs w:val="16"/>
        </w:rPr>
        <w:t xml:space="preserve">. Fondo, Reparaciones y Costas. </w:t>
      </w:r>
      <w:r w:rsidRPr="00BA6F15">
        <w:rPr>
          <w:rFonts w:ascii="Verdana" w:hAnsi="Verdana"/>
          <w:iCs/>
          <w:sz w:val="16"/>
          <w:szCs w:val="16"/>
        </w:rPr>
        <w:t>Sentencia de 5 de febrero de 2011. Serie C No. 73</w:t>
      </w:r>
      <w:r w:rsidRPr="00BA6F15">
        <w:rPr>
          <w:rFonts w:ascii="Verdana" w:hAnsi="Verdana"/>
          <w:i/>
          <w:sz w:val="16"/>
          <w:szCs w:val="16"/>
        </w:rPr>
        <w:t>;</w:t>
      </w:r>
      <w:r w:rsidRPr="00CF137F">
        <w:rPr>
          <w:rFonts w:ascii="Verdana" w:hAnsi="Verdana"/>
          <w:sz w:val="16"/>
          <w:szCs w:val="16"/>
        </w:rPr>
        <w:t xml:space="preserve"> </w:t>
      </w:r>
      <w:r w:rsidRPr="00CF137F">
        <w:rPr>
          <w:rFonts w:ascii="Verdana" w:eastAsia="Times New Roman" w:hAnsi="Verdana"/>
          <w:bCs/>
          <w:color w:val="000000"/>
          <w:sz w:val="16"/>
          <w:szCs w:val="16"/>
          <w:lang w:val="es-MX"/>
        </w:rPr>
        <w:t>C</w:t>
      </w:r>
      <w:r w:rsidRPr="00CF137F">
        <w:rPr>
          <w:rFonts w:ascii="Verdana" w:eastAsia="Times New Roman" w:hAnsi="Verdana"/>
          <w:bCs/>
          <w:i/>
          <w:color w:val="000000"/>
          <w:sz w:val="16"/>
          <w:szCs w:val="16"/>
          <w:lang w:val="es-MX"/>
        </w:rPr>
        <w:t xml:space="preserve">aso </w:t>
      </w:r>
      <w:proofErr w:type="spellStart"/>
      <w:r w:rsidRPr="00CF137F">
        <w:rPr>
          <w:rFonts w:ascii="Verdana" w:eastAsia="Times New Roman" w:hAnsi="Verdana"/>
          <w:bCs/>
          <w:i/>
          <w:color w:val="000000"/>
          <w:sz w:val="16"/>
          <w:szCs w:val="16"/>
          <w:lang w:val="es-MX"/>
        </w:rPr>
        <w:t>Ivcher</w:t>
      </w:r>
      <w:proofErr w:type="spellEnd"/>
      <w:r w:rsidRPr="00CF137F">
        <w:rPr>
          <w:rFonts w:ascii="Verdana" w:eastAsia="Times New Roman" w:hAnsi="Verdana"/>
          <w:bCs/>
          <w:i/>
          <w:color w:val="000000"/>
          <w:sz w:val="16"/>
          <w:szCs w:val="16"/>
          <w:lang w:val="es-MX"/>
        </w:rPr>
        <w:t xml:space="preserve"> </w:t>
      </w:r>
      <w:proofErr w:type="spellStart"/>
      <w:r w:rsidRPr="00CF137F">
        <w:rPr>
          <w:rFonts w:ascii="Verdana" w:eastAsia="Times New Roman" w:hAnsi="Verdana"/>
          <w:bCs/>
          <w:i/>
          <w:color w:val="000000"/>
          <w:sz w:val="16"/>
          <w:szCs w:val="16"/>
          <w:lang w:val="es-MX"/>
        </w:rPr>
        <w:t>Bronstein</w:t>
      </w:r>
      <w:proofErr w:type="spellEnd"/>
      <w:r w:rsidRPr="00CF137F">
        <w:rPr>
          <w:rFonts w:ascii="Verdana" w:eastAsia="Times New Roman" w:hAnsi="Verdana"/>
          <w:bCs/>
          <w:i/>
          <w:color w:val="000000"/>
          <w:sz w:val="16"/>
          <w:szCs w:val="16"/>
          <w:lang w:val="es-MX"/>
        </w:rPr>
        <w:t xml:space="preserve"> Vs. Perú.</w:t>
      </w:r>
      <w:r>
        <w:rPr>
          <w:rFonts w:ascii="Verdana" w:eastAsia="Times New Roman" w:hAnsi="Verdana"/>
          <w:bCs/>
          <w:i/>
          <w:color w:val="000000"/>
          <w:sz w:val="16"/>
          <w:szCs w:val="16"/>
          <w:lang w:val="es-MX"/>
        </w:rPr>
        <w:t xml:space="preserve"> </w:t>
      </w:r>
      <w:r w:rsidRPr="00CF137F">
        <w:rPr>
          <w:rFonts w:ascii="Verdana" w:eastAsia="Times New Roman" w:hAnsi="Verdana"/>
          <w:bCs/>
          <w:i/>
          <w:color w:val="000000"/>
          <w:sz w:val="16"/>
          <w:szCs w:val="16"/>
          <w:lang w:val="es-MX"/>
        </w:rPr>
        <w:t>Reparaciones y Costas</w:t>
      </w:r>
      <w:r w:rsidRPr="00CF137F">
        <w:rPr>
          <w:rFonts w:ascii="Verdana" w:eastAsia="Times New Roman" w:hAnsi="Verdana"/>
          <w:bCs/>
          <w:color w:val="000000"/>
          <w:sz w:val="16"/>
          <w:szCs w:val="16"/>
          <w:lang w:val="es-MX"/>
        </w:rPr>
        <w:t>. Sentencia de 6 de febrero de 2001. Serie C No. 74</w:t>
      </w:r>
      <w:r w:rsidRPr="00CF137F">
        <w:rPr>
          <w:rFonts w:ascii="Verdana" w:hAnsi="Verdana"/>
          <w:sz w:val="16"/>
          <w:szCs w:val="16"/>
        </w:rPr>
        <w:t xml:space="preserve">; </w:t>
      </w:r>
      <w:r w:rsidRPr="00CF137F">
        <w:rPr>
          <w:rFonts w:ascii="Verdana" w:hAnsi="Verdana"/>
          <w:i/>
          <w:iCs/>
          <w:sz w:val="16"/>
          <w:szCs w:val="16"/>
        </w:rPr>
        <w:t>Caso Herrera Ulloa Vs. Costa Rica</w:t>
      </w:r>
      <w:r w:rsidRPr="00CF137F">
        <w:rPr>
          <w:rFonts w:ascii="Verdana" w:hAnsi="Verdana"/>
          <w:sz w:val="16"/>
          <w:szCs w:val="16"/>
        </w:rPr>
        <w:t xml:space="preserve">. Excepciones </w:t>
      </w:r>
      <w:r>
        <w:rPr>
          <w:rFonts w:ascii="Verdana" w:hAnsi="Verdana"/>
          <w:sz w:val="16"/>
          <w:szCs w:val="16"/>
        </w:rPr>
        <w:t>P</w:t>
      </w:r>
      <w:r w:rsidRPr="00CF137F">
        <w:rPr>
          <w:rFonts w:ascii="Verdana" w:hAnsi="Verdana"/>
          <w:sz w:val="16"/>
          <w:szCs w:val="16"/>
        </w:rPr>
        <w:t xml:space="preserve">reliminares, </w:t>
      </w:r>
      <w:r>
        <w:rPr>
          <w:rFonts w:ascii="Verdana" w:hAnsi="Verdana"/>
          <w:sz w:val="16"/>
          <w:szCs w:val="16"/>
        </w:rPr>
        <w:t>F</w:t>
      </w:r>
      <w:r w:rsidRPr="00CF137F">
        <w:rPr>
          <w:rFonts w:ascii="Verdana" w:hAnsi="Verdana"/>
          <w:sz w:val="16"/>
          <w:szCs w:val="16"/>
        </w:rPr>
        <w:t xml:space="preserve">ondo, </w:t>
      </w:r>
      <w:r>
        <w:rPr>
          <w:rFonts w:ascii="Verdana" w:hAnsi="Verdana"/>
          <w:sz w:val="16"/>
          <w:szCs w:val="16"/>
        </w:rPr>
        <w:t>R</w:t>
      </w:r>
      <w:r w:rsidRPr="00CF137F">
        <w:rPr>
          <w:rFonts w:ascii="Verdana" w:hAnsi="Verdana"/>
          <w:sz w:val="16"/>
          <w:szCs w:val="16"/>
        </w:rPr>
        <w:t xml:space="preserve">eparaciones y </w:t>
      </w:r>
      <w:r>
        <w:rPr>
          <w:rFonts w:ascii="Verdana" w:hAnsi="Verdana"/>
          <w:sz w:val="16"/>
          <w:szCs w:val="16"/>
        </w:rPr>
        <w:t>C</w:t>
      </w:r>
      <w:r w:rsidRPr="00CF137F">
        <w:rPr>
          <w:rFonts w:ascii="Verdana" w:hAnsi="Verdana"/>
          <w:sz w:val="16"/>
          <w:szCs w:val="16"/>
        </w:rPr>
        <w:t xml:space="preserve">ostas. Sentencia de 2 de julio de 2004. Serie C No. 107; </w:t>
      </w:r>
      <w:r w:rsidRPr="00CF137F">
        <w:rPr>
          <w:rFonts w:ascii="Verdana" w:hAnsi="Verdana"/>
          <w:i/>
          <w:iCs/>
          <w:sz w:val="16"/>
          <w:szCs w:val="16"/>
        </w:rPr>
        <w:t xml:space="preserve">Caso Ricardo </w:t>
      </w:r>
      <w:proofErr w:type="spellStart"/>
      <w:r w:rsidRPr="00CF137F">
        <w:rPr>
          <w:rFonts w:ascii="Verdana" w:hAnsi="Verdana"/>
          <w:i/>
          <w:iCs/>
          <w:sz w:val="16"/>
          <w:szCs w:val="16"/>
        </w:rPr>
        <w:t>Canese</w:t>
      </w:r>
      <w:proofErr w:type="spellEnd"/>
      <w:r w:rsidRPr="00CF137F">
        <w:rPr>
          <w:rFonts w:ascii="Verdana" w:hAnsi="Verdana"/>
          <w:i/>
          <w:iCs/>
          <w:sz w:val="16"/>
          <w:szCs w:val="16"/>
        </w:rPr>
        <w:t xml:space="preserve"> Vs. Paraguay</w:t>
      </w:r>
      <w:r w:rsidRPr="00CF137F">
        <w:rPr>
          <w:rFonts w:ascii="Verdana" w:hAnsi="Verdana"/>
          <w:sz w:val="16"/>
          <w:szCs w:val="16"/>
        </w:rPr>
        <w:t xml:space="preserve">. </w:t>
      </w:r>
      <w:r w:rsidRPr="00BA6F15">
        <w:rPr>
          <w:rFonts w:ascii="Verdana" w:hAnsi="Verdana"/>
          <w:i/>
          <w:sz w:val="16"/>
          <w:szCs w:val="16"/>
        </w:rPr>
        <w:t>Fondo, Reparaciones y Costas</w:t>
      </w:r>
      <w:r w:rsidRPr="00CF137F">
        <w:rPr>
          <w:rFonts w:ascii="Verdana" w:hAnsi="Verdana"/>
          <w:sz w:val="16"/>
          <w:szCs w:val="16"/>
        </w:rPr>
        <w:t xml:space="preserve">. Sentencia de 31 de agosto de 2004. Serie C No. 111; </w:t>
      </w:r>
      <w:r w:rsidRPr="00CF137F">
        <w:rPr>
          <w:rFonts w:ascii="Verdana" w:hAnsi="Verdana"/>
          <w:i/>
          <w:iCs/>
          <w:sz w:val="16"/>
          <w:szCs w:val="16"/>
        </w:rPr>
        <w:t xml:space="preserve">Caso </w:t>
      </w:r>
      <w:proofErr w:type="spellStart"/>
      <w:r w:rsidRPr="00CF137F">
        <w:rPr>
          <w:rFonts w:ascii="Verdana" w:hAnsi="Verdana"/>
          <w:i/>
          <w:iCs/>
          <w:sz w:val="16"/>
          <w:szCs w:val="16"/>
        </w:rPr>
        <w:t>Palamara</w:t>
      </w:r>
      <w:proofErr w:type="spellEnd"/>
      <w:r w:rsidRPr="00CF137F">
        <w:rPr>
          <w:rFonts w:ascii="Verdana" w:hAnsi="Verdana"/>
          <w:i/>
          <w:iCs/>
          <w:sz w:val="16"/>
          <w:szCs w:val="16"/>
        </w:rPr>
        <w:t xml:space="preserve"> Iribarne Vs. Chile</w:t>
      </w:r>
      <w:r w:rsidRPr="00CF137F">
        <w:rPr>
          <w:rFonts w:ascii="Verdana" w:hAnsi="Verdana"/>
          <w:sz w:val="16"/>
          <w:szCs w:val="16"/>
        </w:rPr>
        <w:t xml:space="preserve">. </w:t>
      </w:r>
      <w:r w:rsidRPr="00BA6F15">
        <w:rPr>
          <w:rFonts w:ascii="Verdana" w:hAnsi="Verdana"/>
          <w:i/>
          <w:sz w:val="16"/>
          <w:szCs w:val="16"/>
        </w:rPr>
        <w:t>Fondo, Reparaciones y Costas.</w:t>
      </w:r>
      <w:r w:rsidRPr="00CF137F">
        <w:rPr>
          <w:rFonts w:ascii="Verdana" w:hAnsi="Verdana"/>
          <w:sz w:val="16"/>
          <w:szCs w:val="16"/>
        </w:rPr>
        <w:t xml:space="preserve"> Sentencia de 22 de noviembre de 2005. Serie C No. 135; </w:t>
      </w:r>
      <w:r w:rsidRPr="00FE4104">
        <w:rPr>
          <w:rFonts w:ascii="Verdana" w:hAnsi="Verdana"/>
          <w:i/>
          <w:iCs/>
          <w:sz w:val="16"/>
          <w:szCs w:val="16"/>
        </w:rPr>
        <w:t>Caso Claude Reyes y otros Vs Chile</w:t>
      </w:r>
      <w:r w:rsidRPr="00BA6F15">
        <w:rPr>
          <w:rFonts w:ascii="Verdana" w:hAnsi="Verdana"/>
          <w:i/>
          <w:sz w:val="16"/>
          <w:szCs w:val="16"/>
        </w:rPr>
        <w:t>. Fondo, Reparaciones y Costas</w:t>
      </w:r>
      <w:r w:rsidRPr="00CF137F">
        <w:rPr>
          <w:rFonts w:ascii="Verdana" w:hAnsi="Verdana"/>
          <w:sz w:val="16"/>
          <w:szCs w:val="16"/>
        </w:rPr>
        <w:t xml:space="preserve">. Sentencia de 19 de </w:t>
      </w:r>
    </w:p>
    <w:p w14:paraId="09F94F10" w14:textId="77777777" w:rsidR="00D86616" w:rsidRDefault="00D86616" w:rsidP="00F83E8F">
      <w:pPr>
        <w:jc w:val="both"/>
        <w:rPr>
          <w:rFonts w:ascii="Verdana" w:hAnsi="Verdana"/>
          <w:sz w:val="16"/>
          <w:szCs w:val="16"/>
        </w:rPr>
      </w:pPr>
    </w:p>
    <w:p w14:paraId="6791B0C3" w14:textId="77777777" w:rsidR="00D86616" w:rsidRPr="00DE4860" w:rsidRDefault="00D86616" w:rsidP="00F83E8F">
      <w:pPr>
        <w:jc w:val="both"/>
        <w:rPr>
          <w:rFonts w:ascii="Verdana" w:hAnsi="Verdana"/>
          <w:sz w:val="16"/>
          <w:szCs w:val="16"/>
        </w:rPr>
      </w:pPr>
      <w:r w:rsidRPr="00CF137F">
        <w:rPr>
          <w:rFonts w:ascii="Verdana" w:hAnsi="Verdana"/>
          <w:sz w:val="16"/>
          <w:szCs w:val="16"/>
        </w:rPr>
        <w:t xml:space="preserve">septiembre de 2006. Serie C No. 151; </w:t>
      </w:r>
      <w:r w:rsidRPr="00FE4104">
        <w:rPr>
          <w:rFonts w:ascii="Verdana" w:hAnsi="Verdana"/>
          <w:i/>
          <w:iCs/>
          <w:sz w:val="16"/>
          <w:szCs w:val="16"/>
        </w:rPr>
        <w:t xml:space="preserve">Caso </w:t>
      </w:r>
      <w:proofErr w:type="spellStart"/>
      <w:r w:rsidRPr="00FE4104">
        <w:rPr>
          <w:rFonts w:ascii="Verdana" w:hAnsi="Verdana"/>
          <w:i/>
          <w:iCs/>
          <w:sz w:val="16"/>
          <w:szCs w:val="16"/>
        </w:rPr>
        <w:t>Kimel</w:t>
      </w:r>
      <w:proofErr w:type="spellEnd"/>
      <w:r w:rsidRPr="00FE4104">
        <w:rPr>
          <w:rFonts w:ascii="Verdana" w:hAnsi="Verdana"/>
          <w:i/>
          <w:iCs/>
          <w:sz w:val="16"/>
          <w:szCs w:val="16"/>
        </w:rPr>
        <w:t xml:space="preserve"> Vs. Argentina</w:t>
      </w:r>
      <w:r w:rsidRPr="00BA6F15">
        <w:rPr>
          <w:rFonts w:ascii="Verdana" w:hAnsi="Verdana"/>
          <w:i/>
          <w:sz w:val="16"/>
          <w:szCs w:val="16"/>
        </w:rPr>
        <w:t xml:space="preserve">. Fondo, </w:t>
      </w:r>
      <w:r>
        <w:rPr>
          <w:rFonts w:ascii="Verdana" w:hAnsi="Verdana"/>
          <w:i/>
          <w:sz w:val="16"/>
          <w:szCs w:val="16"/>
        </w:rPr>
        <w:t>R</w:t>
      </w:r>
      <w:r w:rsidRPr="00BA6F15">
        <w:rPr>
          <w:rFonts w:ascii="Verdana" w:hAnsi="Verdana"/>
          <w:i/>
          <w:sz w:val="16"/>
          <w:szCs w:val="16"/>
        </w:rPr>
        <w:t xml:space="preserve">eparaciones y </w:t>
      </w:r>
      <w:r>
        <w:rPr>
          <w:rFonts w:ascii="Verdana" w:hAnsi="Verdana"/>
          <w:i/>
          <w:sz w:val="16"/>
          <w:szCs w:val="16"/>
        </w:rPr>
        <w:t>C</w:t>
      </w:r>
      <w:r w:rsidRPr="00BA6F15">
        <w:rPr>
          <w:rFonts w:ascii="Verdana" w:hAnsi="Verdana"/>
          <w:i/>
          <w:sz w:val="16"/>
          <w:szCs w:val="16"/>
        </w:rPr>
        <w:t>ostas</w:t>
      </w:r>
      <w:r w:rsidRPr="00CF137F">
        <w:rPr>
          <w:rFonts w:ascii="Verdana" w:hAnsi="Verdana"/>
          <w:sz w:val="16"/>
          <w:szCs w:val="16"/>
        </w:rPr>
        <w:t xml:space="preserve">. Sentencia de 2 de mayo de 2008. Serie C No. 177; </w:t>
      </w:r>
      <w:r w:rsidRPr="00CF137F">
        <w:rPr>
          <w:rFonts w:ascii="Verdana" w:hAnsi="Verdana"/>
          <w:i/>
          <w:iCs/>
          <w:sz w:val="16"/>
          <w:szCs w:val="16"/>
        </w:rPr>
        <w:t xml:space="preserve">Caso </w:t>
      </w:r>
      <w:proofErr w:type="spellStart"/>
      <w:r w:rsidRPr="00CF137F">
        <w:rPr>
          <w:rFonts w:ascii="Verdana" w:hAnsi="Verdana"/>
          <w:i/>
          <w:iCs/>
          <w:sz w:val="16"/>
          <w:szCs w:val="16"/>
        </w:rPr>
        <w:t>Tristán</w:t>
      </w:r>
      <w:proofErr w:type="spellEnd"/>
      <w:r w:rsidRPr="00CF137F">
        <w:rPr>
          <w:rFonts w:ascii="Verdana" w:hAnsi="Verdana"/>
          <w:i/>
          <w:iCs/>
          <w:sz w:val="16"/>
          <w:szCs w:val="16"/>
        </w:rPr>
        <w:t xml:space="preserve"> Donoso Vs. </w:t>
      </w:r>
      <w:proofErr w:type="spellStart"/>
      <w:r w:rsidRPr="00CF137F">
        <w:rPr>
          <w:rFonts w:ascii="Verdana" w:hAnsi="Verdana"/>
          <w:i/>
          <w:iCs/>
          <w:sz w:val="16"/>
          <w:szCs w:val="16"/>
        </w:rPr>
        <w:t>Panama</w:t>
      </w:r>
      <w:proofErr w:type="spellEnd"/>
      <w:r w:rsidRPr="00CF137F">
        <w:rPr>
          <w:rFonts w:ascii="Verdana" w:hAnsi="Verdana"/>
          <w:i/>
          <w:iCs/>
          <w:sz w:val="16"/>
          <w:szCs w:val="16"/>
        </w:rPr>
        <w:t>́</w:t>
      </w:r>
      <w:r w:rsidRPr="00CF137F">
        <w:rPr>
          <w:rFonts w:ascii="Verdana" w:hAnsi="Verdana"/>
          <w:sz w:val="16"/>
          <w:szCs w:val="16"/>
        </w:rPr>
        <w:t xml:space="preserve">. </w:t>
      </w:r>
      <w:proofErr w:type="spellStart"/>
      <w:r w:rsidRPr="00BA6F15">
        <w:rPr>
          <w:rFonts w:ascii="Verdana" w:hAnsi="Verdana"/>
          <w:i/>
          <w:sz w:val="16"/>
          <w:szCs w:val="16"/>
        </w:rPr>
        <w:t>Excepción</w:t>
      </w:r>
      <w:proofErr w:type="spellEnd"/>
      <w:r w:rsidRPr="00BA6F15">
        <w:rPr>
          <w:rFonts w:ascii="Verdana" w:hAnsi="Verdana"/>
          <w:i/>
          <w:sz w:val="16"/>
          <w:szCs w:val="16"/>
        </w:rPr>
        <w:t xml:space="preserve"> Preliminar, Fondo, Reparaciones y Costas</w:t>
      </w:r>
      <w:r w:rsidRPr="00CF137F">
        <w:rPr>
          <w:rFonts w:ascii="Verdana" w:hAnsi="Verdana"/>
          <w:sz w:val="16"/>
          <w:szCs w:val="16"/>
        </w:rPr>
        <w:t xml:space="preserve">. Sentencia de 27 de enero  de 2009. Serie C No. 193; </w:t>
      </w:r>
      <w:r w:rsidRPr="00CF137F">
        <w:rPr>
          <w:rFonts w:ascii="Verdana" w:hAnsi="Verdana"/>
          <w:i/>
          <w:iCs/>
          <w:sz w:val="16"/>
          <w:szCs w:val="16"/>
        </w:rPr>
        <w:t xml:space="preserve">Caso </w:t>
      </w:r>
      <w:proofErr w:type="spellStart"/>
      <w:r w:rsidRPr="00CF137F">
        <w:rPr>
          <w:rFonts w:ascii="Verdana" w:hAnsi="Verdana"/>
          <w:i/>
          <w:iCs/>
          <w:sz w:val="16"/>
          <w:szCs w:val="16"/>
        </w:rPr>
        <w:t>Ríos</w:t>
      </w:r>
      <w:proofErr w:type="spellEnd"/>
      <w:r w:rsidRPr="00CF137F">
        <w:rPr>
          <w:rFonts w:ascii="Verdana" w:hAnsi="Verdana"/>
          <w:i/>
          <w:iCs/>
          <w:sz w:val="16"/>
          <w:szCs w:val="16"/>
        </w:rPr>
        <w:t xml:space="preserve"> y otros Vs. Venezuela</w:t>
      </w:r>
      <w:r w:rsidRPr="00CF137F">
        <w:rPr>
          <w:rFonts w:ascii="Verdana" w:hAnsi="Verdana"/>
          <w:sz w:val="16"/>
          <w:szCs w:val="16"/>
        </w:rPr>
        <w:t xml:space="preserve">. </w:t>
      </w:r>
      <w:r w:rsidRPr="00BA6F15">
        <w:rPr>
          <w:rFonts w:ascii="Verdana" w:hAnsi="Verdana"/>
          <w:i/>
          <w:sz w:val="16"/>
          <w:szCs w:val="16"/>
        </w:rPr>
        <w:t xml:space="preserve">Excepciones Preliminares, Fondo, Reparaciones y Costas. </w:t>
      </w:r>
      <w:r w:rsidRPr="00CF137F">
        <w:rPr>
          <w:rFonts w:ascii="Verdana" w:hAnsi="Verdana"/>
          <w:sz w:val="16"/>
          <w:szCs w:val="16"/>
        </w:rPr>
        <w:t xml:space="preserve">Sentencia de 28 de enero de 2009. Serie C No. 194; </w:t>
      </w:r>
      <w:r w:rsidRPr="00CF137F">
        <w:rPr>
          <w:rFonts w:ascii="Verdana" w:hAnsi="Verdana"/>
          <w:i/>
          <w:iCs/>
          <w:sz w:val="16"/>
          <w:szCs w:val="16"/>
        </w:rPr>
        <w:t>Caso Perozo y otros Vs. Venezuela</w:t>
      </w:r>
      <w:r w:rsidRPr="00CF137F">
        <w:rPr>
          <w:rFonts w:ascii="Verdana" w:hAnsi="Verdana"/>
          <w:sz w:val="16"/>
          <w:szCs w:val="16"/>
        </w:rPr>
        <w:t xml:space="preserve">. </w:t>
      </w:r>
      <w:r w:rsidRPr="00BA6F15">
        <w:rPr>
          <w:rFonts w:ascii="Verdana" w:hAnsi="Verdana"/>
          <w:i/>
          <w:sz w:val="16"/>
          <w:szCs w:val="16"/>
        </w:rPr>
        <w:t>Excepciones Preliminares, Fondo, Reparaciones y Costas</w:t>
      </w:r>
      <w:r w:rsidRPr="00CF137F">
        <w:rPr>
          <w:rFonts w:ascii="Verdana" w:hAnsi="Verdana"/>
          <w:sz w:val="16"/>
          <w:szCs w:val="16"/>
        </w:rPr>
        <w:t xml:space="preserve">. Sentencia de 28 de enero de 2009. Serie C No. 195; </w:t>
      </w:r>
      <w:r w:rsidRPr="00CF137F">
        <w:rPr>
          <w:rFonts w:ascii="Verdana" w:hAnsi="Verdana"/>
          <w:i/>
          <w:iCs/>
          <w:sz w:val="16"/>
          <w:szCs w:val="16"/>
        </w:rPr>
        <w:t xml:space="preserve">Caso </w:t>
      </w:r>
      <w:proofErr w:type="spellStart"/>
      <w:r w:rsidRPr="00CF137F">
        <w:rPr>
          <w:rFonts w:ascii="Verdana" w:hAnsi="Verdana"/>
          <w:i/>
          <w:iCs/>
          <w:sz w:val="16"/>
          <w:szCs w:val="16"/>
        </w:rPr>
        <w:t>Usón</w:t>
      </w:r>
      <w:proofErr w:type="spellEnd"/>
      <w:r w:rsidRPr="00CF137F">
        <w:rPr>
          <w:rFonts w:ascii="Verdana" w:hAnsi="Verdana"/>
          <w:i/>
          <w:iCs/>
          <w:sz w:val="16"/>
          <w:szCs w:val="16"/>
        </w:rPr>
        <w:t xml:space="preserve"> </w:t>
      </w:r>
      <w:proofErr w:type="spellStart"/>
      <w:r w:rsidRPr="00CF137F">
        <w:rPr>
          <w:rFonts w:ascii="Verdana" w:hAnsi="Verdana"/>
          <w:i/>
          <w:iCs/>
          <w:sz w:val="16"/>
          <w:szCs w:val="16"/>
        </w:rPr>
        <w:t>Ramírez</w:t>
      </w:r>
      <w:proofErr w:type="spellEnd"/>
      <w:r w:rsidRPr="00CF137F">
        <w:rPr>
          <w:rFonts w:ascii="Verdana" w:hAnsi="Verdana"/>
          <w:i/>
          <w:iCs/>
          <w:sz w:val="16"/>
          <w:szCs w:val="16"/>
        </w:rPr>
        <w:t xml:space="preserve"> Vs. Venezuela</w:t>
      </w:r>
      <w:r w:rsidRPr="00CF137F">
        <w:rPr>
          <w:rFonts w:ascii="Verdana" w:hAnsi="Verdana"/>
          <w:sz w:val="16"/>
          <w:szCs w:val="16"/>
        </w:rPr>
        <w:t xml:space="preserve">. </w:t>
      </w:r>
      <w:r w:rsidRPr="00BA6F15">
        <w:rPr>
          <w:rFonts w:ascii="Verdana" w:hAnsi="Verdana"/>
          <w:i/>
          <w:sz w:val="16"/>
          <w:szCs w:val="16"/>
        </w:rPr>
        <w:t>Excepción Preliminar, Fondo, Reparaciones y Costas</w:t>
      </w:r>
      <w:r w:rsidRPr="00CF137F">
        <w:rPr>
          <w:rFonts w:ascii="Verdana" w:hAnsi="Verdana"/>
          <w:sz w:val="16"/>
          <w:szCs w:val="16"/>
        </w:rPr>
        <w:t xml:space="preserve">. Sentencia de 20 de noviembre de 2009. Serie C No. 207; </w:t>
      </w:r>
      <w:r w:rsidRPr="00CF137F">
        <w:rPr>
          <w:rFonts w:ascii="Verdana" w:hAnsi="Verdana"/>
          <w:i/>
          <w:iCs/>
          <w:sz w:val="16"/>
          <w:szCs w:val="16"/>
        </w:rPr>
        <w:t xml:space="preserve">Caso Gomes </w:t>
      </w:r>
      <w:proofErr w:type="spellStart"/>
      <w:r w:rsidRPr="00CF137F">
        <w:rPr>
          <w:rFonts w:ascii="Verdana" w:hAnsi="Verdana"/>
          <w:i/>
          <w:iCs/>
          <w:sz w:val="16"/>
          <w:szCs w:val="16"/>
        </w:rPr>
        <w:t>Lund</w:t>
      </w:r>
      <w:proofErr w:type="spellEnd"/>
      <w:r w:rsidRPr="00CF137F">
        <w:rPr>
          <w:rFonts w:ascii="Verdana" w:hAnsi="Verdana"/>
          <w:i/>
          <w:iCs/>
          <w:sz w:val="16"/>
          <w:szCs w:val="16"/>
        </w:rPr>
        <w:t xml:space="preserve"> y otros (</w:t>
      </w:r>
      <w:proofErr w:type="spellStart"/>
      <w:r w:rsidRPr="00CF137F">
        <w:rPr>
          <w:rFonts w:ascii="Verdana" w:hAnsi="Verdana"/>
          <w:i/>
          <w:iCs/>
          <w:sz w:val="16"/>
          <w:szCs w:val="16"/>
        </w:rPr>
        <w:t>Guerrilha</w:t>
      </w:r>
      <w:proofErr w:type="spellEnd"/>
      <w:r w:rsidRPr="00CF137F">
        <w:rPr>
          <w:rFonts w:ascii="Verdana" w:hAnsi="Verdana"/>
          <w:i/>
          <w:iCs/>
          <w:sz w:val="16"/>
          <w:szCs w:val="16"/>
        </w:rPr>
        <w:t xml:space="preserve"> do </w:t>
      </w:r>
      <w:proofErr w:type="spellStart"/>
      <w:r w:rsidRPr="00CF137F">
        <w:rPr>
          <w:rFonts w:ascii="Verdana" w:hAnsi="Verdana"/>
          <w:i/>
          <w:iCs/>
          <w:sz w:val="16"/>
          <w:szCs w:val="16"/>
        </w:rPr>
        <w:t>Araguaia</w:t>
      </w:r>
      <w:proofErr w:type="spellEnd"/>
      <w:r w:rsidRPr="00CF137F">
        <w:rPr>
          <w:rFonts w:ascii="Verdana" w:hAnsi="Verdana"/>
          <w:i/>
          <w:iCs/>
          <w:sz w:val="16"/>
          <w:szCs w:val="16"/>
        </w:rPr>
        <w:t>) Vs. Brasil</w:t>
      </w:r>
      <w:r w:rsidRPr="00CF137F">
        <w:rPr>
          <w:rFonts w:ascii="Verdana" w:hAnsi="Verdana"/>
          <w:sz w:val="16"/>
          <w:szCs w:val="16"/>
        </w:rPr>
        <w:t xml:space="preserve">. </w:t>
      </w:r>
      <w:r w:rsidRPr="00BA6F15">
        <w:rPr>
          <w:rFonts w:ascii="Verdana" w:hAnsi="Verdana"/>
          <w:i/>
          <w:sz w:val="16"/>
          <w:szCs w:val="16"/>
        </w:rPr>
        <w:t>Excepciones Preliminares, Fondo, Reparaciones y Costas.</w:t>
      </w:r>
      <w:r w:rsidRPr="00CF137F">
        <w:rPr>
          <w:rFonts w:ascii="Verdana" w:hAnsi="Verdana"/>
          <w:sz w:val="16"/>
          <w:szCs w:val="16"/>
        </w:rPr>
        <w:t xml:space="preserve"> Sentencia de 24 de noviembre de 2010. Serie C No. 219</w:t>
      </w:r>
      <w:r w:rsidRPr="00CF137F">
        <w:rPr>
          <w:rFonts w:ascii="Verdana" w:hAnsi="Verdana"/>
          <w:i/>
          <w:iCs/>
          <w:sz w:val="16"/>
          <w:szCs w:val="16"/>
        </w:rPr>
        <w:t xml:space="preserve">;  Caso </w:t>
      </w:r>
      <w:proofErr w:type="spellStart"/>
      <w:r w:rsidRPr="00CF137F">
        <w:rPr>
          <w:rFonts w:ascii="Verdana" w:hAnsi="Verdana"/>
          <w:i/>
          <w:iCs/>
          <w:sz w:val="16"/>
          <w:szCs w:val="16"/>
        </w:rPr>
        <w:t>Fontevecchia</w:t>
      </w:r>
      <w:proofErr w:type="spellEnd"/>
      <w:r w:rsidRPr="00CF137F">
        <w:rPr>
          <w:rFonts w:ascii="Verdana" w:hAnsi="Verdana"/>
          <w:i/>
          <w:iCs/>
          <w:sz w:val="16"/>
          <w:szCs w:val="16"/>
        </w:rPr>
        <w:t xml:space="preserve"> y </w:t>
      </w:r>
      <w:proofErr w:type="spellStart"/>
      <w:r w:rsidRPr="00CF137F">
        <w:rPr>
          <w:rFonts w:ascii="Verdana" w:hAnsi="Verdana"/>
          <w:i/>
          <w:iCs/>
          <w:sz w:val="16"/>
          <w:szCs w:val="16"/>
        </w:rPr>
        <w:t>D’Amico</w:t>
      </w:r>
      <w:proofErr w:type="spellEnd"/>
      <w:r w:rsidRPr="00CF137F">
        <w:rPr>
          <w:rFonts w:ascii="Verdana" w:hAnsi="Verdana"/>
          <w:i/>
          <w:iCs/>
          <w:sz w:val="16"/>
          <w:szCs w:val="16"/>
        </w:rPr>
        <w:t xml:space="preserve"> Vs. Argentina</w:t>
      </w:r>
      <w:r w:rsidRPr="00CF137F">
        <w:rPr>
          <w:rFonts w:ascii="Verdana" w:hAnsi="Verdana"/>
          <w:sz w:val="16"/>
          <w:szCs w:val="16"/>
        </w:rPr>
        <w:t xml:space="preserve">. </w:t>
      </w:r>
      <w:r w:rsidRPr="00BA6F15">
        <w:rPr>
          <w:rFonts w:ascii="Verdana" w:hAnsi="Verdana"/>
          <w:i/>
          <w:sz w:val="16"/>
          <w:szCs w:val="16"/>
        </w:rPr>
        <w:t xml:space="preserve">Fondo, Reparaciones y Costas. </w:t>
      </w:r>
      <w:r w:rsidRPr="00CF137F">
        <w:rPr>
          <w:rFonts w:ascii="Verdana" w:hAnsi="Verdana"/>
          <w:sz w:val="16"/>
          <w:szCs w:val="16"/>
        </w:rPr>
        <w:t xml:space="preserve">Sentencia de 29 de noviembre de 2011. Serie C No. 238; </w:t>
      </w:r>
      <w:r w:rsidRPr="00FE4104">
        <w:rPr>
          <w:rFonts w:ascii="Verdana" w:hAnsi="Verdana" w:cs="Verdana"/>
          <w:bCs/>
          <w:i/>
          <w:sz w:val="16"/>
          <w:szCs w:val="16"/>
          <w:lang w:val="es-ES"/>
        </w:rPr>
        <w:t xml:space="preserve">Caso </w:t>
      </w:r>
      <w:proofErr w:type="spellStart"/>
      <w:r w:rsidRPr="00FE4104">
        <w:rPr>
          <w:rFonts w:ascii="Verdana" w:hAnsi="Verdana" w:cs="Verdana"/>
          <w:bCs/>
          <w:i/>
          <w:sz w:val="16"/>
          <w:szCs w:val="16"/>
          <w:lang w:val="es-ES"/>
        </w:rPr>
        <w:t>Mémoli</w:t>
      </w:r>
      <w:proofErr w:type="spellEnd"/>
      <w:r w:rsidRPr="00FE4104">
        <w:rPr>
          <w:rFonts w:ascii="Verdana" w:hAnsi="Verdana" w:cs="Verdana"/>
          <w:bCs/>
          <w:i/>
          <w:sz w:val="16"/>
          <w:szCs w:val="16"/>
          <w:lang w:val="es-ES"/>
        </w:rPr>
        <w:t xml:space="preserve"> vs. Argentina. Excepciones </w:t>
      </w:r>
      <w:r w:rsidRPr="00151A7C">
        <w:rPr>
          <w:rFonts w:ascii="Verdana" w:hAnsi="Verdana" w:cs="Verdana"/>
          <w:bCs/>
          <w:i/>
          <w:sz w:val="16"/>
          <w:szCs w:val="16"/>
          <w:lang w:val="es-ES"/>
        </w:rPr>
        <w:t xml:space="preserve">Preliminares, Fondo, Reparaciones y </w:t>
      </w:r>
      <w:r w:rsidRPr="00805C3A">
        <w:rPr>
          <w:rFonts w:ascii="Verdana" w:hAnsi="Verdana" w:cs="Verdana"/>
          <w:bCs/>
          <w:i/>
          <w:sz w:val="16"/>
          <w:szCs w:val="16"/>
          <w:lang w:val="es-ES"/>
        </w:rPr>
        <w:t>C</w:t>
      </w:r>
      <w:r w:rsidRPr="00C84924">
        <w:rPr>
          <w:rFonts w:ascii="Verdana" w:hAnsi="Verdana" w:cs="Verdana"/>
          <w:bCs/>
          <w:i/>
          <w:sz w:val="16"/>
          <w:szCs w:val="16"/>
          <w:lang w:val="es-ES"/>
        </w:rPr>
        <w:t xml:space="preserve">ostas. </w:t>
      </w:r>
      <w:r w:rsidRPr="00CF137F">
        <w:rPr>
          <w:rFonts w:ascii="Verdana" w:hAnsi="Verdana" w:cs="Verdana"/>
          <w:bCs/>
          <w:sz w:val="16"/>
          <w:szCs w:val="16"/>
          <w:lang w:val="es-ES"/>
        </w:rPr>
        <w:t xml:space="preserve">Sentencia de 22 de agosto de 2013. Serie C No. 265; </w:t>
      </w:r>
      <w:r w:rsidRPr="00CF137F">
        <w:rPr>
          <w:rFonts w:ascii="Verdana" w:hAnsi="Verdana" w:cs="Verdana"/>
          <w:bCs/>
          <w:i/>
          <w:sz w:val="16"/>
          <w:szCs w:val="16"/>
          <w:lang w:val="es-ES"/>
        </w:rPr>
        <w:t xml:space="preserve">Caso </w:t>
      </w:r>
      <w:proofErr w:type="spellStart"/>
      <w:r w:rsidRPr="00CF137F">
        <w:rPr>
          <w:rFonts w:ascii="Verdana" w:hAnsi="Verdana" w:cs="Verdana"/>
          <w:bCs/>
          <w:i/>
          <w:sz w:val="16"/>
          <w:szCs w:val="16"/>
          <w:lang w:val="es-ES"/>
        </w:rPr>
        <w:t>Norín</w:t>
      </w:r>
      <w:proofErr w:type="spellEnd"/>
      <w:r w:rsidRPr="00CF137F">
        <w:rPr>
          <w:rFonts w:ascii="Verdana" w:hAnsi="Verdana" w:cs="Verdana"/>
          <w:bCs/>
          <w:i/>
          <w:sz w:val="16"/>
          <w:szCs w:val="16"/>
          <w:lang w:val="es-ES"/>
        </w:rPr>
        <w:t xml:space="preserve"> </w:t>
      </w:r>
      <w:proofErr w:type="spellStart"/>
      <w:r w:rsidRPr="00CF137F">
        <w:rPr>
          <w:rFonts w:ascii="Verdana" w:hAnsi="Verdana" w:cs="Verdana"/>
          <w:bCs/>
          <w:i/>
          <w:sz w:val="16"/>
          <w:szCs w:val="16"/>
          <w:lang w:val="es-ES"/>
        </w:rPr>
        <w:t>Catrimán</w:t>
      </w:r>
      <w:proofErr w:type="spellEnd"/>
      <w:r w:rsidRPr="00CF137F">
        <w:rPr>
          <w:rFonts w:ascii="Verdana" w:hAnsi="Verdana" w:cs="Verdana"/>
          <w:bCs/>
          <w:i/>
          <w:sz w:val="16"/>
          <w:szCs w:val="16"/>
          <w:lang w:val="es-ES"/>
        </w:rPr>
        <w:t xml:space="preserve"> y otros (Dirigentes, miembros y activista del Pueblo Indígena Mapuche) Vs. Chile. Fondo, </w:t>
      </w:r>
      <w:r>
        <w:rPr>
          <w:rFonts w:ascii="Verdana" w:hAnsi="Verdana" w:cs="Verdana"/>
          <w:bCs/>
          <w:i/>
          <w:sz w:val="16"/>
          <w:szCs w:val="16"/>
          <w:lang w:val="es-ES"/>
        </w:rPr>
        <w:t>R</w:t>
      </w:r>
      <w:r w:rsidRPr="00CF137F">
        <w:rPr>
          <w:rFonts w:ascii="Verdana" w:hAnsi="Verdana" w:cs="Verdana"/>
          <w:bCs/>
          <w:i/>
          <w:sz w:val="16"/>
          <w:szCs w:val="16"/>
          <w:lang w:val="es-ES"/>
        </w:rPr>
        <w:t xml:space="preserve">eparaciones y </w:t>
      </w:r>
      <w:r>
        <w:rPr>
          <w:rFonts w:ascii="Verdana" w:hAnsi="Verdana" w:cs="Verdana"/>
          <w:bCs/>
          <w:i/>
          <w:sz w:val="16"/>
          <w:szCs w:val="16"/>
          <w:lang w:val="es-ES"/>
        </w:rPr>
        <w:t>C</w:t>
      </w:r>
      <w:r w:rsidRPr="00CF137F">
        <w:rPr>
          <w:rFonts w:ascii="Verdana" w:hAnsi="Verdana" w:cs="Verdana"/>
          <w:bCs/>
          <w:i/>
          <w:sz w:val="16"/>
          <w:szCs w:val="16"/>
          <w:lang w:val="es-ES"/>
        </w:rPr>
        <w:t>ostas</w:t>
      </w:r>
      <w:r w:rsidRPr="00CF137F">
        <w:rPr>
          <w:rFonts w:ascii="Verdana" w:hAnsi="Verdana" w:cs="Verdana"/>
          <w:bCs/>
          <w:sz w:val="16"/>
          <w:szCs w:val="16"/>
          <w:lang w:val="es-ES"/>
        </w:rPr>
        <w:t xml:space="preserve">. Sentencia de 29 de mayo de 2014. Serie C No. 279; y </w:t>
      </w:r>
      <w:r w:rsidRPr="00CF137F">
        <w:rPr>
          <w:rFonts w:ascii="Verdana" w:eastAsia="Times New Roman" w:hAnsi="Verdana"/>
          <w:b/>
          <w:bCs/>
          <w:color w:val="000000"/>
          <w:sz w:val="16"/>
          <w:szCs w:val="16"/>
          <w:lang w:val="es-MX"/>
        </w:rPr>
        <w:t> </w:t>
      </w:r>
      <w:r w:rsidRPr="00CF137F">
        <w:rPr>
          <w:rFonts w:ascii="Verdana" w:eastAsia="Times New Roman" w:hAnsi="Verdana"/>
          <w:bCs/>
          <w:i/>
          <w:color w:val="000000"/>
          <w:sz w:val="16"/>
          <w:szCs w:val="16"/>
          <w:lang w:val="es-MX"/>
        </w:rPr>
        <w:t xml:space="preserve">Caso </w:t>
      </w:r>
      <w:proofErr w:type="spellStart"/>
      <w:r w:rsidRPr="00CF137F">
        <w:rPr>
          <w:rFonts w:ascii="Verdana" w:eastAsia="Times New Roman" w:hAnsi="Verdana"/>
          <w:bCs/>
          <w:i/>
          <w:color w:val="000000"/>
          <w:sz w:val="16"/>
          <w:szCs w:val="16"/>
          <w:lang w:val="es-MX"/>
        </w:rPr>
        <w:t>Granier</w:t>
      </w:r>
      <w:proofErr w:type="spellEnd"/>
      <w:r w:rsidRPr="00CF137F">
        <w:rPr>
          <w:rFonts w:ascii="Verdana" w:eastAsia="Times New Roman" w:hAnsi="Verdana"/>
          <w:bCs/>
          <w:i/>
          <w:color w:val="000000"/>
          <w:sz w:val="16"/>
          <w:szCs w:val="16"/>
          <w:lang w:val="es-MX"/>
        </w:rPr>
        <w:t xml:space="preserve"> y otros (Radio Caracas Televisión) Vs. Venezuela. Excepciones Preliminares, Fondo, Reparaciones y Costas</w:t>
      </w:r>
      <w:r w:rsidRPr="00CF137F">
        <w:rPr>
          <w:rFonts w:ascii="Verdana" w:eastAsia="Times New Roman" w:hAnsi="Verdana"/>
          <w:bCs/>
          <w:color w:val="000000"/>
          <w:sz w:val="16"/>
          <w:szCs w:val="16"/>
          <w:lang w:val="es-MX"/>
        </w:rPr>
        <w:t xml:space="preserve">. Sentencia de 22 de junio de 2015. Serie C No. 293. </w:t>
      </w:r>
    </w:p>
    <w:p w14:paraId="5B370D8B" w14:textId="77777777" w:rsidR="00D86616" w:rsidRPr="00CF137F" w:rsidRDefault="00D86616" w:rsidP="00F83E8F">
      <w:pPr>
        <w:jc w:val="both"/>
        <w:rPr>
          <w:rFonts w:ascii="Verdana" w:eastAsia="Times New Roman" w:hAnsi="Verdana"/>
          <w:sz w:val="16"/>
          <w:szCs w:val="16"/>
          <w:lang w:val="es-MX"/>
        </w:rPr>
      </w:pPr>
    </w:p>
  </w:footnote>
  <w:footnote w:id="287">
    <w:p w14:paraId="6A0F6C21" w14:textId="77777777" w:rsidR="00D86616" w:rsidRPr="00CF137F" w:rsidRDefault="00D86616" w:rsidP="00F83E8F">
      <w:pPr>
        <w:pStyle w:val="FootnoteText"/>
        <w:spacing w:after="120"/>
        <w:rPr>
          <w:lang w:val="es-ES_tradnl"/>
        </w:rPr>
      </w:pPr>
      <w:r w:rsidRPr="00CF137F">
        <w:rPr>
          <w:rStyle w:val="FootnoteReference"/>
        </w:rPr>
        <w:footnoteRef/>
      </w:r>
      <w:r w:rsidRPr="00BA6F15">
        <w:rPr>
          <w:lang w:val="es-MX"/>
        </w:rPr>
        <w:t xml:space="preserve"> </w:t>
      </w:r>
      <w:r w:rsidRPr="00CF137F">
        <w:rPr>
          <w:lang w:val="es-ES_tradnl"/>
        </w:rPr>
        <w:tab/>
      </w:r>
      <w:r w:rsidRPr="00BA6F15">
        <w:rPr>
          <w:i/>
          <w:lang w:val="es-MX"/>
        </w:rPr>
        <w:t>Cfr.</w:t>
      </w:r>
      <w:r w:rsidRPr="00BA6F15">
        <w:rPr>
          <w:lang w:val="es-MX"/>
        </w:rPr>
        <w:t xml:space="preserve"> </w:t>
      </w:r>
      <w:r w:rsidRPr="00BA6F15">
        <w:rPr>
          <w:i/>
          <w:lang w:val="es-MX"/>
        </w:rPr>
        <w:t xml:space="preserve">Caso Lagos del Campo Vs. Perú. </w:t>
      </w:r>
      <w:r w:rsidRPr="00C959C6">
        <w:rPr>
          <w:i/>
          <w:lang w:val="es-MX"/>
        </w:rPr>
        <w:t>Excepciones Preliminares, Fondo, Reparaciones y Costas</w:t>
      </w:r>
      <w:r w:rsidRPr="00C959C6">
        <w:rPr>
          <w:lang w:val="es-MX"/>
        </w:rPr>
        <w:t xml:space="preserve">. Sentencia de 31 de agosto de  2017, Serie C </w:t>
      </w:r>
      <w:r w:rsidRPr="001B7C9D">
        <w:rPr>
          <w:lang w:val="es-MX"/>
        </w:rPr>
        <w:t xml:space="preserve">No. </w:t>
      </w:r>
      <w:r w:rsidRPr="00BA6F15">
        <w:rPr>
          <w:lang w:val="es-MX"/>
        </w:rPr>
        <w:t>340</w:t>
      </w:r>
      <w:r w:rsidRPr="00C959C6">
        <w:rPr>
          <w:lang w:val="es-MX"/>
        </w:rPr>
        <w:t xml:space="preserve">, párrs. 153, 154 y 166, así como Punto Resolutivo 5. </w:t>
      </w:r>
      <w:r w:rsidRPr="00CF137F">
        <w:rPr>
          <w:lang w:val="es-ES_tradnl"/>
        </w:rPr>
        <w:t xml:space="preserve">Esta es la primera ocasión en sus </w:t>
      </w:r>
      <w:r>
        <w:rPr>
          <w:lang w:val="es-ES_tradnl"/>
        </w:rPr>
        <w:t xml:space="preserve">casi cuarenta años de existencia y </w:t>
      </w:r>
      <w:r w:rsidRPr="00CF137F">
        <w:rPr>
          <w:lang w:val="es-ES_tradnl"/>
        </w:rPr>
        <w:t>treinta años de jurisdicción contenciosa que la Corte I</w:t>
      </w:r>
      <w:r>
        <w:rPr>
          <w:lang w:val="es-ES_tradnl"/>
        </w:rPr>
        <w:t>DH</w:t>
      </w:r>
      <w:r w:rsidRPr="00CF137F">
        <w:rPr>
          <w:lang w:val="es-ES_tradnl"/>
        </w:rPr>
        <w:t xml:space="preserve"> declara la violación de dicho precepto convencional. </w:t>
      </w:r>
    </w:p>
  </w:footnote>
  <w:footnote w:id="288">
    <w:p w14:paraId="6CB417A3" w14:textId="77777777" w:rsidR="00D86616" w:rsidRPr="00C959C6" w:rsidRDefault="00D86616" w:rsidP="00F83E8F">
      <w:pPr>
        <w:pStyle w:val="FootnoteText"/>
        <w:rPr>
          <w:lang w:val="es-MX"/>
        </w:rPr>
      </w:pPr>
      <w:r w:rsidRPr="005B3CA3">
        <w:rPr>
          <w:rStyle w:val="FootnoteReference"/>
        </w:rPr>
        <w:footnoteRef/>
      </w:r>
      <w:r w:rsidRPr="00C959C6">
        <w:rPr>
          <w:lang w:val="es-MX"/>
        </w:rPr>
        <w:t xml:space="preserve"> </w:t>
      </w:r>
      <w:r w:rsidRPr="00C959C6">
        <w:rPr>
          <w:lang w:val="es-MX"/>
        </w:rPr>
        <w:tab/>
        <w:t xml:space="preserve">También se declararon violados, sobre la estabilidad laboral, los derechos contemplados en los artículos 8, 13 y 16. </w:t>
      </w:r>
      <w:r w:rsidRPr="00BA6F15">
        <w:rPr>
          <w:i/>
          <w:lang w:val="es-MX"/>
        </w:rPr>
        <w:t>Cfr.</w:t>
      </w:r>
      <w:r w:rsidRPr="00BA6F15">
        <w:rPr>
          <w:lang w:val="es-MX"/>
        </w:rPr>
        <w:t xml:space="preserve"> </w:t>
      </w:r>
      <w:r w:rsidRPr="00BA6F15">
        <w:rPr>
          <w:i/>
          <w:lang w:val="es-MX"/>
        </w:rPr>
        <w:t>Caso Lagos del Campo Vs. Perú</w:t>
      </w:r>
      <w:r>
        <w:rPr>
          <w:i/>
          <w:lang w:val="es-MX"/>
        </w:rPr>
        <w:t>,</w:t>
      </w:r>
      <w:r w:rsidRPr="00BA6F15">
        <w:rPr>
          <w:i/>
          <w:lang w:val="es-MX"/>
        </w:rPr>
        <w:t xml:space="preserve"> s</w:t>
      </w:r>
      <w:r>
        <w:rPr>
          <w:i/>
          <w:lang w:val="es-MX"/>
        </w:rPr>
        <w:t>upra</w:t>
      </w:r>
      <w:r w:rsidRPr="00C959C6">
        <w:rPr>
          <w:lang w:val="es-MX"/>
        </w:rPr>
        <w:t>, párr. 153.</w:t>
      </w:r>
    </w:p>
    <w:p w14:paraId="53FBA666" w14:textId="77777777" w:rsidR="00D86616" w:rsidRPr="005B3CA3" w:rsidRDefault="00D86616" w:rsidP="00F83E8F">
      <w:pPr>
        <w:pStyle w:val="FootnoteText"/>
        <w:rPr>
          <w:lang w:val="es-ES_tradnl"/>
        </w:rPr>
      </w:pPr>
    </w:p>
  </w:footnote>
  <w:footnote w:id="289">
    <w:p w14:paraId="782B7D54" w14:textId="77777777" w:rsidR="00D86616" w:rsidRPr="00BA6F15" w:rsidRDefault="00D86616" w:rsidP="00F83E8F">
      <w:pPr>
        <w:pStyle w:val="FootnoteText"/>
        <w:rPr>
          <w:lang w:val="es-MX"/>
        </w:rPr>
      </w:pPr>
      <w:r w:rsidRPr="005B3CA3">
        <w:rPr>
          <w:rStyle w:val="FootnoteReference"/>
        </w:rPr>
        <w:footnoteRef/>
      </w:r>
      <w:r w:rsidRPr="00C959C6">
        <w:rPr>
          <w:lang w:val="es-MX"/>
        </w:rPr>
        <w:t xml:space="preserve"> </w:t>
      </w:r>
      <w:r w:rsidRPr="00C959C6">
        <w:rPr>
          <w:lang w:val="es-MX"/>
        </w:rPr>
        <w:tab/>
      </w:r>
      <w:r>
        <w:rPr>
          <w:lang w:val="es-MX"/>
        </w:rPr>
        <w:t xml:space="preserve">En la Sentencia, en relación con el </w:t>
      </w:r>
      <w:r w:rsidRPr="00C959C6">
        <w:rPr>
          <w:lang w:val="es-MX"/>
        </w:rPr>
        <w:t xml:space="preserve">artículo 1.1, se considera que “ […] </w:t>
      </w:r>
      <w:r w:rsidRPr="00C959C6">
        <w:rPr>
          <w:color w:val="000000"/>
          <w:lang w:val="es-MX"/>
        </w:rPr>
        <w:t xml:space="preserve">frente al despido arbitrario por parte de la empresa […] </w:t>
      </w:r>
      <w:r w:rsidRPr="00C959C6">
        <w:rPr>
          <w:color w:val="000000"/>
          <w:u w:val="single"/>
          <w:lang w:val="es-MX"/>
        </w:rPr>
        <w:t>el Estado no adoptó las medidas adecuadas para proteger la vulneración del derecho al trabajo imputable a terceros</w:t>
      </w:r>
      <w:r w:rsidRPr="00C959C6">
        <w:rPr>
          <w:color w:val="000000"/>
          <w:lang w:val="es-MX"/>
        </w:rPr>
        <w:t>”.</w:t>
      </w:r>
      <w:r w:rsidRPr="00C959C6">
        <w:rPr>
          <w:i/>
          <w:lang w:val="es-MX"/>
        </w:rPr>
        <w:t xml:space="preserve"> </w:t>
      </w:r>
      <w:r w:rsidRPr="00BA6F15">
        <w:rPr>
          <w:i/>
          <w:lang w:val="es-MX"/>
        </w:rPr>
        <w:t>Cfr.</w:t>
      </w:r>
      <w:r w:rsidRPr="00BA6F15">
        <w:rPr>
          <w:lang w:val="es-MX"/>
        </w:rPr>
        <w:t xml:space="preserve"> </w:t>
      </w:r>
      <w:r w:rsidRPr="00BA6F15">
        <w:rPr>
          <w:i/>
          <w:lang w:val="es-MX"/>
        </w:rPr>
        <w:t>Caso Lagos del Campo Vs. Perú</w:t>
      </w:r>
      <w:r>
        <w:rPr>
          <w:i/>
          <w:lang w:val="es-MX"/>
        </w:rPr>
        <w:t>,</w:t>
      </w:r>
      <w:r w:rsidRPr="00BA6F15">
        <w:rPr>
          <w:i/>
          <w:lang w:val="es-MX"/>
        </w:rPr>
        <w:t xml:space="preserve"> </w:t>
      </w:r>
      <w:r w:rsidRPr="00A8032F">
        <w:rPr>
          <w:i/>
          <w:lang w:val="es-MX"/>
        </w:rPr>
        <w:t>s</w:t>
      </w:r>
      <w:r>
        <w:rPr>
          <w:i/>
          <w:lang w:val="es-MX"/>
        </w:rPr>
        <w:t>upra</w:t>
      </w:r>
      <w:r w:rsidRPr="00BA6F15">
        <w:rPr>
          <w:lang w:val="es-MX"/>
        </w:rPr>
        <w:t xml:space="preserve">, párr. 151. </w:t>
      </w:r>
    </w:p>
    <w:p w14:paraId="3773FD65" w14:textId="77777777" w:rsidR="00D86616" w:rsidRPr="00C91B8D" w:rsidRDefault="00D86616" w:rsidP="00F83E8F">
      <w:pPr>
        <w:pStyle w:val="FootnoteText"/>
        <w:rPr>
          <w:lang w:val="es-ES_tradnl"/>
        </w:rPr>
      </w:pPr>
    </w:p>
  </w:footnote>
  <w:footnote w:id="290">
    <w:p w14:paraId="77CCEB86" w14:textId="77777777" w:rsidR="00D86616" w:rsidRPr="00CF137F" w:rsidRDefault="00D86616" w:rsidP="00F83E8F">
      <w:pPr>
        <w:spacing w:after="120"/>
        <w:jc w:val="both"/>
        <w:rPr>
          <w:rFonts w:ascii="Verdana" w:hAnsi="Verdana"/>
          <w:sz w:val="16"/>
          <w:szCs w:val="16"/>
          <w:lang w:val="es-MX"/>
        </w:rPr>
      </w:pPr>
      <w:r w:rsidRPr="00CF137F">
        <w:rPr>
          <w:rStyle w:val="FootnoteReference"/>
          <w:sz w:val="16"/>
          <w:szCs w:val="16"/>
        </w:rPr>
        <w:footnoteRef/>
      </w:r>
      <w:r w:rsidRPr="00CF137F">
        <w:rPr>
          <w:rFonts w:ascii="Verdana" w:hAnsi="Verdana"/>
          <w:sz w:val="16"/>
          <w:szCs w:val="16"/>
        </w:rPr>
        <w:t xml:space="preserve"> </w:t>
      </w:r>
      <w:r w:rsidRPr="00CF137F">
        <w:rPr>
          <w:rFonts w:ascii="Verdana" w:hAnsi="Verdana"/>
          <w:sz w:val="16"/>
          <w:szCs w:val="16"/>
        </w:rPr>
        <w:tab/>
        <w:t xml:space="preserve"> </w:t>
      </w:r>
      <w:r w:rsidRPr="00CF137F">
        <w:rPr>
          <w:rFonts w:ascii="Verdana" w:hAnsi="Verdana"/>
          <w:i/>
          <w:sz w:val="16"/>
          <w:szCs w:val="16"/>
        </w:rPr>
        <w:t>Cfr.</w:t>
      </w:r>
      <w:r w:rsidRPr="00CF137F">
        <w:rPr>
          <w:rFonts w:ascii="Verdana" w:hAnsi="Verdana"/>
          <w:sz w:val="16"/>
          <w:szCs w:val="16"/>
        </w:rPr>
        <w:t xml:space="preserve"> </w:t>
      </w:r>
      <w:r w:rsidRPr="00CF137F">
        <w:rPr>
          <w:rFonts w:ascii="Verdana" w:hAnsi="Verdana"/>
          <w:i/>
          <w:sz w:val="16"/>
          <w:szCs w:val="16"/>
        </w:rPr>
        <w:t>Caso Lagos del Campo Vs. Perú</w:t>
      </w:r>
      <w:r>
        <w:rPr>
          <w:rFonts w:ascii="Verdana" w:hAnsi="Verdana"/>
          <w:i/>
          <w:sz w:val="16"/>
          <w:szCs w:val="16"/>
        </w:rPr>
        <w:t xml:space="preserve">, </w:t>
      </w:r>
      <w:r w:rsidRPr="00C84924">
        <w:rPr>
          <w:rFonts w:ascii="Verdana" w:hAnsi="Verdana"/>
          <w:i/>
          <w:sz w:val="16"/>
          <w:szCs w:val="16"/>
        </w:rPr>
        <w:t>supra</w:t>
      </w:r>
      <w:r>
        <w:rPr>
          <w:rFonts w:ascii="Verdana" w:hAnsi="Verdana"/>
          <w:sz w:val="16"/>
          <w:szCs w:val="16"/>
        </w:rPr>
        <w:t>, párr. 141 a 154</w:t>
      </w:r>
      <w:r w:rsidRPr="00CF137F">
        <w:rPr>
          <w:rFonts w:ascii="Verdana" w:hAnsi="Verdana"/>
          <w:sz w:val="16"/>
          <w:szCs w:val="16"/>
        </w:rPr>
        <w:t xml:space="preserve">.  </w:t>
      </w:r>
      <w:r>
        <w:rPr>
          <w:rFonts w:ascii="Verdana" w:hAnsi="Verdana"/>
          <w:sz w:val="16"/>
          <w:szCs w:val="16"/>
        </w:rPr>
        <w:t>Asimismo,</w:t>
      </w:r>
      <w:r w:rsidRPr="00CF137F">
        <w:rPr>
          <w:rFonts w:ascii="Verdana" w:hAnsi="Verdana"/>
          <w:sz w:val="16"/>
          <w:szCs w:val="16"/>
        </w:rPr>
        <w:t xml:space="preserve"> </w:t>
      </w:r>
      <w:r>
        <w:rPr>
          <w:rFonts w:ascii="Verdana" w:hAnsi="Verdana"/>
          <w:sz w:val="16"/>
          <w:szCs w:val="16"/>
        </w:rPr>
        <w:t>v</w:t>
      </w:r>
      <w:r w:rsidRPr="00CF137F">
        <w:rPr>
          <w:rFonts w:ascii="Verdana" w:hAnsi="Verdana"/>
          <w:sz w:val="16"/>
          <w:szCs w:val="16"/>
        </w:rPr>
        <w:t xml:space="preserve">éase </w:t>
      </w:r>
      <w:r>
        <w:rPr>
          <w:rFonts w:ascii="Verdana" w:hAnsi="Verdana"/>
          <w:sz w:val="16"/>
          <w:szCs w:val="16"/>
        </w:rPr>
        <w:t xml:space="preserve">mi </w:t>
      </w:r>
      <w:r w:rsidRPr="00CF137F">
        <w:rPr>
          <w:rFonts w:ascii="Verdana" w:hAnsi="Verdana"/>
          <w:sz w:val="16"/>
          <w:szCs w:val="16"/>
        </w:rPr>
        <w:t xml:space="preserve">Voto Concurrente relativo al </w:t>
      </w:r>
      <w:r w:rsidRPr="00CF137F">
        <w:rPr>
          <w:rFonts w:ascii="Verdana" w:eastAsia="Times New Roman" w:hAnsi="Verdana"/>
          <w:bCs/>
          <w:i/>
          <w:color w:val="000000"/>
          <w:sz w:val="16"/>
          <w:szCs w:val="16"/>
          <w:lang w:val="es-MX"/>
        </w:rPr>
        <w:t xml:space="preserve">Caso </w:t>
      </w:r>
      <w:proofErr w:type="spellStart"/>
      <w:r w:rsidRPr="00CF137F">
        <w:rPr>
          <w:rFonts w:ascii="Verdana" w:eastAsia="Times New Roman" w:hAnsi="Verdana"/>
          <w:bCs/>
          <w:i/>
          <w:color w:val="000000"/>
          <w:sz w:val="16"/>
          <w:szCs w:val="16"/>
          <w:lang w:val="es-MX"/>
        </w:rPr>
        <w:t>Yarce</w:t>
      </w:r>
      <w:proofErr w:type="spellEnd"/>
      <w:r w:rsidRPr="00CF137F">
        <w:rPr>
          <w:rFonts w:ascii="Verdana" w:eastAsia="Times New Roman" w:hAnsi="Verdana"/>
          <w:bCs/>
          <w:i/>
          <w:color w:val="000000"/>
          <w:sz w:val="16"/>
          <w:szCs w:val="16"/>
          <w:lang w:val="es-MX"/>
        </w:rPr>
        <w:t xml:space="preserve"> y otras Vs. Colombia. Excepción Preliminar, Fondo, Reparaciones y Costas</w:t>
      </w:r>
      <w:r w:rsidRPr="00CF137F">
        <w:rPr>
          <w:rFonts w:ascii="Verdana" w:eastAsia="Times New Roman" w:hAnsi="Verdana"/>
          <w:bCs/>
          <w:color w:val="000000"/>
          <w:sz w:val="16"/>
          <w:szCs w:val="16"/>
          <w:lang w:val="es-MX"/>
        </w:rPr>
        <w:t>. Sentencia de 22 de noviembre de 2016. Serie C No. 325</w:t>
      </w:r>
      <w:r w:rsidRPr="00CF137F">
        <w:rPr>
          <w:rFonts w:ascii="Verdana" w:eastAsia="Times New Roman" w:hAnsi="Verdana"/>
          <w:b/>
          <w:bCs/>
          <w:color w:val="000000"/>
          <w:sz w:val="16"/>
          <w:szCs w:val="16"/>
          <w:lang w:val="es-MX"/>
        </w:rPr>
        <w:t xml:space="preserve">, </w:t>
      </w:r>
      <w:proofErr w:type="spellStart"/>
      <w:r w:rsidRPr="00CF137F">
        <w:rPr>
          <w:rFonts w:ascii="Verdana" w:eastAsia="Times New Roman" w:hAnsi="Verdana"/>
          <w:bCs/>
          <w:color w:val="000000"/>
          <w:sz w:val="16"/>
          <w:szCs w:val="16"/>
          <w:lang w:val="es-MX"/>
        </w:rPr>
        <w:t>párrs</w:t>
      </w:r>
      <w:proofErr w:type="spellEnd"/>
      <w:r w:rsidRPr="00CF137F">
        <w:rPr>
          <w:rFonts w:ascii="Verdana" w:eastAsia="Times New Roman" w:hAnsi="Verdana"/>
          <w:bCs/>
          <w:color w:val="000000"/>
          <w:sz w:val="16"/>
          <w:szCs w:val="16"/>
          <w:lang w:val="es-MX"/>
        </w:rPr>
        <w:t xml:space="preserve">. 22 a 26.  </w:t>
      </w:r>
    </w:p>
  </w:footnote>
  <w:footnote w:id="291">
    <w:p w14:paraId="0B7459BC" w14:textId="77777777" w:rsidR="00D86616" w:rsidRPr="00CF137F" w:rsidRDefault="00D86616" w:rsidP="00F83E8F">
      <w:pPr>
        <w:spacing w:after="120"/>
        <w:jc w:val="both"/>
        <w:rPr>
          <w:rFonts w:ascii="Verdana" w:eastAsia="Times New Roman" w:hAnsi="Verdana"/>
          <w:bCs/>
          <w:color w:val="000000"/>
          <w:sz w:val="16"/>
          <w:szCs w:val="16"/>
          <w:lang w:val="es-MX"/>
        </w:rPr>
      </w:pPr>
      <w:r w:rsidRPr="00CF137F">
        <w:rPr>
          <w:rStyle w:val="FootnoteReference"/>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hAnsi="Verdana"/>
          <w:i/>
          <w:sz w:val="16"/>
          <w:szCs w:val="16"/>
        </w:rPr>
        <w:t>Cfr.</w:t>
      </w:r>
      <w:r w:rsidRPr="00CF137F">
        <w:rPr>
          <w:rFonts w:ascii="Verdana" w:hAnsi="Verdana"/>
          <w:sz w:val="16"/>
          <w:szCs w:val="16"/>
        </w:rPr>
        <w:t xml:space="preserve"> Voto Concurrente al </w:t>
      </w:r>
      <w:r w:rsidRPr="00CF137F">
        <w:rPr>
          <w:rFonts w:ascii="Verdana" w:eastAsia="Times New Roman" w:hAnsi="Verdana"/>
          <w:bCs/>
          <w:i/>
          <w:color w:val="000000"/>
          <w:sz w:val="16"/>
          <w:szCs w:val="16"/>
          <w:lang w:val="es-MX"/>
        </w:rPr>
        <w:t>Caso Suárez Peralta Vs. Ecuador. Excepciones Preliminares, Fondo, Reparaciones y Costas</w:t>
      </w:r>
      <w:r w:rsidRPr="00CF137F">
        <w:rPr>
          <w:rFonts w:ascii="Verdana" w:eastAsia="Times New Roman" w:hAnsi="Verdana"/>
          <w:bCs/>
          <w:color w:val="000000"/>
          <w:sz w:val="16"/>
          <w:szCs w:val="16"/>
          <w:lang w:val="es-MX"/>
        </w:rPr>
        <w:t xml:space="preserve">. Sentencia de 21 de mayo de 2013. Serie C No. 261. </w:t>
      </w:r>
    </w:p>
  </w:footnote>
  <w:footnote w:id="292">
    <w:p w14:paraId="09A343E9" w14:textId="77777777" w:rsidR="00D86616" w:rsidRPr="00CF137F" w:rsidRDefault="00D86616" w:rsidP="00F83E8F">
      <w:pPr>
        <w:spacing w:after="120"/>
        <w:jc w:val="both"/>
        <w:rPr>
          <w:rFonts w:ascii="Verdana" w:eastAsia="Times New Roman" w:hAnsi="Verdana"/>
          <w:sz w:val="16"/>
          <w:szCs w:val="16"/>
          <w:lang w:val="es-MX"/>
        </w:rPr>
      </w:pPr>
      <w:r w:rsidRPr="00CF137F">
        <w:rPr>
          <w:rStyle w:val="FootnoteReference"/>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hAnsi="Verdana"/>
          <w:i/>
          <w:sz w:val="16"/>
          <w:szCs w:val="16"/>
        </w:rPr>
        <w:t>Cfr</w:t>
      </w:r>
      <w:r>
        <w:rPr>
          <w:rFonts w:ascii="Verdana" w:hAnsi="Verdana"/>
          <w:sz w:val="16"/>
          <w:szCs w:val="16"/>
        </w:rPr>
        <w:t xml:space="preserve">. </w:t>
      </w:r>
      <w:r w:rsidRPr="00CF137F">
        <w:rPr>
          <w:rFonts w:ascii="Verdana" w:hAnsi="Verdana"/>
          <w:sz w:val="16"/>
          <w:szCs w:val="16"/>
        </w:rPr>
        <w:t>Votos concurrentes:</w:t>
      </w:r>
      <w:r w:rsidRPr="00CF137F">
        <w:rPr>
          <w:rFonts w:ascii="Verdana" w:eastAsia="Times New Roman" w:hAnsi="Verdana"/>
          <w:bCs/>
          <w:i/>
          <w:color w:val="000000"/>
          <w:sz w:val="16"/>
          <w:szCs w:val="16"/>
          <w:lang w:val="es-MX"/>
        </w:rPr>
        <w:t xml:space="preserve"> Caso Gonzales </w:t>
      </w:r>
      <w:proofErr w:type="spellStart"/>
      <w:r w:rsidRPr="00CF137F">
        <w:rPr>
          <w:rFonts w:ascii="Verdana" w:eastAsia="Times New Roman" w:hAnsi="Verdana"/>
          <w:bCs/>
          <w:i/>
          <w:color w:val="000000"/>
          <w:sz w:val="16"/>
          <w:szCs w:val="16"/>
          <w:lang w:val="es-MX"/>
        </w:rPr>
        <w:t>Lluy</w:t>
      </w:r>
      <w:proofErr w:type="spellEnd"/>
      <w:r w:rsidRPr="00CF137F">
        <w:rPr>
          <w:rFonts w:ascii="Verdana" w:eastAsia="Times New Roman" w:hAnsi="Verdana"/>
          <w:bCs/>
          <w:i/>
          <w:color w:val="000000"/>
          <w:sz w:val="16"/>
          <w:szCs w:val="16"/>
          <w:lang w:val="es-MX"/>
        </w:rPr>
        <w:t xml:space="preserve"> y otros Vs. Ecuador. Excepciones Preliminares, Fondo, Reparaciones y Costas</w:t>
      </w:r>
      <w:r w:rsidRPr="00CF137F">
        <w:rPr>
          <w:rFonts w:ascii="Verdana" w:eastAsia="Times New Roman" w:hAnsi="Verdana"/>
          <w:bCs/>
          <w:color w:val="000000"/>
          <w:sz w:val="16"/>
          <w:szCs w:val="16"/>
          <w:lang w:val="es-MX"/>
        </w:rPr>
        <w:t>. Sentencia de 1 de septiembre de 2015. Serie C No. 298 (con a</w:t>
      </w:r>
      <w:r>
        <w:rPr>
          <w:rFonts w:ascii="Verdana" w:eastAsia="Times New Roman" w:hAnsi="Verdana"/>
          <w:bCs/>
          <w:color w:val="000000"/>
          <w:sz w:val="16"/>
          <w:szCs w:val="16"/>
          <w:lang w:val="es-MX"/>
        </w:rPr>
        <w:t>d</w:t>
      </w:r>
      <w:r w:rsidRPr="00CF137F">
        <w:rPr>
          <w:rFonts w:ascii="Verdana" w:eastAsia="Times New Roman" w:hAnsi="Verdana"/>
          <w:bCs/>
          <w:color w:val="000000"/>
          <w:sz w:val="16"/>
          <w:szCs w:val="16"/>
          <w:lang w:val="es-MX"/>
        </w:rPr>
        <w:t xml:space="preserve">hesión de los jueces Roberto Caldas y Manuel Ventura Robles); </w:t>
      </w:r>
      <w:r w:rsidRPr="00CF137F">
        <w:rPr>
          <w:rFonts w:ascii="Verdana" w:eastAsia="Times New Roman" w:hAnsi="Verdana"/>
          <w:bCs/>
          <w:i/>
          <w:color w:val="000000"/>
          <w:sz w:val="16"/>
          <w:szCs w:val="16"/>
          <w:lang w:val="es-MX"/>
        </w:rPr>
        <w:t>Caso Chinchilla Sandoval y otros Vs. Guatemala. Excepción Preliminar, Fondo, Reparaciones y Costas.</w:t>
      </w:r>
      <w:r w:rsidRPr="00CF137F">
        <w:rPr>
          <w:rFonts w:ascii="Verdana" w:eastAsia="Times New Roman" w:hAnsi="Verdana"/>
          <w:bCs/>
          <w:color w:val="000000"/>
          <w:sz w:val="16"/>
          <w:szCs w:val="16"/>
          <w:lang w:val="es-MX"/>
        </w:rPr>
        <w:t xml:space="preserve"> Sentencia de 29 de febrero de 2016. Serie C No. 312; y </w:t>
      </w:r>
      <w:r w:rsidRPr="00CF137F">
        <w:rPr>
          <w:rFonts w:ascii="Verdana" w:eastAsia="Times New Roman" w:hAnsi="Verdana"/>
          <w:bCs/>
          <w:i/>
          <w:color w:val="000000"/>
          <w:sz w:val="16"/>
          <w:szCs w:val="16"/>
          <w:lang w:val="es-MX"/>
        </w:rPr>
        <w:t>Caso I.V. Vs. Bolivia. Excepciones Preliminares, Fondo, Reparaciones y Costas</w:t>
      </w:r>
      <w:r w:rsidRPr="00CF137F">
        <w:rPr>
          <w:rFonts w:ascii="Verdana" w:eastAsia="Times New Roman" w:hAnsi="Verdana"/>
          <w:bCs/>
          <w:color w:val="000000"/>
          <w:sz w:val="16"/>
          <w:szCs w:val="16"/>
          <w:lang w:val="es-MX"/>
        </w:rPr>
        <w:t>. Sentencia de 30 de noviembre de 2016. Serie C No. 329</w:t>
      </w:r>
      <w:r w:rsidRPr="00CF137F">
        <w:rPr>
          <w:rFonts w:ascii="Verdana" w:eastAsia="Times New Roman" w:hAnsi="Verdana"/>
          <w:b/>
          <w:bCs/>
          <w:color w:val="000000"/>
          <w:sz w:val="16"/>
          <w:szCs w:val="16"/>
          <w:lang w:val="es-MX"/>
        </w:rPr>
        <w:t>.</w:t>
      </w:r>
    </w:p>
  </w:footnote>
  <w:footnote w:id="293">
    <w:p w14:paraId="5771077A" w14:textId="77777777" w:rsidR="00D86616" w:rsidRPr="00CF137F" w:rsidRDefault="00D86616" w:rsidP="00F83E8F">
      <w:pPr>
        <w:spacing w:after="120"/>
        <w:jc w:val="both"/>
        <w:rPr>
          <w:rFonts w:ascii="Verdana" w:eastAsia="Times New Roman" w:hAnsi="Verdana"/>
          <w:sz w:val="16"/>
          <w:szCs w:val="16"/>
          <w:lang w:val="es-MX"/>
        </w:rPr>
      </w:pPr>
      <w:r w:rsidRPr="00CF137F">
        <w:rPr>
          <w:rStyle w:val="FootnoteReference"/>
          <w:sz w:val="16"/>
          <w:szCs w:val="16"/>
        </w:rPr>
        <w:footnoteRef/>
      </w:r>
      <w:r w:rsidRPr="00CF137F">
        <w:rPr>
          <w:rFonts w:ascii="Verdana" w:hAnsi="Verdana"/>
          <w:sz w:val="16"/>
          <w:szCs w:val="16"/>
        </w:rPr>
        <w:t xml:space="preserve"> </w:t>
      </w:r>
      <w:r w:rsidRPr="00CF137F">
        <w:rPr>
          <w:rFonts w:ascii="Verdana" w:hAnsi="Verdana"/>
          <w:sz w:val="16"/>
          <w:szCs w:val="16"/>
        </w:rPr>
        <w:tab/>
      </w:r>
      <w:r>
        <w:rPr>
          <w:rFonts w:ascii="Verdana" w:hAnsi="Verdana"/>
          <w:sz w:val="16"/>
          <w:szCs w:val="16"/>
        </w:rPr>
        <w:t>Véa</w:t>
      </w:r>
      <w:r w:rsidRPr="00CF137F">
        <w:rPr>
          <w:rFonts w:ascii="Verdana" w:hAnsi="Verdana"/>
          <w:sz w:val="16"/>
          <w:szCs w:val="16"/>
        </w:rPr>
        <w:t xml:space="preserve">se el voto concurrente que formulé conjuntamente con el Juez Roberto Caldas, en el </w:t>
      </w:r>
      <w:r w:rsidRPr="00CF137F">
        <w:rPr>
          <w:rFonts w:ascii="Verdana" w:eastAsia="Times New Roman" w:hAnsi="Verdana"/>
          <w:bCs/>
          <w:i/>
          <w:color w:val="000000"/>
          <w:sz w:val="16"/>
          <w:szCs w:val="16"/>
          <w:lang w:val="es-MX"/>
        </w:rPr>
        <w:t>Caso Canales Huapaya y otros Vs. Perú. Excepciones Preliminares, Fondo, Reparaciones y Costas</w:t>
      </w:r>
      <w:r w:rsidRPr="00CF137F">
        <w:rPr>
          <w:rFonts w:ascii="Verdana" w:eastAsia="Times New Roman" w:hAnsi="Verdana"/>
          <w:bCs/>
          <w:color w:val="000000"/>
          <w:sz w:val="16"/>
          <w:szCs w:val="16"/>
          <w:lang w:val="es-MX"/>
        </w:rPr>
        <w:t>. Sentencia de 24 de junio de 2015. Serie C No. 296.</w:t>
      </w:r>
    </w:p>
  </w:footnote>
  <w:footnote w:id="294">
    <w:p w14:paraId="2638B840" w14:textId="77777777" w:rsidR="00D86616" w:rsidRPr="00BA6F15" w:rsidRDefault="00D86616" w:rsidP="00F83E8F">
      <w:pPr>
        <w:spacing w:after="120"/>
        <w:jc w:val="both"/>
        <w:rPr>
          <w:rFonts w:ascii="Verdana" w:eastAsia="Times New Roman" w:hAnsi="Verdana"/>
          <w:bCs/>
          <w:i/>
          <w:color w:val="000000"/>
          <w:sz w:val="16"/>
          <w:szCs w:val="16"/>
          <w:lang w:val="es-MX"/>
        </w:rPr>
      </w:pPr>
      <w:r w:rsidRPr="00CF137F">
        <w:rPr>
          <w:rStyle w:val="FootnoteReference"/>
          <w:sz w:val="16"/>
          <w:szCs w:val="16"/>
        </w:rPr>
        <w:footnoteRef/>
      </w:r>
      <w:r w:rsidRPr="00CF137F">
        <w:rPr>
          <w:rFonts w:ascii="Verdana" w:hAnsi="Verdana"/>
          <w:sz w:val="16"/>
          <w:szCs w:val="16"/>
        </w:rPr>
        <w:t xml:space="preserve"> </w:t>
      </w:r>
      <w:r w:rsidRPr="00CF137F">
        <w:rPr>
          <w:rFonts w:ascii="Verdana" w:hAnsi="Verdana"/>
          <w:sz w:val="16"/>
          <w:szCs w:val="16"/>
        </w:rPr>
        <w:tab/>
        <w:t xml:space="preserve">Véase el voto concurrente relativo al </w:t>
      </w:r>
      <w:r w:rsidRPr="00CF137F">
        <w:rPr>
          <w:rFonts w:ascii="Verdana" w:eastAsia="Times New Roman" w:hAnsi="Verdana"/>
          <w:bCs/>
          <w:i/>
          <w:color w:val="000000"/>
          <w:sz w:val="16"/>
          <w:szCs w:val="16"/>
          <w:lang w:val="es-MX"/>
        </w:rPr>
        <w:t xml:space="preserve">Caso </w:t>
      </w:r>
      <w:proofErr w:type="spellStart"/>
      <w:r w:rsidRPr="00CF137F">
        <w:rPr>
          <w:rFonts w:ascii="Verdana" w:eastAsia="Times New Roman" w:hAnsi="Verdana"/>
          <w:bCs/>
          <w:i/>
          <w:color w:val="000000"/>
          <w:sz w:val="16"/>
          <w:szCs w:val="16"/>
          <w:lang w:val="es-MX"/>
        </w:rPr>
        <w:t>Yarce</w:t>
      </w:r>
      <w:proofErr w:type="spellEnd"/>
      <w:r w:rsidRPr="00CF137F">
        <w:rPr>
          <w:rFonts w:ascii="Verdana" w:eastAsia="Times New Roman" w:hAnsi="Verdana"/>
          <w:bCs/>
          <w:i/>
          <w:color w:val="000000"/>
          <w:sz w:val="16"/>
          <w:szCs w:val="16"/>
          <w:lang w:val="es-MX"/>
        </w:rPr>
        <w:t xml:space="preserve"> y otras Vs. Colombia</w:t>
      </w:r>
      <w:r>
        <w:rPr>
          <w:rFonts w:ascii="Verdana" w:eastAsia="Times New Roman" w:hAnsi="Verdana"/>
          <w:bCs/>
          <w:i/>
          <w:color w:val="000000"/>
          <w:sz w:val="16"/>
          <w:szCs w:val="16"/>
          <w:lang w:val="es-MX"/>
        </w:rPr>
        <w:t>,</w:t>
      </w:r>
      <w:r w:rsidRPr="00CF137F">
        <w:rPr>
          <w:rFonts w:ascii="Verdana" w:eastAsia="Times New Roman" w:hAnsi="Verdana"/>
          <w:bCs/>
          <w:i/>
          <w:color w:val="000000"/>
          <w:sz w:val="16"/>
          <w:szCs w:val="16"/>
          <w:lang w:val="es-MX"/>
        </w:rPr>
        <w:t xml:space="preserve"> </w:t>
      </w:r>
      <w:r>
        <w:rPr>
          <w:rFonts w:ascii="Verdana" w:eastAsia="Times New Roman" w:hAnsi="Verdana"/>
          <w:bCs/>
          <w:i/>
          <w:color w:val="000000"/>
          <w:sz w:val="16"/>
          <w:szCs w:val="16"/>
          <w:lang w:val="es-MX"/>
        </w:rPr>
        <w:t>supra</w:t>
      </w:r>
      <w:r w:rsidRPr="00305AB2">
        <w:rPr>
          <w:rFonts w:ascii="Verdana" w:eastAsia="Times New Roman" w:hAnsi="Verdana"/>
          <w:bCs/>
          <w:color w:val="000000"/>
          <w:sz w:val="16"/>
          <w:szCs w:val="16"/>
          <w:lang w:val="es-MX"/>
        </w:rPr>
        <w:t>.</w:t>
      </w:r>
    </w:p>
  </w:footnote>
  <w:footnote w:id="295">
    <w:p w14:paraId="69013C6D" w14:textId="77777777" w:rsidR="00D86616" w:rsidRPr="008F14B6" w:rsidRDefault="00D86616" w:rsidP="00F83E8F">
      <w:pPr>
        <w:pStyle w:val="FootnoteText"/>
        <w:spacing w:after="120"/>
        <w:rPr>
          <w:lang w:val="es-ES_tradnl"/>
        </w:rPr>
      </w:pPr>
      <w:r w:rsidRPr="00206283">
        <w:rPr>
          <w:rStyle w:val="FootnoteReference"/>
        </w:rPr>
        <w:footnoteRef/>
      </w:r>
      <w:r w:rsidRPr="00BA6F15">
        <w:rPr>
          <w:lang w:val="es-MX"/>
        </w:rPr>
        <w:t xml:space="preserve"> </w:t>
      </w:r>
      <w:r w:rsidRPr="00206283">
        <w:rPr>
          <w:lang w:val="es-ES_tradnl"/>
        </w:rPr>
        <w:tab/>
      </w:r>
      <w:r w:rsidRPr="00BA6F15">
        <w:rPr>
          <w:i/>
          <w:lang w:val="es-MX"/>
        </w:rPr>
        <w:t>Cfr.</w:t>
      </w:r>
      <w:r w:rsidRPr="00BA6F15">
        <w:rPr>
          <w:lang w:val="es-MX"/>
        </w:rPr>
        <w:t xml:space="preserve"> </w:t>
      </w:r>
      <w:r w:rsidRPr="00BA6F15">
        <w:rPr>
          <w:i/>
          <w:lang w:val="es-MX"/>
        </w:rPr>
        <w:t>Caso Lagos del Campo Vs. Perú</w:t>
      </w:r>
      <w:r>
        <w:rPr>
          <w:i/>
          <w:lang w:val="es-MX"/>
        </w:rPr>
        <w:t>,</w:t>
      </w:r>
      <w:r w:rsidRPr="00BA6F15">
        <w:rPr>
          <w:i/>
          <w:lang w:val="es-MX"/>
        </w:rPr>
        <w:t xml:space="preserve"> </w:t>
      </w:r>
      <w:r>
        <w:rPr>
          <w:i/>
          <w:lang w:val="es-MX"/>
        </w:rPr>
        <w:t>supra</w:t>
      </w:r>
      <w:r w:rsidRPr="00C959C6">
        <w:rPr>
          <w:lang w:val="es-MX"/>
        </w:rPr>
        <w:t xml:space="preserve">, párr. </w:t>
      </w:r>
      <w:r w:rsidRPr="00206283">
        <w:rPr>
          <w:lang w:val="es-ES_tradnl"/>
        </w:rPr>
        <w:t>151.</w:t>
      </w:r>
    </w:p>
  </w:footnote>
  <w:footnote w:id="296">
    <w:p w14:paraId="6F77FEE1" w14:textId="77777777" w:rsidR="00D86616" w:rsidRPr="00CF137F" w:rsidRDefault="00D86616" w:rsidP="00F83E8F">
      <w:pPr>
        <w:pStyle w:val="FootnoteText"/>
        <w:rPr>
          <w:lang w:val="es-ES_tradnl"/>
        </w:rPr>
      </w:pPr>
      <w:r w:rsidRPr="00CF137F">
        <w:rPr>
          <w:rStyle w:val="FootnoteReference"/>
        </w:rPr>
        <w:footnoteRef/>
      </w:r>
      <w:r w:rsidRPr="00C959C6">
        <w:rPr>
          <w:lang w:val="es-MX"/>
        </w:rPr>
        <w:t xml:space="preserve"> </w:t>
      </w:r>
      <w:r w:rsidRPr="00C959C6">
        <w:rPr>
          <w:lang w:val="es-MX"/>
        </w:rPr>
        <w:tab/>
        <w:t xml:space="preserve">En el párr. 143 de la Sentencia, la Corte IDH explicitó que: </w:t>
      </w:r>
      <w:r w:rsidRPr="00C959C6">
        <w:rPr>
          <w:color w:val="000000"/>
          <w:lang w:val="es-MX"/>
        </w:rPr>
        <w:t>“[e]l trabajo es un derecho y un deber social” y que ese debe prestarse con “</w:t>
      </w:r>
      <w:r w:rsidRPr="00CF137F">
        <w:rPr>
          <w:rFonts w:cs="Tahoma"/>
          <w:color w:val="000000"/>
          <w:lang w:val="es-ES"/>
        </w:rPr>
        <w:t>salarios justos, oportunidades de empleo y condiciones de trabajo aceptables para todos</w:t>
      </w:r>
      <w:r w:rsidRPr="00C959C6">
        <w:rPr>
          <w:color w:val="000000"/>
          <w:lang w:val="es-MX"/>
        </w:rPr>
        <w:t>”. Asimismo, señalan que el derecho de los trabajadores y trabajadoras a “asociarse libremente para la defensa y promoción de sus intereses”. Además, indican que los Estados deben “armonizar la legislación social” para la protección de tales derechos</w:t>
      </w:r>
      <w:r>
        <w:rPr>
          <w:color w:val="000000"/>
          <w:lang w:val="es-MX"/>
        </w:rPr>
        <w:t>”</w:t>
      </w:r>
      <w:r w:rsidRPr="00C959C6">
        <w:rPr>
          <w:color w:val="000000"/>
          <w:lang w:val="es-MX"/>
        </w:rPr>
        <w:t xml:space="preserve">. </w:t>
      </w:r>
      <w:r w:rsidRPr="00BA6F15">
        <w:rPr>
          <w:i/>
          <w:lang w:val="es-MX"/>
        </w:rPr>
        <w:t>Cfr.</w:t>
      </w:r>
      <w:r w:rsidRPr="00BA6F15">
        <w:rPr>
          <w:lang w:val="es-MX"/>
        </w:rPr>
        <w:t xml:space="preserve"> </w:t>
      </w:r>
      <w:r w:rsidRPr="00BA6F15">
        <w:rPr>
          <w:i/>
          <w:lang w:val="es-MX"/>
        </w:rPr>
        <w:t>Caso Lagos del Campo Vs. Perú</w:t>
      </w:r>
      <w:r>
        <w:rPr>
          <w:i/>
          <w:lang w:val="es-MX"/>
        </w:rPr>
        <w:t>, supra</w:t>
      </w:r>
      <w:r w:rsidRPr="00C959C6">
        <w:rPr>
          <w:lang w:val="es-MX"/>
        </w:rPr>
        <w:t xml:space="preserve">, párr. 143.  </w:t>
      </w:r>
    </w:p>
    <w:p w14:paraId="697A0368" w14:textId="77777777" w:rsidR="00D86616" w:rsidRPr="00CF137F" w:rsidRDefault="00D86616" w:rsidP="00F83E8F">
      <w:pPr>
        <w:pStyle w:val="FootnoteText"/>
        <w:rPr>
          <w:lang w:val="es-ES_tradnl"/>
        </w:rPr>
      </w:pPr>
    </w:p>
  </w:footnote>
  <w:footnote w:id="297">
    <w:p w14:paraId="08E1AEC9" w14:textId="77777777" w:rsidR="00D86616" w:rsidRPr="00CF137F" w:rsidRDefault="00D86616" w:rsidP="00F83E8F">
      <w:pPr>
        <w:pStyle w:val="FootnoteText"/>
        <w:rPr>
          <w:lang w:val="es-ES_tradnl"/>
        </w:rPr>
      </w:pPr>
      <w:r w:rsidRPr="00CF137F">
        <w:rPr>
          <w:rStyle w:val="FootnoteReference"/>
        </w:rPr>
        <w:footnoteRef/>
      </w:r>
      <w:r w:rsidRPr="00C959C6">
        <w:rPr>
          <w:lang w:val="es-MX"/>
        </w:rPr>
        <w:t xml:space="preserve"> </w:t>
      </w:r>
      <w:r w:rsidRPr="00CF137F">
        <w:rPr>
          <w:lang w:val="es-ES_tradnl"/>
        </w:rPr>
        <w:tab/>
        <w:t>La Declaración Americana de los</w:t>
      </w:r>
      <w:r>
        <w:rPr>
          <w:lang w:val="es-ES_tradnl"/>
        </w:rPr>
        <w:t xml:space="preserve"> Derechos y Deberes del Hombre de 1948, </w:t>
      </w:r>
      <w:r w:rsidRPr="00CF137F">
        <w:rPr>
          <w:lang w:val="es-ES_tradnl"/>
        </w:rPr>
        <w:t xml:space="preserve">expresamente señala en su artículo XIV:  </w:t>
      </w:r>
      <w:r w:rsidRPr="00C959C6">
        <w:rPr>
          <w:color w:val="000000"/>
          <w:lang w:val="es-MX"/>
        </w:rPr>
        <w:t>“</w:t>
      </w:r>
      <w:r w:rsidRPr="00C959C6">
        <w:rPr>
          <w:rFonts w:cs="Arial"/>
          <w:color w:val="000000"/>
          <w:lang w:val="es-MX"/>
        </w:rPr>
        <w:t>Toda persona tiene derecho al trabajo en condiciones dignas y a seguir libremente su vocación</w:t>
      </w:r>
      <w:r>
        <w:rPr>
          <w:rFonts w:cs="Arial"/>
          <w:color w:val="000000"/>
          <w:lang w:val="es-MX"/>
        </w:rPr>
        <w:t xml:space="preserve"> […]</w:t>
      </w:r>
      <w:r w:rsidRPr="00C959C6">
        <w:rPr>
          <w:rFonts w:cs="Arial"/>
          <w:color w:val="000000"/>
          <w:lang w:val="es-MX"/>
        </w:rPr>
        <w:t>”.</w:t>
      </w:r>
    </w:p>
    <w:p w14:paraId="54FB0E1D" w14:textId="77777777" w:rsidR="00D86616" w:rsidRPr="00CF137F" w:rsidRDefault="00D86616" w:rsidP="00F83E8F">
      <w:pPr>
        <w:pStyle w:val="FootnoteText"/>
        <w:rPr>
          <w:lang w:val="es-ES_tradnl"/>
        </w:rPr>
      </w:pPr>
    </w:p>
  </w:footnote>
  <w:footnote w:id="298">
    <w:p w14:paraId="3E59581C" w14:textId="77777777" w:rsidR="00D86616" w:rsidRPr="00BA6F15" w:rsidRDefault="00D86616" w:rsidP="00F83E8F">
      <w:pPr>
        <w:pStyle w:val="FootnoteText"/>
        <w:rPr>
          <w:lang w:val="es-MX"/>
        </w:rPr>
      </w:pPr>
      <w:r w:rsidRPr="005B3CA3">
        <w:rPr>
          <w:rStyle w:val="FootnoteReference"/>
        </w:rPr>
        <w:footnoteRef/>
      </w:r>
      <w:r w:rsidRPr="00C959C6">
        <w:rPr>
          <w:lang w:val="es-MX"/>
        </w:rPr>
        <w:t xml:space="preserve"> </w:t>
      </w:r>
      <w:r w:rsidRPr="005B3CA3">
        <w:rPr>
          <w:lang w:val="es-ES_tradnl"/>
        </w:rPr>
        <w:t xml:space="preserve"> </w:t>
      </w:r>
      <w:r w:rsidRPr="005B3CA3">
        <w:rPr>
          <w:lang w:val="es-ES_tradnl"/>
        </w:rPr>
        <w:tab/>
        <w:t>Particularmente, en la Sentencia, la Corte IDH también consideró que “</w:t>
      </w:r>
      <w:r w:rsidRPr="005B3CA3">
        <w:rPr>
          <w:lang w:val="es-CR"/>
        </w:rPr>
        <w:t xml:space="preserve">[…], la Asamblea General de las Naciones Unidas adoptó la Agenda 2030, la cual cuenta con 17 Objetivos de Desarrollo Sostenible y 169 metas en favor de las personas, el planeta y la prosperidad. En particular, el objetivo 8 promueve el crecimiento económico sostenido, inclusivo y sostenible, el empleo pleno y productivo y el trabajo decente para todos. Las metas 8.5 y 8.8 están enfocados en proteger los derechos de los trabajadores y promover un entorno de trabajo seguro”. </w:t>
      </w:r>
      <w:r w:rsidRPr="00BA6F15">
        <w:rPr>
          <w:i/>
          <w:lang w:val="es-MX"/>
        </w:rPr>
        <w:t>Caso Lagos del Campo Vs. Perú</w:t>
      </w:r>
      <w:r>
        <w:rPr>
          <w:i/>
          <w:lang w:val="es-MX"/>
        </w:rPr>
        <w:t>,</w:t>
      </w:r>
      <w:r w:rsidRPr="00BA6F15">
        <w:rPr>
          <w:i/>
          <w:lang w:val="es-MX"/>
        </w:rPr>
        <w:t xml:space="preserve"> supra</w:t>
      </w:r>
      <w:r w:rsidRPr="00BA6F15">
        <w:rPr>
          <w:lang w:val="es-MX"/>
        </w:rPr>
        <w:t xml:space="preserve">, nota 216. </w:t>
      </w:r>
    </w:p>
  </w:footnote>
  <w:footnote w:id="299">
    <w:p w14:paraId="04960164" w14:textId="77777777" w:rsidR="00D86616" w:rsidRPr="00C959C6" w:rsidRDefault="00D86616" w:rsidP="00F83E8F">
      <w:pPr>
        <w:pStyle w:val="FootnoteText"/>
        <w:spacing w:after="120"/>
        <w:rPr>
          <w:lang w:val="es-MX"/>
        </w:rPr>
      </w:pPr>
      <w:r w:rsidRPr="00CF137F">
        <w:rPr>
          <w:rStyle w:val="FootnoteReference"/>
        </w:rPr>
        <w:footnoteRef/>
      </w:r>
      <w:r w:rsidRPr="00BA6F15">
        <w:rPr>
          <w:lang w:val="es-MX"/>
        </w:rPr>
        <w:t xml:space="preserve"> </w:t>
      </w:r>
      <w:r w:rsidRPr="00BA6F15">
        <w:rPr>
          <w:lang w:val="es-MX"/>
        </w:rPr>
        <w:tab/>
      </w:r>
      <w:r w:rsidRPr="00BA6F15">
        <w:rPr>
          <w:i/>
          <w:lang w:val="es-MX"/>
        </w:rPr>
        <w:t>Cfr.</w:t>
      </w:r>
      <w:r w:rsidRPr="00BA6F15">
        <w:rPr>
          <w:lang w:val="es-MX"/>
        </w:rPr>
        <w:t xml:space="preserve"> </w:t>
      </w:r>
      <w:r w:rsidRPr="00BA6F15">
        <w:rPr>
          <w:i/>
          <w:lang w:val="es-MX"/>
        </w:rPr>
        <w:t>Caso Lagos del Campo Vs. Perú</w:t>
      </w:r>
      <w:r>
        <w:rPr>
          <w:i/>
          <w:lang w:val="es-MX"/>
        </w:rPr>
        <w:t>,</w:t>
      </w:r>
      <w:r w:rsidRPr="00BA6F15">
        <w:rPr>
          <w:i/>
          <w:lang w:val="es-MX"/>
        </w:rPr>
        <w:t xml:space="preserve"> </w:t>
      </w:r>
      <w:r>
        <w:rPr>
          <w:i/>
          <w:lang w:val="es-MX"/>
        </w:rPr>
        <w:t>supra</w:t>
      </w:r>
      <w:r w:rsidRPr="00C959C6">
        <w:rPr>
          <w:lang w:val="es-MX"/>
        </w:rPr>
        <w:t xml:space="preserve">, párrs. 133 a 154. </w:t>
      </w:r>
    </w:p>
  </w:footnote>
  <w:footnote w:id="300">
    <w:p w14:paraId="09C01D4B"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959C6">
        <w:rPr>
          <w:lang w:val="es-MX"/>
        </w:rPr>
        <w:tab/>
      </w:r>
      <w:r w:rsidRPr="00C959C6">
        <w:rPr>
          <w:i/>
          <w:lang w:val="es-MX"/>
        </w:rPr>
        <w:t>Cfr.</w:t>
      </w:r>
      <w:r w:rsidRPr="00C959C6">
        <w:rPr>
          <w:lang w:val="es-MX"/>
        </w:rPr>
        <w:t xml:space="preserve"> </w:t>
      </w:r>
      <w:r w:rsidRPr="00C959C6">
        <w:rPr>
          <w:i/>
          <w:lang w:val="es-MX"/>
        </w:rPr>
        <w:t xml:space="preserve">Caso Lagos del Campo Vs. </w:t>
      </w:r>
      <w:r w:rsidRPr="00BA6F15">
        <w:rPr>
          <w:i/>
          <w:lang w:val="es-CR"/>
        </w:rPr>
        <w:t>Perú, supra</w:t>
      </w:r>
      <w:r w:rsidRPr="00C959C6">
        <w:rPr>
          <w:lang w:val="es-MX"/>
        </w:rPr>
        <w:t xml:space="preserve">, párrs. 155 a 163. </w:t>
      </w:r>
    </w:p>
  </w:footnote>
  <w:footnote w:id="301">
    <w:p w14:paraId="2A30700F" w14:textId="77777777" w:rsidR="00D86616" w:rsidRPr="00CF137F" w:rsidRDefault="00D86616" w:rsidP="00F83E8F">
      <w:pPr>
        <w:jc w:val="both"/>
        <w:rPr>
          <w:rFonts w:ascii="Verdana" w:hAnsi="Verdana" w:cs="Tahoma"/>
          <w:color w:val="000000"/>
          <w:sz w:val="16"/>
          <w:szCs w:val="16"/>
          <w:lang w:val="es-MX"/>
        </w:rPr>
      </w:pPr>
      <w:r w:rsidRPr="00CF137F">
        <w:rPr>
          <w:rStyle w:val="FootnoteReference"/>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eastAsia="Times New Roman" w:hAnsi="Verdana" w:cs="Tahoma"/>
          <w:bCs/>
          <w:color w:val="000000"/>
          <w:sz w:val="16"/>
          <w:szCs w:val="16"/>
          <w:lang w:val="es-ES"/>
        </w:rPr>
        <w:t>Artículo 19. Medios de Protección […]</w:t>
      </w:r>
      <w:r w:rsidRPr="00CF137F">
        <w:rPr>
          <w:rFonts w:ascii="Verdana" w:eastAsia="Times New Roman" w:hAnsi="Verdana" w:cs="Tahoma"/>
          <w:color w:val="000000"/>
          <w:sz w:val="16"/>
          <w:szCs w:val="16"/>
          <w:lang w:val="es-MX"/>
        </w:rPr>
        <w:t>6.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14:paraId="1F47B090" w14:textId="77777777" w:rsidR="00D86616" w:rsidRPr="00CF137F" w:rsidRDefault="00D86616" w:rsidP="00F83E8F">
      <w:pPr>
        <w:jc w:val="both"/>
        <w:rPr>
          <w:rFonts w:ascii="Verdana" w:hAnsi="Verdana"/>
          <w:sz w:val="16"/>
          <w:szCs w:val="16"/>
          <w:lang w:val="es-MX"/>
        </w:rPr>
      </w:pPr>
    </w:p>
  </w:footnote>
  <w:footnote w:id="302">
    <w:p w14:paraId="1C4D583C" w14:textId="77777777" w:rsidR="00D86616" w:rsidRPr="00CF137F" w:rsidRDefault="00D86616" w:rsidP="00F83E8F">
      <w:pPr>
        <w:pStyle w:val="FootnoteText"/>
        <w:spacing w:after="120"/>
        <w:rPr>
          <w:lang w:val="es-ES_tradnl"/>
        </w:rPr>
      </w:pPr>
      <w:r w:rsidRPr="00CF137F">
        <w:rPr>
          <w:rStyle w:val="FootnoteReference"/>
        </w:rPr>
        <w:footnoteRef/>
      </w:r>
      <w:r w:rsidRPr="00C959C6">
        <w:rPr>
          <w:vertAlign w:val="superscript"/>
          <w:lang w:val="es-MX"/>
        </w:rPr>
        <w:t xml:space="preserve"> </w:t>
      </w:r>
      <w:r w:rsidRPr="00CF137F">
        <w:rPr>
          <w:lang w:val="es-ES_tradnl"/>
        </w:rPr>
        <w:tab/>
      </w:r>
      <w:r w:rsidRPr="00C959C6">
        <w:rPr>
          <w:i/>
          <w:lang w:val="es-MX"/>
        </w:rPr>
        <w:t>Cfr.</w:t>
      </w:r>
      <w:r w:rsidRPr="00C959C6">
        <w:rPr>
          <w:lang w:val="es-MX"/>
        </w:rPr>
        <w:t xml:space="preserve"> </w:t>
      </w:r>
      <w:r w:rsidRPr="00C959C6">
        <w:rPr>
          <w:i/>
          <w:lang w:val="es-MX"/>
        </w:rPr>
        <w:t xml:space="preserve">Caso Lagos del Campo Vs. </w:t>
      </w:r>
      <w:r w:rsidRPr="00BA6F15">
        <w:rPr>
          <w:i/>
          <w:lang w:val="es-CR"/>
        </w:rPr>
        <w:t>Perú, supra</w:t>
      </w:r>
      <w:r w:rsidRPr="00C959C6">
        <w:rPr>
          <w:lang w:val="es-MX"/>
        </w:rPr>
        <w:t xml:space="preserve">, párr. </w:t>
      </w:r>
      <w:r w:rsidRPr="00206283">
        <w:rPr>
          <w:lang w:val="es-ES_tradnl"/>
        </w:rPr>
        <w:t>141.</w:t>
      </w:r>
      <w:r w:rsidRPr="00CF137F">
        <w:rPr>
          <w:lang w:val="es-ES_tradnl"/>
        </w:rPr>
        <w:t xml:space="preserve">  </w:t>
      </w:r>
    </w:p>
  </w:footnote>
  <w:footnote w:id="303">
    <w:p w14:paraId="5E3EBA0E" w14:textId="77777777" w:rsidR="00D86616" w:rsidRPr="00C959C6" w:rsidRDefault="00D86616" w:rsidP="00F83E8F">
      <w:pPr>
        <w:pStyle w:val="FootnoteText"/>
        <w:spacing w:after="120"/>
        <w:rPr>
          <w:i/>
          <w:lang w:val="es-MX"/>
        </w:rPr>
      </w:pPr>
      <w:r w:rsidRPr="00AD07F6">
        <w:rPr>
          <w:rStyle w:val="FootnoteReference"/>
        </w:rPr>
        <w:footnoteRef/>
      </w:r>
      <w:r w:rsidRPr="00C959C6">
        <w:rPr>
          <w:vertAlign w:val="superscript"/>
          <w:lang w:val="es-MX"/>
        </w:rPr>
        <w:t xml:space="preserve"> </w:t>
      </w:r>
      <w:r w:rsidRPr="00AD07F6">
        <w:rPr>
          <w:lang w:val="es-ES_tradnl"/>
        </w:rPr>
        <w:tab/>
      </w:r>
      <w:r w:rsidRPr="00C959C6">
        <w:rPr>
          <w:lang w:val="es-MX"/>
        </w:rPr>
        <w:t xml:space="preserve">La “interdependencia e indivisibilidad” como un binomio inseparable, la he venido expresando en mis votos razonados en casos anteriores. </w:t>
      </w:r>
      <w:r w:rsidRPr="00C959C6">
        <w:rPr>
          <w:i/>
          <w:lang w:val="es-MX"/>
        </w:rPr>
        <w:t xml:space="preserve">Cfr. </w:t>
      </w:r>
      <w:r w:rsidRPr="00C959C6">
        <w:rPr>
          <w:lang w:val="es-MX"/>
        </w:rPr>
        <w:t xml:space="preserve">Voto Concurrente relativo al </w:t>
      </w:r>
      <w:r w:rsidRPr="00AD07F6">
        <w:rPr>
          <w:bCs/>
          <w:i/>
          <w:color w:val="000000"/>
          <w:lang w:val="es-MX"/>
        </w:rPr>
        <w:t>Caso Yarce y otras Vs. Colombia</w:t>
      </w:r>
      <w:r>
        <w:rPr>
          <w:bCs/>
          <w:i/>
          <w:color w:val="000000"/>
          <w:lang w:val="es-MX"/>
        </w:rPr>
        <w:t xml:space="preserve">, supra, </w:t>
      </w:r>
      <w:r w:rsidRPr="00AD07F6">
        <w:rPr>
          <w:bCs/>
          <w:color w:val="000000"/>
          <w:lang w:val="es-MX"/>
        </w:rPr>
        <w:t>párrs. 13 a 15; Voto Concurrente</w:t>
      </w:r>
      <w:r w:rsidRPr="00AD07F6">
        <w:rPr>
          <w:lang w:val="es-ES_tradnl"/>
        </w:rPr>
        <w:t xml:space="preserve"> al caso</w:t>
      </w:r>
      <w:r w:rsidRPr="00C959C6">
        <w:rPr>
          <w:rFonts w:cs="Verdana"/>
          <w:bCs/>
          <w:lang w:val="es-MX"/>
        </w:rPr>
        <w:t xml:space="preserve"> </w:t>
      </w:r>
      <w:r w:rsidRPr="00C959C6">
        <w:rPr>
          <w:rFonts w:cs="Verdana"/>
          <w:bCs/>
          <w:i/>
          <w:lang w:val="es-MX"/>
        </w:rPr>
        <w:t xml:space="preserve">Suárez Peralta Vs. </w:t>
      </w:r>
      <w:r w:rsidRPr="00BA6F15">
        <w:rPr>
          <w:rFonts w:cs="Verdana"/>
          <w:bCs/>
          <w:i/>
          <w:lang w:val="es-CR"/>
        </w:rPr>
        <w:t>Ecuador</w:t>
      </w:r>
      <w:r w:rsidRPr="00C959C6">
        <w:rPr>
          <w:rFonts w:cs="Verdana"/>
          <w:bCs/>
          <w:i/>
          <w:lang w:val="es-MX"/>
        </w:rPr>
        <w:t xml:space="preserve">, </w:t>
      </w:r>
      <w:r>
        <w:rPr>
          <w:rFonts w:cs="Verdana"/>
          <w:bCs/>
          <w:i/>
          <w:lang w:val="es-MX"/>
        </w:rPr>
        <w:t xml:space="preserve">supra, </w:t>
      </w:r>
      <w:r w:rsidRPr="00C959C6">
        <w:rPr>
          <w:rFonts w:cs="Verdana"/>
          <w:bCs/>
          <w:lang w:val="es-MX"/>
        </w:rPr>
        <w:t xml:space="preserve">párr. 24. Asimismo, véase </w:t>
      </w:r>
      <w:r w:rsidRPr="00AD07F6">
        <w:rPr>
          <w:lang w:val="es-ES_tradnl"/>
        </w:rPr>
        <w:t>Resolución 32/130 de la Asamblea General de Naciones Unidas, de 16 de septiembre de 1977, inciso 1, apartado a); Declaración sobre el derecho al Desarrollo Asamblea General en su resolución 41/128, de 4 de diciembre de 1986, párr. 10 del preámbulo y art. 6; Principios de Limburgo de 1986, en especial el núm. 3, y las Directrices de Maastritch sobre violaciones a los DESC de 1997, particularmente la núm. 3.</w:t>
      </w:r>
      <w:r w:rsidRPr="002F649F">
        <w:rPr>
          <w:lang w:val="es-ES_tradnl"/>
        </w:rPr>
        <w:t xml:space="preserve">  </w:t>
      </w:r>
      <w:r w:rsidRPr="00CF137F">
        <w:rPr>
          <w:bCs/>
          <w:color w:val="000000"/>
          <w:lang w:val="es-MX"/>
        </w:rPr>
        <w:t xml:space="preserve">  </w:t>
      </w:r>
      <w:r w:rsidRPr="00C959C6">
        <w:rPr>
          <w:i/>
          <w:lang w:val="es-MX"/>
        </w:rPr>
        <w:t xml:space="preserve">  </w:t>
      </w:r>
      <w:r w:rsidRPr="00CF137F">
        <w:rPr>
          <w:lang w:val="es-ES_tradnl"/>
        </w:rPr>
        <w:t xml:space="preserve">  </w:t>
      </w:r>
    </w:p>
  </w:footnote>
  <w:footnote w:id="304">
    <w:p w14:paraId="27749722"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F137F">
        <w:rPr>
          <w:lang w:val="es-ES_tradnl"/>
        </w:rPr>
        <w:tab/>
      </w:r>
      <w:r w:rsidRPr="00C959C6">
        <w:rPr>
          <w:i/>
          <w:lang w:val="es-MX"/>
        </w:rPr>
        <w:t xml:space="preserve">Caso Lagos del Campo Vs. </w:t>
      </w:r>
      <w:r w:rsidRPr="00BA6F15">
        <w:rPr>
          <w:i/>
          <w:lang w:val="es-CR"/>
        </w:rPr>
        <w:t>Perú, supra</w:t>
      </w:r>
      <w:r w:rsidRPr="00C959C6">
        <w:rPr>
          <w:lang w:val="es-MX"/>
        </w:rPr>
        <w:t xml:space="preserve">, párr. </w:t>
      </w:r>
      <w:r w:rsidRPr="00CF137F">
        <w:rPr>
          <w:lang w:val="es-ES_tradnl"/>
        </w:rPr>
        <w:t xml:space="preserve">143. </w:t>
      </w:r>
    </w:p>
  </w:footnote>
  <w:footnote w:id="305">
    <w:p w14:paraId="3ED6CA58" w14:textId="77777777" w:rsidR="00D86616" w:rsidRPr="00CF137F" w:rsidRDefault="00D86616" w:rsidP="00F83E8F">
      <w:pPr>
        <w:pStyle w:val="FootnoteText"/>
        <w:spacing w:after="120"/>
        <w:rPr>
          <w:lang w:val="es-ES_tradnl"/>
        </w:rPr>
      </w:pPr>
      <w:r w:rsidRPr="002228F7">
        <w:rPr>
          <w:rStyle w:val="FootnoteReference"/>
        </w:rPr>
        <w:footnoteRef/>
      </w:r>
      <w:r w:rsidRPr="00C959C6">
        <w:rPr>
          <w:lang w:val="es-MX"/>
        </w:rPr>
        <w:t xml:space="preserve"> </w:t>
      </w:r>
      <w:r w:rsidRPr="002228F7">
        <w:rPr>
          <w:lang w:val="es-ES_tradnl"/>
        </w:rPr>
        <w:tab/>
      </w:r>
      <w:r w:rsidRPr="00C959C6">
        <w:rPr>
          <w:lang w:val="es-MX"/>
        </w:rPr>
        <w:t xml:space="preserve">Voto Concurrente relativo al </w:t>
      </w:r>
      <w:r w:rsidRPr="002228F7">
        <w:rPr>
          <w:bCs/>
          <w:i/>
          <w:color w:val="000000"/>
          <w:lang w:val="es-MX"/>
        </w:rPr>
        <w:t>Caso Yarce y otras Vs. Colombia</w:t>
      </w:r>
      <w:r>
        <w:rPr>
          <w:bCs/>
          <w:i/>
          <w:color w:val="000000"/>
          <w:lang w:val="es-MX"/>
        </w:rPr>
        <w:t>, supra</w:t>
      </w:r>
      <w:r w:rsidRPr="00BA6F15">
        <w:rPr>
          <w:bCs/>
          <w:color w:val="000000"/>
          <w:lang w:val="es-MX"/>
        </w:rPr>
        <w:t>,</w:t>
      </w:r>
      <w:r w:rsidRPr="002228F7">
        <w:rPr>
          <w:b/>
          <w:bCs/>
          <w:color w:val="000000"/>
          <w:lang w:val="es-MX"/>
        </w:rPr>
        <w:t xml:space="preserve"> </w:t>
      </w:r>
      <w:r w:rsidRPr="002228F7">
        <w:rPr>
          <w:bCs/>
          <w:color w:val="000000"/>
          <w:lang w:val="es-MX"/>
        </w:rPr>
        <w:t>párrs. 19 a 26.</w:t>
      </w:r>
      <w:r w:rsidRPr="00CF137F">
        <w:rPr>
          <w:bCs/>
          <w:color w:val="000000"/>
          <w:lang w:val="es-MX"/>
        </w:rPr>
        <w:t xml:space="preserve">  </w:t>
      </w:r>
    </w:p>
  </w:footnote>
  <w:footnote w:id="306">
    <w:p w14:paraId="511D6763" w14:textId="77777777" w:rsidR="00D86616" w:rsidRPr="00C959C6" w:rsidRDefault="00D86616" w:rsidP="00F83E8F">
      <w:pPr>
        <w:pStyle w:val="FootnoteText"/>
        <w:rPr>
          <w:lang w:val="es-MX"/>
        </w:rPr>
      </w:pPr>
      <w:r w:rsidRPr="002F649F">
        <w:rPr>
          <w:rStyle w:val="FootnoteReference"/>
        </w:rPr>
        <w:footnoteRef/>
      </w:r>
      <w:r w:rsidRPr="00C959C6">
        <w:rPr>
          <w:lang w:val="es-MX"/>
        </w:rPr>
        <w:t xml:space="preserve"> </w:t>
      </w:r>
      <w:r w:rsidRPr="00C959C6">
        <w:rPr>
          <w:lang w:val="es-MX"/>
        </w:rPr>
        <w:tab/>
        <w:t xml:space="preserve">Los artículos 31 y 32, relativos a la interpretación de los tratados, dicen: Artículo 31: “Regla general de interpretación. I. Un tratado deberá interpretarse de buena fe conforme al sentido corriente que haya de atribuirse a los términos del tratado en el contexto de estos y teniendo en cuenta su objeto y fin. 2. </w:t>
      </w:r>
      <w:r w:rsidRPr="00BA6F15">
        <w:rPr>
          <w:lang w:val="es-CR"/>
        </w:rPr>
        <w:t xml:space="preserve">Para los efectos de la interpretación de un tratado. </w:t>
      </w:r>
      <w:r w:rsidRPr="00C959C6">
        <w:rPr>
          <w:lang w:val="es-MX"/>
        </w:rPr>
        <w:t xml:space="preserve">El contexto comprenderá, además del texto, incluidos su preámbulo y anexos: a) todo acuerdo que se refiera al tratado y haya sido concertado entre todas las partes con motivo de la celebración del tratado: b) todo instrumento formulado por una o más partes con motivo de la celebración del tratado y aceptado por las demás como instrumento referente al tratado; 3. </w:t>
      </w:r>
      <w:r w:rsidRPr="00BA6F15">
        <w:rPr>
          <w:lang w:val="es-MX"/>
        </w:rPr>
        <w:t xml:space="preserve">Juntamente con el contexto, habrá de tenerse en cuenta: a) todo acuerdo ulterior entre las partes acerca de la interpretación del tratado o de la aplicación de sus disposiciones: b) toda práctica ulteriormente seguida en la aplicación del tratado por la cual conste el acuerdo de las partes acerca de la interpretación del tratado: c) toda forma pertinente de derecho internacional aplicable en las relaciones entre las partes. </w:t>
      </w:r>
      <w:r w:rsidRPr="00C959C6">
        <w:rPr>
          <w:lang w:val="es-MX"/>
        </w:rPr>
        <w:t>4. Se dará a un término un sentido especial si consta que tal fue la intención de las partes”. Artículo 32: “Medios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b) conduzca a un resultado manifiestamente absurdo o irrazonable”.</w:t>
      </w:r>
    </w:p>
    <w:p w14:paraId="70141D80" w14:textId="77777777" w:rsidR="00D86616" w:rsidRPr="00C959C6" w:rsidRDefault="00D86616" w:rsidP="00F83E8F">
      <w:pPr>
        <w:pStyle w:val="FootnoteText"/>
        <w:rPr>
          <w:lang w:val="es-MX"/>
        </w:rPr>
      </w:pPr>
    </w:p>
  </w:footnote>
  <w:footnote w:id="307">
    <w:p w14:paraId="4EBC9DDA" w14:textId="77777777" w:rsidR="00D86616" w:rsidRPr="00C959C6" w:rsidRDefault="00D86616" w:rsidP="00F83E8F">
      <w:pPr>
        <w:pStyle w:val="FootnoteText"/>
        <w:rPr>
          <w:lang w:val="es-MX"/>
        </w:rPr>
      </w:pPr>
      <w:r w:rsidRPr="002F649F">
        <w:rPr>
          <w:rStyle w:val="FootnoteReference"/>
        </w:rPr>
        <w:footnoteRef/>
      </w:r>
      <w:r w:rsidRPr="00C959C6">
        <w:rPr>
          <w:lang w:val="es-MX"/>
        </w:rPr>
        <w:t xml:space="preserve"> </w:t>
      </w:r>
      <w:r w:rsidRPr="00C959C6">
        <w:rPr>
          <w:lang w:val="es-MX"/>
        </w:rPr>
        <w:tab/>
        <w:t>Adoptada el 30 de abril de 1948. Entró en vigor el 13 de diciembre de 1951. Reformada por el Protocolo de Reformas a la Carta de la Organización de los Estados Americanos "Protocolo de Buenos Aires", suscrito el 27 de febrero de 1967, en la Tercera Conferencia Interamericana Extraordinaria; por el Protocolo de Reformas a la Carta de la Organización de los Estados Americanos "Protocolo de Cartagena de Indias", aprobado el 5 de diciembre de 1985, en el decimocuarto período extraordinario de sesiones de la Asamblea General; por el Protocolo de Reformas a la Carta de la Organización de los Estados Americanos "Protocolo de Washington", aprobado el 14 de diciembre de 1992, en el decimosexto período extraordinario de sesiones de la Asamblea General; y por el Protocolo de Reformas a la Carta de la Organización de los Estados Americanos "Protocolo de Managua", adoptado el 10 de junio de 1993, en el decimonoveno período extraordinario de sesiones de la Asamblea General.</w:t>
      </w:r>
    </w:p>
    <w:p w14:paraId="350092AE" w14:textId="77777777" w:rsidR="00D86616" w:rsidRPr="00C959C6" w:rsidRDefault="00D86616" w:rsidP="00F83E8F">
      <w:pPr>
        <w:pStyle w:val="FootnoteText"/>
        <w:rPr>
          <w:lang w:val="es-MX"/>
        </w:rPr>
      </w:pPr>
    </w:p>
  </w:footnote>
  <w:footnote w:id="308">
    <w:p w14:paraId="7207F8EC" w14:textId="77777777" w:rsidR="00D86616" w:rsidRPr="00C959C6" w:rsidRDefault="00D86616" w:rsidP="00F83E8F">
      <w:pPr>
        <w:pStyle w:val="FootnoteText"/>
        <w:rPr>
          <w:lang w:val="es-MX"/>
        </w:rPr>
      </w:pPr>
      <w:r w:rsidRPr="002F649F">
        <w:rPr>
          <w:rStyle w:val="FootnoteReference"/>
        </w:rPr>
        <w:footnoteRef/>
      </w:r>
      <w:r w:rsidRPr="00C959C6">
        <w:rPr>
          <w:lang w:val="es-MX"/>
        </w:rPr>
        <w:t xml:space="preserve"> </w:t>
      </w:r>
      <w:r w:rsidRPr="00C959C6">
        <w:rPr>
          <w:lang w:val="es-MX"/>
        </w:rPr>
        <w:tab/>
        <w:t xml:space="preserve">Teniendo en cuenta el artículo 31 de la Convención de Viena sobre el Derecho de los Tratados (transcripto </w:t>
      </w:r>
      <w:r w:rsidRPr="00C959C6">
        <w:rPr>
          <w:i/>
          <w:lang w:val="es-MX"/>
        </w:rPr>
        <w:t>supra</w:t>
      </w:r>
      <w:r w:rsidRPr="00C959C6">
        <w:rPr>
          <w:lang w:val="es-MX"/>
        </w:rPr>
        <w:t xml:space="preserve">, en la nota a pie de página 17 del presente voto), es válido acudir al sentido corriente de las palabras que, además, en este caso, son acordes al entendimiento que mejor propende al objeto y fin de la Convención, que es la protección de los derechos humanos. </w:t>
      </w:r>
    </w:p>
    <w:p w14:paraId="36E55C2A" w14:textId="77777777" w:rsidR="00D86616" w:rsidRPr="00C959C6" w:rsidRDefault="00D86616" w:rsidP="00F83E8F">
      <w:pPr>
        <w:pStyle w:val="FootnoteText"/>
        <w:rPr>
          <w:lang w:val="es-MX"/>
        </w:rPr>
      </w:pPr>
    </w:p>
  </w:footnote>
  <w:footnote w:id="309">
    <w:p w14:paraId="180D766D" w14:textId="77777777" w:rsidR="00D86616" w:rsidRPr="00C959C6" w:rsidRDefault="00D86616" w:rsidP="00F83E8F">
      <w:pPr>
        <w:pStyle w:val="FootnoteText"/>
        <w:rPr>
          <w:lang w:val="es-MX"/>
        </w:rPr>
      </w:pPr>
      <w:r w:rsidRPr="00A7488E">
        <w:rPr>
          <w:rStyle w:val="FootnoteReference"/>
        </w:rPr>
        <w:footnoteRef/>
      </w:r>
      <w:r w:rsidRPr="00C959C6">
        <w:rPr>
          <w:lang w:val="es-MX"/>
        </w:rPr>
        <w:t xml:space="preserve"> </w:t>
      </w:r>
      <w:r w:rsidRPr="00C959C6">
        <w:rPr>
          <w:lang w:val="es-MX"/>
        </w:rPr>
        <w:tab/>
        <w:t xml:space="preserve">Consultado en el sitio de internet </w:t>
      </w:r>
      <w:hyperlink r:id="rId7" w:history="1">
        <w:r w:rsidRPr="00C959C6">
          <w:rPr>
            <w:rStyle w:val="Hyperlink"/>
            <w:lang w:val="es-MX"/>
          </w:rPr>
          <w:t>http://dle.rae.es</w:t>
        </w:r>
      </w:hyperlink>
      <w:r w:rsidRPr="00C959C6">
        <w:rPr>
          <w:lang w:val="es-MX"/>
        </w:rPr>
        <w:t>.</w:t>
      </w:r>
    </w:p>
    <w:p w14:paraId="5784EBCB" w14:textId="77777777" w:rsidR="00D86616" w:rsidRPr="00C959C6" w:rsidRDefault="00D86616" w:rsidP="00F83E8F">
      <w:pPr>
        <w:pStyle w:val="FootnoteText"/>
        <w:rPr>
          <w:lang w:val="es-MX"/>
        </w:rPr>
      </w:pPr>
    </w:p>
  </w:footnote>
  <w:footnote w:id="310">
    <w:p w14:paraId="2156AD6E" w14:textId="77777777" w:rsidR="00D86616" w:rsidRPr="00C959C6" w:rsidRDefault="00D86616" w:rsidP="00F83E8F">
      <w:pPr>
        <w:pStyle w:val="FootnoteText"/>
        <w:rPr>
          <w:rFonts w:cs="Tahoma"/>
          <w:color w:val="000000"/>
          <w:lang w:val="es-MX"/>
        </w:rPr>
      </w:pPr>
      <w:r w:rsidRPr="002F649F">
        <w:rPr>
          <w:rStyle w:val="FootnoteReference"/>
        </w:rPr>
        <w:footnoteRef/>
      </w:r>
      <w:r w:rsidRPr="00C959C6">
        <w:rPr>
          <w:lang w:val="es-MX"/>
        </w:rPr>
        <w:t xml:space="preserve"> </w:t>
      </w:r>
      <w:r w:rsidRPr="00C959C6">
        <w:rPr>
          <w:lang w:val="es-MX"/>
        </w:rPr>
        <w:tab/>
        <w:t xml:space="preserve">La Carta de la Organización de Estados Americanos, en su artículo 45.b) </w:t>
      </w:r>
      <w:r w:rsidRPr="002F649F">
        <w:rPr>
          <w:lang w:val="es-CR"/>
        </w:rPr>
        <w:t>establece que “[e]</w:t>
      </w:r>
      <w:r w:rsidRPr="00C959C6">
        <w:rPr>
          <w:rFonts w:cs="Tahoma"/>
          <w:color w:val="000000"/>
          <w:lang w:val="es-MX"/>
        </w:rPr>
        <w:t xml:space="preserve">l trabajo es un derecho y un deber social […]”. </w:t>
      </w:r>
    </w:p>
    <w:p w14:paraId="154810E8" w14:textId="77777777" w:rsidR="00D86616" w:rsidRPr="00C959C6" w:rsidRDefault="00D86616" w:rsidP="00F83E8F">
      <w:pPr>
        <w:pStyle w:val="FootnoteText"/>
        <w:rPr>
          <w:rFonts w:cs="Tahoma"/>
          <w:color w:val="000000"/>
          <w:lang w:val="es-MX"/>
        </w:rPr>
      </w:pPr>
    </w:p>
  </w:footnote>
  <w:footnote w:id="311">
    <w:p w14:paraId="08BD53C0" w14:textId="77777777" w:rsidR="00D86616" w:rsidRPr="00C959C6" w:rsidRDefault="00D86616" w:rsidP="00F83E8F">
      <w:pPr>
        <w:pStyle w:val="FootnoteText"/>
        <w:rPr>
          <w:lang w:val="es-MX"/>
        </w:rPr>
      </w:pPr>
      <w:r w:rsidRPr="002F649F">
        <w:rPr>
          <w:rStyle w:val="FootnoteReference"/>
        </w:rPr>
        <w:footnoteRef/>
      </w:r>
      <w:r w:rsidRPr="00C959C6">
        <w:rPr>
          <w:lang w:val="es-MX"/>
        </w:rPr>
        <w:t xml:space="preserve"> </w:t>
      </w:r>
      <w:r w:rsidRPr="00C959C6">
        <w:rPr>
          <w:lang w:val="es-MX"/>
        </w:rPr>
        <w:tab/>
        <w:t xml:space="preserve">Adoptado el 17 de noviembre de 1988. Entró en vigor el 16 de noviembre de 1999. </w:t>
      </w:r>
    </w:p>
    <w:p w14:paraId="62429A74" w14:textId="77777777" w:rsidR="00D86616" w:rsidRPr="00C959C6" w:rsidRDefault="00D86616" w:rsidP="00F83E8F">
      <w:pPr>
        <w:pStyle w:val="FootnoteText"/>
        <w:rPr>
          <w:lang w:val="es-MX"/>
        </w:rPr>
      </w:pPr>
    </w:p>
  </w:footnote>
  <w:footnote w:id="312">
    <w:p w14:paraId="302C4CB4"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959C6">
        <w:rPr>
          <w:lang w:val="es-MX"/>
        </w:rPr>
        <w:tab/>
      </w:r>
      <w:r w:rsidRPr="00CF137F">
        <w:rPr>
          <w:lang w:val="es-CR"/>
        </w:rPr>
        <w:t xml:space="preserve"> </w:t>
      </w:r>
      <w:r w:rsidRPr="00BA6F15">
        <w:rPr>
          <w:i/>
          <w:lang w:val="es-CR"/>
        </w:rPr>
        <w:t>Cfr</w:t>
      </w:r>
      <w:r>
        <w:rPr>
          <w:lang w:val="es-CR"/>
        </w:rPr>
        <w:t xml:space="preserve">. </w:t>
      </w:r>
      <w:r w:rsidRPr="00CF137F">
        <w:rPr>
          <w:lang w:val="es-CR"/>
        </w:rPr>
        <w:t>“</w:t>
      </w:r>
      <w:r w:rsidRPr="00CF137F">
        <w:rPr>
          <w:i/>
          <w:lang w:val="es-CR"/>
        </w:rPr>
        <w:t>Interpretación de la Declaración Americana de los Derechos y Deberes del Hombre en el marco del artículo 64 de la Convención Americana sobre Derechos Humanos</w:t>
      </w:r>
      <w:r w:rsidRPr="00CF137F">
        <w:rPr>
          <w:lang w:val="es-CR"/>
        </w:rPr>
        <w:t>”,</w:t>
      </w:r>
      <w:r>
        <w:rPr>
          <w:lang w:val="es-CR"/>
        </w:rPr>
        <w:t xml:space="preserve"> </w:t>
      </w:r>
      <w:r w:rsidRPr="00BA6F15">
        <w:rPr>
          <w:i/>
          <w:lang w:val="es-CR"/>
        </w:rPr>
        <w:t>Opinión Consultiva OC-10/89</w:t>
      </w:r>
      <w:r w:rsidRPr="00CF137F">
        <w:rPr>
          <w:lang w:val="es-CR"/>
        </w:rPr>
        <w:t xml:space="preserve"> del 14 de julio de 1989, párrs. 43 y 45.</w:t>
      </w:r>
    </w:p>
  </w:footnote>
  <w:footnote w:id="313">
    <w:p w14:paraId="2E8752D5" w14:textId="77777777" w:rsidR="00D86616" w:rsidRDefault="00D86616" w:rsidP="00F83E8F">
      <w:pPr>
        <w:jc w:val="both"/>
        <w:rPr>
          <w:rFonts w:ascii="Verdana" w:eastAsia="Times New Roman" w:hAnsi="Verdana" w:cs="Tahoma"/>
          <w:color w:val="000000"/>
          <w:sz w:val="16"/>
          <w:szCs w:val="16"/>
          <w:lang w:val="es-MX"/>
        </w:rPr>
      </w:pPr>
      <w:r w:rsidRPr="00CF137F">
        <w:rPr>
          <w:rStyle w:val="FootnoteReference"/>
          <w:sz w:val="16"/>
          <w:szCs w:val="16"/>
        </w:rPr>
        <w:footnoteRef/>
      </w:r>
      <w:r w:rsidRPr="00BA6F15">
        <w:rPr>
          <w:sz w:val="16"/>
          <w:szCs w:val="16"/>
          <w:lang w:val="es-MX"/>
        </w:rPr>
        <w:t xml:space="preserve"> </w:t>
      </w:r>
      <w:r w:rsidRPr="00CF137F">
        <w:rPr>
          <w:sz w:val="16"/>
          <w:szCs w:val="16"/>
        </w:rPr>
        <w:tab/>
      </w:r>
      <w:r w:rsidRPr="00A54BFE">
        <w:rPr>
          <w:rFonts w:ascii="Verdana" w:hAnsi="Verdana"/>
          <w:i/>
          <w:sz w:val="16"/>
          <w:szCs w:val="16"/>
          <w:lang w:val="es-MX"/>
        </w:rPr>
        <w:t xml:space="preserve">Caso Lagos del Campo Vs. Perú, supra, </w:t>
      </w:r>
      <w:r w:rsidRPr="00A54BFE">
        <w:rPr>
          <w:rFonts w:ascii="Verdana" w:hAnsi="Verdana"/>
          <w:sz w:val="16"/>
          <w:szCs w:val="16"/>
          <w:lang w:val="es-MX"/>
        </w:rPr>
        <w:t xml:space="preserve">párr. </w:t>
      </w:r>
      <w:r w:rsidRPr="00A54BFE">
        <w:rPr>
          <w:rFonts w:ascii="Verdana" w:hAnsi="Verdana"/>
          <w:sz w:val="16"/>
          <w:szCs w:val="16"/>
        </w:rPr>
        <w:t>144.</w:t>
      </w:r>
      <w:r w:rsidRPr="00CF137F">
        <w:rPr>
          <w:sz w:val="16"/>
          <w:szCs w:val="16"/>
        </w:rPr>
        <w:t xml:space="preserve"> </w:t>
      </w:r>
      <w:r w:rsidRPr="00A54BFE">
        <w:rPr>
          <w:rFonts w:ascii="Verdana" w:hAnsi="Verdana"/>
          <w:sz w:val="16"/>
          <w:szCs w:val="16"/>
        </w:rPr>
        <w:t>Además</w:t>
      </w:r>
      <w:r>
        <w:rPr>
          <w:rFonts w:ascii="Verdana" w:hAnsi="Verdana"/>
          <w:sz w:val="16"/>
          <w:szCs w:val="16"/>
        </w:rPr>
        <w:t>,</w:t>
      </w:r>
      <w:r w:rsidRPr="00A54BFE">
        <w:rPr>
          <w:rFonts w:ascii="Verdana" w:hAnsi="Verdana"/>
          <w:sz w:val="16"/>
          <w:szCs w:val="16"/>
        </w:rPr>
        <w:t xml:space="preserve"> cabe destacar lo contemplado en el párrafo cuarto del Preámbulo de la propia Convención Americana que señala: “</w:t>
      </w:r>
      <w:r w:rsidRPr="00A54BFE">
        <w:rPr>
          <w:rFonts w:ascii="Verdana" w:eastAsia="Times New Roman" w:hAnsi="Verdana" w:cs="Tahoma"/>
          <w:color w:val="000000"/>
          <w:sz w:val="16"/>
          <w:szCs w:val="16"/>
          <w:lang w:val="es-MX"/>
        </w:rPr>
        <w:t>Considerando que estos principios [derechos]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r>
        <w:rPr>
          <w:rFonts w:ascii="Verdana" w:eastAsia="Times New Roman" w:hAnsi="Verdana" w:cs="Tahoma"/>
          <w:color w:val="000000"/>
          <w:sz w:val="16"/>
          <w:szCs w:val="16"/>
          <w:lang w:val="es-MX"/>
        </w:rPr>
        <w:t xml:space="preserve"> </w:t>
      </w:r>
    </w:p>
    <w:p w14:paraId="18818D1F" w14:textId="77777777" w:rsidR="00D86616" w:rsidRPr="00A54BFE" w:rsidRDefault="00D86616" w:rsidP="00F83E8F">
      <w:pPr>
        <w:jc w:val="both"/>
        <w:rPr>
          <w:rFonts w:ascii="Verdana" w:eastAsia="Times New Roman" w:hAnsi="Verdana" w:cs="Tahoma"/>
          <w:color w:val="000000"/>
          <w:sz w:val="16"/>
          <w:szCs w:val="16"/>
          <w:lang w:val="es-MX"/>
        </w:rPr>
      </w:pPr>
    </w:p>
  </w:footnote>
  <w:footnote w:id="314">
    <w:p w14:paraId="3D0FACA3"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959C6">
        <w:rPr>
          <w:lang w:val="es-MX"/>
        </w:rPr>
        <w:tab/>
      </w:r>
      <w:r w:rsidRPr="00C959C6">
        <w:rPr>
          <w:i/>
          <w:lang w:val="es-MX"/>
        </w:rPr>
        <w:t xml:space="preserve">Caso Lagos del Campo Vs. </w:t>
      </w:r>
      <w:r w:rsidRPr="00BA6F15">
        <w:rPr>
          <w:i/>
          <w:lang w:val="es-CR"/>
        </w:rPr>
        <w:t>Perú, supra</w:t>
      </w:r>
      <w:r w:rsidRPr="00C959C6">
        <w:rPr>
          <w:lang w:val="es-MX"/>
        </w:rPr>
        <w:t xml:space="preserve">, párr. </w:t>
      </w:r>
      <w:r w:rsidRPr="00CF137F">
        <w:rPr>
          <w:lang w:val="es-ES_tradnl"/>
        </w:rPr>
        <w:t xml:space="preserve">145. </w:t>
      </w:r>
    </w:p>
  </w:footnote>
  <w:footnote w:id="315">
    <w:p w14:paraId="1D5EC2E8" w14:textId="77777777" w:rsidR="00D86616" w:rsidRPr="00C959C6" w:rsidRDefault="00D86616" w:rsidP="00F83E8F">
      <w:pPr>
        <w:pStyle w:val="FootnoteText"/>
        <w:spacing w:after="120"/>
        <w:rPr>
          <w:lang w:val="es-MX"/>
        </w:rPr>
      </w:pPr>
      <w:r w:rsidRPr="00CF137F">
        <w:rPr>
          <w:rStyle w:val="FootnoteReference"/>
        </w:rPr>
        <w:footnoteRef/>
      </w:r>
      <w:r w:rsidRPr="00C959C6">
        <w:rPr>
          <w:lang w:val="es-MX"/>
        </w:rPr>
        <w:t xml:space="preserve"> </w:t>
      </w:r>
      <w:r w:rsidRPr="00C959C6">
        <w:rPr>
          <w:lang w:val="es-MX"/>
        </w:rPr>
        <w:tab/>
      </w:r>
      <w:r w:rsidRPr="00C959C6">
        <w:rPr>
          <w:i/>
          <w:lang w:val="es-MX"/>
        </w:rPr>
        <w:t xml:space="preserve">Caso Lagos del Campo Vs. </w:t>
      </w:r>
      <w:r w:rsidRPr="00BA6F15">
        <w:rPr>
          <w:i/>
          <w:lang w:val="es-CR"/>
        </w:rPr>
        <w:t>Perú, supra</w:t>
      </w:r>
      <w:r w:rsidRPr="00C959C6">
        <w:rPr>
          <w:lang w:val="es-MX"/>
        </w:rPr>
        <w:t xml:space="preserve">, párr. 138. </w:t>
      </w:r>
    </w:p>
  </w:footnote>
  <w:footnote w:id="316">
    <w:p w14:paraId="57680204" w14:textId="77777777" w:rsidR="00D86616" w:rsidRPr="00CF137F" w:rsidRDefault="00D86616" w:rsidP="00F83E8F">
      <w:pPr>
        <w:spacing w:after="120"/>
        <w:jc w:val="both"/>
        <w:rPr>
          <w:rFonts w:ascii="Verdana" w:hAnsi="Verdana"/>
          <w:sz w:val="16"/>
          <w:szCs w:val="16"/>
        </w:rPr>
      </w:pPr>
      <w:r w:rsidRPr="00CF137F">
        <w:rPr>
          <w:rStyle w:val="FootnoteReference"/>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eastAsia="Times New Roman" w:hAnsi="Verdana" w:cs="Tahoma"/>
          <w:bCs/>
          <w:color w:val="000000"/>
          <w:sz w:val="16"/>
          <w:szCs w:val="16"/>
          <w:lang w:val="es-MX"/>
        </w:rPr>
        <w:t>Artículo 29.  Normas de Interpretación</w:t>
      </w:r>
      <w:r w:rsidRPr="00CF137F">
        <w:rPr>
          <w:rFonts w:ascii="Verdana" w:hAnsi="Verdana"/>
          <w:sz w:val="16"/>
          <w:szCs w:val="16"/>
        </w:rPr>
        <w:t xml:space="preserve">. </w:t>
      </w:r>
      <w:r w:rsidRPr="00CF137F">
        <w:rPr>
          <w:rFonts w:ascii="Verdana" w:eastAsia="Times New Roman" w:hAnsi="Verdana" w:cs="Tahoma"/>
          <w:color w:val="000000"/>
          <w:sz w:val="16"/>
          <w:szCs w:val="16"/>
          <w:lang w:val="es-MX"/>
        </w:rPr>
        <w:t xml:space="preserve">Ninguna disposición de la presente Convención puede ser interpretada en el sentido de: “[…] </w:t>
      </w:r>
      <w:r w:rsidRPr="00CF137F">
        <w:rPr>
          <w:rFonts w:ascii="Verdana" w:hAnsi="Verdana" w:cs="Tahoma"/>
          <w:color w:val="000000"/>
          <w:sz w:val="16"/>
          <w:szCs w:val="16"/>
        </w:rPr>
        <w:t>b) limitar el goce y ejercicio de cualquier derecho o libertad que pueda estar reconocido de acuerdo con las leyes de cualquiera de los Estados Partes o de acuerdo con otra convención en que sea parte uno de dichos Estados;</w:t>
      </w:r>
      <w:r w:rsidRPr="00CF137F">
        <w:rPr>
          <w:rStyle w:val="apple-converted-space"/>
          <w:rFonts w:ascii="Verdana" w:hAnsi="Verdana" w:cs="Tahoma"/>
          <w:color w:val="000000"/>
          <w:sz w:val="16"/>
          <w:szCs w:val="16"/>
        </w:rPr>
        <w:t> </w:t>
      </w:r>
      <w:r w:rsidRPr="00CF137F">
        <w:rPr>
          <w:rFonts w:ascii="Verdana" w:hAnsi="Verdana" w:cs="Tahoma"/>
          <w:color w:val="000000"/>
          <w:sz w:val="16"/>
          <w:szCs w:val="16"/>
        </w:rPr>
        <w:t>c) excluir otros derechos y garantías que son inherentes al ser humano o que se derivan de la forma democrática representativa de gobierno, y</w:t>
      </w:r>
      <w:r w:rsidRPr="00CF137F">
        <w:rPr>
          <w:rStyle w:val="apple-converted-space"/>
          <w:rFonts w:ascii="Verdana" w:hAnsi="Verdana" w:cs="Tahoma"/>
          <w:color w:val="000000"/>
          <w:sz w:val="16"/>
          <w:szCs w:val="16"/>
        </w:rPr>
        <w:t> </w:t>
      </w:r>
      <w:r w:rsidRPr="00CF137F">
        <w:rPr>
          <w:rFonts w:ascii="Verdana" w:hAnsi="Verdana" w:cs="Tahoma"/>
          <w:color w:val="000000"/>
          <w:sz w:val="16"/>
          <w:szCs w:val="16"/>
        </w:rPr>
        <w:t> d) excluir o limitar el efecto que puedan producir la Declaración Americana de Derechos y Deberes del Hombre y otros actos internacionales de la misma naturaleza.</w:t>
      </w:r>
    </w:p>
  </w:footnote>
  <w:footnote w:id="317">
    <w:p w14:paraId="4C223516"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F137F">
        <w:rPr>
          <w:lang w:val="es-ES_tradnl"/>
        </w:rPr>
        <w:tab/>
      </w:r>
      <w:r w:rsidRPr="00C959C6">
        <w:rPr>
          <w:i/>
          <w:lang w:val="es-MX"/>
        </w:rPr>
        <w:t xml:space="preserve">Caso Lagos del Campo Vs. </w:t>
      </w:r>
      <w:r w:rsidRPr="00BA6F15">
        <w:rPr>
          <w:i/>
          <w:lang w:val="es-MX"/>
        </w:rPr>
        <w:t xml:space="preserve">Perú, supra, </w:t>
      </w:r>
      <w:r w:rsidRPr="00C959C6">
        <w:rPr>
          <w:lang w:val="es-MX"/>
        </w:rPr>
        <w:t xml:space="preserve">párr. </w:t>
      </w:r>
      <w:r w:rsidRPr="00CF137F">
        <w:rPr>
          <w:lang w:val="es-ES_tradnl"/>
        </w:rPr>
        <w:t xml:space="preserve">149. </w:t>
      </w:r>
    </w:p>
  </w:footnote>
  <w:footnote w:id="318">
    <w:p w14:paraId="575B5A78" w14:textId="77777777" w:rsidR="00D86616" w:rsidRDefault="00D86616" w:rsidP="00F83E8F">
      <w:pPr>
        <w:pStyle w:val="FootnoteText"/>
        <w:rPr>
          <w:lang w:val="es-MX"/>
        </w:rPr>
      </w:pPr>
      <w:r w:rsidRPr="00DD3372">
        <w:rPr>
          <w:rStyle w:val="FootnoteReference"/>
        </w:rPr>
        <w:footnoteRef/>
      </w:r>
      <w:r w:rsidRPr="00C959C6">
        <w:rPr>
          <w:lang w:val="es-MX"/>
        </w:rPr>
        <w:t xml:space="preserve"> </w:t>
      </w:r>
      <w:r w:rsidRPr="00DD3372">
        <w:rPr>
          <w:lang w:val="es-ES_tradnl"/>
        </w:rPr>
        <w:tab/>
      </w:r>
      <w:r w:rsidRPr="00C959C6">
        <w:rPr>
          <w:i/>
          <w:lang w:val="es-MX"/>
        </w:rPr>
        <w:t>Cfr.</w:t>
      </w:r>
      <w:r w:rsidRPr="00C959C6">
        <w:rPr>
          <w:lang w:val="es-MX"/>
        </w:rPr>
        <w:t xml:space="preserve"> </w:t>
      </w:r>
      <w:r w:rsidRPr="00C959C6">
        <w:rPr>
          <w:i/>
          <w:lang w:val="es-MX"/>
        </w:rPr>
        <w:t xml:space="preserve">Caso Lagos del Campo Vs. </w:t>
      </w:r>
      <w:r w:rsidRPr="00BA6F15">
        <w:rPr>
          <w:i/>
          <w:lang w:val="es-MX"/>
        </w:rPr>
        <w:t>Perú, supra</w:t>
      </w:r>
      <w:r w:rsidRPr="00C959C6">
        <w:rPr>
          <w:lang w:val="es-MX"/>
        </w:rPr>
        <w:t xml:space="preserve">, párrs. 151, 152 y 153. </w:t>
      </w:r>
    </w:p>
    <w:p w14:paraId="66AA8063" w14:textId="77777777" w:rsidR="00D86616" w:rsidRPr="00ED5B40" w:rsidRDefault="00D86616" w:rsidP="00F83E8F">
      <w:pPr>
        <w:pStyle w:val="FootnoteText"/>
        <w:rPr>
          <w:lang w:val="es-MX"/>
        </w:rPr>
      </w:pPr>
    </w:p>
  </w:footnote>
  <w:footnote w:id="319">
    <w:p w14:paraId="360C4B27" w14:textId="77777777" w:rsidR="00D86616" w:rsidRPr="00BA6F15" w:rsidRDefault="00D86616" w:rsidP="00F83E8F">
      <w:pPr>
        <w:pStyle w:val="FootnoteText"/>
        <w:rPr>
          <w:i/>
          <w:lang w:val="es-CR"/>
        </w:rPr>
      </w:pPr>
      <w:r w:rsidRPr="00DD3372">
        <w:rPr>
          <w:rStyle w:val="FootnoteReference"/>
        </w:rPr>
        <w:footnoteRef/>
      </w:r>
      <w:r w:rsidRPr="00C959C6">
        <w:rPr>
          <w:lang w:val="es-MX"/>
        </w:rPr>
        <w:t xml:space="preserve"> </w:t>
      </w:r>
      <w:r w:rsidRPr="00DD3372">
        <w:rPr>
          <w:lang w:val="es-ES_tradnl"/>
        </w:rPr>
        <w:tab/>
      </w:r>
      <w:r w:rsidRPr="00C959C6">
        <w:rPr>
          <w:i/>
          <w:lang w:val="es-MX"/>
        </w:rPr>
        <w:t>Cfr.</w:t>
      </w:r>
      <w:r w:rsidRPr="00C959C6">
        <w:rPr>
          <w:lang w:val="es-MX"/>
        </w:rPr>
        <w:t xml:space="preserve"> </w:t>
      </w:r>
      <w:r w:rsidRPr="00C959C6">
        <w:rPr>
          <w:i/>
          <w:lang w:val="es-MX"/>
        </w:rPr>
        <w:t xml:space="preserve">Caso Lagos del Campo Vs. </w:t>
      </w:r>
      <w:r w:rsidRPr="00BA6F15">
        <w:rPr>
          <w:i/>
          <w:lang w:val="es-CR"/>
        </w:rPr>
        <w:t xml:space="preserve">Perú, supra </w:t>
      </w:r>
      <w:r w:rsidRPr="00C959C6">
        <w:rPr>
          <w:lang w:val="es-MX"/>
        </w:rPr>
        <w:t xml:space="preserve">, párr. 154. </w:t>
      </w:r>
    </w:p>
    <w:p w14:paraId="10ABF44F" w14:textId="77777777" w:rsidR="00D86616" w:rsidRPr="008F14B6" w:rsidRDefault="00D86616" w:rsidP="00F83E8F">
      <w:pPr>
        <w:pStyle w:val="FootnoteText"/>
        <w:rPr>
          <w:lang w:val="es-ES_tradnl"/>
        </w:rPr>
      </w:pPr>
    </w:p>
  </w:footnote>
  <w:footnote w:id="320">
    <w:p w14:paraId="2FC825B6" w14:textId="77777777" w:rsidR="00D86616" w:rsidRPr="00CF137F" w:rsidRDefault="00D86616" w:rsidP="00F83E8F">
      <w:pPr>
        <w:jc w:val="both"/>
        <w:rPr>
          <w:rFonts w:ascii="Verdana" w:hAnsi="Verdana"/>
          <w:bCs/>
          <w:color w:val="000000"/>
          <w:sz w:val="16"/>
          <w:szCs w:val="16"/>
          <w:lang w:val="es-MX"/>
        </w:rPr>
      </w:pPr>
      <w:r w:rsidRPr="00873AAD">
        <w:rPr>
          <w:rStyle w:val="FootnoteReference"/>
          <w:szCs w:val="20"/>
        </w:rPr>
        <w:footnoteRef/>
      </w:r>
      <w:r w:rsidRPr="00873AAD">
        <w:rPr>
          <w:rFonts w:ascii="Verdana" w:hAnsi="Verdana"/>
          <w:sz w:val="20"/>
          <w:szCs w:val="20"/>
        </w:rPr>
        <w:t xml:space="preserve"> </w:t>
      </w:r>
      <w:r w:rsidRPr="00CF137F">
        <w:rPr>
          <w:rFonts w:ascii="Verdana" w:hAnsi="Verdana"/>
          <w:sz w:val="16"/>
          <w:szCs w:val="16"/>
        </w:rPr>
        <w:tab/>
      </w:r>
      <w:r w:rsidRPr="00CF137F">
        <w:rPr>
          <w:rFonts w:ascii="Verdana" w:eastAsia="Times New Roman" w:hAnsi="Verdana"/>
          <w:bCs/>
          <w:i/>
          <w:color w:val="000000"/>
          <w:sz w:val="16"/>
          <w:szCs w:val="16"/>
          <w:lang w:val="es-MX"/>
        </w:rPr>
        <w:t>Caso Baena Ricardo y otros Vs. Panamá. Fondo, Reparaciones y Costas</w:t>
      </w:r>
      <w:r w:rsidRPr="00CF137F">
        <w:rPr>
          <w:rFonts w:ascii="Verdana" w:eastAsia="Times New Roman" w:hAnsi="Verdana"/>
          <w:bCs/>
          <w:color w:val="000000"/>
          <w:sz w:val="16"/>
          <w:szCs w:val="16"/>
          <w:lang w:val="es-MX"/>
        </w:rPr>
        <w:t>. Sentencia de 2 de febrero de 2001. Serie C No. 72.</w:t>
      </w:r>
    </w:p>
    <w:p w14:paraId="2C5B74A3" w14:textId="77777777" w:rsidR="00D86616" w:rsidRPr="00CF137F" w:rsidRDefault="00D86616" w:rsidP="00F83E8F">
      <w:pPr>
        <w:jc w:val="both"/>
        <w:rPr>
          <w:rFonts w:ascii="Verdana" w:hAnsi="Verdana"/>
          <w:sz w:val="16"/>
          <w:szCs w:val="16"/>
          <w:lang w:val="es-MX"/>
        </w:rPr>
      </w:pPr>
    </w:p>
  </w:footnote>
  <w:footnote w:id="321">
    <w:p w14:paraId="4B96498F" w14:textId="77777777" w:rsidR="00D86616" w:rsidRPr="00CF137F" w:rsidRDefault="00D86616" w:rsidP="00F83E8F">
      <w:pPr>
        <w:jc w:val="both"/>
        <w:rPr>
          <w:rFonts w:ascii="Verdana" w:hAnsi="Verdana"/>
          <w:bCs/>
          <w:color w:val="000000"/>
          <w:sz w:val="16"/>
          <w:szCs w:val="16"/>
          <w:lang w:val="es-MX"/>
        </w:rPr>
      </w:pPr>
      <w:r w:rsidRPr="00873AAD">
        <w:rPr>
          <w:rStyle w:val="FootnoteReference"/>
          <w:szCs w:val="20"/>
        </w:rPr>
        <w:footnoteRef/>
      </w:r>
      <w:r w:rsidRPr="00873AAD">
        <w:rPr>
          <w:rFonts w:ascii="Verdana" w:hAnsi="Verdana"/>
          <w:sz w:val="20"/>
          <w:szCs w:val="20"/>
        </w:rPr>
        <w:t xml:space="preserve"> </w:t>
      </w:r>
      <w:r w:rsidRPr="00CF137F">
        <w:rPr>
          <w:rFonts w:ascii="Verdana" w:hAnsi="Verdana"/>
          <w:sz w:val="16"/>
          <w:szCs w:val="16"/>
        </w:rPr>
        <w:tab/>
      </w:r>
      <w:r w:rsidRPr="00CF137F">
        <w:rPr>
          <w:rFonts w:ascii="Verdana" w:eastAsia="Times New Roman" w:hAnsi="Verdana"/>
          <w:bCs/>
          <w:i/>
          <w:color w:val="000000"/>
          <w:sz w:val="16"/>
          <w:szCs w:val="16"/>
          <w:lang w:val="es-MX"/>
        </w:rPr>
        <w:t xml:space="preserve">Caso </w:t>
      </w:r>
      <w:proofErr w:type="spellStart"/>
      <w:r w:rsidRPr="00CF137F">
        <w:rPr>
          <w:rFonts w:ascii="Verdana" w:eastAsia="Times New Roman" w:hAnsi="Verdana"/>
          <w:bCs/>
          <w:i/>
          <w:color w:val="000000"/>
          <w:sz w:val="16"/>
          <w:szCs w:val="16"/>
          <w:lang w:val="es-MX"/>
        </w:rPr>
        <w:t>Huilca</w:t>
      </w:r>
      <w:proofErr w:type="spellEnd"/>
      <w:r w:rsidRPr="00CF137F">
        <w:rPr>
          <w:rFonts w:ascii="Verdana" w:eastAsia="Times New Roman" w:hAnsi="Verdana"/>
          <w:bCs/>
          <w:i/>
          <w:color w:val="000000"/>
          <w:sz w:val="16"/>
          <w:szCs w:val="16"/>
          <w:lang w:val="es-MX"/>
        </w:rPr>
        <w:t xml:space="preserve"> </w:t>
      </w:r>
      <w:proofErr w:type="spellStart"/>
      <w:r w:rsidRPr="00CF137F">
        <w:rPr>
          <w:rFonts w:ascii="Verdana" w:eastAsia="Times New Roman" w:hAnsi="Verdana"/>
          <w:bCs/>
          <w:i/>
          <w:color w:val="000000"/>
          <w:sz w:val="16"/>
          <w:szCs w:val="16"/>
          <w:lang w:val="es-MX"/>
        </w:rPr>
        <w:t>Tecse</w:t>
      </w:r>
      <w:proofErr w:type="spellEnd"/>
      <w:r w:rsidRPr="00CF137F">
        <w:rPr>
          <w:rFonts w:ascii="Verdana" w:eastAsia="Times New Roman" w:hAnsi="Verdana"/>
          <w:bCs/>
          <w:i/>
          <w:color w:val="000000"/>
          <w:sz w:val="16"/>
          <w:szCs w:val="16"/>
          <w:lang w:val="es-MX"/>
        </w:rPr>
        <w:t xml:space="preserve"> Vs. Perú. Fondo, Reparaciones y Costas</w:t>
      </w:r>
      <w:r w:rsidRPr="00CF137F">
        <w:rPr>
          <w:rFonts w:ascii="Verdana" w:eastAsia="Times New Roman" w:hAnsi="Verdana"/>
          <w:bCs/>
          <w:color w:val="000000"/>
          <w:sz w:val="16"/>
          <w:szCs w:val="16"/>
          <w:lang w:val="es-MX"/>
        </w:rPr>
        <w:t>. Sentencia de 3 de marzo de 2005. Serie C No. 121.</w:t>
      </w:r>
    </w:p>
    <w:p w14:paraId="5F90E391" w14:textId="77777777" w:rsidR="00D86616" w:rsidRPr="00CF137F" w:rsidRDefault="00D86616" w:rsidP="00F83E8F">
      <w:pPr>
        <w:jc w:val="both"/>
        <w:rPr>
          <w:rFonts w:ascii="Verdana" w:hAnsi="Verdana"/>
          <w:sz w:val="16"/>
          <w:szCs w:val="16"/>
          <w:lang w:val="es-MX"/>
        </w:rPr>
      </w:pPr>
    </w:p>
  </w:footnote>
  <w:footnote w:id="322">
    <w:p w14:paraId="54770BBD" w14:textId="77777777" w:rsidR="00D86616" w:rsidRPr="00CF137F" w:rsidRDefault="00D86616" w:rsidP="00F83E8F">
      <w:pPr>
        <w:jc w:val="both"/>
        <w:rPr>
          <w:rFonts w:ascii="Verdana" w:hAnsi="Verdana"/>
          <w:bCs/>
          <w:color w:val="000000"/>
          <w:sz w:val="16"/>
          <w:szCs w:val="16"/>
          <w:lang w:val="es-MX"/>
        </w:rPr>
      </w:pPr>
      <w:r w:rsidRPr="00873AAD">
        <w:rPr>
          <w:rStyle w:val="FootnoteReference"/>
          <w:szCs w:val="20"/>
        </w:rPr>
        <w:footnoteRef/>
      </w:r>
      <w:r w:rsidRPr="00873AAD">
        <w:rPr>
          <w:rFonts w:ascii="Verdana" w:hAnsi="Verdana"/>
          <w:sz w:val="20"/>
          <w:szCs w:val="20"/>
        </w:rPr>
        <w:t xml:space="preserve"> </w:t>
      </w:r>
      <w:r w:rsidRPr="00CF137F">
        <w:rPr>
          <w:rFonts w:ascii="Verdana" w:hAnsi="Verdana"/>
          <w:sz w:val="16"/>
          <w:szCs w:val="16"/>
        </w:rPr>
        <w:tab/>
      </w:r>
      <w:r w:rsidRPr="00CF137F">
        <w:rPr>
          <w:rFonts w:ascii="Verdana" w:eastAsia="Times New Roman" w:hAnsi="Verdana"/>
          <w:bCs/>
          <w:i/>
          <w:color w:val="000000"/>
          <w:sz w:val="16"/>
          <w:szCs w:val="16"/>
          <w:lang w:val="es-MX"/>
        </w:rPr>
        <w:t xml:space="preserve">Caso Cantoral </w:t>
      </w:r>
      <w:proofErr w:type="spellStart"/>
      <w:r w:rsidRPr="00CF137F">
        <w:rPr>
          <w:rFonts w:ascii="Verdana" w:eastAsia="Times New Roman" w:hAnsi="Verdana"/>
          <w:bCs/>
          <w:i/>
          <w:color w:val="000000"/>
          <w:sz w:val="16"/>
          <w:szCs w:val="16"/>
          <w:lang w:val="es-MX"/>
        </w:rPr>
        <w:t>Huamaní</w:t>
      </w:r>
      <w:proofErr w:type="spellEnd"/>
      <w:r w:rsidRPr="00CF137F">
        <w:rPr>
          <w:rFonts w:ascii="Verdana" w:eastAsia="Times New Roman" w:hAnsi="Verdana"/>
          <w:bCs/>
          <w:i/>
          <w:color w:val="000000"/>
          <w:sz w:val="16"/>
          <w:szCs w:val="16"/>
          <w:lang w:val="es-MX"/>
        </w:rPr>
        <w:t xml:space="preserve"> y García Santa Cruz Vs. Perú. Excepción Preliminar, Fondo, Reparaciones y Costas</w:t>
      </w:r>
      <w:r w:rsidRPr="00CF137F">
        <w:rPr>
          <w:rFonts w:ascii="Verdana" w:eastAsia="Times New Roman" w:hAnsi="Verdana"/>
          <w:bCs/>
          <w:color w:val="000000"/>
          <w:sz w:val="16"/>
          <w:szCs w:val="16"/>
          <w:lang w:val="es-MX"/>
        </w:rPr>
        <w:t>. Sentencia de 10 de julio de 2007. Serie C No. 167.</w:t>
      </w:r>
    </w:p>
    <w:p w14:paraId="760A383C" w14:textId="77777777" w:rsidR="00D86616" w:rsidRPr="00CF137F" w:rsidRDefault="00D86616" w:rsidP="00F83E8F">
      <w:pPr>
        <w:jc w:val="both"/>
        <w:rPr>
          <w:rFonts w:ascii="Verdana" w:hAnsi="Verdana"/>
          <w:sz w:val="16"/>
          <w:szCs w:val="16"/>
          <w:lang w:val="es-MX"/>
        </w:rPr>
      </w:pPr>
    </w:p>
  </w:footnote>
  <w:footnote w:id="323">
    <w:p w14:paraId="011C4931" w14:textId="77777777" w:rsidR="00D86616" w:rsidRPr="00CF137F" w:rsidRDefault="00D86616" w:rsidP="00F83E8F">
      <w:pPr>
        <w:pStyle w:val="FootnoteText"/>
        <w:spacing w:after="120"/>
        <w:rPr>
          <w:rFonts w:eastAsiaTheme="minorEastAsia"/>
          <w:bCs/>
          <w:lang w:val="es-ES_tradnl" w:eastAsia="ja-JP"/>
        </w:rPr>
      </w:pPr>
      <w:r w:rsidRPr="00CF137F">
        <w:rPr>
          <w:rStyle w:val="FootnoteReference"/>
          <w:lang w:val="es-ES_tradnl"/>
        </w:rPr>
        <w:footnoteRef/>
      </w:r>
      <w:r w:rsidRPr="00CF137F">
        <w:rPr>
          <w:vertAlign w:val="superscript"/>
          <w:lang w:val="es-ES_tradnl"/>
        </w:rPr>
        <w:t xml:space="preserve"> </w:t>
      </w:r>
      <w:r w:rsidRPr="00CF137F">
        <w:rPr>
          <w:lang w:val="es-ES_tradnl"/>
        </w:rPr>
        <w:tab/>
      </w:r>
      <w:r w:rsidRPr="00CF137F">
        <w:rPr>
          <w:rFonts w:eastAsiaTheme="minorEastAsia"/>
          <w:bCs/>
          <w:i/>
          <w:lang w:val="es-ES_tradnl" w:eastAsia="ja-JP"/>
        </w:rPr>
        <w:t>Caso Baena Ricardo y otros Vs. Panamá</w:t>
      </w:r>
      <w:r>
        <w:rPr>
          <w:rFonts w:eastAsiaTheme="minorEastAsia"/>
          <w:bCs/>
          <w:i/>
          <w:lang w:val="es-ES_tradnl" w:eastAsia="ja-JP"/>
        </w:rPr>
        <w:t xml:space="preserve">, supra, </w:t>
      </w:r>
      <w:r w:rsidRPr="00CF137F">
        <w:rPr>
          <w:rFonts w:eastAsiaTheme="minorEastAsia"/>
          <w:bCs/>
          <w:lang w:val="es-ES_tradnl" w:eastAsia="ja-JP"/>
        </w:rPr>
        <w:t xml:space="preserve">párr. 156. </w:t>
      </w:r>
    </w:p>
  </w:footnote>
  <w:footnote w:id="324">
    <w:p w14:paraId="353085CA" w14:textId="77777777" w:rsidR="00D86616" w:rsidRPr="00CF137F" w:rsidRDefault="00D86616" w:rsidP="00F83E8F">
      <w:pPr>
        <w:pStyle w:val="FootnoteText"/>
        <w:spacing w:after="120"/>
        <w:rPr>
          <w:rFonts w:eastAsiaTheme="minorEastAsia"/>
          <w:bCs/>
          <w:lang w:val="es-ES_tradnl" w:eastAsia="ja-JP"/>
        </w:rPr>
      </w:pPr>
      <w:r w:rsidRPr="00CF137F">
        <w:rPr>
          <w:rStyle w:val="FootnoteReference"/>
          <w:lang w:val="es-ES_tradnl"/>
        </w:rPr>
        <w:footnoteRef/>
      </w:r>
      <w:r w:rsidRPr="00CF137F">
        <w:rPr>
          <w:vertAlign w:val="superscript"/>
          <w:lang w:val="es-ES_tradnl"/>
        </w:rPr>
        <w:t xml:space="preserve"> </w:t>
      </w:r>
      <w:r w:rsidRPr="00CF137F">
        <w:rPr>
          <w:lang w:val="es-ES_tradnl"/>
        </w:rPr>
        <w:tab/>
      </w:r>
      <w:r w:rsidRPr="00CF137F">
        <w:rPr>
          <w:rFonts w:eastAsiaTheme="minorEastAsia"/>
          <w:bCs/>
          <w:i/>
          <w:lang w:val="es-ES_tradnl" w:eastAsia="ja-JP"/>
        </w:rPr>
        <w:t>Caso Baena Ricardo y otros Vs. Panamá</w:t>
      </w:r>
      <w:r>
        <w:rPr>
          <w:rFonts w:eastAsiaTheme="minorEastAsia"/>
          <w:bCs/>
          <w:i/>
          <w:lang w:val="es-ES_tradnl" w:eastAsia="ja-JP"/>
        </w:rPr>
        <w:t xml:space="preserve">, supra, </w:t>
      </w:r>
      <w:r w:rsidRPr="00CF137F">
        <w:rPr>
          <w:rFonts w:eastAsiaTheme="minorEastAsia"/>
          <w:bCs/>
          <w:lang w:val="es-ES_tradnl" w:eastAsia="ja-JP"/>
        </w:rPr>
        <w:t xml:space="preserve">párr. 157 y </w:t>
      </w:r>
      <w:r w:rsidRPr="00CF137F">
        <w:rPr>
          <w:rFonts w:eastAsiaTheme="minorEastAsia"/>
          <w:bCs/>
          <w:i/>
          <w:lang w:val="es-ES_tradnl" w:eastAsia="ja-JP"/>
        </w:rPr>
        <w:t>Caso Huilca Tecse Vs. Perú</w:t>
      </w:r>
      <w:r>
        <w:rPr>
          <w:rFonts w:eastAsiaTheme="minorEastAsia"/>
          <w:bCs/>
          <w:i/>
          <w:lang w:val="es-ES_tradnl" w:eastAsia="ja-JP"/>
        </w:rPr>
        <w:t>, supra</w:t>
      </w:r>
      <w:r w:rsidRPr="00CF137F">
        <w:rPr>
          <w:rFonts w:eastAsiaTheme="minorEastAsia"/>
          <w:bCs/>
          <w:lang w:val="es-ES_tradnl" w:eastAsia="ja-JP"/>
        </w:rPr>
        <w:t>, párr. 73.</w:t>
      </w:r>
    </w:p>
  </w:footnote>
  <w:footnote w:id="325">
    <w:p w14:paraId="21895793" w14:textId="77777777" w:rsidR="00D86616" w:rsidRPr="00CF137F" w:rsidRDefault="00D86616" w:rsidP="00F83E8F">
      <w:pPr>
        <w:pStyle w:val="FootnoteText"/>
        <w:spacing w:after="120"/>
        <w:rPr>
          <w:rFonts w:eastAsiaTheme="minorEastAsia"/>
          <w:bCs/>
          <w:lang w:val="es-ES_tradnl" w:eastAsia="ja-JP"/>
        </w:rPr>
      </w:pPr>
      <w:r w:rsidRPr="00CF137F">
        <w:rPr>
          <w:rStyle w:val="FootnoteReference"/>
          <w:lang w:val="es-ES_tradnl"/>
        </w:rPr>
        <w:footnoteRef/>
      </w:r>
      <w:r w:rsidRPr="00CF137F">
        <w:rPr>
          <w:vertAlign w:val="superscript"/>
          <w:lang w:val="es-ES_tradnl"/>
        </w:rPr>
        <w:t xml:space="preserve"> </w:t>
      </w:r>
      <w:r w:rsidRPr="00CF137F">
        <w:rPr>
          <w:lang w:val="es-ES_tradnl"/>
        </w:rPr>
        <w:tab/>
        <w:t xml:space="preserve">Además, la Corte en ese mismo caso, consideró que la Convención Americana es muy clara al señalar, en el articulo 16, que la libertad de asociación sólo puede estar sujeta a restricciones previstas por la ley, que sean necesarias en una sociedad democrática y, que se establezcan en interés de la seguridad nacional, del orden público, de la salud o de la moral públicas o de los derechos o libertades de los demás. </w:t>
      </w:r>
      <w:r w:rsidRPr="00CF137F">
        <w:rPr>
          <w:rFonts w:eastAsiaTheme="minorEastAsia"/>
          <w:bCs/>
          <w:i/>
          <w:lang w:val="es-ES_tradnl" w:eastAsia="ja-JP"/>
        </w:rPr>
        <w:t>Caso Baena Ricardo y otros Vs. Panamá</w:t>
      </w:r>
      <w:r>
        <w:rPr>
          <w:rFonts w:eastAsiaTheme="minorEastAsia"/>
          <w:bCs/>
          <w:i/>
          <w:lang w:val="es-ES_tradnl" w:eastAsia="ja-JP"/>
        </w:rPr>
        <w:t>, supra</w:t>
      </w:r>
      <w:r w:rsidRPr="00CF137F">
        <w:rPr>
          <w:rFonts w:eastAsiaTheme="minorEastAsia"/>
          <w:bCs/>
          <w:lang w:val="es-ES_tradnl" w:eastAsia="ja-JP"/>
        </w:rPr>
        <w:t xml:space="preserve">, párr. 168. </w:t>
      </w:r>
    </w:p>
  </w:footnote>
  <w:footnote w:id="326">
    <w:p w14:paraId="2CF1626E" w14:textId="77777777" w:rsidR="00D86616" w:rsidRPr="00CF137F" w:rsidRDefault="00D86616" w:rsidP="00F83E8F">
      <w:pPr>
        <w:pStyle w:val="FootnoteText"/>
        <w:spacing w:after="120"/>
        <w:rPr>
          <w:rFonts w:eastAsiaTheme="minorEastAsia"/>
          <w:bCs/>
          <w:lang w:val="es-ES_tradnl" w:eastAsia="ja-JP"/>
        </w:rPr>
      </w:pPr>
      <w:r w:rsidRPr="00CF137F">
        <w:rPr>
          <w:rStyle w:val="FootnoteReference"/>
          <w:lang w:val="es-ES_tradnl"/>
        </w:rPr>
        <w:footnoteRef/>
      </w:r>
      <w:r w:rsidRPr="00CF137F">
        <w:rPr>
          <w:vertAlign w:val="superscript"/>
          <w:lang w:val="es-ES_tradnl"/>
        </w:rPr>
        <w:t xml:space="preserve"> </w:t>
      </w:r>
      <w:r w:rsidRPr="00CF137F">
        <w:rPr>
          <w:lang w:val="es-ES_tradnl"/>
        </w:rPr>
        <w:tab/>
      </w:r>
      <w:r w:rsidRPr="00CF137F">
        <w:rPr>
          <w:rFonts w:eastAsiaTheme="minorEastAsia"/>
          <w:bCs/>
          <w:i/>
          <w:lang w:val="es-ES_tradnl" w:eastAsia="ja-JP"/>
        </w:rPr>
        <w:t>Caso Baena Ricardo y otros Vs. Panamá</w:t>
      </w:r>
      <w:r>
        <w:rPr>
          <w:rFonts w:eastAsiaTheme="minorEastAsia"/>
          <w:bCs/>
          <w:i/>
          <w:lang w:val="es-ES_tradnl" w:eastAsia="ja-JP"/>
        </w:rPr>
        <w:t xml:space="preserve">, supra, </w:t>
      </w:r>
      <w:r w:rsidRPr="00CF137F">
        <w:rPr>
          <w:rFonts w:eastAsiaTheme="minorEastAsia"/>
          <w:bCs/>
          <w:lang w:val="es-ES_tradnl" w:eastAsia="ja-JP"/>
        </w:rPr>
        <w:t>párr. 158.</w:t>
      </w:r>
    </w:p>
  </w:footnote>
  <w:footnote w:id="327">
    <w:p w14:paraId="4359E4C0" w14:textId="77777777" w:rsidR="00D86616" w:rsidRPr="00CF137F" w:rsidRDefault="00D86616" w:rsidP="00F83E8F">
      <w:pPr>
        <w:pStyle w:val="FootnoteText"/>
        <w:spacing w:after="120"/>
        <w:rPr>
          <w:rFonts w:eastAsiaTheme="minorEastAsia"/>
          <w:bCs/>
          <w:lang w:val="es-ES_tradnl" w:eastAsia="ja-JP"/>
        </w:rPr>
      </w:pPr>
      <w:r w:rsidRPr="00CF137F">
        <w:rPr>
          <w:rStyle w:val="FootnoteReference"/>
          <w:lang w:val="es-ES_tradnl"/>
        </w:rPr>
        <w:footnoteRef/>
      </w:r>
      <w:r w:rsidRPr="00CF137F">
        <w:rPr>
          <w:vertAlign w:val="superscript"/>
          <w:lang w:val="es-ES_tradnl"/>
        </w:rPr>
        <w:t xml:space="preserve"> </w:t>
      </w:r>
      <w:r w:rsidRPr="00CF137F">
        <w:rPr>
          <w:lang w:val="es-ES_tradnl"/>
        </w:rPr>
        <w:tab/>
      </w:r>
      <w:r w:rsidRPr="00CF137F">
        <w:rPr>
          <w:rFonts w:eastAsiaTheme="minorEastAsia"/>
          <w:bCs/>
          <w:i/>
          <w:lang w:val="es-ES_tradnl" w:eastAsia="ja-JP"/>
        </w:rPr>
        <w:t>Caso Huilca Tecse Vs. Perú</w:t>
      </w:r>
      <w:r>
        <w:rPr>
          <w:rFonts w:eastAsiaTheme="minorEastAsia"/>
          <w:bCs/>
          <w:i/>
          <w:lang w:val="es-ES_tradnl" w:eastAsia="ja-JP"/>
        </w:rPr>
        <w:t xml:space="preserve">, supra, </w:t>
      </w:r>
      <w:r w:rsidRPr="00CF137F">
        <w:rPr>
          <w:rFonts w:eastAsiaTheme="minorEastAsia"/>
          <w:bCs/>
          <w:lang w:val="es-ES_tradnl" w:eastAsia="ja-JP"/>
        </w:rPr>
        <w:t xml:space="preserve">párr. 67. </w:t>
      </w:r>
    </w:p>
  </w:footnote>
  <w:footnote w:id="328">
    <w:p w14:paraId="6AA96038" w14:textId="7957BBDD" w:rsidR="00D86616" w:rsidRPr="00CF137F" w:rsidRDefault="00D86616" w:rsidP="00F83E8F">
      <w:pPr>
        <w:pStyle w:val="NormalWeb"/>
        <w:spacing w:before="0" w:beforeAutospacing="0" w:after="120" w:afterAutospacing="0"/>
        <w:jc w:val="both"/>
        <w:rPr>
          <w:rFonts w:ascii="Verdana" w:hAnsi="Verdana"/>
          <w:sz w:val="16"/>
          <w:szCs w:val="16"/>
          <w:lang w:val="es-ES_tradnl"/>
        </w:rPr>
      </w:pPr>
      <w:r w:rsidRPr="00CB3D61">
        <w:rPr>
          <w:rStyle w:val="FootnoteReference"/>
          <w:rFonts w:eastAsia="Batang"/>
          <w:szCs w:val="16"/>
          <w:lang w:val="es-ES_tradnl" w:eastAsia="es-ES"/>
        </w:rPr>
        <w:footnoteRef/>
      </w:r>
      <w:r w:rsidRPr="00CB3D61">
        <w:rPr>
          <w:rStyle w:val="FootnoteReference"/>
          <w:rFonts w:eastAsia="Batang"/>
          <w:lang w:eastAsia="es-ES"/>
        </w:rPr>
        <w:t xml:space="preserve"> </w:t>
      </w:r>
      <w:r w:rsidR="00430DEE">
        <w:rPr>
          <w:rFonts w:ascii="Verdana" w:hAnsi="Verdana"/>
          <w:sz w:val="16"/>
          <w:szCs w:val="16"/>
          <w:vertAlign w:val="superscript"/>
          <w:lang w:val="es-ES_tradnl"/>
        </w:rPr>
        <w:t xml:space="preserve"> </w:t>
      </w:r>
      <w:r w:rsidR="00430DEE">
        <w:rPr>
          <w:rFonts w:ascii="Verdana" w:hAnsi="Verdana"/>
          <w:bCs/>
          <w:i/>
          <w:sz w:val="16"/>
          <w:szCs w:val="16"/>
          <w:lang w:val="es-ES_tradnl" w:eastAsia="ja-JP"/>
        </w:rPr>
        <w:t xml:space="preserve">      </w:t>
      </w:r>
      <w:r w:rsidRPr="00CF137F">
        <w:rPr>
          <w:rFonts w:ascii="Verdana" w:hAnsi="Verdana"/>
          <w:bCs/>
          <w:i/>
          <w:sz w:val="16"/>
          <w:szCs w:val="16"/>
          <w:lang w:val="es-ES_tradnl" w:eastAsia="ja-JP"/>
        </w:rPr>
        <w:t xml:space="preserve">Caso </w:t>
      </w:r>
      <w:proofErr w:type="spellStart"/>
      <w:r w:rsidRPr="00CF137F">
        <w:rPr>
          <w:rFonts w:ascii="Verdana" w:hAnsi="Verdana"/>
          <w:bCs/>
          <w:i/>
          <w:sz w:val="16"/>
          <w:szCs w:val="16"/>
          <w:lang w:val="es-ES_tradnl" w:eastAsia="ja-JP"/>
        </w:rPr>
        <w:t>Huilca</w:t>
      </w:r>
      <w:proofErr w:type="spellEnd"/>
      <w:r w:rsidRPr="00CF137F">
        <w:rPr>
          <w:rFonts w:ascii="Verdana" w:hAnsi="Verdana"/>
          <w:bCs/>
          <w:i/>
          <w:sz w:val="16"/>
          <w:szCs w:val="16"/>
          <w:lang w:val="es-ES_tradnl" w:eastAsia="ja-JP"/>
        </w:rPr>
        <w:t xml:space="preserve"> </w:t>
      </w:r>
      <w:proofErr w:type="spellStart"/>
      <w:r w:rsidRPr="00CF137F">
        <w:rPr>
          <w:rFonts w:ascii="Verdana" w:hAnsi="Verdana"/>
          <w:bCs/>
          <w:i/>
          <w:sz w:val="16"/>
          <w:szCs w:val="16"/>
          <w:lang w:val="es-ES_tradnl" w:eastAsia="ja-JP"/>
        </w:rPr>
        <w:t>Tecse</w:t>
      </w:r>
      <w:proofErr w:type="spellEnd"/>
      <w:r w:rsidRPr="00CF137F">
        <w:rPr>
          <w:rFonts w:ascii="Verdana" w:hAnsi="Verdana"/>
          <w:bCs/>
          <w:i/>
          <w:sz w:val="16"/>
          <w:szCs w:val="16"/>
          <w:lang w:val="es-ES_tradnl" w:eastAsia="ja-JP"/>
        </w:rPr>
        <w:t xml:space="preserve"> Vs. Perú</w:t>
      </w:r>
      <w:r>
        <w:rPr>
          <w:rFonts w:ascii="Verdana" w:hAnsi="Verdana"/>
          <w:bCs/>
          <w:i/>
          <w:sz w:val="16"/>
          <w:szCs w:val="16"/>
          <w:lang w:val="es-ES_tradnl" w:eastAsia="ja-JP"/>
        </w:rPr>
        <w:t>,</w:t>
      </w:r>
      <w:r w:rsidRPr="00CF137F">
        <w:rPr>
          <w:rFonts w:ascii="Verdana" w:hAnsi="Verdana"/>
          <w:bCs/>
          <w:i/>
          <w:sz w:val="16"/>
          <w:szCs w:val="16"/>
          <w:lang w:val="es-ES_tradnl" w:eastAsia="ja-JP"/>
        </w:rPr>
        <w:t xml:space="preserve"> </w:t>
      </w:r>
      <w:r>
        <w:rPr>
          <w:rFonts w:ascii="Verdana" w:hAnsi="Verdana"/>
          <w:bCs/>
          <w:i/>
          <w:sz w:val="16"/>
          <w:szCs w:val="16"/>
          <w:lang w:val="es-ES_tradnl" w:eastAsia="ja-JP"/>
        </w:rPr>
        <w:t xml:space="preserve">supra, </w:t>
      </w:r>
      <w:r w:rsidRPr="00CF137F">
        <w:rPr>
          <w:rFonts w:ascii="Verdana" w:hAnsi="Verdana"/>
          <w:bCs/>
          <w:sz w:val="16"/>
          <w:szCs w:val="16"/>
          <w:lang w:val="es-ES_tradnl" w:eastAsia="ja-JP"/>
        </w:rPr>
        <w:t xml:space="preserve">párr. 69. </w:t>
      </w:r>
    </w:p>
  </w:footnote>
  <w:footnote w:id="329">
    <w:p w14:paraId="7EDD2AFE" w14:textId="77777777" w:rsidR="00D86616" w:rsidRPr="00CF137F" w:rsidRDefault="00D86616" w:rsidP="00F83E8F">
      <w:pPr>
        <w:pStyle w:val="FootnoteText"/>
        <w:spacing w:after="120"/>
        <w:rPr>
          <w:rFonts w:eastAsiaTheme="minorEastAsia"/>
          <w:bCs/>
          <w:lang w:val="es-ES_tradnl" w:eastAsia="ja-JP"/>
        </w:rPr>
      </w:pPr>
      <w:r w:rsidRPr="00CF137F">
        <w:rPr>
          <w:rStyle w:val="FootnoteReference"/>
          <w:lang w:val="es-ES_tradnl"/>
        </w:rPr>
        <w:footnoteRef/>
      </w:r>
      <w:r w:rsidRPr="00CF137F">
        <w:rPr>
          <w:vertAlign w:val="superscript"/>
          <w:lang w:val="es-ES_tradnl"/>
        </w:rPr>
        <w:t xml:space="preserve"> </w:t>
      </w:r>
      <w:r w:rsidRPr="00CF137F">
        <w:rPr>
          <w:lang w:val="es-ES_tradnl"/>
        </w:rPr>
        <w:tab/>
      </w:r>
      <w:r w:rsidRPr="00CF137F">
        <w:rPr>
          <w:rFonts w:eastAsiaTheme="minorEastAsia"/>
          <w:bCs/>
          <w:i/>
          <w:lang w:val="es-ES_tradnl" w:eastAsia="ja-JP"/>
        </w:rPr>
        <w:t>Caso Huilca Tecse Vs. Perú</w:t>
      </w:r>
      <w:r>
        <w:rPr>
          <w:rFonts w:eastAsiaTheme="minorEastAsia"/>
          <w:bCs/>
          <w:i/>
          <w:lang w:val="es-ES_tradnl" w:eastAsia="ja-JP"/>
        </w:rPr>
        <w:t xml:space="preserve">, supra, </w:t>
      </w:r>
      <w:r w:rsidRPr="00CF137F">
        <w:rPr>
          <w:rFonts w:eastAsiaTheme="minorEastAsia"/>
          <w:bCs/>
          <w:lang w:val="es-ES_tradnl" w:eastAsia="ja-JP"/>
        </w:rPr>
        <w:t>párr</w:t>
      </w:r>
      <w:r>
        <w:rPr>
          <w:rFonts w:eastAsiaTheme="minorEastAsia"/>
          <w:bCs/>
          <w:lang w:val="es-ES_tradnl" w:eastAsia="ja-JP"/>
        </w:rPr>
        <w:t>s</w:t>
      </w:r>
      <w:r w:rsidRPr="00CF137F">
        <w:rPr>
          <w:rFonts w:eastAsiaTheme="minorEastAsia"/>
          <w:bCs/>
          <w:lang w:val="es-ES_tradnl" w:eastAsia="ja-JP"/>
        </w:rPr>
        <w:t xml:space="preserve">. </w:t>
      </w:r>
      <w:r>
        <w:rPr>
          <w:rFonts w:eastAsiaTheme="minorEastAsia"/>
          <w:bCs/>
          <w:lang w:val="es-ES_tradnl" w:eastAsia="ja-JP"/>
        </w:rPr>
        <w:t>70, 71 y 72.</w:t>
      </w:r>
    </w:p>
  </w:footnote>
  <w:footnote w:id="330">
    <w:p w14:paraId="05C74CA3" w14:textId="77777777" w:rsidR="00D86616" w:rsidRPr="00CF137F" w:rsidRDefault="00D86616" w:rsidP="00F83E8F">
      <w:pPr>
        <w:pStyle w:val="FootnoteText"/>
        <w:spacing w:after="120"/>
        <w:rPr>
          <w:rFonts w:eastAsiaTheme="minorEastAsia"/>
          <w:bCs/>
          <w:lang w:val="es-ES_tradnl" w:eastAsia="ja-JP"/>
        </w:rPr>
      </w:pPr>
      <w:r w:rsidRPr="00CF137F">
        <w:rPr>
          <w:rStyle w:val="FootnoteReference"/>
          <w:lang w:val="es-ES_tradnl"/>
        </w:rPr>
        <w:footnoteRef/>
      </w:r>
      <w:r w:rsidRPr="00CF137F">
        <w:rPr>
          <w:vertAlign w:val="superscript"/>
          <w:lang w:val="es-ES_tradnl"/>
        </w:rPr>
        <w:t xml:space="preserve"> </w:t>
      </w:r>
      <w:r w:rsidRPr="00CF137F">
        <w:rPr>
          <w:lang w:val="es-ES_tradnl"/>
        </w:rPr>
        <w:tab/>
      </w:r>
      <w:r w:rsidRPr="00CF137F">
        <w:rPr>
          <w:rFonts w:eastAsiaTheme="minorEastAsia"/>
          <w:bCs/>
          <w:i/>
          <w:lang w:val="es-ES_tradnl" w:eastAsia="ja-JP"/>
        </w:rPr>
        <w:t>Caso Huilca Tecse Vs. Perú</w:t>
      </w:r>
      <w:r>
        <w:rPr>
          <w:rFonts w:eastAsiaTheme="minorEastAsia"/>
          <w:bCs/>
          <w:i/>
          <w:lang w:val="es-ES_tradnl" w:eastAsia="ja-JP"/>
        </w:rPr>
        <w:t>, supra, párr.74.</w:t>
      </w:r>
      <w:r w:rsidRPr="00CF137F">
        <w:rPr>
          <w:rFonts w:eastAsiaTheme="minorEastAsia"/>
          <w:bCs/>
          <w:lang w:val="es-ES_tradnl" w:eastAsia="ja-JP"/>
        </w:rPr>
        <w:t xml:space="preserve"> </w:t>
      </w:r>
    </w:p>
  </w:footnote>
  <w:footnote w:id="331">
    <w:p w14:paraId="49D3AE27" w14:textId="77777777" w:rsidR="00D86616" w:rsidRPr="00CF137F" w:rsidRDefault="00D86616" w:rsidP="00F83E8F">
      <w:pPr>
        <w:pStyle w:val="FootnoteText"/>
        <w:spacing w:after="120"/>
        <w:rPr>
          <w:rFonts w:eastAsiaTheme="minorEastAsia"/>
          <w:bCs/>
          <w:lang w:val="es-ES_tradnl" w:eastAsia="ja-JP"/>
        </w:rPr>
      </w:pPr>
      <w:r w:rsidRPr="00CF137F">
        <w:rPr>
          <w:rStyle w:val="FootnoteReference"/>
          <w:lang w:val="es-ES_tradnl"/>
        </w:rPr>
        <w:footnoteRef/>
      </w:r>
      <w:r w:rsidRPr="00CF137F">
        <w:rPr>
          <w:vertAlign w:val="superscript"/>
          <w:lang w:val="es-ES_tradnl"/>
        </w:rPr>
        <w:t xml:space="preserve"> </w:t>
      </w:r>
      <w:r w:rsidRPr="00CF137F">
        <w:rPr>
          <w:lang w:val="es-ES_tradnl"/>
        </w:rPr>
        <w:tab/>
      </w:r>
      <w:r w:rsidRPr="00CF137F">
        <w:rPr>
          <w:rFonts w:eastAsiaTheme="minorEastAsia"/>
          <w:bCs/>
          <w:i/>
          <w:lang w:val="es-ES_tradnl" w:eastAsia="ja-JP"/>
        </w:rPr>
        <w:t>Caso Cantoral Huamaní y García Santa Cruz Vs. Perú</w:t>
      </w:r>
      <w:r>
        <w:rPr>
          <w:rFonts w:eastAsiaTheme="minorEastAsia"/>
          <w:bCs/>
          <w:i/>
          <w:lang w:val="es-ES_tradnl" w:eastAsia="ja-JP"/>
        </w:rPr>
        <w:t xml:space="preserve">, supra, </w:t>
      </w:r>
      <w:r w:rsidRPr="00CF137F">
        <w:rPr>
          <w:rFonts w:eastAsiaTheme="minorEastAsia"/>
          <w:bCs/>
          <w:lang w:val="es-ES_tradnl" w:eastAsia="ja-JP"/>
        </w:rPr>
        <w:t xml:space="preserve">párr. 148. </w:t>
      </w:r>
    </w:p>
  </w:footnote>
  <w:footnote w:id="332">
    <w:p w14:paraId="58CCFD10" w14:textId="77777777" w:rsidR="00D86616" w:rsidRPr="00CF137F" w:rsidRDefault="00D86616" w:rsidP="00F83E8F">
      <w:pPr>
        <w:pStyle w:val="FootnoteText"/>
        <w:spacing w:after="120"/>
        <w:rPr>
          <w:lang w:val="es-ES_tradnl"/>
        </w:rPr>
      </w:pPr>
      <w:r w:rsidRPr="00CF137F">
        <w:rPr>
          <w:rStyle w:val="FootnoteReference"/>
          <w:lang w:val="es-ES_tradnl"/>
        </w:rPr>
        <w:footnoteRef/>
      </w:r>
      <w:r w:rsidRPr="00CF137F">
        <w:rPr>
          <w:vertAlign w:val="superscript"/>
          <w:lang w:val="es-ES_tradnl"/>
        </w:rPr>
        <w:t xml:space="preserve"> </w:t>
      </w:r>
      <w:r w:rsidRPr="00CF137F">
        <w:rPr>
          <w:lang w:val="es-ES_tradnl"/>
        </w:rPr>
        <w:tab/>
      </w:r>
      <w:r w:rsidRPr="00CF137F">
        <w:rPr>
          <w:rFonts w:eastAsiaTheme="minorEastAsia"/>
          <w:bCs/>
          <w:i/>
          <w:lang w:val="es-ES_tradnl" w:eastAsia="ja-JP"/>
        </w:rPr>
        <w:t>Caso Cantoral Huamaní y García Santa Cruz Vs. Perú</w:t>
      </w:r>
      <w:r>
        <w:rPr>
          <w:rFonts w:eastAsiaTheme="minorEastAsia"/>
          <w:bCs/>
          <w:i/>
          <w:lang w:val="es-ES_tradnl" w:eastAsia="ja-JP"/>
        </w:rPr>
        <w:t xml:space="preserve">, supra, </w:t>
      </w:r>
      <w:r w:rsidRPr="00CF137F">
        <w:rPr>
          <w:rFonts w:eastAsiaTheme="minorEastAsia"/>
          <w:bCs/>
          <w:lang w:val="es-ES_tradnl" w:eastAsia="ja-JP"/>
        </w:rPr>
        <w:t xml:space="preserve">párr. 144. </w:t>
      </w:r>
    </w:p>
  </w:footnote>
  <w:footnote w:id="333">
    <w:p w14:paraId="4B15220F" w14:textId="77777777" w:rsidR="00D86616" w:rsidRPr="00CF137F" w:rsidRDefault="00D86616" w:rsidP="00F83E8F">
      <w:pPr>
        <w:pStyle w:val="FootnoteText"/>
        <w:spacing w:after="120"/>
        <w:rPr>
          <w:lang w:val="es-ES_tradnl"/>
        </w:rPr>
      </w:pPr>
      <w:r w:rsidRPr="00CF137F">
        <w:rPr>
          <w:rStyle w:val="FootnoteReference"/>
        </w:rPr>
        <w:footnoteRef/>
      </w:r>
      <w:r w:rsidRPr="00C959C6">
        <w:rPr>
          <w:vertAlign w:val="superscript"/>
          <w:lang w:val="es-MX"/>
        </w:rPr>
        <w:t xml:space="preserve"> </w:t>
      </w:r>
      <w:r w:rsidRPr="00C959C6">
        <w:rPr>
          <w:lang w:val="es-MX"/>
        </w:rPr>
        <w:tab/>
      </w:r>
      <w:r w:rsidRPr="00CF137F">
        <w:rPr>
          <w:rFonts w:cs="Verdana"/>
          <w:bCs/>
          <w:i/>
          <w:lang w:val="es-ES"/>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CF137F">
        <w:rPr>
          <w:rFonts w:cs="Verdana"/>
          <w:bCs/>
          <w:lang w:val="es-ES"/>
        </w:rPr>
        <w:t xml:space="preserve">. Opinión Consultiva OC-22/16 de 26 de febrero de 2016. Serie A No. 22, párr. </w:t>
      </w:r>
      <w:r w:rsidRPr="00CF137F">
        <w:rPr>
          <w:lang w:val="es-ES_tradnl"/>
        </w:rPr>
        <w:t xml:space="preserve">92. </w:t>
      </w:r>
    </w:p>
  </w:footnote>
  <w:footnote w:id="334">
    <w:p w14:paraId="04C86BB9" w14:textId="77777777" w:rsidR="00D86616" w:rsidRDefault="00D86616" w:rsidP="00F83E8F">
      <w:pPr>
        <w:pStyle w:val="FootnoteText"/>
        <w:rPr>
          <w:lang w:val="es-MX"/>
        </w:rPr>
      </w:pPr>
      <w:r w:rsidRPr="004D230F">
        <w:rPr>
          <w:rStyle w:val="FootnoteReference"/>
        </w:rPr>
        <w:footnoteRef/>
      </w:r>
      <w:r w:rsidRPr="00BA6F15">
        <w:rPr>
          <w:lang w:val="es-CR"/>
        </w:rPr>
        <w:t xml:space="preserve"> </w:t>
      </w:r>
      <w:r w:rsidRPr="00BA6F15">
        <w:rPr>
          <w:lang w:val="es-CR"/>
        </w:rPr>
        <w:tab/>
      </w:r>
      <w:r w:rsidRPr="00BA6F15">
        <w:rPr>
          <w:i/>
          <w:lang w:val="es-CR"/>
        </w:rPr>
        <w:t>Cfr.</w:t>
      </w:r>
      <w:r w:rsidRPr="00BA6F15">
        <w:rPr>
          <w:lang w:val="es-CR"/>
        </w:rPr>
        <w:t xml:space="preserve"> </w:t>
      </w:r>
      <w:r w:rsidRPr="00BA6F15">
        <w:rPr>
          <w:i/>
          <w:lang w:val="es-CR"/>
        </w:rPr>
        <w:t>Caso Lagos del Campo Vs. Perú, supra</w:t>
      </w:r>
      <w:r w:rsidRPr="00C959C6">
        <w:rPr>
          <w:lang w:val="es-MX"/>
        </w:rPr>
        <w:t>, párr. 162.</w:t>
      </w:r>
    </w:p>
    <w:p w14:paraId="17D95C9F" w14:textId="77777777" w:rsidR="00D86616" w:rsidRPr="008F14B6" w:rsidRDefault="00D86616" w:rsidP="00F83E8F">
      <w:pPr>
        <w:pStyle w:val="FootnoteText"/>
        <w:rPr>
          <w:lang w:val="es-ES_tradnl"/>
        </w:rPr>
      </w:pPr>
    </w:p>
  </w:footnote>
  <w:footnote w:id="335">
    <w:p w14:paraId="08C2ED06" w14:textId="77777777" w:rsidR="00D86616" w:rsidRPr="00360566" w:rsidRDefault="00D86616" w:rsidP="00F83E8F">
      <w:pPr>
        <w:pStyle w:val="FootnoteText"/>
        <w:spacing w:after="120"/>
        <w:rPr>
          <w:lang w:val="es-ES_tradnl"/>
        </w:rPr>
      </w:pPr>
      <w:r w:rsidRPr="00360566">
        <w:rPr>
          <w:rStyle w:val="FootnoteReference"/>
        </w:rPr>
        <w:footnoteRef/>
      </w:r>
      <w:r w:rsidRPr="00360566">
        <w:rPr>
          <w:lang w:val="es-MX"/>
        </w:rPr>
        <w:t xml:space="preserve"> </w:t>
      </w:r>
      <w:r w:rsidRPr="00360566">
        <w:rPr>
          <w:lang w:val="es-MX"/>
        </w:rPr>
        <w:tab/>
      </w:r>
      <w:r w:rsidRPr="00360566">
        <w:rPr>
          <w:rFonts w:cs="Verdana"/>
          <w:color w:val="191919"/>
          <w:lang w:val="es-ES"/>
        </w:rPr>
        <w:t>E</w:t>
      </w:r>
      <w:r>
        <w:rPr>
          <w:rFonts w:cs="Verdana"/>
          <w:color w:val="191919"/>
          <w:lang w:val="es-ES"/>
        </w:rPr>
        <w:t xml:space="preserve">n este sentido, </w:t>
      </w:r>
      <w:r w:rsidRPr="00360566">
        <w:rPr>
          <w:rFonts w:cs="Verdana"/>
          <w:color w:val="191919"/>
          <w:lang w:val="es-ES"/>
        </w:rPr>
        <w:t>cabe destacar que la propia Sentencia reconoce, de manera sinérgica, la relación existente entre la Declaración Americana de los Derechos y Deberes del Hombre, la Carta de la OEA, la Carta Democrática Interamericana y el Convenio sobre los representantes de los trabajadores de 1971, que también protegen el derecho de los trabajadores a asociarse para la defensa de sus intereses</w:t>
      </w:r>
      <w:r>
        <w:rPr>
          <w:rFonts w:cs="Verdana"/>
          <w:color w:val="191919"/>
          <w:lang w:val="es-ES"/>
        </w:rPr>
        <w:t xml:space="preserve">. </w:t>
      </w:r>
      <w:r w:rsidRPr="00360566">
        <w:rPr>
          <w:i/>
          <w:lang w:val="es-ES_tradnl"/>
        </w:rPr>
        <w:t>Cfr</w:t>
      </w:r>
      <w:r w:rsidRPr="00360566">
        <w:rPr>
          <w:i/>
          <w:lang w:val="es-MX"/>
        </w:rPr>
        <w:t xml:space="preserve"> Caso Lagos del Campo Vs. </w:t>
      </w:r>
      <w:r w:rsidRPr="00360566">
        <w:rPr>
          <w:i/>
          <w:lang w:val="es-CR"/>
        </w:rPr>
        <w:t>Perú, supra</w:t>
      </w:r>
      <w:r w:rsidRPr="00360566">
        <w:rPr>
          <w:lang w:val="es-MX"/>
        </w:rPr>
        <w:t xml:space="preserve">, párr. </w:t>
      </w:r>
      <w:r>
        <w:rPr>
          <w:lang w:val="es-ES_tradnl"/>
        </w:rPr>
        <w:t>158 y nota al pie 230</w:t>
      </w:r>
      <w:r w:rsidRPr="00360566">
        <w:rPr>
          <w:lang w:val="es-ES_tradnl"/>
        </w:rPr>
        <w:t xml:space="preserve">. </w:t>
      </w:r>
    </w:p>
  </w:footnote>
  <w:footnote w:id="336">
    <w:p w14:paraId="390BA791"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959C6">
        <w:rPr>
          <w:lang w:val="es-MX"/>
        </w:rPr>
        <w:tab/>
      </w:r>
      <w:r w:rsidRPr="00CF137F">
        <w:rPr>
          <w:i/>
          <w:lang w:val="es-ES_tradnl"/>
        </w:rPr>
        <w:t>Cfr</w:t>
      </w:r>
      <w:r w:rsidRPr="00C959C6">
        <w:rPr>
          <w:i/>
          <w:lang w:val="es-MX"/>
        </w:rPr>
        <w:t xml:space="preserve"> Caso Lagos del Campo Vs. </w:t>
      </w:r>
      <w:r w:rsidRPr="00BA6F15">
        <w:rPr>
          <w:i/>
          <w:lang w:val="es-CR"/>
        </w:rPr>
        <w:t>Perú, supra</w:t>
      </w:r>
      <w:r w:rsidRPr="00C959C6">
        <w:rPr>
          <w:lang w:val="es-MX"/>
        </w:rPr>
        <w:t xml:space="preserve">, párr. </w:t>
      </w:r>
      <w:r w:rsidRPr="00CF137F">
        <w:rPr>
          <w:lang w:val="es-ES_tradnl"/>
        </w:rPr>
        <w:t xml:space="preserve">157. </w:t>
      </w:r>
    </w:p>
  </w:footnote>
  <w:footnote w:id="337">
    <w:p w14:paraId="0F283BD9" w14:textId="77777777" w:rsidR="00D86616" w:rsidRPr="00C959C6" w:rsidRDefault="00D86616" w:rsidP="00F83E8F">
      <w:pPr>
        <w:pStyle w:val="FootnoteText"/>
        <w:spacing w:after="120"/>
        <w:rPr>
          <w:lang w:val="es-MX"/>
        </w:rPr>
      </w:pPr>
      <w:r w:rsidRPr="00CF137F">
        <w:rPr>
          <w:rStyle w:val="FootnoteReference"/>
        </w:rPr>
        <w:footnoteRef/>
      </w:r>
      <w:r w:rsidRPr="00C959C6">
        <w:rPr>
          <w:vertAlign w:val="superscript"/>
          <w:lang w:val="es-MX"/>
        </w:rPr>
        <w:t xml:space="preserve"> </w:t>
      </w:r>
      <w:r w:rsidRPr="00C959C6">
        <w:rPr>
          <w:lang w:val="es-MX"/>
        </w:rPr>
        <w:tab/>
      </w:r>
      <w:r w:rsidRPr="00CF137F">
        <w:rPr>
          <w:i/>
          <w:lang w:val="es-ES_tradnl"/>
        </w:rPr>
        <w:t>Cfr</w:t>
      </w:r>
      <w:r w:rsidRPr="00CF137F">
        <w:rPr>
          <w:lang w:val="es-ES_tradnl"/>
        </w:rPr>
        <w:t xml:space="preserve">. </w:t>
      </w:r>
      <w:r w:rsidRPr="00C959C6">
        <w:rPr>
          <w:i/>
          <w:lang w:val="es-MX"/>
        </w:rPr>
        <w:t xml:space="preserve">Caso Lagos del Campo Vs. </w:t>
      </w:r>
      <w:r w:rsidRPr="00BA6F15">
        <w:rPr>
          <w:i/>
          <w:lang w:val="es-CR"/>
        </w:rPr>
        <w:t>Perú, supra</w:t>
      </w:r>
      <w:r w:rsidRPr="00C959C6">
        <w:rPr>
          <w:lang w:val="es-MX"/>
        </w:rPr>
        <w:t xml:space="preserve">, párr. </w:t>
      </w:r>
      <w:r w:rsidRPr="00CF137F">
        <w:rPr>
          <w:lang w:val="es-ES_tradnl"/>
        </w:rPr>
        <w:t xml:space="preserve">157; </w:t>
      </w:r>
      <w:r w:rsidRPr="00444309">
        <w:rPr>
          <w:rStyle w:val="Strong"/>
          <w:b w:val="0"/>
          <w:i/>
          <w:color w:val="000000"/>
          <w:shd w:val="clear" w:color="auto" w:fill="FFFFFF"/>
          <w:lang w:val="es-CR"/>
        </w:rPr>
        <w:t xml:space="preserve">Caso Baena Ricardo y otros Vs. Panamá, supra, </w:t>
      </w:r>
      <w:r w:rsidRPr="00444309">
        <w:rPr>
          <w:rStyle w:val="Strong"/>
          <w:b w:val="0"/>
          <w:color w:val="000000"/>
          <w:shd w:val="clear" w:color="auto" w:fill="FFFFFF"/>
          <w:lang w:val="es-CR"/>
        </w:rPr>
        <w:t>párrs 156 y 158</w:t>
      </w:r>
      <w:r w:rsidRPr="00444309">
        <w:rPr>
          <w:b/>
          <w:lang w:val="es-EC"/>
        </w:rPr>
        <w:t>;</w:t>
      </w:r>
      <w:r w:rsidRPr="00CF137F">
        <w:rPr>
          <w:lang w:val="es-EC"/>
        </w:rPr>
        <w:t xml:space="preserve"> </w:t>
      </w:r>
      <w:r w:rsidRPr="00CF137F">
        <w:rPr>
          <w:i/>
          <w:lang w:val="es-EC"/>
        </w:rPr>
        <w:t>Caso Huilca Tecse vs. Perú</w:t>
      </w:r>
      <w:r>
        <w:rPr>
          <w:i/>
          <w:lang w:val="es-EC"/>
        </w:rPr>
        <w:t xml:space="preserve">, supra, </w:t>
      </w:r>
      <w:r w:rsidRPr="00CF137F">
        <w:rPr>
          <w:lang w:val="es-EC"/>
        </w:rPr>
        <w:t xml:space="preserve">párrs. 67, 69, 70, 73, 75, 77, y </w:t>
      </w:r>
      <w:r w:rsidRPr="00CF137F">
        <w:rPr>
          <w:i/>
          <w:lang w:val="es-EC"/>
        </w:rPr>
        <w:t>Caso Cantoral Huamaní y García Santa Cruz vs. Perú</w:t>
      </w:r>
      <w:r>
        <w:rPr>
          <w:i/>
          <w:lang w:val="es-EC"/>
        </w:rPr>
        <w:t xml:space="preserve">, supra, </w:t>
      </w:r>
      <w:r w:rsidRPr="00CF137F">
        <w:rPr>
          <w:lang w:val="es-EC"/>
        </w:rPr>
        <w:t xml:space="preserve">párrs. 144, 145, 146 y </w:t>
      </w:r>
      <w:r w:rsidRPr="00C959C6">
        <w:rPr>
          <w:i/>
          <w:lang w:val="es-MX"/>
        </w:rPr>
        <w:t>Cfr.</w:t>
      </w:r>
      <w:r w:rsidRPr="00C959C6">
        <w:rPr>
          <w:lang w:val="es-MX"/>
        </w:rPr>
        <w:t xml:space="preserve"> OIT. Convenio Número 87 Relativo a la Libertad Sindical y a la Protección del Derecho de Sindicación, de 17 de junio de 1948 y Convenio Número 98 Relativo a la Aplicación de los Principios del Derecho de Sindicación y de Negociación Colectiva, de 8 de junio de 1949.</w:t>
      </w:r>
    </w:p>
  </w:footnote>
  <w:footnote w:id="338">
    <w:p w14:paraId="158CA2F7" w14:textId="77777777" w:rsidR="00D86616" w:rsidRPr="00CF137F" w:rsidRDefault="00D86616" w:rsidP="00F83E8F">
      <w:pPr>
        <w:pStyle w:val="NormalWeb"/>
        <w:spacing w:before="0" w:beforeAutospacing="0" w:after="120" w:afterAutospacing="0"/>
        <w:jc w:val="both"/>
        <w:rPr>
          <w:rFonts w:ascii="Verdana" w:hAnsi="Verdana"/>
          <w:sz w:val="16"/>
          <w:szCs w:val="16"/>
        </w:rPr>
      </w:pPr>
      <w:r w:rsidRPr="00444309">
        <w:rPr>
          <w:rStyle w:val="FootnoteReference"/>
          <w:rFonts w:eastAsia="Batang"/>
          <w:szCs w:val="16"/>
          <w:lang w:val="en-US" w:eastAsia="es-ES"/>
        </w:rPr>
        <w:footnoteRef/>
      </w:r>
      <w:r w:rsidRPr="00CB3D61">
        <w:rPr>
          <w:rStyle w:val="FootnoteReference"/>
          <w:rFonts w:eastAsia="Batang"/>
          <w:lang w:eastAsia="es-ES"/>
        </w:rPr>
        <w:t xml:space="preserve"> </w:t>
      </w:r>
      <w:r w:rsidRPr="00CF137F">
        <w:rPr>
          <w:rFonts w:ascii="Verdana" w:hAnsi="Verdana"/>
          <w:sz w:val="16"/>
          <w:szCs w:val="16"/>
        </w:rPr>
        <w:tab/>
        <w:t xml:space="preserve">En consecuencia, la Corte considera que la interpretación más favorable </w:t>
      </w:r>
      <w:r w:rsidRPr="00CF137F">
        <w:rPr>
          <w:rFonts w:ascii="Verdana" w:hAnsi="Verdana"/>
          <w:sz w:val="16"/>
          <w:szCs w:val="16"/>
          <w:u w:val="single"/>
        </w:rPr>
        <w:t>del artículo 8.1.a conlleva entender que all</w:t>
      </w:r>
      <w:r>
        <w:rPr>
          <w:rFonts w:ascii="Verdana" w:hAnsi="Verdana"/>
          <w:sz w:val="16"/>
          <w:szCs w:val="16"/>
          <w:u w:val="single"/>
        </w:rPr>
        <w:t>í</w:t>
      </w:r>
      <w:r w:rsidRPr="00CF137F">
        <w:rPr>
          <w:rFonts w:ascii="Verdana" w:hAnsi="Verdana"/>
          <w:sz w:val="16"/>
          <w:szCs w:val="16"/>
          <w:u w:val="single"/>
        </w:rPr>
        <w:t xml:space="preserve"> </w:t>
      </w:r>
      <w:r w:rsidRPr="00CF137F">
        <w:rPr>
          <w:rFonts w:ascii="Verdana" w:hAnsi="Verdana"/>
          <w:b/>
          <w:sz w:val="16"/>
          <w:szCs w:val="16"/>
          <w:u w:val="single"/>
        </w:rPr>
        <w:t>se consagran derechos</w:t>
      </w:r>
      <w:r w:rsidRPr="00CF137F">
        <w:rPr>
          <w:rFonts w:ascii="Verdana" w:hAnsi="Verdana"/>
          <w:sz w:val="16"/>
          <w:szCs w:val="16"/>
          <w:u w:val="single"/>
        </w:rPr>
        <w:t xml:space="preserve"> a favor de los sindicatos, las federaciones y las confederaciones,</w:t>
      </w:r>
      <w:r w:rsidRPr="00CF137F">
        <w:rPr>
          <w:rFonts w:ascii="Verdana" w:hAnsi="Verdana"/>
          <w:sz w:val="16"/>
          <w:szCs w:val="16"/>
        </w:rPr>
        <w:t xml:space="preserve"> dado que son interlocutores de sus asociados y buscan salvaguardar y velar por sus derechos e intereses. Llegar a una conclusión diferente implicaría excluir el efecto de la Carta de la OEA y, por ende, desfavorecer el goce efectivo de los derechos en ella reconocidos. </w:t>
      </w:r>
      <w:r w:rsidRPr="00CF137F">
        <w:rPr>
          <w:rFonts w:ascii="Verdana" w:hAnsi="Verdana" w:cs="Verdana"/>
          <w:bCs/>
          <w:i/>
          <w:sz w:val="16"/>
          <w:szCs w:val="16"/>
          <w:lang w:val="es-ES"/>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CF137F">
        <w:rPr>
          <w:rFonts w:ascii="Verdana" w:hAnsi="Verdana" w:cs="Verdana"/>
          <w:bCs/>
          <w:sz w:val="16"/>
          <w:szCs w:val="16"/>
          <w:lang w:val="es-ES"/>
        </w:rPr>
        <w:t>.</w:t>
      </w:r>
      <w:r>
        <w:rPr>
          <w:rFonts w:ascii="Verdana" w:hAnsi="Verdana" w:cs="Verdana"/>
          <w:bCs/>
          <w:sz w:val="16"/>
          <w:szCs w:val="16"/>
          <w:lang w:val="es-ES"/>
        </w:rPr>
        <w:t xml:space="preserve"> </w:t>
      </w:r>
      <w:r w:rsidRPr="00BA6F15">
        <w:rPr>
          <w:rFonts w:ascii="Verdana" w:hAnsi="Verdana" w:cs="Verdana"/>
          <w:bCs/>
          <w:i/>
          <w:sz w:val="16"/>
          <w:szCs w:val="16"/>
          <w:lang w:val="es-ES"/>
        </w:rPr>
        <w:t>OC-22/16,</w:t>
      </w:r>
      <w:r>
        <w:rPr>
          <w:rFonts w:ascii="Verdana" w:hAnsi="Verdana" w:cs="Verdana"/>
          <w:bCs/>
          <w:i/>
          <w:sz w:val="16"/>
          <w:szCs w:val="16"/>
          <w:lang w:val="es-ES"/>
        </w:rPr>
        <w:t xml:space="preserve"> </w:t>
      </w:r>
      <w:r w:rsidRPr="00BA6F15">
        <w:rPr>
          <w:rFonts w:ascii="Verdana" w:hAnsi="Verdana" w:cs="Verdana"/>
          <w:bCs/>
          <w:i/>
          <w:sz w:val="16"/>
          <w:szCs w:val="16"/>
          <w:lang w:val="es-ES"/>
        </w:rPr>
        <w:t>supra</w:t>
      </w:r>
      <w:r>
        <w:rPr>
          <w:rFonts w:ascii="Verdana" w:hAnsi="Verdana" w:cs="Verdana"/>
          <w:bCs/>
          <w:sz w:val="16"/>
          <w:szCs w:val="16"/>
          <w:lang w:val="es-ES"/>
        </w:rPr>
        <w:t xml:space="preserve">, </w:t>
      </w:r>
      <w:r w:rsidRPr="00CF137F">
        <w:rPr>
          <w:rFonts w:ascii="Verdana" w:hAnsi="Verdana" w:cs="Verdana"/>
          <w:bCs/>
          <w:sz w:val="16"/>
          <w:szCs w:val="16"/>
          <w:lang w:val="es-ES"/>
        </w:rPr>
        <w:t xml:space="preserve">párr. </w:t>
      </w:r>
      <w:r w:rsidRPr="00CF137F">
        <w:rPr>
          <w:rFonts w:ascii="Verdana" w:hAnsi="Verdana"/>
          <w:sz w:val="16"/>
          <w:szCs w:val="16"/>
        </w:rPr>
        <w:t>97.</w:t>
      </w:r>
    </w:p>
  </w:footnote>
  <w:footnote w:id="339">
    <w:p w14:paraId="4F549ADF" w14:textId="77777777" w:rsidR="00D86616" w:rsidRPr="00CF137F" w:rsidRDefault="00D86616" w:rsidP="00F83E8F">
      <w:pPr>
        <w:pStyle w:val="FootnoteText"/>
        <w:spacing w:after="120"/>
        <w:rPr>
          <w:rFonts w:cs="Verdana"/>
          <w:bCs/>
          <w:lang w:val="es-ES"/>
        </w:rPr>
      </w:pPr>
      <w:r w:rsidRPr="00CF137F">
        <w:rPr>
          <w:rStyle w:val="FootnoteReference"/>
        </w:rPr>
        <w:footnoteRef/>
      </w:r>
      <w:r w:rsidRPr="00C959C6">
        <w:rPr>
          <w:lang w:val="es-MX"/>
        </w:rPr>
        <w:t xml:space="preserve"> </w:t>
      </w:r>
      <w:r w:rsidRPr="00CF137F">
        <w:rPr>
          <w:lang w:val="es-ES_tradnl"/>
        </w:rPr>
        <w:tab/>
      </w:r>
      <w:r w:rsidRPr="00CF137F">
        <w:rPr>
          <w:rFonts w:cs="Verdana"/>
          <w:bCs/>
          <w:i/>
          <w:lang w:val="es-ES"/>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CF137F">
        <w:rPr>
          <w:rFonts w:cs="Verdana"/>
          <w:bCs/>
          <w:lang w:val="es-ES"/>
        </w:rPr>
        <w:t xml:space="preserve">. </w:t>
      </w:r>
      <w:r w:rsidRPr="00BA6F15">
        <w:rPr>
          <w:rFonts w:cs="Verdana"/>
          <w:bCs/>
          <w:i/>
          <w:lang w:val="es-ES"/>
        </w:rPr>
        <w:t>OC-22/16, supra,</w:t>
      </w:r>
      <w:r>
        <w:rPr>
          <w:rFonts w:cs="Verdana"/>
          <w:bCs/>
          <w:lang w:val="es-ES"/>
        </w:rPr>
        <w:t xml:space="preserve"> </w:t>
      </w:r>
      <w:r w:rsidRPr="00CF137F">
        <w:rPr>
          <w:rFonts w:cs="Verdana"/>
          <w:bCs/>
          <w:lang w:val="es-ES"/>
        </w:rPr>
        <w:t xml:space="preserve">párr. 101 y 102. </w:t>
      </w:r>
    </w:p>
  </w:footnote>
  <w:footnote w:id="340">
    <w:p w14:paraId="7BC63F3D" w14:textId="77777777" w:rsidR="00D86616" w:rsidRPr="00CF137F" w:rsidRDefault="00D86616" w:rsidP="00F83E8F">
      <w:pPr>
        <w:pStyle w:val="FootnoteText"/>
        <w:spacing w:after="120"/>
        <w:rPr>
          <w:rFonts w:cs="Verdana"/>
          <w:b/>
          <w:bCs/>
          <w:lang w:val="es-ES"/>
        </w:rPr>
      </w:pPr>
      <w:r w:rsidRPr="00CF137F">
        <w:rPr>
          <w:rStyle w:val="FootnoteReference"/>
        </w:rPr>
        <w:footnoteRef/>
      </w:r>
      <w:r w:rsidRPr="00C959C6">
        <w:rPr>
          <w:lang w:val="es-MX"/>
        </w:rPr>
        <w:t xml:space="preserve"> </w:t>
      </w:r>
      <w:r w:rsidRPr="00CF137F">
        <w:rPr>
          <w:lang w:val="es-ES_tradnl"/>
        </w:rPr>
        <w:tab/>
      </w:r>
      <w:r w:rsidRPr="00CF137F">
        <w:rPr>
          <w:i/>
          <w:lang w:val="es-ES_tradnl"/>
        </w:rPr>
        <w:t xml:space="preserve">Cfr. </w:t>
      </w:r>
      <w:r w:rsidRPr="00CF137F">
        <w:rPr>
          <w:rFonts w:cs="Verdana"/>
          <w:bCs/>
          <w:i/>
          <w:lang w:val="es-ES"/>
        </w:rPr>
        <w:t>El derecho a la información sobre la asistencia consular en el marco de las garantías del debido proceso legal.</w:t>
      </w:r>
      <w:r w:rsidRPr="00CF137F">
        <w:rPr>
          <w:rFonts w:cs="Verdana"/>
          <w:bCs/>
          <w:lang w:val="es-ES"/>
        </w:rPr>
        <w:t xml:space="preserve"> Opinión Consultiva OC-16/99 de 1 de octubre de 1999. Serie A No. 16, párr. 114.</w:t>
      </w:r>
      <w:r w:rsidRPr="00CF137F">
        <w:rPr>
          <w:rFonts w:cs="Verdana"/>
          <w:b/>
          <w:bCs/>
          <w:lang w:val="es-ES"/>
        </w:rPr>
        <w:t xml:space="preserve"> </w:t>
      </w:r>
    </w:p>
  </w:footnote>
  <w:footnote w:id="341">
    <w:p w14:paraId="7F750C61" w14:textId="77777777" w:rsidR="00D86616" w:rsidRPr="00CF137F" w:rsidRDefault="00D86616" w:rsidP="00F83E8F">
      <w:pPr>
        <w:pStyle w:val="FootnoteText"/>
        <w:spacing w:after="120"/>
        <w:rPr>
          <w:rFonts w:cs="Verdana"/>
          <w:bCs/>
          <w:lang w:val="es-ES"/>
        </w:rPr>
      </w:pPr>
      <w:r w:rsidRPr="00CF137F">
        <w:rPr>
          <w:rStyle w:val="FootnoteReference"/>
        </w:rPr>
        <w:footnoteRef/>
      </w:r>
      <w:r w:rsidRPr="00C959C6">
        <w:rPr>
          <w:lang w:val="es-MX"/>
        </w:rPr>
        <w:t xml:space="preserve"> </w:t>
      </w:r>
      <w:r w:rsidRPr="00C959C6">
        <w:rPr>
          <w:lang w:val="es-MX"/>
        </w:rPr>
        <w:tab/>
        <w:t xml:space="preserve">Por ejemplo, esto puede verse especialmente reflejado en la jurisprudencia en materia indígena respecto del artículo 21 de la Convención Americana, </w:t>
      </w:r>
      <w:r w:rsidRPr="00C959C6">
        <w:rPr>
          <w:i/>
          <w:lang w:val="es-MX"/>
        </w:rPr>
        <w:t xml:space="preserve">Cfr. </w:t>
      </w:r>
      <w:r w:rsidRPr="00CF137F">
        <w:rPr>
          <w:rFonts w:cs="Verdana"/>
          <w:bCs/>
          <w:i/>
          <w:lang w:val="es-ES"/>
        </w:rPr>
        <w:t>Caso de la Comunidad Mayagna (Sumo) Awas Tingni Vs. Nicaragua. Fondo, Reparaciones y Costas.</w:t>
      </w:r>
      <w:r w:rsidRPr="00CF137F">
        <w:rPr>
          <w:rFonts w:cs="Verdana"/>
          <w:bCs/>
          <w:lang w:val="es-ES"/>
        </w:rPr>
        <w:t xml:space="preserve"> Sentencia de 31 de agosto de 2001. Serie C No. 79 y </w:t>
      </w:r>
      <w:r w:rsidRPr="00CF137F">
        <w:rPr>
          <w:rFonts w:cs="Verdana"/>
          <w:bCs/>
          <w:i/>
          <w:lang w:val="es-ES"/>
        </w:rPr>
        <w:t>Caso Pueblos Kaliña y Lokono Vs. Surinam. Fondo, Reparaciones y Costas.</w:t>
      </w:r>
      <w:r w:rsidRPr="00CF137F">
        <w:rPr>
          <w:rFonts w:cs="Verdana"/>
          <w:bCs/>
          <w:lang w:val="es-ES"/>
        </w:rPr>
        <w:t xml:space="preserve"> Sentencia de 25 de noviembre de 2015. Serie C No. 309.</w:t>
      </w:r>
    </w:p>
  </w:footnote>
  <w:footnote w:id="342">
    <w:p w14:paraId="4868E3CB"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F137F">
        <w:rPr>
          <w:lang w:val="es-ES_tradnl"/>
        </w:rPr>
        <w:tab/>
        <w:t xml:space="preserve">Véase particularmente la construcción que hace la Corte IDH en el caso Gonzales </w:t>
      </w:r>
      <w:proofErr w:type="spellStart"/>
      <w:r w:rsidRPr="00CF137F">
        <w:rPr>
          <w:lang w:val="es-ES_tradnl"/>
        </w:rPr>
        <w:t>LLuy</w:t>
      </w:r>
      <w:proofErr w:type="spellEnd"/>
      <w:r w:rsidRPr="00CF137F">
        <w:rPr>
          <w:lang w:val="es-ES_tradnl"/>
        </w:rPr>
        <w:t xml:space="preserve"> respecto del Derecho a la Educación. </w:t>
      </w:r>
      <w:r w:rsidRPr="00CF137F">
        <w:rPr>
          <w:rFonts w:cs="Verdana"/>
          <w:bCs/>
          <w:i/>
          <w:lang w:val="es-ES"/>
        </w:rPr>
        <w:t>Caso Gonzales Lluy y otros Vs. Ecuador</w:t>
      </w:r>
      <w:r>
        <w:rPr>
          <w:rFonts w:cs="Verdana"/>
          <w:bCs/>
          <w:i/>
          <w:lang w:val="es-ES"/>
        </w:rPr>
        <w:t xml:space="preserve">, supra, </w:t>
      </w:r>
      <w:r w:rsidRPr="00CF137F">
        <w:rPr>
          <w:rFonts w:cs="Verdana"/>
          <w:bCs/>
          <w:lang w:val="es-ES"/>
        </w:rPr>
        <w:t>párrs. 233 a 291.</w:t>
      </w:r>
      <w:r w:rsidRPr="00CF137F">
        <w:rPr>
          <w:rFonts w:cs="Verdana"/>
          <w:b/>
          <w:bCs/>
          <w:lang w:val="es-ES"/>
        </w:rPr>
        <w:t xml:space="preserve">   </w:t>
      </w:r>
      <w:r w:rsidRPr="00CF137F">
        <w:rPr>
          <w:lang w:val="es-ES_tradnl"/>
        </w:rPr>
        <w:t xml:space="preserve"> </w:t>
      </w:r>
    </w:p>
  </w:footnote>
  <w:footnote w:id="343">
    <w:p w14:paraId="7AF7B4A4" w14:textId="77777777" w:rsidR="00D86616" w:rsidRPr="00C959C6" w:rsidRDefault="00D86616" w:rsidP="00F83E8F">
      <w:pPr>
        <w:pStyle w:val="FootnoteText"/>
        <w:rPr>
          <w:u w:val="single"/>
          <w:lang w:val="es-MX"/>
        </w:rPr>
      </w:pPr>
      <w:r w:rsidRPr="008D2569">
        <w:rPr>
          <w:rStyle w:val="FootnoteReference"/>
        </w:rPr>
        <w:footnoteRef/>
      </w:r>
      <w:r w:rsidRPr="00C959C6">
        <w:rPr>
          <w:lang w:val="es-MX"/>
        </w:rPr>
        <w:t xml:space="preserve"> </w:t>
      </w:r>
      <w:r w:rsidRPr="008D2569">
        <w:rPr>
          <w:lang w:val="es-ES_tradnl"/>
        </w:rPr>
        <w:tab/>
      </w:r>
      <w:r w:rsidRPr="00C959C6">
        <w:rPr>
          <w:lang w:val="es-MX"/>
        </w:rPr>
        <w:t xml:space="preserve">Inclusive, en materia laboral, tenemos matices; por ejemplo, pueden existir personas que trabajen o laboren dentro de una organización o asociación y que se les impida llevar a cabo su trabajo o labor, lo cual vería infringido evidentemente su derecho de asociación laboral. No obstante, en el caso Lagos del Campos, su </w:t>
      </w:r>
      <w:r w:rsidRPr="00C959C6">
        <w:rPr>
          <w:u w:val="single"/>
          <w:lang w:val="es-MX"/>
        </w:rPr>
        <w:t xml:space="preserve">finalidad era la defensa y promoción de sus intereses laborales, lo cual hace aún más </w:t>
      </w:r>
      <w:proofErr w:type="gramStart"/>
      <w:r w:rsidRPr="00C959C6">
        <w:rPr>
          <w:u w:val="single"/>
          <w:lang w:val="es-MX"/>
        </w:rPr>
        <w:t>especifico</w:t>
      </w:r>
      <w:proofErr w:type="gramEnd"/>
      <w:r w:rsidRPr="00C959C6">
        <w:rPr>
          <w:u w:val="single"/>
          <w:lang w:val="es-MX"/>
        </w:rPr>
        <w:t xml:space="preserve"> el derecho de asociación laboral para los contextos laborales de asociaciones laborales no sindicales.</w:t>
      </w:r>
    </w:p>
    <w:p w14:paraId="0BD9E5E0" w14:textId="77777777" w:rsidR="00D86616" w:rsidRPr="008D2569" w:rsidRDefault="00D86616" w:rsidP="00F83E8F">
      <w:pPr>
        <w:pStyle w:val="FootnoteText"/>
        <w:rPr>
          <w:lang w:val="es-ES_tradnl"/>
        </w:rPr>
      </w:pPr>
    </w:p>
  </w:footnote>
  <w:footnote w:id="344">
    <w:p w14:paraId="4154843D" w14:textId="39B277CD" w:rsidR="00D86616" w:rsidRPr="008D2569" w:rsidRDefault="00D86616" w:rsidP="00F83E8F">
      <w:pPr>
        <w:pStyle w:val="NormalWeb"/>
        <w:spacing w:before="0" w:beforeAutospacing="0" w:after="0" w:afterAutospacing="0"/>
        <w:jc w:val="both"/>
        <w:rPr>
          <w:rFonts w:ascii="Verdana" w:hAnsi="Verdana"/>
          <w:sz w:val="16"/>
          <w:szCs w:val="16"/>
        </w:rPr>
      </w:pPr>
      <w:r w:rsidRPr="00CB3D61">
        <w:rPr>
          <w:rStyle w:val="FootnoteReference"/>
          <w:rFonts w:eastAsiaTheme="majorEastAsia"/>
          <w:szCs w:val="20"/>
        </w:rPr>
        <w:footnoteRef/>
      </w:r>
      <w:r w:rsidRPr="00CB3D61">
        <w:rPr>
          <w:rFonts w:ascii="Verdana" w:hAnsi="Verdana"/>
          <w:sz w:val="20"/>
          <w:szCs w:val="20"/>
        </w:rPr>
        <w:t xml:space="preserve"> </w:t>
      </w:r>
      <w:r w:rsidR="00150F4F">
        <w:rPr>
          <w:rFonts w:ascii="Verdana" w:hAnsi="Verdana"/>
          <w:sz w:val="16"/>
          <w:szCs w:val="16"/>
        </w:rPr>
        <w:t xml:space="preserve">       </w:t>
      </w:r>
      <w:r w:rsidRPr="008D2569">
        <w:rPr>
          <w:rFonts w:ascii="Verdana" w:hAnsi="Verdana"/>
          <w:i/>
          <w:sz w:val="16"/>
          <w:szCs w:val="16"/>
        </w:rPr>
        <w:t>Cfr.</w:t>
      </w:r>
      <w:r w:rsidRPr="008D2569">
        <w:rPr>
          <w:rFonts w:ascii="Verdana" w:hAnsi="Verdana"/>
          <w:sz w:val="16"/>
          <w:szCs w:val="16"/>
        </w:rPr>
        <w:t xml:space="preserve"> </w:t>
      </w:r>
      <w:r w:rsidRPr="008D2569">
        <w:rPr>
          <w:rFonts w:ascii="Verdana" w:hAnsi="Verdana"/>
          <w:bCs/>
          <w:i/>
          <w:sz w:val="16"/>
          <w:szCs w:val="16"/>
        </w:rPr>
        <w:t>Caso Kawas Fernández Vs. Honduras. Fondo, Reparaciones y Costas</w:t>
      </w:r>
      <w:r w:rsidRPr="008D2569">
        <w:rPr>
          <w:rFonts w:ascii="Verdana" w:hAnsi="Verdana"/>
          <w:bCs/>
          <w:sz w:val="16"/>
          <w:szCs w:val="16"/>
        </w:rPr>
        <w:t>. Sentencia de 3 de abril de 2009. Serie C No. 196, párr. 151.</w:t>
      </w:r>
      <w:r w:rsidRPr="008D2569">
        <w:rPr>
          <w:rFonts w:ascii="Verdana" w:hAnsi="Verdana"/>
          <w:sz w:val="16"/>
          <w:szCs w:val="16"/>
        </w:rPr>
        <w:t xml:space="preserve"> </w:t>
      </w:r>
    </w:p>
    <w:p w14:paraId="6261E509" w14:textId="77777777" w:rsidR="00D86616" w:rsidRPr="008D2569" w:rsidRDefault="00D86616" w:rsidP="00F83E8F">
      <w:pPr>
        <w:pStyle w:val="NormalWeb"/>
        <w:spacing w:before="0" w:beforeAutospacing="0" w:after="0" w:afterAutospacing="0"/>
        <w:jc w:val="both"/>
        <w:rPr>
          <w:rFonts w:ascii="Verdana" w:hAnsi="Verdana"/>
          <w:sz w:val="16"/>
          <w:szCs w:val="16"/>
        </w:rPr>
      </w:pPr>
    </w:p>
  </w:footnote>
  <w:footnote w:id="345">
    <w:p w14:paraId="609C720B" w14:textId="70AE5597" w:rsidR="00D86616" w:rsidRPr="008D2569" w:rsidRDefault="00D86616" w:rsidP="00F83E8F">
      <w:pPr>
        <w:pStyle w:val="FootnoteText"/>
        <w:rPr>
          <w:bCs/>
          <w:lang w:val="es-MX"/>
        </w:rPr>
      </w:pPr>
      <w:r w:rsidRPr="008D2569">
        <w:rPr>
          <w:rStyle w:val="FootnoteReference"/>
        </w:rPr>
        <w:footnoteRef/>
      </w:r>
      <w:r w:rsidR="00150F4F">
        <w:rPr>
          <w:lang w:val="es-MX"/>
        </w:rPr>
        <w:t xml:space="preserve">       </w:t>
      </w:r>
      <w:r w:rsidRPr="00BA6F15">
        <w:rPr>
          <w:i/>
          <w:lang w:val="es-MX"/>
        </w:rPr>
        <w:t>Cfr.</w:t>
      </w:r>
      <w:r w:rsidRPr="00BA6F15">
        <w:rPr>
          <w:lang w:val="es-MX"/>
        </w:rPr>
        <w:t xml:space="preserve"> </w:t>
      </w:r>
      <w:r w:rsidRPr="008D2569">
        <w:rPr>
          <w:bCs/>
          <w:i/>
          <w:lang w:val="es-MX"/>
        </w:rPr>
        <w:t xml:space="preserve">Caso Kawas Fernández Vs. Honduras, </w:t>
      </w:r>
      <w:r>
        <w:rPr>
          <w:bCs/>
          <w:i/>
          <w:lang w:val="es-MX"/>
        </w:rPr>
        <w:t xml:space="preserve">supra, </w:t>
      </w:r>
      <w:r w:rsidRPr="00BA6F15">
        <w:rPr>
          <w:bCs/>
          <w:lang w:val="es-MX"/>
        </w:rPr>
        <w:t>párr. 149</w:t>
      </w:r>
      <w:r w:rsidRPr="008D2569">
        <w:rPr>
          <w:bCs/>
          <w:lang w:val="es-MX"/>
        </w:rPr>
        <w:t>.</w:t>
      </w:r>
    </w:p>
    <w:p w14:paraId="6CCFFFC9" w14:textId="77777777" w:rsidR="00D86616" w:rsidRPr="008D2569" w:rsidRDefault="00D86616" w:rsidP="00F83E8F">
      <w:pPr>
        <w:pStyle w:val="FootnoteText"/>
        <w:rPr>
          <w:lang w:val="es-ES_tradnl"/>
        </w:rPr>
      </w:pPr>
    </w:p>
  </w:footnote>
  <w:footnote w:id="346">
    <w:p w14:paraId="0294C287" w14:textId="6B16650F" w:rsidR="00D86616" w:rsidRPr="008D2569" w:rsidRDefault="00D86616" w:rsidP="00F83E8F">
      <w:pPr>
        <w:rPr>
          <w:rFonts w:ascii="Verdana" w:eastAsia="Times New Roman" w:hAnsi="Verdana"/>
          <w:sz w:val="16"/>
          <w:szCs w:val="16"/>
          <w:lang w:val="es-MX"/>
        </w:rPr>
      </w:pPr>
      <w:r w:rsidRPr="00CB3D61">
        <w:rPr>
          <w:rStyle w:val="FootnoteReference"/>
          <w:szCs w:val="20"/>
        </w:rPr>
        <w:footnoteRef/>
      </w:r>
      <w:r w:rsidRPr="00CB3D61">
        <w:rPr>
          <w:rFonts w:ascii="Verdana" w:hAnsi="Verdana"/>
          <w:sz w:val="20"/>
          <w:szCs w:val="20"/>
        </w:rPr>
        <w:t xml:space="preserve"> </w:t>
      </w:r>
      <w:r>
        <w:rPr>
          <w:rFonts w:ascii="Verdana" w:hAnsi="Verdana"/>
          <w:sz w:val="16"/>
          <w:szCs w:val="16"/>
        </w:rPr>
        <w:t xml:space="preserve">     </w:t>
      </w:r>
      <w:r w:rsidR="00150F4F">
        <w:rPr>
          <w:rFonts w:ascii="Verdana" w:hAnsi="Verdana"/>
          <w:sz w:val="16"/>
          <w:szCs w:val="16"/>
        </w:rPr>
        <w:t xml:space="preserve"> </w:t>
      </w:r>
      <w:r w:rsidRPr="008D2569">
        <w:rPr>
          <w:rFonts w:ascii="Verdana" w:hAnsi="Verdana"/>
          <w:i/>
          <w:sz w:val="16"/>
          <w:szCs w:val="16"/>
        </w:rPr>
        <w:t>Cfr.</w:t>
      </w:r>
      <w:r w:rsidRPr="008D2569">
        <w:rPr>
          <w:rFonts w:ascii="Verdana" w:hAnsi="Verdana"/>
          <w:sz w:val="16"/>
          <w:szCs w:val="16"/>
        </w:rPr>
        <w:t xml:space="preserve"> </w:t>
      </w:r>
      <w:r w:rsidRPr="008D2569">
        <w:rPr>
          <w:rFonts w:ascii="Verdana" w:eastAsia="Times New Roman" w:hAnsi="Verdana"/>
          <w:bCs/>
          <w:i/>
          <w:sz w:val="16"/>
          <w:szCs w:val="16"/>
          <w:lang w:val="es-MX"/>
        </w:rPr>
        <w:t xml:space="preserve">Caso </w:t>
      </w:r>
      <w:proofErr w:type="spellStart"/>
      <w:r w:rsidRPr="008D2569">
        <w:rPr>
          <w:rFonts w:ascii="Verdana" w:eastAsia="Times New Roman" w:hAnsi="Verdana"/>
          <w:bCs/>
          <w:i/>
          <w:sz w:val="16"/>
          <w:szCs w:val="16"/>
          <w:lang w:val="es-MX"/>
        </w:rPr>
        <w:t>Kawas</w:t>
      </w:r>
      <w:proofErr w:type="spellEnd"/>
      <w:r w:rsidRPr="008D2569">
        <w:rPr>
          <w:rFonts w:ascii="Verdana" w:eastAsia="Times New Roman" w:hAnsi="Verdana"/>
          <w:bCs/>
          <w:i/>
          <w:sz w:val="16"/>
          <w:szCs w:val="16"/>
          <w:lang w:val="es-MX"/>
        </w:rPr>
        <w:t xml:space="preserve"> Fernández Vs. Honduras</w:t>
      </w:r>
      <w:r>
        <w:rPr>
          <w:rFonts w:ascii="Verdana" w:eastAsia="Times New Roman" w:hAnsi="Verdana"/>
          <w:bCs/>
          <w:i/>
          <w:sz w:val="16"/>
          <w:szCs w:val="16"/>
          <w:lang w:val="es-MX"/>
        </w:rPr>
        <w:t>, supra,</w:t>
      </w:r>
      <w:r w:rsidRPr="008D2569">
        <w:rPr>
          <w:rFonts w:ascii="Verdana" w:eastAsia="Times New Roman" w:hAnsi="Verdana"/>
          <w:bCs/>
          <w:sz w:val="16"/>
          <w:szCs w:val="16"/>
          <w:lang w:val="es-MX"/>
        </w:rPr>
        <w:t xml:space="preserve"> párr. 146. </w:t>
      </w:r>
    </w:p>
    <w:p w14:paraId="1FF755F0" w14:textId="77777777" w:rsidR="00D86616" w:rsidRPr="00426B3D" w:rsidRDefault="00D86616" w:rsidP="00F83E8F">
      <w:pPr>
        <w:pStyle w:val="FootnoteText"/>
        <w:rPr>
          <w:color w:val="FF0000"/>
          <w:lang w:val="es-ES_tradnl"/>
        </w:rPr>
      </w:pPr>
    </w:p>
  </w:footnote>
  <w:footnote w:id="347">
    <w:p w14:paraId="6EA8A810"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959C6">
        <w:rPr>
          <w:lang w:val="es-MX"/>
        </w:rPr>
        <w:tab/>
      </w:r>
      <w:r w:rsidRPr="00CF137F">
        <w:rPr>
          <w:i/>
          <w:lang w:val="es-ES_tradnl"/>
        </w:rPr>
        <w:t>Cfr</w:t>
      </w:r>
      <w:r w:rsidRPr="00CF137F">
        <w:rPr>
          <w:lang w:val="es-ES_tradnl"/>
        </w:rPr>
        <w:t xml:space="preserve">. </w:t>
      </w:r>
      <w:r w:rsidRPr="00C959C6">
        <w:rPr>
          <w:i/>
          <w:lang w:val="es-MX"/>
        </w:rPr>
        <w:t xml:space="preserve">Caso Lagos del Campo Vs. </w:t>
      </w:r>
      <w:r w:rsidRPr="00BA6F15">
        <w:rPr>
          <w:i/>
          <w:lang w:val="es-MX"/>
        </w:rPr>
        <w:t>Perú</w:t>
      </w:r>
      <w:r>
        <w:rPr>
          <w:i/>
          <w:lang w:val="es-MX"/>
        </w:rPr>
        <w:t>,</w:t>
      </w:r>
      <w:r w:rsidRPr="00BA6F15">
        <w:rPr>
          <w:i/>
          <w:lang w:val="es-MX"/>
        </w:rPr>
        <w:t xml:space="preserve"> </w:t>
      </w:r>
      <w:r>
        <w:rPr>
          <w:i/>
          <w:lang w:val="es-MX"/>
        </w:rPr>
        <w:t>supra</w:t>
      </w:r>
      <w:r w:rsidRPr="00C959C6">
        <w:rPr>
          <w:lang w:val="es-MX"/>
        </w:rPr>
        <w:t xml:space="preserve">, párr. </w:t>
      </w:r>
      <w:r w:rsidRPr="00CF137F">
        <w:rPr>
          <w:lang w:val="es-ES_tradnl"/>
        </w:rPr>
        <w:t>161.</w:t>
      </w:r>
    </w:p>
  </w:footnote>
  <w:footnote w:id="348">
    <w:p w14:paraId="5744506B"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F137F">
        <w:rPr>
          <w:lang w:val="es-ES_tradnl"/>
        </w:rPr>
        <w:tab/>
      </w:r>
      <w:r w:rsidRPr="00CF137F">
        <w:rPr>
          <w:i/>
          <w:lang w:val="es-ES_tradnl"/>
        </w:rPr>
        <w:t>Cfr</w:t>
      </w:r>
      <w:r w:rsidRPr="00CF137F">
        <w:rPr>
          <w:lang w:val="es-ES_tradnl"/>
        </w:rPr>
        <w:t xml:space="preserve">. </w:t>
      </w:r>
      <w:r w:rsidRPr="00C959C6">
        <w:rPr>
          <w:i/>
          <w:lang w:val="es-MX"/>
        </w:rPr>
        <w:t xml:space="preserve">Caso Lagos del Campo Vs. </w:t>
      </w:r>
      <w:r w:rsidRPr="00BA6F15">
        <w:rPr>
          <w:i/>
          <w:lang w:val="es-CR"/>
        </w:rPr>
        <w:t>Perú, supra</w:t>
      </w:r>
      <w:r w:rsidRPr="00C959C6">
        <w:rPr>
          <w:lang w:val="es-MX"/>
        </w:rPr>
        <w:t xml:space="preserve">, párr. </w:t>
      </w:r>
      <w:r w:rsidRPr="00CF137F">
        <w:rPr>
          <w:lang w:val="es-ES_tradnl"/>
        </w:rPr>
        <w:t>162.</w:t>
      </w:r>
    </w:p>
  </w:footnote>
  <w:footnote w:id="349">
    <w:p w14:paraId="72CDF435"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F137F">
        <w:rPr>
          <w:lang w:val="es-ES_tradnl"/>
        </w:rPr>
        <w:tab/>
      </w:r>
      <w:r w:rsidRPr="00CF137F">
        <w:rPr>
          <w:i/>
          <w:lang w:val="es-ES_tradnl"/>
        </w:rPr>
        <w:t>Cfr</w:t>
      </w:r>
      <w:r w:rsidRPr="00CF137F">
        <w:rPr>
          <w:lang w:val="es-ES_tradnl"/>
        </w:rPr>
        <w:t xml:space="preserve">. </w:t>
      </w:r>
      <w:r w:rsidRPr="00C959C6">
        <w:rPr>
          <w:i/>
          <w:lang w:val="es-MX"/>
        </w:rPr>
        <w:t xml:space="preserve">Caso Lagos del Campo Vs. </w:t>
      </w:r>
      <w:r w:rsidRPr="00BA6F15">
        <w:rPr>
          <w:i/>
          <w:lang w:val="es-CR"/>
        </w:rPr>
        <w:t>Perú, supra</w:t>
      </w:r>
      <w:r w:rsidRPr="00C959C6">
        <w:rPr>
          <w:lang w:val="es-MX"/>
        </w:rPr>
        <w:t xml:space="preserve">, párrs. </w:t>
      </w:r>
      <w:r w:rsidRPr="00CF137F">
        <w:rPr>
          <w:lang w:val="es-ES_tradnl"/>
        </w:rPr>
        <w:t xml:space="preserve">157 y 158. </w:t>
      </w:r>
    </w:p>
  </w:footnote>
  <w:footnote w:id="350">
    <w:p w14:paraId="621E7F33"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959C6">
        <w:rPr>
          <w:lang w:val="es-MX"/>
        </w:rPr>
        <w:tab/>
      </w:r>
      <w:r w:rsidRPr="00CF137F">
        <w:rPr>
          <w:i/>
          <w:lang w:val="es-ES_tradnl"/>
        </w:rPr>
        <w:t>Cfr</w:t>
      </w:r>
      <w:r w:rsidRPr="00CF137F">
        <w:rPr>
          <w:lang w:val="es-ES_tradnl"/>
        </w:rPr>
        <w:t xml:space="preserve">. </w:t>
      </w:r>
      <w:r w:rsidRPr="00C959C6">
        <w:rPr>
          <w:i/>
          <w:lang w:val="es-MX"/>
        </w:rPr>
        <w:t xml:space="preserve">Caso Lagos del Campo Vs. </w:t>
      </w:r>
      <w:r w:rsidRPr="00BA6F15">
        <w:rPr>
          <w:i/>
          <w:lang w:val="es-CR"/>
        </w:rPr>
        <w:t>Perú, supra</w:t>
      </w:r>
      <w:r w:rsidRPr="00C959C6">
        <w:rPr>
          <w:lang w:val="es-MX"/>
        </w:rPr>
        <w:t xml:space="preserve">, párrs. </w:t>
      </w:r>
      <w:r w:rsidRPr="00CF137F">
        <w:rPr>
          <w:lang w:val="es-ES_tradnl"/>
        </w:rPr>
        <w:t>159 y 160.</w:t>
      </w:r>
    </w:p>
  </w:footnote>
  <w:footnote w:id="351">
    <w:p w14:paraId="4702C196"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959C6">
        <w:rPr>
          <w:lang w:val="es-MX"/>
        </w:rPr>
        <w:tab/>
      </w:r>
      <w:r w:rsidRPr="00CF137F">
        <w:rPr>
          <w:i/>
          <w:lang w:val="es-ES_tradnl"/>
        </w:rPr>
        <w:t>Cfr</w:t>
      </w:r>
      <w:r w:rsidRPr="00CF137F">
        <w:rPr>
          <w:lang w:val="es-ES_tradnl"/>
        </w:rPr>
        <w:t xml:space="preserve">. </w:t>
      </w:r>
      <w:r w:rsidRPr="00C959C6">
        <w:rPr>
          <w:i/>
          <w:lang w:val="es-MX"/>
        </w:rPr>
        <w:t xml:space="preserve">Caso Lagos del Campo Vs. </w:t>
      </w:r>
      <w:r w:rsidRPr="00BA6F15">
        <w:rPr>
          <w:i/>
          <w:lang w:val="es-CR"/>
        </w:rPr>
        <w:t>Perú, supra</w:t>
      </w:r>
      <w:r w:rsidRPr="00C959C6">
        <w:rPr>
          <w:lang w:val="es-MX"/>
        </w:rPr>
        <w:t xml:space="preserve">, párr. </w:t>
      </w:r>
      <w:r w:rsidRPr="00CF137F">
        <w:rPr>
          <w:lang w:val="es-ES_tradnl"/>
        </w:rPr>
        <w:t xml:space="preserve">157. </w:t>
      </w:r>
    </w:p>
  </w:footnote>
  <w:footnote w:id="352">
    <w:p w14:paraId="4FC96D36" w14:textId="77777777" w:rsidR="00D86616" w:rsidRPr="00C959C6" w:rsidRDefault="00D86616" w:rsidP="00F83E8F">
      <w:pPr>
        <w:pStyle w:val="FootnoteText"/>
        <w:rPr>
          <w:lang w:val="es-MX"/>
        </w:rPr>
      </w:pPr>
      <w:r w:rsidRPr="004D230F">
        <w:rPr>
          <w:rStyle w:val="FootnoteReference"/>
        </w:rPr>
        <w:footnoteRef/>
      </w:r>
      <w:r w:rsidRPr="00C959C6">
        <w:rPr>
          <w:lang w:val="es-MX"/>
        </w:rPr>
        <w:t xml:space="preserve"> </w:t>
      </w:r>
      <w:r w:rsidRPr="004D230F">
        <w:rPr>
          <w:lang w:val="es-ES_tradnl"/>
        </w:rPr>
        <w:tab/>
      </w:r>
      <w:r w:rsidRPr="00C959C6">
        <w:rPr>
          <w:i/>
          <w:lang w:val="es-MX"/>
        </w:rPr>
        <w:t>Cfr.</w:t>
      </w:r>
      <w:r w:rsidRPr="00C959C6">
        <w:rPr>
          <w:lang w:val="es-MX"/>
        </w:rPr>
        <w:t xml:space="preserve"> </w:t>
      </w:r>
      <w:r w:rsidRPr="00C959C6">
        <w:rPr>
          <w:i/>
          <w:lang w:val="es-MX"/>
        </w:rPr>
        <w:t xml:space="preserve">Caso Lagos del Campo Vs. </w:t>
      </w:r>
      <w:r w:rsidRPr="00BA6F15">
        <w:rPr>
          <w:i/>
          <w:lang w:val="es-CR"/>
        </w:rPr>
        <w:t>Perú, supra</w:t>
      </w:r>
      <w:r w:rsidRPr="00C959C6">
        <w:rPr>
          <w:lang w:val="es-MX"/>
        </w:rPr>
        <w:t xml:space="preserve">, párrs. 158 y 163. </w:t>
      </w:r>
    </w:p>
    <w:p w14:paraId="7D6F82A9" w14:textId="77777777" w:rsidR="00D86616" w:rsidRPr="008F14B6" w:rsidRDefault="00D86616" w:rsidP="00F83E8F">
      <w:pPr>
        <w:pStyle w:val="FootnoteText"/>
        <w:rPr>
          <w:lang w:val="es-ES_tradnl"/>
        </w:rPr>
      </w:pPr>
    </w:p>
  </w:footnote>
  <w:footnote w:id="353">
    <w:p w14:paraId="39F489A0" w14:textId="77777777" w:rsidR="00D86616" w:rsidRPr="00CF137F" w:rsidRDefault="00D86616" w:rsidP="00F83E8F">
      <w:pPr>
        <w:pStyle w:val="FootnoteText"/>
        <w:spacing w:after="120"/>
        <w:rPr>
          <w:lang w:val="es-ES_tradnl"/>
        </w:rPr>
      </w:pPr>
      <w:r w:rsidRPr="00CF137F">
        <w:rPr>
          <w:rStyle w:val="FootnoteReference"/>
        </w:rPr>
        <w:footnoteRef/>
      </w:r>
      <w:r w:rsidRPr="00C959C6">
        <w:rPr>
          <w:lang w:val="es-MX"/>
        </w:rPr>
        <w:t xml:space="preserve"> </w:t>
      </w:r>
      <w:r w:rsidRPr="00C959C6">
        <w:rPr>
          <w:lang w:val="es-MX"/>
        </w:rPr>
        <w:tab/>
      </w:r>
      <w:r w:rsidRPr="00CF137F">
        <w:rPr>
          <w:i/>
          <w:lang w:val="es-ES_tradnl"/>
        </w:rPr>
        <w:t>Cfr</w:t>
      </w:r>
      <w:r w:rsidRPr="00CF137F">
        <w:rPr>
          <w:lang w:val="es-ES_tradnl"/>
        </w:rPr>
        <w:t xml:space="preserve">. </w:t>
      </w:r>
      <w:r w:rsidRPr="00C959C6">
        <w:rPr>
          <w:i/>
          <w:lang w:val="es-MX"/>
        </w:rPr>
        <w:t xml:space="preserve">Caso Lagos del Campo Vs. </w:t>
      </w:r>
      <w:r w:rsidRPr="00FC4FC8">
        <w:rPr>
          <w:i/>
          <w:lang w:val="es-CR"/>
        </w:rPr>
        <w:t>Perú, supra</w:t>
      </w:r>
      <w:r w:rsidRPr="00C959C6">
        <w:rPr>
          <w:lang w:val="es-MX"/>
        </w:rPr>
        <w:t xml:space="preserve">, párr. </w:t>
      </w:r>
      <w:r w:rsidRPr="00CF137F">
        <w:rPr>
          <w:lang w:val="es-ES_tradnl"/>
        </w:rPr>
        <w:t xml:space="preserve">158. </w:t>
      </w:r>
    </w:p>
  </w:footnote>
  <w:footnote w:id="354">
    <w:p w14:paraId="75509F1B" w14:textId="77777777" w:rsidR="00D86616" w:rsidRPr="00CB3D61" w:rsidRDefault="00D86616" w:rsidP="00F83E8F">
      <w:pPr>
        <w:spacing w:after="120"/>
        <w:jc w:val="both"/>
        <w:rPr>
          <w:rFonts w:ascii="Verdana" w:hAnsi="Verdana"/>
          <w:b/>
          <w:sz w:val="20"/>
          <w:szCs w:val="16"/>
          <w:lang w:val="es-ES"/>
        </w:rPr>
      </w:pPr>
      <w:r w:rsidRPr="00CB3D61">
        <w:rPr>
          <w:rStyle w:val="FootnoteReference"/>
          <w:szCs w:val="16"/>
        </w:rPr>
        <w:footnoteRef/>
      </w:r>
      <w:r w:rsidRPr="00CF137F">
        <w:rPr>
          <w:rFonts w:ascii="Verdana" w:hAnsi="Verdana"/>
          <w:sz w:val="16"/>
          <w:szCs w:val="16"/>
        </w:rPr>
        <w:t xml:space="preserve"> </w:t>
      </w:r>
      <w:r w:rsidRPr="00CF137F">
        <w:rPr>
          <w:rFonts w:ascii="Verdana" w:hAnsi="Verdana"/>
          <w:sz w:val="16"/>
          <w:szCs w:val="16"/>
        </w:rPr>
        <w:tab/>
        <w:t xml:space="preserve">El Protocolo de San Salvador dispone: </w:t>
      </w:r>
      <w:r>
        <w:rPr>
          <w:rFonts w:ascii="Verdana" w:hAnsi="Verdana"/>
          <w:sz w:val="16"/>
          <w:szCs w:val="16"/>
        </w:rPr>
        <w:t>“</w:t>
      </w:r>
      <w:r>
        <w:rPr>
          <w:rFonts w:ascii="Verdana" w:hAnsi="Verdana"/>
          <w:sz w:val="16"/>
          <w:szCs w:val="16"/>
          <w:lang w:val="es-ES"/>
        </w:rPr>
        <w:t>Art. 6.</w:t>
      </w:r>
      <w:r w:rsidRPr="00CF137F">
        <w:rPr>
          <w:rFonts w:ascii="Verdana" w:hAnsi="Verdana"/>
          <w:sz w:val="16"/>
          <w:szCs w:val="16"/>
          <w:lang w:val="es-ES"/>
        </w:rPr>
        <w:t xml:space="preserve"> </w:t>
      </w:r>
      <w:r w:rsidRPr="00CF137F">
        <w:rPr>
          <w:rFonts w:ascii="Verdana" w:hAnsi="Verdana"/>
          <w:bCs/>
          <w:sz w:val="16"/>
          <w:szCs w:val="16"/>
          <w:lang w:val="es-ES"/>
        </w:rPr>
        <w:t>Derecho al Trabajo del Protocolo de San Salvador</w:t>
      </w:r>
      <w:r w:rsidRPr="00CF137F">
        <w:rPr>
          <w:rFonts w:ascii="Verdana" w:hAnsi="Verdana"/>
          <w:sz w:val="16"/>
          <w:szCs w:val="16"/>
          <w:lang w:val="es-ES"/>
        </w:rPr>
        <w:t xml:space="preserve">. 1. Toda persona tiene derecho al trabajo, el cual incluye la oportunidad de obtener los medios para llevar una vida digna y decorosa a través del desempeño de una actividad lícita libremente escogida o aceptada. 2. Los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Los Estados partes se comprometen también a ejecutar y a fortalecer programas que coadyuven a una adecuada atención familiar, encaminados a que la mujer pueda contar con </w:t>
      </w:r>
      <w:r w:rsidRPr="00CB3D61">
        <w:rPr>
          <w:rFonts w:ascii="Verdana" w:hAnsi="Verdana"/>
          <w:sz w:val="16"/>
          <w:szCs w:val="16"/>
          <w:lang w:val="es-ES"/>
        </w:rPr>
        <w:t>una efectiva posibilidad de ejercer el derecho al trabajo”.</w:t>
      </w:r>
    </w:p>
  </w:footnote>
  <w:footnote w:id="355">
    <w:p w14:paraId="30F4C2CD" w14:textId="77777777" w:rsidR="00D86616" w:rsidRDefault="00D86616" w:rsidP="00F83E8F">
      <w:pPr>
        <w:pStyle w:val="ListParagraph"/>
        <w:widowControl w:val="0"/>
        <w:autoSpaceDE w:val="0"/>
        <w:autoSpaceDN w:val="0"/>
        <w:adjustRightInd w:val="0"/>
        <w:ind w:left="0" w:right="49"/>
        <w:jc w:val="both"/>
        <w:rPr>
          <w:rFonts w:ascii="Verdana" w:eastAsia="Times New Roman" w:hAnsi="Verdana"/>
          <w:bCs/>
          <w:sz w:val="16"/>
          <w:szCs w:val="16"/>
          <w:lang w:val="es-MX"/>
        </w:rPr>
      </w:pPr>
      <w:r w:rsidRPr="00CB3D61">
        <w:rPr>
          <w:rStyle w:val="FootnoteReference"/>
          <w:szCs w:val="16"/>
        </w:rPr>
        <w:footnoteRef/>
      </w:r>
      <w:r w:rsidRPr="00CB3D61">
        <w:rPr>
          <w:rFonts w:ascii="Verdana" w:hAnsi="Verdana"/>
          <w:sz w:val="20"/>
          <w:szCs w:val="16"/>
        </w:rPr>
        <w:t xml:space="preserve"> </w:t>
      </w:r>
      <w:r w:rsidRPr="008D2569">
        <w:rPr>
          <w:rFonts w:ascii="Verdana" w:hAnsi="Verdana"/>
          <w:sz w:val="16"/>
          <w:szCs w:val="16"/>
        </w:rPr>
        <w:tab/>
        <w:t xml:space="preserve">Si bien en el </w:t>
      </w:r>
      <w:r w:rsidRPr="008D2569">
        <w:rPr>
          <w:rFonts w:ascii="Verdana" w:hAnsi="Verdana"/>
          <w:i/>
          <w:sz w:val="16"/>
          <w:szCs w:val="16"/>
        </w:rPr>
        <w:t xml:space="preserve">caso </w:t>
      </w:r>
      <w:proofErr w:type="spellStart"/>
      <w:r w:rsidRPr="008D2569">
        <w:rPr>
          <w:rFonts w:ascii="Verdana" w:hAnsi="Verdana"/>
          <w:i/>
          <w:sz w:val="16"/>
          <w:szCs w:val="16"/>
        </w:rPr>
        <w:t>Kawas</w:t>
      </w:r>
      <w:proofErr w:type="spellEnd"/>
      <w:r w:rsidRPr="008D2569">
        <w:rPr>
          <w:rFonts w:ascii="Verdana" w:hAnsi="Verdana"/>
          <w:i/>
          <w:sz w:val="16"/>
          <w:szCs w:val="16"/>
        </w:rPr>
        <w:t xml:space="preserve"> Fernández</w:t>
      </w:r>
      <w:r w:rsidRPr="008D2569">
        <w:rPr>
          <w:rFonts w:ascii="Verdana" w:hAnsi="Verdana"/>
          <w:sz w:val="16"/>
          <w:szCs w:val="16"/>
        </w:rPr>
        <w:t xml:space="preserve"> la Corte IDH considera la violación del artículo 16 de la Convención Americana, este se refiere a la labor como defensora de derechos humanos (del medio ambiente, es decir, </w:t>
      </w:r>
      <w:r w:rsidRPr="008D2569">
        <w:rPr>
          <w:rFonts w:ascii="Verdana" w:eastAsia="Times New Roman" w:hAnsi="Verdana" w:cs="Tahoma"/>
          <w:sz w:val="16"/>
          <w:szCs w:val="16"/>
          <w:shd w:val="clear" w:color="auto" w:fill="FFFFFF"/>
        </w:rPr>
        <w:t xml:space="preserve">por </w:t>
      </w:r>
      <w:r w:rsidRPr="008D2569">
        <w:rPr>
          <w:rFonts w:ascii="Verdana" w:hAnsi="Verdana"/>
          <w:sz w:val="16"/>
          <w:szCs w:val="16"/>
          <w:u w:val="single"/>
        </w:rPr>
        <w:t>formar y participar libremente en organizaciones, asociaciones o grupos no gubernamentales orientados a la vigilancia, denuncia y promoción de los derechos humanos, no por ser parte de una asociación laboral.</w:t>
      </w:r>
      <w:r w:rsidRPr="008D2569">
        <w:rPr>
          <w:rFonts w:ascii="Verdana" w:hAnsi="Verdana"/>
          <w:sz w:val="16"/>
          <w:szCs w:val="16"/>
        </w:rPr>
        <w:t xml:space="preserve"> </w:t>
      </w:r>
      <w:r w:rsidRPr="008D2569">
        <w:rPr>
          <w:rFonts w:ascii="Verdana" w:hAnsi="Verdana"/>
          <w:i/>
          <w:sz w:val="16"/>
          <w:szCs w:val="16"/>
        </w:rPr>
        <w:t>Cfr.</w:t>
      </w:r>
      <w:r w:rsidRPr="008D2569">
        <w:rPr>
          <w:rFonts w:ascii="Verdana" w:hAnsi="Verdana"/>
          <w:sz w:val="16"/>
          <w:szCs w:val="16"/>
        </w:rPr>
        <w:t xml:space="preserve"> </w:t>
      </w:r>
      <w:r w:rsidRPr="008D2569">
        <w:rPr>
          <w:rFonts w:ascii="Verdana" w:eastAsia="Times New Roman" w:hAnsi="Verdana"/>
          <w:bCs/>
          <w:i/>
          <w:sz w:val="16"/>
          <w:szCs w:val="16"/>
          <w:lang w:val="es-MX"/>
        </w:rPr>
        <w:t xml:space="preserve">Caso </w:t>
      </w:r>
      <w:proofErr w:type="spellStart"/>
      <w:r w:rsidRPr="008D2569">
        <w:rPr>
          <w:rFonts w:ascii="Verdana" w:eastAsia="Times New Roman" w:hAnsi="Verdana"/>
          <w:bCs/>
          <w:i/>
          <w:sz w:val="16"/>
          <w:szCs w:val="16"/>
          <w:lang w:val="es-MX"/>
        </w:rPr>
        <w:t>Kawas</w:t>
      </w:r>
      <w:proofErr w:type="spellEnd"/>
      <w:r w:rsidRPr="008D2569">
        <w:rPr>
          <w:rFonts w:ascii="Verdana" w:eastAsia="Times New Roman" w:hAnsi="Verdana"/>
          <w:bCs/>
          <w:i/>
          <w:sz w:val="16"/>
          <w:szCs w:val="16"/>
          <w:lang w:val="es-MX"/>
        </w:rPr>
        <w:t xml:space="preserve"> Fernández Vs. Honduras. Fondo, Reparaciones y Costas</w:t>
      </w:r>
      <w:r w:rsidRPr="008D2569">
        <w:rPr>
          <w:rFonts w:ascii="Verdana" w:eastAsia="Times New Roman" w:hAnsi="Verdana"/>
          <w:bCs/>
          <w:sz w:val="16"/>
          <w:szCs w:val="16"/>
          <w:lang w:val="es-MX"/>
        </w:rPr>
        <w:t>. Sentencia de 3 de abril de 2009. Serie C No. 196, párr. 146.</w:t>
      </w:r>
    </w:p>
    <w:p w14:paraId="38E1ECD8" w14:textId="77777777" w:rsidR="00D86616" w:rsidRPr="005D6C54" w:rsidRDefault="00D86616" w:rsidP="00F83E8F">
      <w:pPr>
        <w:pStyle w:val="ListParagraph"/>
        <w:widowControl w:val="0"/>
        <w:autoSpaceDE w:val="0"/>
        <w:autoSpaceDN w:val="0"/>
        <w:adjustRightInd w:val="0"/>
        <w:ind w:left="0" w:right="49"/>
        <w:jc w:val="both"/>
        <w:rPr>
          <w:rFonts w:ascii="Verdana" w:eastAsia="Times New Roman" w:hAnsi="Verdana" w:cs="Tahoma"/>
          <w:sz w:val="16"/>
          <w:szCs w:val="16"/>
          <w:shd w:val="clear" w:color="auto" w:fill="FFFFFF"/>
        </w:rPr>
      </w:pPr>
    </w:p>
  </w:footnote>
  <w:footnote w:id="356">
    <w:p w14:paraId="4E47E10D" w14:textId="3A2D799E" w:rsidR="00D86616" w:rsidRDefault="00D86616" w:rsidP="00F83E8F">
      <w:pPr>
        <w:pStyle w:val="FootnoteText"/>
        <w:rPr>
          <w:lang w:val="es-ES_tradnl"/>
        </w:rPr>
      </w:pPr>
      <w:r w:rsidRPr="008D2569">
        <w:rPr>
          <w:rStyle w:val="FootnoteReference"/>
        </w:rPr>
        <w:footnoteRef/>
      </w:r>
      <w:r w:rsidR="003B3688">
        <w:rPr>
          <w:lang w:val="es-MX"/>
        </w:rPr>
        <w:t xml:space="preserve"> </w:t>
      </w:r>
      <w:r w:rsidR="003B3688">
        <w:rPr>
          <w:lang w:val="es-MX"/>
        </w:rPr>
        <w:tab/>
        <w:t xml:space="preserve">   </w:t>
      </w:r>
      <w:r w:rsidRPr="00C959C6">
        <w:rPr>
          <w:lang w:val="es-MX"/>
        </w:rPr>
        <w:t>El supues</w:t>
      </w:r>
      <w:r>
        <w:rPr>
          <w:lang w:val="es-MX"/>
        </w:rPr>
        <w:t>to del Señor Lagos del Campo es</w:t>
      </w:r>
      <w:r w:rsidRPr="00C959C6">
        <w:rPr>
          <w:lang w:val="es-MX"/>
        </w:rPr>
        <w:t xml:space="preserve"> un tipo </w:t>
      </w:r>
      <w:proofErr w:type="gramStart"/>
      <w:r w:rsidRPr="00C959C6">
        <w:rPr>
          <w:lang w:val="es-MX"/>
        </w:rPr>
        <w:t>especifico</w:t>
      </w:r>
      <w:proofErr w:type="gramEnd"/>
      <w:r w:rsidRPr="00C959C6">
        <w:rPr>
          <w:lang w:val="es-MX"/>
        </w:rPr>
        <w:t xml:space="preserve"> de asociación laboral (</w:t>
      </w:r>
      <w:r w:rsidRPr="00C959C6">
        <w:rPr>
          <w:rFonts w:cs="Tahoma"/>
          <w:shd w:val="clear" w:color="auto" w:fill="FFFFFF"/>
          <w:lang w:val="es-MX"/>
        </w:rPr>
        <w:t xml:space="preserve">para la defensa y promoción de sus intereses). </w:t>
      </w:r>
    </w:p>
    <w:p w14:paraId="36918D9C" w14:textId="77777777" w:rsidR="00D86616" w:rsidRPr="00954C4C" w:rsidRDefault="00D86616" w:rsidP="00F83E8F">
      <w:pPr>
        <w:pStyle w:val="FootnoteText"/>
        <w:rPr>
          <w:rStyle w:val="FootnoteReference"/>
          <w:rFonts w:eastAsia="Calibri"/>
          <w:lang w:val="es-CR" w:eastAsia="en-US"/>
        </w:rPr>
      </w:pPr>
    </w:p>
  </w:footnote>
  <w:footnote w:id="357">
    <w:p w14:paraId="5BAAAD04" w14:textId="64E40E2A" w:rsidR="00061C0D" w:rsidRPr="00CF137F" w:rsidRDefault="00D86616" w:rsidP="00061C0D">
      <w:pPr>
        <w:spacing w:after="120"/>
        <w:jc w:val="both"/>
        <w:rPr>
          <w:rFonts w:ascii="Verdana" w:eastAsia="Times New Roman" w:hAnsi="Verdana"/>
          <w:bCs/>
          <w:color w:val="000000"/>
          <w:sz w:val="16"/>
          <w:szCs w:val="16"/>
          <w:lang w:val="es-MX"/>
        </w:rPr>
      </w:pPr>
      <w:r w:rsidRPr="00CB3D61">
        <w:rPr>
          <w:rStyle w:val="FootnoteReference"/>
          <w:szCs w:val="16"/>
        </w:rPr>
        <w:footnoteRef/>
      </w:r>
      <w:r w:rsidR="003B3688">
        <w:rPr>
          <w:rFonts w:ascii="Verdana" w:hAnsi="Verdana"/>
          <w:i/>
          <w:sz w:val="16"/>
          <w:szCs w:val="16"/>
        </w:rPr>
        <w:t xml:space="preserve"> </w:t>
      </w:r>
      <w:r w:rsidR="003B3688">
        <w:rPr>
          <w:rFonts w:ascii="Verdana" w:hAnsi="Verdana"/>
          <w:i/>
          <w:sz w:val="16"/>
          <w:szCs w:val="16"/>
        </w:rPr>
        <w:tab/>
      </w:r>
      <w:r w:rsidRPr="00CF137F">
        <w:rPr>
          <w:rFonts w:ascii="Verdana" w:hAnsi="Verdana"/>
          <w:i/>
          <w:sz w:val="16"/>
          <w:szCs w:val="16"/>
        </w:rPr>
        <w:t>Cfr.</w:t>
      </w:r>
      <w:r w:rsidRPr="00CF137F">
        <w:rPr>
          <w:rFonts w:ascii="Verdana" w:hAnsi="Verdana"/>
          <w:sz w:val="16"/>
          <w:szCs w:val="16"/>
        </w:rPr>
        <w:t xml:space="preserve"> </w:t>
      </w:r>
      <w:r w:rsidRPr="00CF137F">
        <w:rPr>
          <w:rFonts w:ascii="Verdana" w:eastAsia="Times New Roman" w:hAnsi="Verdana"/>
          <w:bCs/>
          <w:i/>
          <w:color w:val="000000"/>
          <w:sz w:val="16"/>
          <w:szCs w:val="16"/>
          <w:lang w:val="es-MX"/>
        </w:rPr>
        <w:t>Caso "Cinco Pensionistas" Vs. Perú. Fondo, Reparaciones y Costas</w:t>
      </w:r>
      <w:r w:rsidRPr="00CF137F">
        <w:rPr>
          <w:rFonts w:ascii="Verdana" w:eastAsia="Times New Roman" w:hAnsi="Verdana"/>
          <w:bCs/>
          <w:color w:val="000000"/>
          <w:sz w:val="16"/>
          <w:szCs w:val="16"/>
          <w:lang w:val="es-MX"/>
        </w:rPr>
        <w:t xml:space="preserve">. Sentencia de 28 de febrero de 2003. Serie C No. 98, párr. 142. En el </w:t>
      </w:r>
      <w:r w:rsidRPr="00BA6F15">
        <w:rPr>
          <w:rFonts w:ascii="Verdana" w:eastAsia="Times New Roman" w:hAnsi="Verdana"/>
          <w:bCs/>
          <w:i/>
          <w:color w:val="000000"/>
          <w:sz w:val="16"/>
          <w:szCs w:val="16"/>
          <w:lang w:val="es-MX"/>
        </w:rPr>
        <w:t xml:space="preserve">Caso </w:t>
      </w:r>
      <w:proofErr w:type="spellStart"/>
      <w:r w:rsidRPr="00BA6F15">
        <w:rPr>
          <w:rFonts w:ascii="Verdana" w:eastAsia="Times New Roman" w:hAnsi="Verdana"/>
          <w:bCs/>
          <w:i/>
          <w:color w:val="000000"/>
          <w:sz w:val="16"/>
          <w:szCs w:val="16"/>
          <w:lang w:val="es-MX"/>
        </w:rPr>
        <w:t>Yakye</w:t>
      </w:r>
      <w:proofErr w:type="spellEnd"/>
      <w:r w:rsidRPr="00BA6F15">
        <w:rPr>
          <w:rFonts w:ascii="Verdana" w:eastAsia="Times New Roman" w:hAnsi="Verdana"/>
          <w:bCs/>
          <w:i/>
          <w:color w:val="000000"/>
          <w:sz w:val="16"/>
          <w:szCs w:val="16"/>
          <w:lang w:val="es-MX"/>
        </w:rPr>
        <w:t xml:space="preserve"> Axa Vs. Paraguay</w:t>
      </w:r>
      <w:r w:rsidRPr="00CF137F">
        <w:rPr>
          <w:rFonts w:ascii="Verdana" w:eastAsia="Times New Roman" w:hAnsi="Verdana"/>
          <w:bCs/>
          <w:color w:val="000000"/>
          <w:sz w:val="16"/>
          <w:szCs w:val="16"/>
          <w:lang w:val="es-MX"/>
        </w:rPr>
        <w:t xml:space="preserve"> (2005), la Comisión Interamericana relacionó el artículo 26 de la Convención Americana con la violación del artículo 4, en este sentido señaló que: “</w:t>
      </w:r>
      <w:r w:rsidRPr="00CF137F">
        <w:rPr>
          <w:rFonts w:ascii="Verdana" w:eastAsia="Times New Roman" w:hAnsi="Verdana"/>
          <w:bCs/>
          <w:color w:val="000000"/>
          <w:sz w:val="16"/>
          <w:szCs w:val="16"/>
        </w:rPr>
        <w:t xml:space="preserve"> 157. […] </w:t>
      </w:r>
      <w:r w:rsidRPr="00CF137F">
        <w:rPr>
          <w:rFonts w:ascii="Verdana" w:hAnsi="Verdana"/>
          <w:sz w:val="16"/>
          <w:szCs w:val="16"/>
        </w:rPr>
        <w:t xml:space="preserve">e) la situación de riesgo o vulnerabilidad de la Comunidad indígena </w:t>
      </w:r>
      <w:proofErr w:type="spellStart"/>
      <w:r w:rsidRPr="00CF137F">
        <w:rPr>
          <w:rFonts w:ascii="Verdana" w:hAnsi="Verdana"/>
          <w:sz w:val="16"/>
          <w:szCs w:val="16"/>
        </w:rPr>
        <w:t>Yakye</w:t>
      </w:r>
      <w:proofErr w:type="spellEnd"/>
      <w:r w:rsidRPr="00CF137F">
        <w:rPr>
          <w:rFonts w:ascii="Verdana" w:hAnsi="Verdana"/>
          <w:sz w:val="16"/>
          <w:szCs w:val="16"/>
        </w:rPr>
        <w:t xml:space="preserve"> Axa ha sido creada por la negligencia del Estado, lo cual no ha sido cuestionado; por el contrario, el propio Estado declaró en 1999 en “estado de emergencia a la Comunidad”. Esta negligencia se produjo en un contexto en que el Paraguay tiene el deber de garantizar las condiciones necesarias para la consecución de una vida digna, un deber que es subrayado por el compromiso recogido en el </w:t>
      </w:r>
      <w:proofErr w:type="spellStart"/>
      <w:r w:rsidRPr="00CF137F">
        <w:rPr>
          <w:rFonts w:ascii="Verdana" w:hAnsi="Verdana"/>
          <w:sz w:val="16"/>
          <w:szCs w:val="16"/>
        </w:rPr>
        <w:t>artículo</w:t>
      </w:r>
      <w:proofErr w:type="spellEnd"/>
      <w:r w:rsidRPr="00CF137F">
        <w:rPr>
          <w:rFonts w:ascii="Verdana" w:hAnsi="Verdana"/>
          <w:sz w:val="16"/>
          <w:szCs w:val="16"/>
        </w:rPr>
        <w:t xml:space="preserve"> 26 de la Convención Americana, de adoptar medidas apropiadas para alcanzar la completa realización de los derechos sociales. Sin embargo, a </w:t>
      </w:r>
      <w:proofErr w:type="spellStart"/>
      <w:r w:rsidRPr="00CF137F">
        <w:rPr>
          <w:rFonts w:ascii="Verdana" w:hAnsi="Verdana"/>
          <w:sz w:val="16"/>
          <w:szCs w:val="16"/>
        </w:rPr>
        <w:t>través</w:t>
      </w:r>
      <w:proofErr w:type="spellEnd"/>
      <w:r w:rsidRPr="00CF137F">
        <w:rPr>
          <w:rFonts w:ascii="Verdana" w:hAnsi="Verdana"/>
          <w:sz w:val="16"/>
          <w:szCs w:val="16"/>
        </w:rPr>
        <w:t xml:space="preserve"> de la omisión en sus </w:t>
      </w:r>
      <w:proofErr w:type="spellStart"/>
      <w:r w:rsidRPr="00CF137F">
        <w:rPr>
          <w:rFonts w:ascii="Verdana" w:hAnsi="Verdana"/>
          <w:sz w:val="16"/>
          <w:szCs w:val="16"/>
        </w:rPr>
        <w:t>políticas</w:t>
      </w:r>
      <w:proofErr w:type="spellEnd"/>
      <w:r w:rsidRPr="00CF137F">
        <w:rPr>
          <w:rFonts w:ascii="Verdana" w:hAnsi="Verdana"/>
          <w:sz w:val="16"/>
          <w:szCs w:val="16"/>
        </w:rPr>
        <w:t xml:space="preserve"> de salud el Estado disminuyo</w:t>
      </w:r>
      <w:r>
        <w:rPr>
          <w:rFonts w:ascii="Verdana" w:hAnsi="Verdana"/>
          <w:sz w:val="16"/>
          <w:szCs w:val="16"/>
        </w:rPr>
        <w:t xml:space="preserve">́ el goce de los miembros de la </w:t>
      </w:r>
      <w:r w:rsidRPr="00CF137F">
        <w:rPr>
          <w:rFonts w:ascii="Verdana" w:hAnsi="Verdana"/>
          <w:sz w:val="16"/>
          <w:szCs w:val="16"/>
        </w:rPr>
        <w:t xml:space="preserve">Comunidad </w:t>
      </w:r>
      <w:proofErr w:type="spellStart"/>
      <w:r w:rsidRPr="00CF137F">
        <w:rPr>
          <w:rFonts w:ascii="Verdana" w:hAnsi="Verdana"/>
          <w:sz w:val="16"/>
          <w:szCs w:val="16"/>
        </w:rPr>
        <w:t>Yakye</w:t>
      </w:r>
      <w:proofErr w:type="spellEnd"/>
      <w:r w:rsidRPr="00CF137F">
        <w:rPr>
          <w:rFonts w:ascii="Verdana" w:hAnsi="Verdana"/>
          <w:sz w:val="16"/>
          <w:szCs w:val="16"/>
        </w:rPr>
        <w:t xml:space="preserve"> Axa de las condiciones </w:t>
      </w:r>
      <w:proofErr w:type="spellStart"/>
      <w:r w:rsidRPr="00CF137F">
        <w:rPr>
          <w:rFonts w:ascii="Verdana" w:hAnsi="Verdana"/>
          <w:sz w:val="16"/>
          <w:szCs w:val="16"/>
        </w:rPr>
        <w:t>mínimas</w:t>
      </w:r>
      <w:proofErr w:type="spellEnd"/>
      <w:r w:rsidRPr="00CF137F">
        <w:rPr>
          <w:rFonts w:ascii="Verdana" w:hAnsi="Verdana"/>
          <w:sz w:val="16"/>
          <w:szCs w:val="16"/>
        </w:rPr>
        <w:t xml:space="preserve"> en el campo sanitario, alimenticio y </w:t>
      </w:r>
      <w:proofErr w:type="gramStart"/>
      <w:r w:rsidRPr="00CF137F">
        <w:rPr>
          <w:rFonts w:ascii="Verdana" w:hAnsi="Verdana"/>
          <w:sz w:val="16"/>
          <w:szCs w:val="16"/>
        </w:rPr>
        <w:t>habitacional[</w:t>
      </w:r>
      <w:proofErr w:type="gramEnd"/>
      <w:r w:rsidRPr="00CF137F">
        <w:rPr>
          <w:rFonts w:ascii="Verdana" w:hAnsi="Verdana"/>
          <w:sz w:val="16"/>
          <w:szCs w:val="16"/>
        </w:rPr>
        <w:t>…]”.</w:t>
      </w:r>
      <w:r>
        <w:rPr>
          <w:rFonts w:ascii="Verdana" w:hAnsi="Verdana"/>
          <w:sz w:val="16"/>
          <w:szCs w:val="16"/>
        </w:rPr>
        <w:t xml:space="preserve"> </w:t>
      </w:r>
      <w:r w:rsidRPr="00CF137F">
        <w:rPr>
          <w:rFonts w:ascii="Verdana" w:eastAsia="Times New Roman" w:hAnsi="Verdana"/>
          <w:bCs/>
          <w:i/>
          <w:color w:val="000000"/>
          <w:sz w:val="16"/>
          <w:szCs w:val="16"/>
          <w:lang w:val="es-MX"/>
        </w:rPr>
        <w:t xml:space="preserve">Caso Comunidad Indígena </w:t>
      </w:r>
      <w:proofErr w:type="spellStart"/>
      <w:r w:rsidRPr="00CF137F">
        <w:rPr>
          <w:rFonts w:ascii="Verdana" w:eastAsia="Times New Roman" w:hAnsi="Verdana"/>
          <w:bCs/>
          <w:i/>
          <w:color w:val="000000"/>
          <w:sz w:val="16"/>
          <w:szCs w:val="16"/>
          <w:lang w:val="es-MX"/>
        </w:rPr>
        <w:t>Yakye</w:t>
      </w:r>
      <w:proofErr w:type="spellEnd"/>
      <w:r w:rsidRPr="00CF137F">
        <w:rPr>
          <w:rFonts w:ascii="Verdana" w:eastAsia="Times New Roman" w:hAnsi="Verdana"/>
          <w:bCs/>
          <w:i/>
          <w:color w:val="000000"/>
          <w:sz w:val="16"/>
          <w:szCs w:val="16"/>
          <w:lang w:val="es-MX"/>
        </w:rPr>
        <w:t xml:space="preserve"> Axa Vs. Paraguay. Fondo Reparaciones y Costas</w:t>
      </w:r>
      <w:r w:rsidRPr="00CF137F">
        <w:rPr>
          <w:rFonts w:ascii="Verdana" w:eastAsia="Times New Roman" w:hAnsi="Verdana"/>
          <w:bCs/>
          <w:color w:val="000000"/>
          <w:sz w:val="16"/>
          <w:szCs w:val="16"/>
          <w:lang w:val="es-MX"/>
        </w:rPr>
        <w:t>. Sentencia 17 de junio de 200</w:t>
      </w:r>
      <w:r>
        <w:rPr>
          <w:rFonts w:ascii="Verdana" w:eastAsia="Times New Roman" w:hAnsi="Verdana"/>
          <w:bCs/>
          <w:color w:val="000000"/>
          <w:sz w:val="16"/>
          <w:szCs w:val="16"/>
          <w:lang w:val="es-MX"/>
        </w:rPr>
        <w:t>5. Serie C No. 125, párr. 157.</w:t>
      </w:r>
      <w:r w:rsidRPr="00CF137F">
        <w:rPr>
          <w:rFonts w:ascii="Verdana" w:eastAsia="Times New Roman" w:hAnsi="Verdana"/>
          <w:bCs/>
          <w:color w:val="000000"/>
          <w:sz w:val="16"/>
          <w:szCs w:val="16"/>
          <w:lang w:val="es-MX"/>
        </w:rPr>
        <w:t xml:space="preserve"> </w:t>
      </w:r>
      <w:bookmarkStart w:id="78" w:name="_GoBack"/>
      <w:bookmarkEnd w:id="78"/>
    </w:p>
  </w:footnote>
  <w:footnote w:id="358">
    <w:p w14:paraId="55F33508" w14:textId="462ADD2E" w:rsidR="00D86616" w:rsidRPr="007D19F0" w:rsidRDefault="00D86616" w:rsidP="00061C0D">
      <w:pPr>
        <w:spacing w:after="120"/>
        <w:jc w:val="both"/>
        <w:rPr>
          <w:rFonts w:ascii="Verdana" w:eastAsia="Times New Roman" w:hAnsi="Verdana"/>
          <w:bCs/>
          <w:color w:val="000000"/>
          <w:sz w:val="16"/>
          <w:szCs w:val="16"/>
          <w:lang w:val="es-MX"/>
        </w:rPr>
      </w:pPr>
      <w:r w:rsidRPr="00CB3D61">
        <w:rPr>
          <w:rStyle w:val="FootnoteReference"/>
          <w:szCs w:val="16"/>
        </w:rPr>
        <w:footnoteRef/>
      </w:r>
      <w:r w:rsidR="003B3688">
        <w:rPr>
          <w:rFonts w:ascii="Verdana" w:hAnsi="Verdana"/>
          <w:i/>
          <w:sz w:val="16"/>
          <w:szCs w:val="16"/>
        </w:rPr>
        <w:t xml:space="preserve"> </w:t>
      </w:r>
      <w:r w:rsidR="003B3688">
        <w:rPr>
          <w:rFonts w:ascii="Verdana" w:hAnsi="Verdana"/>
          <w:i/>
          <w:sz w:val="16"/>
          <w:szCs w:val="16"/>
        </w:rPr>
        <w:tab/>
      </w:r>
      <w:r w:rsidRPr="00CF137F">
        <w:rPr>
          <w:rFonts w:ascii="Verdana" w:hAnsi="Verdana"/>
          <w:i/>
          <w:sz w:val="16"/>
          <w:szCs w:val="16"/>
        </w:rPr>
        <w:t>Cfr.</w:t>
      </w:r>
      <w:r w:rsidRPr="00CF137F">
        <w:rPr>
          <w:rFonts w:ascii="Verdana" w:hAnsi="Verdana"/>
          <w:sz w:val="16"/>
          <w:szCs w:val="16"/>
        </w:rPr>
        <w:t xml:space="preserve"> </w:t>
      </w:r>
      <w:r w:rsidRPr="00CF137F">
        <w:rPr>
          <w:rFonts w:ascii="Verdana" w:eastAsia="Times New Roman" w:hAnsi="Verdana"/>
          <w:bCs/>
          <w:i/>
          <w:color w:val="000000"/>
          <w:sz w:val="16"/>
          <w:szCs w:val="16"/>
          <w:lang w:val="es-MX"/>
        </w:rPr>
        <w:t>Caso "Instituto de Reeducación del Menor" Vs. Paraguay. Excepciones Preliminares, Fondo, Reparaciones y Costas.</w:t>
      </w:r>
      <w:r w:rsidRPr="00CF137F">
        <w:rPr>
          <w:rFonts w:ascii="Verdana" w:eastAsia="Times New Roman" w:hAnsi="Verdana"/>
          <w:bCs/>
          <w:color w:val="000000"/>
          <w:sz w:val="16"/>
          <w:szCs w:val="16"/>
          <w:lang w:val="es-MX"/>
        </w:rPr>
        <w:t xml:space="preserve"> Sentencia de 2 de septiembre de 2004. Serie C No. 112, párr. 253; </w:t>
      </w:r>
      <w:r w:rsidRPr="00CF137F">
        <w:rPr>
          <w:rFonts w:ascii="Verdana" w:eastAsia="Times New Roman" w:hAnsi="Verdana"/>
          <w:bCs/>
          <w:i/>
          <w:color w:val="000000"/>
          <w:sz w:val="16"/>
          <w:szCs w:val="16"/>
          <w:lang w:val="es-MX"/>
        </w:rPr>
        <w:t xml:space="preserve">Caso de las niñas </w:t>
      </w:r>
      <w:proofErr w:type="spellStart"/>
      <w:r w:rsidRPr="00CF137F">
        <w:rPr>
          <w:rFonts w:ascii="Verdana" w:eastAsia="Times New Roman" w:hAnsi="Verdana"/>
          <w:bCs/>
          <w:i/>
          <w:color w:val="000000"/>
          <w:sz w:val="16"/>
          <w:szCs w:val="16"/>
          <w:lang w:val="es-MX"/>
        </w:rPr>
        <w:t>Yean</w:t>
      </w:r>
      <w:proofErr w:type="spellEnd"/>
      <w:r w:rsidRPr="00CF137F">
        <w:rPr>
          <w:rFonts w:ascii="Verdana" w:eastAsia="Times New Roman" w:hAnsi="Verdana"/>
          <w:bCs/>
          <w:i/>
          <w:color w:val="000000"/>
          <w:sz w:val="16"/>
          <w:szCs w:val="16"/>
          <w:lang w:val="es-MX"/>
        </w:rPr>
        <w:t xml:space="preserve"> y </w:t>
      </w:r>
      <w:proofErr w:type="spellStart"/>
      <w:r w:rsidRPr="00CF137F">
        <w:rPr>
          <w:rFonts w:ascii="Verdana" w:eastAsia="Times New Roman" w:hAnsi="Verdana"/>
          <w:bCs/>
          <w:i/>
          <w:color w:val="000000"/>
          <w:sz w:val="16"/>
          <w:szCs w:val="16"/>
          <w:lang w:val="es-MX"/>
        </w:rPr>
        <w:t>Bosico</w:t>
      </w:r>
      <w:proofErr w:type="spellEnd"/>
      <w:r w:rsidRPr="00CF137F">
        <w:rPr>
          <w:rFonts w:ascii="Verdana" w:eastAsia="Times New Roman" w:hAnsi="Verdana"/>
          <w:bCs/>
          <w:i/>
          <w:color w:val="000000"/>
          <w:sz w:val="16"/>
          <w:szCs w:val="16"/>
          <w:lang w:val="es-MX"/>
        </w:rPr>
        <w:t xml:space="preserve"> Vs. República Dominicana</w:t>
      </w:r>
      <w:r w:rsidRPr="00CF137F">
        <w:rPr>
          <w:rFonts w:ascii="Verdana" w:eastAsia="Times New Roman" w:hAnsi="Verdana"/>
          <w:bCs/>
          <w:color w:val="000000"/>
          <w:sz w:val="16"/>
          <w:szCs w:val="16"/>
          <w:lang w:val="es-MX"/>
        </w:rPr>
        <w:t>. Sentencia de 8 de septiembre de 2005. Serie C No. 130, párr. 115. B (en este caso los representa</w:t>
      </w:r>
      <w:r>
        <w:rPr>
          <w:rFonts w:ascii="Verdana" w:eastAsia="Times New Roman" w:hAnsi="Verdana"/>
          <w:bCs/>
          <w:color w:val="000000"/>
          <w:sz w:val="16"/>
          <w:szCs w:val="16"/>
          <w:lang w:val="es-MX"/>
        </w:rPr>
        <w:t>n</w:t>
      </w:r>
      <w:r w:rsidRPr="00CF137F">
        <w:rPr>
          <w:rFonts w:ascii="Verdana" w:eastAsia="Times New Roman" w:hAnsi="Verdana"/>
          <w:bCs/>
          <w:color w:val="000000"/>
          <w:sz w:val="16"/>
          <w:szCs w:val="16"/>
          <w:lang w:val="es-MX"/>
        </w:rPr>
        <w:t xml:space="preserve">tes alegaron que el derecho a la educación era un derecho tutelado por el artículo 26 de la Convención Americana bajo el contexto de la violación del artículo 19 de la </w:t>
      </w:r>
      <w:proofErr w:type="spellStart"/>
      <w:r w:rsidRPr="00CF137F">
        <w:rPr>
          <w:rFonts w:ascii="Verdana" w:eastAsia="Times New Roman" w:hAnsi="Verdana"/>
          <w:bCs/>
          <w:color w:val="000000"/>
          <w:sz w:val="16"/>
          <w:szCs w:val="16"/>
          <w:lang w:val="es-MX"/>
        </w:rPr>
        <w:t>Convencióin</w:t>
      </w:r>
      <w:proofErr w:type="spellEnd"/>
      <w:r w:rsidRPr="00CF137F">
        <w:rPr>
          <w:rFonts w:ascii="Verdana" w:eastAsia="Times New Roman" w:hAnsi="Verdana"/>
          <w:bCs/>
          <w:color w:val="000000"/>
          <w:sz w:val="16"/>
          <w:szCs w:val="16"/>
          <w:lang w:val="es-MX"/>
        </w:rPr>
        <w:t xml:space="preserve"> Americana); </w:t>
      </w:r>
      <w:r w:rsidRPr="00CF137F">
        <w:rPr>
          <w:rFonts w:ascii="Verdana" w:eastAsia="Times New Roman" w:hAnsi="Verdana"/>
          <w:bCs/>
          <w:i/>
          <w:color w:val="000000"/>
          <w:sz w:val="16"/>
          <w:szCs w:val="16"/>
          <w:lang w:val="es-MX"/>
        </w:rPr>
        <w:t>Caso Trabajadores Cesados del Congreso (Aguado Alfaro y otros) Vs. Perú. Excepciones Preliminares, Fondo, Reparaciones y Costas</w:t>
      </w:r>
      <w:r w:rsidRPr="00CF137F">
        <w:rPr>
          <w:rFonts w:ascii="Verdana" w:eastAsia="Times New Roman" w:hAnsi="Verdana"/>
          <w:bCs/>
          <w:color w:val="000000"/>
          <w:sz w:val="16"/>
          <w:szCs w:val="16"/>
          <w:lang w:val="es-MX"/>
        </w:rPr>
        <w:t xml:space="preserve">. Sentencia de 24 de noviembre de 2006. Serie C No. 158, párr. 134; </w:t>
      </w:r>
      <w:r w:rsidRPr="00CF137F">
        <w:rPr>
          <w:rFonts w:ascii="Verdana" w:eastAsia="Times New Roman" w:hAnsi="Verdana"/>
          <w:bCs/>
          <w:i/>
          <w:color w:val="000000"/>
          <w:sz w:val="16"/>
          <w:szCs w:val="16"/>
          <w:lang w:val="es-MX"/>
        </w:rPr>
        <w:t>Caso Acevedo Buendía y otros (“Cesantes y Jubilados de la Contraloría”) Vs. Perú. Excepción Preliminar, Fondo, Reparaciones y Costas</w:t>
      </w:r>
      <w:r w:rsidRPr="00CF137F">
        <w:rPr>
          <w:rFonts w:ascii="Verdana" w:eastAsia="Times New Roman" w:hAnsi="Verdana"/>
          <w:bCs/>
          <w:color w:val="000000"/>
          <w:sz w:val="16"/>
          <w:szCs w:val="16"/>
          <w:lang w:val="es-MX"/>
        </w:rPr>
        <w:t xml:space="preserve">. Sentencia de 1 de julio de 2009. Serie C No. 198, párr. 4; </w:t>
      </w:r>
      <w:r w:rsidRPr="00CF137F">
        <w:rPr>
          <w:rFonts w:ascii="Verdana" w:eastAsia="Times New Roman" w:hAnsi="Verdana"/>
          <w:bCs/>
          <w:i/>
          <w:color w:val="000000"/>
          <w:sz w:val="16"/>
          <w:szCs w:val="16"/>
          <w:lang w:val="es-MX"/>
        </w:rPr>
        <w:t xml:space="preserve">Caso Pueblo Indígena </w:t>
      </w:r>
      <w:proofErr w:type="spellStart"/>
      <w:r w:rsidRPr="00CF137F">
        <w:rPr>
          <w:rFonts w:ascii="Verdana" w:eastAsia="Times New Roman" w:hAnsi="Verdana"/>
          <w:bCs/>
          <w:i/>
          <w:color w:val="000000"/>
          <w:sz w:val="16"/>
          <w:szCs w:val="16"/>
          <w:lang w:val="es-MX"/>
        </w:rPr>
        <w:t>Kichwa</w:t>
      </w:r>
      <w:proofErr w:type="spellEnd"/>
      <w:r w:rsidRPr="00CF137F">
        <w:rPr>
          <w:rFonts w:ascii="Verdana" w:eastAsia="Times New Roman" w:hAnsi="Verdana"/>
          <w:bCs/>
          <w:i/>
          <w:color w:val="000000"/>
          <w:sz w:val="16"/>
          <w:szCs w:val="16"/>
          <w:lang w:val="es-MX"/>
        </w:rPr>
        <w:t xml:space="preserve"> de </w:t>
      </w:r>
      <w:proofErr w:type="spellStart"/>
      <w:r w:rsidRPr="00CF137F">
        <w:rPr>
          <w:rFonts w:ascii="Verdana" w:eastAsia="Times New Roman" w:hAnsi="Verdana"/>
          <w:bCs/>
          <w:i/>
          <w:color w:val="000000"/>
          <w:sz w:val="16"/>
          <w:szCs w:val="16"/>
          <w:lang w:val="es-MX"/>
        </w:rPr>
        <w:t>Sarayaku</w:t>
      </w:r>
      <w:proofErr w:type="spellEnd"/>
      <w:r w:rsidRPr="00CF137F">
        <w:rPr>
          <w:rFonts w:ascii="Verdana" w:eastAsia="Times New Roman" w:hAnsi="Verdana"/>
          <w:bCs/>
          <w:i/>
          <w:color w:val="000000"/>
          <w:sz w:val="16"/>
          <w:szCs w:val="16"/>
          <w:lang w:val="es-MX"/>
        </w:rPr>
        <w:t xml:space="preserve"> Vs. Ecuador. Fondo y reparaciones</w:t>
      </w:r>
      <w:r w:rsidRPr="00CF137F">
        <w:rPr>
          <w:rFonts w:ascii="Verdana" w:eastAsia="Times New Roman" w:hAnsi="Verdana"/>
          <w:bCs/>
          <w:color w:val="000000"/>
          <w:sz w:val="16"/>
          <w:szCs w:val="16"/>
          <w:lang w:val="es-MX"/>
        </w:rPr>
        <w:t xml:space="preserve">. Sentencia de 27 de junio de 2012. Serie C No. 245, párr. 137 a 139 y </w:t>
      </w:r>
      <w:r w:rsidRPr="00CF137F">
        <w:rPr>
          <w:rFonts w:ascii="Verdana" w:eastAsia="Times New Roman" w:hAnsi="Verdana"/>
          <w:bCs/>
          <w:i/>
          <w:color w:val="000000"/>
          <w:sz w:val="16"/>
          <w:szCs w:val="16"/>
          <w:lang w:val="es-MX"/>
        </w:rPr>
        <w:t xml:space="preserve">Caso Gonzales </w:t>
      </w:r>
      <w:proofErr w:type="spellStart"/>
      <w:r w:rsidRPr="00CF137F">
        <w:rPr>
          <w:rFonts w:ascii="Verdana" w:eastAsia="Times New Roman" w:hAnsi="Verdana"/>
          <w:bCs/>
          <w:i/>
          <w:color w:val="000000"/>
          <w:sz w:val="16"/>
          <w:szCs w:val="16"/>
          <w:lang w:val="es-MX"/>
        </w:rPr>
        <w:t>Lluy</w:t>
      </w:r>
      <w:proofErr w:type="spellEnd"/>
      <w:r w:rsidRPr="00CF137F">
        <w:rPr>
          <w:rFonts w:ascii="Verdana" w:eastAsia="Times New Roman" w:hAnsi="Verdana"/>
          <w:bCs/>
          <w:i/>
          <w:color w:val="000000"/>
          <w:sz w:val="16"/>
          <w:szCs w:val="16"/>
          <w:lang w:val="es-MX"/>
        </w:rPr>
        <w:t xml:space="preserve"> y otros Vs. Ecuador</w:t>
      </w:r>
      <w:r>
        <w:rPr>
          <w:rFonts w:ascii="Verdana" w:eastAsia="Times New Roman" w:hAnsi="Verdana"/>
          <w:bCs/>
          <w:i/>
          <w:color w:val="000000"/>
          <w:sz w:val="16"/>
          <w:szCs w:val="16"/>
          <w:lang w:val="es-MX"/>
        </w:rPr>
        <w:t xml:space="preserve">, supra, </w:t>
      </w:r>
      <w:r>
        <w:rPr>
          <w:rFonts w:ascii="Verdana" w:eastAsia="Times New Roman" w:hAnsi="Verdana"/>
          <w:bCs/>
          <w:color w:val="000000"/>
          <w:sz w:val="16"/>
          <w:szCs w:val="16"/>
          <w:lang w:val="es-MX"/>
        </w:rPr>
        <w:t xml:space="preserve">párr. 159. </w:t>
      </w:r>
    </w:p>
  </w:footnote>
  <w:footnote w:id="359">
    <w:p w14:paraId="6E46565C" w14:textId="77777777" w:rsidR="00D86616" w:rsidRPr="007D19F0" w:rsidRDefault="00D86616" w:rsidP="00F83E8F">
      <w:pPr>
        <w:jc w:val="both"/>
        <w:textAlignment w:val="baseline"/>
        <w:rPr>
          <w:rFonts w:ascii="Verdana" w:eastAsia="Times New Roman" w:hAnsi="Verdana"/>
          <w:color w:val="333333"/>
          <w:sz w:val="16"/>
          <w:szCs w:val="16"/>
          <w:lang w:val="es-MX"/>
        </w:rPr>
      </w:pPr>
      <w:r w:rsidRPr="00CB3D61">
        <w:rPr>
          <w:rStyle w:val="FootnoteReference"/>
          <w:szCs w:val="20"/>
        </w:rPr>
        <w:footnoteRef/>
      </w:r>
      <w:r w:rsidRPr="00CB3D61">
        <w:rPr>
          <w:rFonts w:ascii="Verdana" w:hAnsi="Verdana"/>
          <w:sz w:val="20"/>
          <w:szCs w:val="20"/>
        </w:rPr>
        <w:t xml:space="preserve"> </w:t>
      </w:r>
      <w:r w:rsidRPr="007D19F0">
        <w:rPr>
          <w:rFonts w:ascii="Verdana" w:hAnsi="Verdana"/>
          <w:sz w:val="16"/>
          <w:szCs w:val="16"/>
        </w:rPr>
        <w:tab/>
        <w:t>Al respecto</w:t>
      </w:r>
      <w:r>
        <w:rPr>
          <w:rFonts w:ascii="Verdana" w:hAnsi="Verdana"/>
          <w:sz w:val="16"/>
          <w:szCs w:val="16"/>
        </w:rPr>
        <w:t>,</w:t>
      </w:r>
      <w:r w:rsidRPr="007D19F0">
        <w:rPr>
          <w:rFonts w:ascii="Verdana" w:hAnsi="Verdana"/>
          <w:sz w:val="16"/>
          <w:szCs w:val="16"/>
        </w:rPr>
        <w:t xml:space="preserve"> es importante señalar que esta tendencia se ha materializado en el seno de </w:t>
      </w:r>
      <w:r>
        <w:rPr>
          <w:rFonts w:ascii="Verdana" w:hAnsi="Verdana"/>
          <w:sz w:val="16"/>
          <w:szCs w:val="16"/>
        </w:rPr>
        <w:t xml:space="preserve">las </w:t>
      </w:r>
      <w:r w:rsidRPr="007D19F0">
        <w:rPr>
          <w:rFonts w:ascii="Verdana" w:hAnsi="Verdana"/>
          <w:sz w:val="16"/>
          <w:szCs w:val="16"/>
        </w:rPr>
        <w:t>Naciones Unidas al entrar en vigor (</w:t>
      </w:r>
      <w:r>
        <w:rPr>
          <w:rFonts w:ascii="Verdana" w:hAnsi="Verdana"/>
          <w:sz w:val="16"/>
          <w:szCs w:val="16"/>
        </w:rPr>
        <w:t xml:space="preserve">en </w:t>
      </w:r>
      <w:r w:rsidRPr="007D19F0">
        <w:rPr>
          <w:rFonts w:ascii="Verdana" w:hAnsi="Verdana"/>
          <w:sz w:val="16"/>
          <w:szCs w:val="16"/>
        </w:rPr>
        <w:t>2013) el Protocolo Facultativo al Pacto Internacional de los Derechos Económicos, Sociales y Culturales (PF-PIDESC)</w:t>
      </w:r>
      <w:r>
        <w:rPr>
          <w:rFonts w:ascii="Verdana" w:hAnsi="Verdana"/>
          <w:sz w:val="16"/>
          <w:szCs w:val="16"/>
        </w:rPr>
        <w:t>,</w:t>
      </w:r>
      <w:r w:rsidRPr="007D19F0">
        <w:rPr>
          <w:rFonts w:ascii="Verdana" w:hAnsi="Verdana"/>
          <w:sz w:val="16"/>
          <w:szCs w:val="16"/>
        </w:rPr>
        <w:t xml:space="preserve"> adoptado en 2008. </w:t>
      </w:r>
      <w:r>
        <w:rPr>
          <w:rFonts w:ascii="Verdana" w:hAnsi="Verdana"/>
          <w:sz w:val="16"/>
          <w:szCs w:val="16"/>
        </w:rPr>
        <w:t>C</w:t>
      </w:r>
      <w:r w:rsidRPr="007D19F0">
        <w:rPr>
          <w:rFonts w:ascii="Verdana" w:hAnsi="Verdana"/>
          <w:sz w:val="16"/>
          <w:szCs w:val="16"/>
        </w:rPr>
        <w:t>on la entrada en vigor del PF-PIDESC</w:t>
      </w:r>
      <w:r>
        <w:rPr>
          <w:rFonts w:ascii="Verdana" w:hAnsi="Verdana"/>
          <w:sz w:val="16"/>
          <w:szCs w:val="16"/>
        </w:rPr>
        <w:t>,</w:t>
      </w:r>
      <w:r w:rsidRPr="007D19F0">
        <w:rPr>
          <w:rFonts w:ascii="Verdana" w:hAnsi="Verdana"/>
          <w:sz w:val="16"/>
          <w:szCs w:val="16"/>
        </w:rPr>
        <w:t xml:space="preserve"> el Comité de Derechos Económicos, Sociales y Culturales ha podido conocer de comunicaciones individuales </w:t>
      </w:r>
      <w:r>
        <w:rPr>
          <w:rFonts w:ascii="Verdana" w:hAnsi="Verdana"/>
          <w:sz w:val="16"/>
          <w:szCs w:val="16"/>
        </w:rPr>
        <w:t xml:space="preserve">a partir de las cuales </w:t>
      </w:r>
      <w:r w:rsidRPr="007D19F0">
        <w:rPr>
          <w:rFonts w:ascii="Verdana" w:hAnsi="Verdana"/>
          <w:sz w:val="16"/>
          <w:szCs w:val="16"/>
        </w:rPr>
        <w:t xml:space="preserve">ha declarado la infracción de las disposiciones del PIDESC.  Pueden verse al respecto: Comité DESC, </w:t>
      </w:r>
      <w:r w:rsidRPr="007D19F0">
        <w:rPr>
          <w:rFonts w:ascii="Verdana" w:hAnsi="Verdana"/>
          <w:i/>
          <w:sz w:val="16"/>
          <w:szCs w:val="16"/>
        </w:rPr>
        <w:t>Caso I.D.G Vs. España</w:t>
      </w:r>
      <w:r w:rsidRPr="007D19F0">
        <w:rPr>
          <w:rFonts w:ascii="Verdana" w:hAnsi="Verdana"/>
          <w:sz w:val="16"/>
          <w:szCs w:val="16"/>
        </w:rPr>
        <w:t xml:space="preserve">, </w:t>
      </w:r>
      <w:r w:rsidRPr="007D19F0">
        <w:rPr>
          <w:rFonts w:ascii="Verdana" w:eastAsia="Times New Roman" w:hAnsi="Verdana"/>
          <w:color w:val="333333"/>
          <w:sz w:val="16"/>
          <w:szCs w:val="16"/>
          <w:lang w:val="es-MX"/>
        </w:rPr>
        <w:t xml:space="preserve">E/C.12/55/D/2/2014, 17 de junio de 2015 y </w:t>
      </w:r>
      <w:r w:rsidRPr="007D19F0">
        <w:rPr>
          <w:rFonts w:ascii="Verdana" w:eastAsia="Times New Roman" w:hAnsi="Verdana"/>
          <w:i/>
          <w:color w:val="333333"/>
          <w:sz w:val="16"/>
          <w:szCs w:val="16"/>
          <w:lang w:val="es-MX"/>
        </w:rPr>
        <w:t>Caso López Rodriguez Vs. España</w:t>
      </w:r>
      <w:r w:rsidRPr="007D19F0">
        <w:rPr>
          <w:rFonts w:ascii="Verdana" w:eastAsia="Times New Roman" w:hAnsi="Verdana"/>
          <w:color w:val="333333"/>
          <w:sz w:val="16"/>
          <w:szCs w:val="16"/>
          <w:lang w:val="es-MX"/>
        </w:rPr>
        <w:t xml:space="preserve">, E/C.12/57/D/1/2013, 4 de marzo de 2016. </w:t>
      </w:r>
    </w:p>
    <w:p w14:paraId="1B6BFB30" w14:textId="77777777" w:rsidR="00D86616" w:rsidRPr="00513BDD" w:rsidRDefault="00D86616" w:rsidP="00F83E8F">
      <w:pPr>
        <w:pStyle w:val="FootnoteText"/>
        <w:rPr>
          <w:highlight w:val="yellow"/>
          <w:lang w:val="es-ES_tradnl"/>
        </w:rPr>
      </w:pPr>
    </w:p>
  </w:footnote>
  <w:footnote w:id="360">
    <w:p w14:paraId="18902C58" w14:textId="77777777" w:rsidR="00D86616" w:rsidRPr="004A58EA" w:rsidRDefault="00D86616" w:rsidP="00F83E8F">
      <w:pPr>
        <w:jc w:val="both"/>
        <w:rPr>
          <w:rFonts w:ascii="Verdana" w:hAnsi="Verdana"/>
          <w:sz w:val="16"/>
          <w:szCs w:val="16"/>
        </w:rPr>
      </w:pPr>
      <w:r w:rsidRPr="00CB3D61">
        <w:rPr>
          <w:rStyle w:val="FootnoteReference"/>
          <w:szCs w:val="20"/>
        </w:rPr>
        <w:footnoteRef/>
      </w:r>
      <w:r w:rsidRPr="00CB3D61">
        <w:rPr>
          <w:rFonts w:ascii="Verdana" w:hAnsi="Verdana"/>
          <w:sz w:val="20"/>
          <w:szCs w:val="20"/>
        </w:rPr>
        <w:t xml:space="preserve"> </w:t>
      </w:r>
      <w:r w:rsidRPr="004A58EA">
        <w:rPr>
          <w:rFonts w:ascii="Verdana" w:hAnsi="Verdana"/>
          <w:sz w:val="16"/>
          <w:szCs w:val="16"/>
        </w:rPr>
        <w:tab/>
        <w:t>Resulta espe</w:t>
      </w:r>
      <w:r>
        <w:rPr>
          <w:rFonts w:ascii="Verdana" w:hAnsi="Verdana"/>
          <w:sz w:val="16"/>
          <w:szCs w:val="16"/>
        </w:rPr>
        <w:t xml:space="preserve">cialmente significativo que la </w:t>
      </w:r>
      <w:proofErr w:type="spellStart"/>
      <w:r>
        <w:rPr>
          <w:rFonts w:ascii="Verdana" w:hAnsi="Verdana"/>
          <w:sz w:val="16"/>
          <w:szCs w:val="16"/>
        </w:rPr>
        <w:t>justiciabilidad</w:t>
      </w:r>
      <w:proofErr w:type="spellEnd"/>
      <w:r>
        <w:rPr>
          <w:rFonts w:ascii="Verdana" w:hAnsi="Verdana"/>
          <w:sz w:val="16"/>
          <w:szCs w:val="16"/>
        </w:rPr>
        <w:t xml:space="preserve"> directa de los DESCA se </w:t>
      </w:r>
      <w:proofErr w:type="spellStart"/>
      <w:r>
        <w:rPr>
          <w:rFonts w:ascii="Verdana" w:hAnsi="Verdana"/>
          <w:sz w:val="16"/>
          <w:szCs w:val="16"/>
        </w:rPr>
        <w:t>de</w:t>
      </w:r>
      <w:proofErr w:type="spellEnd"/>
      <w:r w:rsidRPr="004A58EA">
        <w:rPr>
          <w:rFonts w:ascii="Verdana" w:hAnsi="Verdana"/>
          <w:sz w:val="16"/>
          <w:szCs w:val="16"/>
        </w:rPr>
        <w:t xml:space="preserve"> al cumplirse cien años </w:t>
      </w:r>
      <w:r>
        <w:rPr>
          <w:rFonts w:ascii="Verdana" w:hAnsi="Verdana"/>
          <w:sz w:val="16"/>
          <w:szCs w:val="16"/>
        </w:rPr>
        <w:t xml:space="preserve">de </w:t>
      </w:r>
      <w:r w:rsidRPr="004A58EA">
        <w:rPr>
          <w:rFonts w:ascii="Verdana" w:hAnsi="Verdana"/>
          <w:sz w:val="16"/>
          <w:szCs w:val="16"/>
        </w:rPr>
        <w:t>la Constitución de Querétaro de 1917, primer ordenamiento constitucional en consagrar derechos sociales y particularmente derechos laborales. El constitucionalismo social tiene su origen en el texto original de la vigente Constitución Política de los Estados Unidos Mexicanos, promulgada el lunes 5 de febrero de 1917 en la ciudad de Querétaro, entrando en vigor el 1 de mayo de ese mismo año. Además de establecer el derecho a la educación (art. 3) y el derecho a la tierra (art. 27), se establecieron derechos laborales especí</w:t>
      </w:r>
      <w:r>
        <w:rPr>
          <w:rFonts w:ascii="Verdana" w:hAnsi="Verdana"/>
          <w:sz w:val="16"/>
          <w:szCs w:val="16"/>
        </w:rPr>
        <w:t xml:space="preserve">ficos (art. 123). En efecto, </w:t>
      </w:r>
      <w:r w:rsidRPr="004A58EA">
        <w:rPr>
          <w:rFonts w:ascii="Verdana" w:hAnsi="Verdana"/>
          <w:sz w:val="16"/>
          <w:szCs w:val="16"/>
        </w:rPr>
        <w:t>el Título Sexto, denominado “DEL TRABAJO Y</w:t>
      </w:r>
      <w:r>
        <w:rPr>
          <w:rFonts w:ascii="Verdana" w:hAnsi="Verdana"/>
          <w:sz w:val="16"/>
          <w:szCs w:val="16"/>
        </w:rPr>
        <w:t xml:space="preserve"> DE</w:t>
      </w:r>
      <w:r w:rsidRPr="004A58EA">
        <w:rPr>
          <w:rFonts w:ascii="Verdana" w:hAnsi="Verdana"/>
          <w:sz w:val="16"/>
          <w:szCs w:val="16"/>
        </w:rPr>
        <w:t xml:space="preserve"> LA PREVISIÓN SOCIAL”, consagró en las </w:t>
      </w:r>
      <w:r>
        <w:rPr>
          <w:rFonts w:ascii="Verdana" w:hAnsi="Verdana"/>
          <w:sz w:val="16"/>
          <w:szCs w:val="16"/>
        </w:rPr>
        <w:t>treinta fracciones del Artículo 123</w:t>
      </w:r>
      <w:r w:rsidRPr="004A58EA">
        <w:rPr>
          <w:rFonts w:ascii="Verdana" w:hAnsi="Verdana"/>
          <w:sz w:val="16"/>
          <w:szCs w:val="16"/>
        </w:rPr>
        <w:t xml:space="preserve"> derechos laborales a favor de obreros, jornaleros, emple</w:t>
      </w:r>
      <w:r>
        <w:rPr>
          <w:rFonts w:ascii="Verdana" w:hAnsi="Verdana"/>
          <w:sz w:val="16"/>
          <w:szCs w:val="16"/>
        </w:rPr>
        <w:t>ados, domésticos y artesanos:  d</w:t>
      </w:r>
      <w:r w:rsidRPr="004A58EA">
        <w:rPr>
          <w:rFonts w:ascii="Verdana" w:hAnsi="Verdana"/>
          <w:sz w:val="16"/>
          <w:szCs w:val="16"/>
        </w:rPr>
        <w:t>uración máxima de la jornada laboral; prohibición de contratar a menores de 12 años de edad; prohibición de que mujeres y menores de 16 años realicen labores insalubres o peligrosas o cualquier otra después de las 10 de la noche; derecho al descanso; derechos a mujeres embarazadas y durante el periodo de lactancia; derecho al salario mínimo y remunerador, así como la prohibición de su embargo, compensación o descuento; derecho del trabajador a participar en las utilidades de la empresa; derecho al pago de las horas extra de trabajo; obligación de los patronos agrícolas, industrial</w:t>
      </w:r>
      <w:r>
        <w:rPr>
          <w:rFonts w:ascii="Verdana" w:hAnsi="Verdana"/>
          <w:sz w:val="16"/>
          <w:szCs w:val="16"/>
        </w:rPr>
        <w:t>es o mineros</w:t>
      </w:r>
      <w:r w:rsidRPr="004A58EA">
        <w:rPr>
          <w:rFonts w:ascii="Verdana" w:hAnsi="Verdana"/>
          <w:sz w:val="16"/>
          <w:szCs w:val="16"/>
        </w:rPr>
        <w:t xml:space="preserve"> de proporcionar a los trabajadores habitaciones cómodas e higiénicas con rentas de precio restringido y a establecer otros servicios necesarios en la comunidad (escuelas, enfermerías, etc.); obligación del Estado de inculcar la previsión popular (mediante cajas de seguros populares, de invalidez, etc.); derecho a la indemnización por accidentes de trabajo y enfermedades profesionales; derecho de los trabajadores  a colegiarse, de huelga y paro; </w:t>
      </w:r>
      <w:r>
        <w:rPr>
          <w:rFonts w:ascii="Verdana" w:hAnsi="Verdana"/>
          <w:sz w:val="16"/>
          <w:szCs w:val="16"/>
        </w:rPr>
        <w:t xml:space="preserve">y </w:t>
      </w:r>
      <w:r w:rsidRPr="004A58EA">
        <w:rPr>
          <w:rFonts w:ascii="Verdana" w:hAnsi="Verdana"/>
          <w:sz w:val="16"/>
          <w:szCs w:val="16"/>
        </w:rPr>
        <w:t>derecho del trabajador a reinstalación o indemnización por despido injustificado.</w:t>
      </w:r>
    </w:p>
    <w:p w14:paraId="6E01DF84" w14:textId="77777777" w:rsidR="00D86616" w:rsidRPr="00C749DE" w:rsidRDefault="00D86616" w:rsidP="00F83E8F">
      <w:pPr>
        <w:jc w:val="both"/>
        <w:rPr>
          <w:rFonts w:ascii="Verdana" w:hAnsi="Verdana"/>
          <w:sz w:val="16"/>
          <w:szCs w:val="16"/>
        </w:rPr>
      </w:pPr>
    </w:p>
  </w:footnote>
  <w:footnote w:id="361">
    <w:p w14:paraId="58E8C9F5" w14:textId="77777777" w:rsidR="00D86616" w:rsidRPr="00B031D0" w:rsidRDefault="00D86616" w:rsidP="00F83E8F">
      <w:pPr>
        <w:spacing w:after="120"/>
        <w:jc w:val="both"/>
        <w:rPr>
          <w:rFonts w:ascii="Verdana" w:hAnsi="Verdana"/>
          <w:sz w:val="16"/>
          <w:szCs w:val="16"/>
        </w:rPr>
      </w:pPr>
      <w:r w:rsidRPr="00CB3D61">
        <w:rPr>
          <w:rStyle w:val="FootnoteReference"/>
          <w:szCs w:val="20"/>
        </w:rPr>
        <w:footnoteRef/>
      </w:r>
      <w:r w:rsidRPr="000D431F">
        <w:rPr>
          <w:rFonts w:ascii="Verdana" w:hAnsi="Verdana"/>
          <w:sz w:val="16"/>
          <w:szCs w:val="16"/>
        </w:rPr>
        <w:t xml:space="preserve"> </w:t>
      </w:r>
      <w:r w:rsidRPr="000D431F">
        <w:rPr>
          <w:rFonts w:ascii="Verdana" w:hAnsi="Verdana"/>
          <w:sz w:val="16"/>
          <w:szCs w:val="16"/>
        </w:rPr>
        <w:tab/>
      </w:r>
      <w:r w:rsidRPr="000D431F">
        <w:rPr>
          <w:rFonts w:ascii="Verdana" w:eastAsia="Times New Roman" w:hAnsi="Verdana" w:cs="Arial"/>
          <w:sz w:val="16"/>
          <w:szCs w:val="16"/>
          <w:shd w:val="clear" w:color="auto" w:fill="FFFFFF"/>
        </w:rPr>
        <w:t>El 25 de septiembre de 2015, los líderes mundiales adoptaron un conjunto de objetivos globales para erradicar la pobreza, proteger el planeta y asegurar la prosperidad para todos como parte de una</w:t>
      </w:r>
      <w:r w:rsidRPr="000D431F">
        <w:rPr>
          <w:rStyle w:val="apple-converted-space"/>
          <w:rFonts w:ascii="Verdana" w:eastAsia="Times New Roman" w:hAnsi="Verdana" w:cs="Arial"/>
          <w:sz w:val="16"/>
          <w:szCs w:val="16"/>
          <w:shd w:val="clear" w:color="auto" w:fill="FFFFFF"/>
        </w:rPr>
        <w:t> </w:t>
      </w:r>
      <w:r w:rsidRPr="000D431F">
        <w:rPr>
          <w:rFonts w:ascii="Verdana" w:eastAsia="Times New Roman" w:hAnsi="Verdana" w:cs="Arial"/>
          <w:sz w:val="16"/>
          <w:szCs w:val="16"/>
        </w:rPr>
        <w:t>nueva agenda de desarrollo sostenible</w:t>
      </w:r>
      <w:r w:rsidRPr="000D431F">
        <w:rPr>
          <w:rFonts w:ascii="Verdana" w:eastAsia="Times New Roman" w:hAnsi="Verdana" w:cs="Arial"/>
          <w:sz w:val="16"/>
          <w:szCs w:val="16"/>
          <w:shd w:val="clear" w:color="auto" w:fill="FFFFFF"/>
        </w:rPr>
        <w:t>. Cada objetivo tiene metas específicas que deben alcanzarse en los próximos 15 a</w:t>
      </w:r>
      <w:r>
        <w:rPr>
          <w:rFonts w:ascii="Verdana" w:eastAsia="Times New Roman" w:hAnsi="Verdana" w:cs="Arial"/>
          <w:sz w:val="16"/>
          <w:szCs w:val="16"/>
          <w:shd w:val="clear" w:color="auto" w:fill="FFFFFF"/>
        </w:rPr>
        <w:t xml:space="preserve">ños. </w:t>
      </w:r>
      <w:r w:rsidRPr="000D431F">
        <w:rPr>
          <w:rFonts w:ascii="Verdana" w:hAnsi="Verdana"/>
          <w:sz w:val="16"/>
          <w:szCs w:val="16"/>
        </w:rPr>
        <w:t>Entre los Objetivos</w:t>
      </w:r>
      <w:r>
        <w:rPr>
          <w:rFonts w:ascii="Verdana" w:hAnsi="Verdana"/>
          <w:sz w:val="16"/>
          <w:szCs w:val="16"/>
        </w:rPr>
        <w:t xml:space="preserve"> destacan poner fin a</w:t>
      </w:r>
      <w:r w:rsidRPr="000D431F">
        <w:rPr>
          <w:rFonts w:ascii="Verdana" w:hAnsi="Verdana"/>
          <w:sz w:val="16"/>
          <w:szCs w:val="16"/>
        </w:rPr>
        <w:t xml:space="preserve"> la pobreza (Objetivo No. 1), hambre cero (Objetivo No. 2), salud y bienestar (Objetivo No.3), educación de calidad (Objetivo No. 4), agua limpia y saneamiento (Objetivo No. 6), trabajo decente y crecimiento económico (Objetivo No. 8), reducción de desigualdades (Objetivo No. 10), acción por el clima, la vida submarina y la vida de los ecosistemas terrestres (Objetivos No. 13,14 y 15)</w:t>
      </w:r>
      <w:r>
        <w:rPr>
          <w:rFonts w:ascii="Verdana" w:hAnsi="Verdana"/>
          <w:sz w:val="16"/>
          <w:szCs w:val="16"/>
        </w:rPr>
        <w:t>. Estos Objetivos, claramente</w:t>
      </w:r>
      <w:r w:rsidRPr="000D431F">
        <w:rPr>
          <w:rFonts w:ascii="Verdana" w:hAnsi="Verdana"/>
          <w:sz w:val="16"/>
          <w:szCs w:val="16"/>
        </w:rPr>
        <w:t xml:space="preserve"> se encuentran en el plano de los derechos económicos, sociales, culturales y ambientales. </w:t>
      </w:r>
    </w:p>
  </w:footnote>
  <w:footnote w:id="362">
    <w:p w14:paraId="75989158" w14:textId="77777777" w:rsidR="00D86616" w:rsidRPr="00B031D0" w:rsidRDefault="00D86616" w:rsidP="00F83E8F">
      <w:pPr>
        <w:spacing w:after="120"/>
        <w:jc w:val="both"/>
        <w:rPr>
          <w:rFonts w:ascii="Verdana" w:hAnsi="Verdana"/>
          <w:sz w:val="16"/>
          <w:szCs w:val="16"/>
        </w:rPr>
      </w:pPr>
      <w:r w:rsidRPr="00CB3D61">
        <w:rPr>
          <w:rStyle w:val="FootnoteReference"/>
          <w:szCs w:val="20"/>
        </w:rPr>
        <w:footnoteRef/>
      </w:r>
      <w:r w:rsidRPr="00CB3D61">
        <w:rPr>
          <w:rFonts w:ascii="Verdana" w:hAnsi="Verdana"/>
          <w:sz w:val="20"/>
          <w:szCs w:val="20"/>
        </w:rPr>
        <w:t xml:space="preserve"> </w:t>
      </w:r>
      <w:r w:rsidRPr="000D431F">
        <w:rPr>
          <w:rFonts w:ascii="Verdana" w:hAnsi="Verdana"/>
          <w:sz w:val="16"/>
          <w:szCs w:val="16"/>
        </w:rPr>
        <w:tab/>
      </w:r>
      <w:r>
        <w:rPr>
          <w:rFonts w:ascii="Verdana" w:hAnsi="Verdana"/>
          <w:sz w:val="16"/>
          <w:szCs w:val="16"/>
        </w:rPr>
        <w:t>Asimismo, véase nota 216 de la Sentencia.</w:t>
      </w:r>
    </w:p>
  </w:footnote>
  <w:footnote w:id="363">
    <w:p w14:paraId="790CD8E6" w14:textId="77777777" w:rsidR="00D86616" w:rsidRPr="003668F4" w:rsidRDefault="00D86616" w:rsidP="00F83E8F">
      <w:pPr>
        <w:jc w:val="both"/>
        <w:rPr>
          <w:rFonts w:ascii="Verdana" w:eastAsia="Times New Roman" w:hAnsi="Verdana"/>
          <w:sz w:val="16"/>
          <w:szCs w:val="16"/>
          <w:lang w:val="es-MX"/>
        </w:rPr>
      </w:pPr>
      <w:r w:rsidRPr="00CB3D61">
        <w:rPr>
          <w:rStyle w:val="FootnoteReference"/>
          <w:szCs w:val="20"/>
        </w:rPr>
        <w:footnoteRef/>
      </w:r>
      <w:r w:rsidRPr="00CB3D61">
        <w:rPr>
          <w:rFonts w:ascii="Verdana" w:hAnsi="Verdana"/>
          <w:sz w:val="20"/>
          <w:szCs w:val="20"/>
        </w:rPr>
        <w:t xml:space="preserve"> </w:t>
      </w:r>
      <w:r w:rsidRPr="007D68DD">
        <w:rPr>
          <w:rFonts w:ascii="Verdana" w:hAnsi="Verdana"/>
          <w:sz w:val="16"/>
          <w:szCs w:val="16"/>
        </w:rPr>
        <w:tab/>
      </w:r>
      <w:r w:rsidRPr="003B0E36">
        <w:rPr>
          <w:rFonts w:ascii="Verdana" w:hAnsi="Verdana"/>
          <w:sz w:val="16"/>
          <w:szCs w:val="16"/>
        </w:rPr>
        <w:t xml:space="preserve">Véase </w:t>
      </w:r>
      <w:r w:rsidRPr="003B0E36">
        <w:rPr>
          <w:rFonts w:ascii="Verdana" w:hAnsi="Verdana"/>
          <w:i/>
          <w:sz w:val="16"/>
          <w:szCs w:val="16"/>
        </w:rPr>
        <w:t>Panorámica Social de América Latina</w:t>
      </w:r>
      <w:r w:rsidRPr="003B0E36">
        <w:rPr>
          <w:rFonts w:ascii="Verdana" w:hAnsi="Verdana"/>
          <w:sz w:val="16"/>
          <w:szCs w:val="16"/>
        </w:rPr>
        <w:t xml:space="preserve"> </w:t>
      </w:r>
      <w:r w:rsidRPr="003B0E36">
        <w:rPr>
          <w:rFonts w:ascii="Verdana" w:hAnsi="Verdana"/>
          <w:i/>
          <w:sz w:val="16"/>
          <w:szCs w:val="16"/>
        </w:rPr>
        <w:t>2016</w:t>
      </w:r>
      <w:r w:rsidRPr="003B0E36">
        <w:rPr>
          <w:rFonts w:ascii="Verdana" w:hAnsi="Verdana"/>
          <w:sz w:val="16"/>
          <w:szCs w:val="16"/>
        </w:rPr>
        <w:t>, Comisión Económica para Am</w:t>
      </w:r>
      <w:r>
        <w:rPr>
          <w:rFonts w:ascii="Verdana" w:hAnsi="Verdana"/>
          <w:sz w:val="16"/>
          <w:szCs w:val="16"/>
        </w:rPr>
        <w:t>érica Latina y el Caribe</w:t>
      </w:r>
      <w:r w:rsidRPr="003B0E36">
        <w:rPr>
          <w:rFonts w:ascii="Verdana" w:hAnsi="Verdana"/>
          <w:sz w:val="16"/>
          <w:szCs w:val="16"/>
        </w:rPr>
        <w:t xml:space="preserve">, Naciones Unidas, 2017, p. 11. </w:t>
      </w:r>
      <w:r>
        <w:rPr>
          <w:rFonts w:ascii="Verdana" w:hAnsi="Verdana"/>
          <w:sz w:val="16"/>
          <w:szCs w:val="16"/>
        </w:rPr>
        <w:t>Asimismo, sostiene la</w:t>
      </w:r>
      <w:r w:rsidRPr="003B0E36">
        <w:rPr>
          <w:rFonts w:ascii="Verdana" w:hAnsi="Verdana"/>
          <w:sz w:val="16"/>
          <w:szCs w:val="16"/>
        </w:rPr>
        <w:t xml:space="preserve"> CEPAL</w:t>
      </w:r>
      <w:r>
        <w:rPr>
          <w:rFonts w:ascii="Verdana" w:hAnsi="Verdana"/>
          <w:sz w:val="16"/>
          <w:szCs w:val="16"/>
        </w:rPr>
        <w:t xml:space="preserve"> que</w:t>
      </w:r>
      <w:r w:rsidRPr="003B0E36">
        <w:rPr>
          <w:rFonts w:ascii="Verdana" w:hAnsi="Verdana"/>
          <w:sz w:val="16"/>
          <w:szCs w:val="16"/>
        </w:rPr>
        <w:t xml:space="preserve"> “la desigualdad se manifiesta en que no todos los individuos pueden ejercer plenamente sus derechos civiles, políticos, económicos, sociales y medioambientales y que, por tanto, el principio de universalidad ha sido vulnerado”.</w:t>
      </w:r>
      <w:r w:rsidRPr="007D68DD">
        <w:rPr>
          <w:rFonts w:ascii="Verdana" w:hAnsi="Verdana"/>
          <w:sz w:val="16"/>
          <w:szCs w:val="16"/>
        </w:rPr>
        <w:t xml:space="preserve"> </w:t>
      </w:r>
      <w:r w:rsidRPr="00A54BFE">
        <w:rPr>
          <w:rFonts w:ascii="Verdana" w:hAnsi="Verdana"/>
          <w:sz w:val="16"/>
          <w:szCs w:val="16"/>
        </w:rPr>
        <w:t>Por su parte, el Preámbulo de la Convención Americana, en su párrafo quinto, estipula que “</w:t>
      </w:r>
      <w:r w:rsidRPr="00A54BFE">
        <w:rPr>
          <w:rFonts w:ascii="Verdana" w:eastAsia="Times New Roman" w:hAnsi="Verdana" w:cs="Tahoma"/>
          <w:color w:val="000000"/>
          <w:sz w:val="16"/>
          <w:szCs w:val="16"/>
          <w:lang w:val="es-MX"/>
        </w:rPr>
        <w:t xml:space="preserve">Reiterando que, con arreglo a la Declaración Universal de los Derechos Humanos, </w:t>
      </w:r>
      <w:r w:rsidRPr="00A54BFE">
        <w:rPr>
          <w:rFonts w:ascii="Verdana" w:eastAsia="Times New Roman" w:hAnsi="Verdana" w:cs="Tahoma"/>
          <w:color w:val="000000"/>
          <w:sz w:val="16"/>
          <w:szCs w:val="16"/>
          <w:u w:val="single"/>
          <w:lang w:val="es-MX"/>
        </w:rPr>
        <w:t>sólo puede realizarse el ideal del ser humano libre, exento del temor y de la miseria, si se crean condiciones que permitan a cada persona gozar de sus derechos económicos, sociales y culturales, tanto como de sus derechos civiles y políticos</w:t>
      </w:r>
      <w:r w:rsidRPr="00A54BFE">
        <w:rPr>
          <w:rFonts w:ascii="Verdana" w:eastAsia="Times New Roman" w:hAnsi="Verdana"/>
          <w:sz w:val="16"/>
          <w:szCs w:val="16"/>
          <w:lang w:val="es-MX"/>
        </w:rPr>
        <w:t>”.</w:t>
      </w:r>
      <w:r w:rsidRPr="003668F4">
        <w:rPr>
          <w:rFonts w:ascii="Verdana" w:eastAsia="Times New Roman" w:hAnsi="Verdana"/>
          <w:sz w:val="16"/>
          <w:szCs w:val="16"/>
          <w:lang w:val="es-MX"/>
        </w:rPr>
        <w:t xml:space="preserve"> </w:t>
      </w:r>
    </w:p>
    <w:p w14:paraId="7CE9DA06" w14:textId="77777777" w:rsidR="00D86616" w:rsidRPr="007D68DD" w:rsidRDefault="00D86616" w:rsidP="00F83E8F">
      <w:pPr>
        <w:jc w:val="both"/>
        <w:textAlignment w:val="baseline"/>
        <w:rPr>
          <w:rFonts w:ascii="Verdana" w:hAnsi="Verdana"/>
          <w:sz w:val="16"/>
          <w:szCs w:val="16"/>
        </w:rPr>
      </w:pPr>
    </w:p>
    <w:p w14:paraId="325E1CBB" w14:textId="77777777" w:rsidR="00D86616" w:rsidRPr="00513BDD" w:rsidRDefault="00D86616" w:rsidP="00F83E8F">
      <w:pPr>
        <w:pStyle w:val="FootnoteText"/>
        <w:rPr>
          <w:highlight w:val="yellow"/>
          <w:lang w:val="es-ES_tradnl"/>
        </w:rPr>
      </w:pPr>
    </w:p>
  </w:footnote>
  <w:footnote w:id="364">
    <w:p w14:paraId="392FB052"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Art. 66.2 de la Convención: “</w:t>
      </w:r>
      <w:r w:rsidRPr="00032C73">
        <w:rPr>
          <w:i/>
          <w:lang w:val="es-ES"/>
        </w:rPr>
        <w:t>Si el fallo no expresare en todo o en parte la opinión unánime de los jueces, cualquiera de éstos tendrá derecho a que se agregue al fallo su opinión disidente o individual</w:t>
      </w:r>
      <w:r w:rsidRPr="00032C73">
        <w:rPr>
          <w:lang w:val="es-ES"/>
        </w:rPr>
        <w:t xml:space="preserve">.” </w:t>
      </w:r>
    </w:p>
    <w:p w14:paraId="758C119A" w14:textId="77777777" w:rsidR="00D86616" w:rsidRPr="00032C73" w:rsidRDefault="00D86616" w:rsidP="003C2143">
      <w:pPr>
        <w:pStyle w:val="FootnoteText"/>
        <w:rPr>
          <w:i/>
          <w:lang w:val="es-ES"/>
        </w:rPr>
      </w:pPr>
      <w:r w:rsidRPr="00032C73">
        <w:rPr>
          <w:lang w:val="es-ES"/>
        </w:rPr>
        <w:t>Art, 24.3 de los Estatutos de la Corte: “</w:t>
      </w:r>
      <w:r w:rsidRPr="00032C73">
        <w:rPr>
          <w:i/>
          <w:lang w:val="es-ES"/>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14:paraId="198C3CA8" w14:textId="77777777" w:rsidR="00D86616" w:rsidRPr="00032C73" w:rsidRDefault="00D86616" w:rsidP="003C2143">
      <w:pPr>
        <w:pStyle w:val="FootnoteText"/>
        <w:rPr>
          <w:i/>
          <w:lang w:val="es-ES"/>
        </w:rPr>
      </w:pPr>
      <w:r w:rsidRPr="00032C73">
        <w:rPr>
          <w:lang w:val="es-ES"/>
        </w:rPr>
        <w:t>Art.65.2 del Reglamento de la Corte: “</w:t>
      </w:r>
      <w:r w:rsidRPr="00032C73">
        <w:rPr>
          <w:i/>
          <w:lang w:val="es-ES"/>
        </w:rPr>
        <w:t>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14:paraId="33FFA850" w14:textId="77777777" w:rsidR="00D86616" w:rsidRPr="00032C73" w:rsidRDefault="00D86616" w:rsidP="003C2143">
      <w:pPr>
        <w:pStyle w:val="FootnoteText"/>
        <w:rPr>
          <w:lang w:val="es-ES"/>
        </w:rPr>
      </w:pPr>
      <w:r w:rsidRPr="00032C73">
        <w:rPr>
          <w:lang w:val="es-ES"/>
        </w:rPr>
        <w:t>En lo sucesivo, cada vez que se cite una disposición sin indicar a cual instrumento jurídico corresponde, se entenderá que es de la Convención Americana sobre Derechos Humanos.</w:t>
      </w:r>
    </w:p>
    <w:p w14:paraId="71E8D023" w14:textId="77777777" w:rsidR="00D86616" w:rsidRPr="00032C73" w:rsidRDefault="00D86616" w:rsidP="003C2143">
      <w:pPr>
        <w:pStyle w:val="FootnoteText"/>
        <w:rPr>
          <w:lang w:val="es-ES"/>
        </w:rPr>
      </w:pPr>
    </w:p>
  </w:footnote>
  <w:footnote w:id="365">
    <w:p w14:paraId="0B85CF12"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En adelante, la Sentencia.</w:t>
      </w:r>
    </w:p>
    <w:p w14:paraId="27659EDC" w14:textId="77777777" w:rsidR="00D86616" w:rsidRPr="00032C73" w:rsidRDefault="00D86616" w:rsidP="003C2143">
      <w:pPr>
        <w:pStyle w:val="FootnoteText"/>
        <w:rPr>
          <w:lang w:val="es-ES"/>
        </w:rPr>
      </w:pPr>
    </w:p>
  </w:footnote>
  <w:footnote w:id="366">
    <w:p w14:paraId="008C360B"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w:t>
      </w:r>
      <w:r w:rsidRPr="00032C73">
        <w:rPr>
          <w:i/>
          <w:lang w:val="es-ES"/>
        </w:rPr>
        <w:t xml:space="preserve">“Desarrollo Progresivo.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p w14:paraId="1E01E87D" w14:textId="77777777" w:rsidR="00D86616" w:rsidRPr="00032C73" w:rsidRDefault="00D86616" w:rsidP="003C2143">
      <w:pPr>
        <w:pStyle w:val="FootnoteText"/>
        <w:rPr>
          <w:lang w:val="es-ES"/>
        </w:rPr>
      </w:pPr>
      <w:r w:rsidRPr="00032C73">
        <w:rPr>
          <w:lang w:val="es-ES"/>
        </w:rPr>
        <w:t>En adelante, la Organización de los Estados Americanos será denominada OEA.</w:t>
      </w:r>
    </w:p>
    <w:p w14:paraId="4A40C87F" w14:textId="77777777" w:rsidR="00D86616" w:rsidRPr="00032C73" w:rsidRDefault="00D86616" w:rsidP="003C2143">
      <w:pPr>
        <w:pStyle w:val="FootnoteText"/>
        <w:rPr>
          <w:lang w:val="es-ES"/>
        </w:rPr>
      </w:pPr>
    </w:p>
  </w:footnote>
  <w:footnote w:id="367">
    <w:p w14:paraId="3258813F"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En adelante, la Convención. </w:t>
      </w:r>
    </w:p>
    <w:p w14:paraId="08632C9A" w14:textId="77777777" w:rsidR="00D86616" w:rsidRPr="00032C73" w:rsidRDefault="00D86616" w:rsidP="003C2143">
      <w:pPr>
        <w:pStyle w:val="FootnoteText"/>
        <w:rPr>
          <w:lang w:val="es-ES"/>
        </w:rPr>
      </w:pPr>
    </w:p>
  </w:footnote>
  <w:footnote w:id="368">
    <w:p w14:paraId="5FB2B3D6"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w:t>
      </w:r>
      <w:r w:rsidRPr="00032C73">
        <w:rPr>
          <w:i/>
          <w:lang w:val="es-ES"/>
        </w:rPr>
        <w:t>El Estado es responsable por la violación al derecho a la estabilidad laboral, reconocido en el artículo 26 de la Convención Americana, en relación con los artículos 1.1, 13, 8 y 16 de la misma, en perjuicio del señor Lagos del Campo, en los términos de los párrafos 133 a 154 y 166 de la presente Sentencia</w:t>
      </w:r>
      <w:r w:rsidRPr="00032C73">
        <w:rPr>
          <w:lang w:val="es-ES"/>
        </w:rPr>
        <w:t>.”</w:t>
      </w:r>
    </w:p>
    <w:p w14:paraId="65A9F2CE" w14:textId="77777777" w:rsidR="00D86616" w:rsidRPr="00032C73" w:rsidRDefault="00D86616" w:rsidP="003C2143">
      <w:pPr>
        <w:pStyle w:val="FootnoteText"/>
        <w:rPr>
          <w:lang w:val="es-ES"/>
        </w:rPr>
      </w:pPr>
    </w:p>
  </w:footnote>
  <w:footnote w:id="369">
    <w:p w14:paraId="43D4AF6A"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w:t>
      </w:r>
      <w:r w:rsidRPr="00032C73">
        <w:rPr>
          <w:i/>
          <w:lang w:val="es-ES"/>
        </w:rPr>
        <w:t>El Estado es responsable por la violación al derecho a la libertad de asociación, reconocido en los artículos 16 y 26 de la Convención Americana, en relación con los artículos 1.1, 13 y 8 de la misma, en perjuicio del señor Lagos del Campo, en los términos de los párrafos 155 a 163 de la presente Sentencia</w:t>
      </w:r>
      <w:r w:rsidRPr="00032C73">
        <w:rPr>
          <w:lang w:val="es-ES"/>
        </w:rPr>
        <w:t>.”</w:t>
      </w:r>
    </w:p>
    <w:p w14:paraId="515A4289" w14:textId="77777777" w:rsidR="00D86616" w:rsidRPr="00032C73" w:rsidRDefault="00D86616" w:rsidP="003C2143">
      <w:pPr>
        <w:pStyle w:val="FootnoteText"/>
        <w:rPr>
          <w:lang w:val="es-ES"/>
        </w:rPr>
      </w:pPr>
    </w:p>
  </w:footnote>
  <w:footnote w:id="370">
    <w:p w14:paraId="0EB7511F"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En adelante, la Corte.</w:t>
      </w:r>
    </w:p>
    <w:p w14:paraId="29AFD373" w14:textId="77777777" w:rsidR="00D86616" w:rsidRPr="00032C73" w:rsidRDefault="00D86616" w:rsidP="003C2143">
      <w:pPr>
        <w:pStyle w:val="FootnoteText"/>
        <w:rPr>
          <w:lang w:val="es-ES"/>
        </w:rPr>
      </w:pPr>
    </w:p>
  </w:footnote>
  <w:footnote w:id="371">
    <w:p w14:paraId="594FBDAA"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Art.62.3: “</w:t>
      </w:r>
      <w:r w:rsidRPr="00032C73">
        <w:rPr>
          <w:i/>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Pr="00032C73">
        <w:rPr>
          <w:lang w:val="es-ES"/>
        </w:rPr>
        <w:t>”</w:t>
      </w:r>
    </w:p>
    <w:p w14:paraId="632C0942" w14:textId="77777777" w:rsidR="00D86616" w:rsidRPr="00032C73" w:rsidRDefault="00D86616" w:rsidP="003C2143">
      <w:pPr>
        <w:pStyle w:val="FootnoteText"/>
        <w:rPr>
          <w:lang w:val="es-ES"/>
        </w:rPr>
      </w:pPr>
    </w:p>
  </w:footnote>
  <w:footnote w:id="372">
    <w:p w14:paraId="2B6C1566"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w:t>
      </w:r>
      <w:r w:rsidRPr="00032C73">
        <w:rPr>
          <w:i/>
          <w:lang w:val="es-ES"/>
        </w:rPr>
        <w:t>“Un tratado deberá interpretarse de buena fe conforme al sentido corriente que haya de atribuirse a los términos del tratado en el contexto de estos y teniendo en cuenta su objeto y fin.”</w:t>
      </w:r>
      <w:r w:rsidRPr="00032C73">
        <w:rPr>
          <w:lang w:val="es-ES"/>
        </w:rPr>
        <w:t xml:space="preserve">  </w:t>
      </w:r>
    </w:p>
    <w:p w14:paraId="6C7DBD86" w14:textId="77777777" w:rsidR="00D86616" w:rsidRPr="00032C73" w:rsidRDefault="00D86616" w:rsidP="003C2143">
      <w:pPr>
        <w:pStyle w:val="FootnoteText"/>
        <w:rPr>
          <w:lang w:val="es-ES"/>
        </w:rPr>
      </w:pPr>
    </w:p>
  </w:footnote>
  <w:footnote w:id="373">
    <w:p w14:paraId="2EDCA4DB"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Nota a pie de pág. Nº 8.</w:t>
      </w:r>
    </w:p>
    <w:p w14:paraId="61AD440B" w14:textId="77777777" w:rsidR="00D86616" w:rsidRPr="00032C73" w:rsidRDefault="00D86616" w:rsidP="003C2143">
      <w:pPr>
        <w:pStyle w:val="FootnoteText"/>
        <w:rPr>
          <w:lang w:val="es-ES"/>
        </w:rPr>
      </w:pPr>
    </w:p>
  </w:footnote>
  <w:footnote w:id="374">
    <w:p w14:paraId="4F1835B5"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En adelante la Comisión.</w:t>
      </w:r>
    </w:p>
    <w:p w14:paraId="6ED1472E" w14:textId="77777777" w:rsidR="00D86616" w:rsidRPr="00032C73" w:rsidRDefault="00D86616" w:rsidP="003C2143">
      <w:pPr>
        <w:pStyle w:val="FootnoteText"/>
        <w:rPr>
          <w:i/>
          <w:lang w:val="es-ES"/>
        </w:rPr>
      </w:pPr>
      <w:r w:rsidRPr="00032C73">
        <w:rPr>
          <w:lang w:val="es-ES"/>
        </w:rPr>
        <w:t>Art. 41: “</w:t>
      </w:r>
      <w:r w:rsidRPr="00032C73">
        <w:rPr>
          <w:i/>
          <w:lang w:val="es-ES"/>
        </w:rPr>
        <w:t>La Comisión tiene la función principal de promover la observancia y la defensa de los derechos humanos, y en el ejercicio de su mandato tiene las siguientes funciones y atribuciones:</w:t>
      </w:r>
    </w:p>
    <w:p w14:paraId="6DA49529" w14:textId="77777777" w:rsidR="00D86616" w:rsidRPr="00032C73" w:rsidRDefault="00D86616" w:rsidP="003C2143">
      <w:pPr>
        <w:pStyle w:val="FootnoteText"/>
        <w:rPr>
          <w:i/>
          <w:lang w:val="es-ES"/>
        </w:rPr>
      </w:pPr>
      <w:r w:rsidRPr="00032C73">
        <w:rPr>
          <w:i/>
          <w:lang w:val="es-ES"/>
        </w:rPr>
        <w:t xml:space="preserve"> a) estimular la conciencia de los derechos humanos en los pueblos de América;</w:t>
      </w:r>
    </w:p>
    <w:p w14:paraId="5DFB43D9" w14:textId="77777777" w:rsidR="00D86616" w:rsidRPr="00032C73" w:rsidRDefault="00D86616" w:rsidP="003C2143">
      <w:pPr>
        <w:pStyle w:val="FootnoteText"/>
        <w:rPr>
          <w:i/>
          <w:lang w:val="es-ES"/>
        </w:rPr>
      </w:pPr>
      <w:r w:rsidRPr="00032C73">
        <w:rPr>
          <w:i/>
          <w:lang w:val="es-ES"/>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0B66C2B6" w14:textId="77777777" w:rsidR="00D86616" w:rsidRPr="00032C73" w:rsidRDefault="00D86616" w:rsidP="003C2143">
      <w:pPr>
        <w:pStyle w:val="FootnoteText"/>
        <w:rPr>
          <w:i/>
          <w:lang w:val="es-ES"/>
        </w:rPr>
      </w:pPr>
      <w:r w:rsidRPr="00032C73">
        <w:rPr>
          <w:i/>
          <w:lang w:val="es-ES"/>
        </w:rPr>
        <w:t xml:space="preserve"> c) preparar los estudios e informes que considere convenientes para el desempeño de sus funciones;</w:t>
      </w:r>
    </w:p>
    <w:p w14:paraId="004882A8" w14:textId="77777777" w:rsidR="00D86616" w:rsidRPr="00032C73" w:rsidRDefault="00D86616" w:rsidP="003C2143">
      <w:pPr>
        <w:pStyle w:val="FootnoteText"/>
        <w:rPr>
          <w:i/>
          <w:lang w:val="es-ES"/>
        </w:rPr>
      </w:pPr>
      <w:r w:rsidRPr="00032C73">
        <w:rPr>
          <w:i/>
          <w:lang w:val="es-ES"/>
        </w:rPr>
        <w:t xml:space="preserve"> d) solicitar de los gobiernos de los Estados miembros que le proporcionen informes sobre las medidas que adopten en materia de derechos humanos;</w:t>
      </w:r>
    </w:p>
    <w:p w14:paraId="78C925E5" w14:textId="77777777" w:rsidR="00D86616" w:rsidRPr="00032C73" w:rsidRDefault="00D86616" w:rsidP="003C2143">
      <w:pPr>
        <w:pStyle w:val="FootnoteText"/>
        <w:rPr>
          <w:i/>
          <w:lang w:val="es-ES"/>
        </w:rPr>
      </w:pPr>
      <w:r w:rsidRPr="00032C73">
        <w:rPr>
          <w:i/>
          <w:lang w:val="es-ES"/>
        </w:rPr>
        <w:t xml:space="preserve">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14:paraId="57BFAB3E" w14:textId="77777777" w:rsidR="00D86616" w:rsidRPr="00032C73" w:rsidRDefault="00D86616" w:rsidP="003C2143">
      <w:pPr>
        <w:pStyle w:val="FootnoteText"/>
        <w:rPr>
          <w:i/>
          <w:lang w:val="es-ES"/>
        </w:rPr>
      </w:pPr>
      <w:r w:rsidRPr="00032C73">
        <w:rPr>
          <w:i/>
          <w:lang w:val="es-ES"/>
        </w:rPr>
        <w:t xml:space="preserve"> f) actuar respecto de las peticiones y otras comunicaciones en ejercicio de su autoridad de conformidad con lo dispuesto en los artículos 44 al 51 de esta Convención, y</w:t>
      </w:r>
    </w:p>
    <w:p w14:paraId="6F1944B5" w14:textId="77777777" w:rsidR="00D86616" w:rsidRPr="00032C73" w:rsidRDefault="00D86616" w:rsidP="003C2143">
      <w:pPr>
        <w:pStyle w:val="FootnoteText"/>
        <w:rPr>
          <w:i/>
          <w:lang w:val="es-ES"/>
        </w:rPr>
      </w:pPr>
      <w:r w:rsidRPr="00032C73">
        <w:rPr>
          <w:i/>
          <w:lang w:val="es-ES"/>
        </w:rPr>
        <w:t xml:space="preserve"> g) rendir un informe anual a la Asamblea General de la Organización de los Estados Americanos.”</w:t>
      </w:r>
    </w:p>
    <w:p w14:paraId="376DD621" w14:textId="77777777" w:rsidR="00D86616" w:rsidRPr="00032C73" w:rsidRDefault="00D86616" w:rsidP="003C2143">
      <w:pPr>
        <w:pStyle w:val="FootnoteText"/>
        <w:rPr>
          <w:lang w:val="es-ES"/>
        </w:rPr>
      </w:pPr>
    </w:p>
  </w:footnote>
  <w:footnote w:id="375">
    <w:p w14:paraId="0BBC8BEE"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Art.68.1: “</w:t>
      </w:r>
      <w:r w:rsidRPr="00032C73">
        <w:rPr>
          <w:i/>
          <w:lang w:val="es-ES"/>
        </w:rPr>
        <w:t>Los Estados Partes en la Convención se comprometen a cumplir la decisión de la Corte en todo caso en que sean partes</w:t>
      </w:r>
      <w:r w:rsidRPr="00032C73">
        <w:rPr>
          <w:lang w:val="es-ES"/>
        </w:rPr>
        <w:t>.”</w:t>
      </w:r>
    </w:p>
    <w:p w14:paraId="5B50D811" w14:textId="77777777" w:rsidR="00D86616" w:rsidRPr="00032C73" w:rsidRDefault="00D86616" w:rsidP="003C2143">
      <w:pPr>
        <w:pStyle w:val="FootnoteText"/>
        <w:rPr>
          <w:lang w:val="es-ES"/>
        </w:rPr>
      </w:pPr>
      <w:r w:rsidRPr="00032C73">
        <w:rPr>
          <w:lang w:val="es-ES"/>
        </w:rPr>
        <w:t xml:space="preserve">Art. 46.1 de la </w:t>
      </w:r>
      <w:proofErr w:type="spellStart"/>
      <w:r w:rsidRPr="00032C73">
        <w:rPr>
          <w:lang w:val="es-ES"/>
        </w:rPr>
        <w:t>Convention</w:t>
      </w:r>
      <w:proofErr w:type="spellEnd"/>
      <w:r w:rsidRPr="00032C73">
        <w:rPr>
          <w:lang w:val="es-ES"/>
        </w:rPr>
        <w:t xml:space="preserve"> </w:t>
      </w:r>
      <w:proofErr w:type="spellStart"/>
      <w:r w:rsidRPr="00032C73">
        <w:rPr>
          <w:lang w:val="es-ES"/>
        </w:rPr>
        <w:t>Européenne</w:t>
      </w:r>
      <w:proofErr w:type="spellEnd"/>
      <w:r w:rsidRPr="00032C73">
        <w:rPr>
          <w:lang w:val="es-ES"/>
        </w:rPr>
        <w:t xml:space="preserve"> des </w:t>
      </w:r>
      <w:proofErr w:type="spellStart"/>
      <w:r w:rsidRPr="00032C73">
        <w:rPr>
          <w:lang w:val="es-ES"/>
        </w:rPr>
        <w:t>Droit</w:t>
      </w:r>
      <w:proofErr w:type="spellEnd"/>
      <w:r w:rsidRPr="00032C73">
        <w:rPr>
          <w:lang w:val="es-ES"/>
        </w:rPr>
        <w:t xml:space="preserve"> de </w:t>
      </w:r>
      <w:proofErr w:type="spellStart"/>
      <w:r w:rsidRPr="00032C73">
        <w:rPr>
          <w:lang w:val="es-ES"/>
        </w:rPr>
        <w:t>l’Homme</w:t>
      </w:r>
      <w:proofErr w:type="spellEnd"/>
      <w:r w:rsidRPr="00032C73">
        <w:rPr>
          <w:lang w:val="es-ES"/>
        </w:rPr>
        <w:t>: “</w:t>
      </w:r>
      <w:r w:rsidRPr="00032C73">
        <w:rPr>
          <w:i/>
          <w:lang w:val="es-ES"/>
        </w:rPr>
        <w:t xml:space="preserve">Les Hautes </w:t>
      </w:r>
      <w:proofErr w:type="spellStart"/>
      <w:r w:rsidRPr="00032C73">
        <w:rPr>
          <w:i/>
          <w:lang w:val="es-ES"/>
        </w:rPr>
        <w:t>Parties</w:t>
      </w:r>
      <w:proofErr w:type="spellEnd"/>
      <w:r w:rsidRPr="00032C73">
        <w:rPr>
          <w:i/>
          <w:lang w:val="es-ES"/>
        </w:rPr>
        <w:t xml:space="preserve"> </w:t>
      </w:r>
      <w:proofErr w:type="spellStart"/>
      <w:r w:rsidRPr="00032C73">
        <w:rPr>
          <w:i/>
          <w:lang w:val="es-ES"/>
        </w:rPr>
        <w:t>contractantes</w:t>
      </w:r>
      <w:proofErr w:type="spellEnd"/>
      <w:r w:rsidRPr="00032C73">
        <w:rPr>
          <w:i/>
          <w:lang w:val="es-ES"/>
        </w:rPr>
        <w:t xml:space="preserve"> </w:t>
      </w:r>
      <w:proofErr w:type="spellStart"/>
      <w:r w:rsidRPr="00032C73">
        <w:rPr>
          <w:i/>
          <w:lang w:val="es-ES"/>
        </w:rPr>
        <w:t>s’engagent</w:t>
      </w:r>
      <w:proofErr w:type="spellEnd"/>
      <w:r w:rsidRPr="00032C73">
        <w:rPr>
          <w:i/>
          <w:lang w:val="es-ES"/>
        </w:rPr>
        <w:t xml:space="preserve"> à se </w:t>
      </w:r>
      <w:proofErr w:type="spellStart"/>
      <w:r w:rsidRPr="00032C73">
        <w:rPr>
          <w:i/>
          <w:lang w:val="es-ES"/>
        </w:rPr>
        <w:t>conformer</w:t>
      </w:r>
      <w:proofErr w:type="spellEnd"/>
      <w:r w:rsidRPr="00032C73">
        <w:rPr>
          <w:i/>
          <w:lang w:val="es-ES"/>
        </w:rPr>
        <w:t xml:space="preserve"> </w:t>
      </w:r>
      <w:proofErr w:type="spellStart"/>
      <w:r w:rsidRPr="00032C73">
        <w:rPr>
          <w:i/>
          <w:lang w:val="es-ES"/>
        </w:rPr>
        <w:t>aux</w:t>
      </w:r>
      <w:proofErr w:type="spellEnd"/>
      <w:r w:rsidRPr="00032C73">
        <w:rPr>
          <w:i/>
          <w:lang w:val="es-ES"/>
        </w:rPr>
        <w:t xml:space="preserve"> </w:t>
      </w:r>
      <w:proofErr w:type="spellStart"/>
      <w:r w:rsidRPr="00032C73">
        <w:rPr>
          <w:i/>
          <w:lang w:val="es-ES"/>
        </w:rPr>
        <w:t>arrêts</w:t>
      </w:r>
      <w:proofErr w:type="spellEnd"/>
      <w:r w:rsidRPr="00032C73">
        <w:rPr>
          <w:i/>
          <w:lang w:val="es-ES"/>
        </w:rPr>
        <w:t xml:space="preserve"> </w:t>
      </w:r>
      <w:proofErr w:type="spellStart"/>
      <w:r w:rsidRPr="00032C73">
        <w:rPr>
          <w:i/>
          <w:lang w:val="es-ES"/>
        </w:rPr>
        <w:t>définitifs</w:t>
      </w:r>
      <w:proofErr w:type="spellEnd"/>
      <w:r w:rsidRPr="00032C73">
        <w:rPr>
          <w:i/>
          <w:lang w:val="es-ES"/>
        </w:rPr>
        <w:t xml:space="preserve"> de la </w:t>
      </w:r>
      <w:proofErr w:type="spellStart"/>
      <w:r w:rsidRPr="00032C73">
        <w:rPr>
          <w:i/>
          <w:lang w:val="es-ES"/>
        </w:rPr>
        <w:t>Cour</w:t>
      </w:r>
      <w:proofErr w:type="spellEnd"/>
      <w:r w:rsidRPr="00032C73">
        <w:rPr>
          <w:i/>
          <w:lang w:val="es-ES"/>
        </w:rPr>
        <w:t xml:space="preserve"> </w:t>
      </w:r>
      <w:proofErr w:type="spellStart"/>
      <w:r w:rsidRPr="00032C73">
        <w:rPr>
          <w:i/>
          <w:lang w:val="es-ES"/>
        </w:rPr>
        <w:t>dans</w:t>
      </w:r>
      <w:proofErr w:type="spellEnd"/>
      <w:r w:rsidRPr="00032C73">
        <w:rPr>
          <w:i/>
          <w:lang w:val="es-ES"/>
        </w:rPr>
        <w:t xml:space="preserve"> les </w:t>
      </w:r>
      <w:proofErr w:type="spellStart"/>
      <w:r w:rsidRPr="00032C73">
        <w:rPr>
          <w:i/>
          <w:lang w:val="es-ES"/>
        </w:rPr>
        <w:t>litiges</w:t>
      </w:r>
      <w:proofErr w:type="spellEnd"/>
      <w:r w:rsidRPr="00032C73">
        <w:rPr>
          <w:i/>
          <w:lang w:val="es-ES"/>
        </w:rPr>
        <w:t xml:space="preserve"> </w:t>
      </w:r>
      <w:proofErr w:type="spellStart"/>
      <w:r w:rsidRPr="00032C73">
        <w:rPr>
          <w:i/>
          <w:lang w:val="es-ES"/>
        </w:rPr>
        <w:t>auxquels</w:t>
      </w:r>
      <w:proofErr w:type="spellEnd"/>
      <w:r w:rsidRPr="00032C73">
        <w:rPr>
          <w:i/>
          <w:lang w:val="es-ES"/>
        </w:rPr>
        <w:t xml:space="preserve"> elles </w:t>
      </w:r>
      <w:proofErr w:type="spellStart"/>
      <w:r w:rsidRPr="00032C73">
        <w:rPr>
          <w:i/>
          <w:lang w:val="es-ES"/>
        </w:rPr>
        <w:t>sont</w:t>
      </w:r>
      <w:proofErr w:type="spellEnd"/>
      <w:r w:rsidRPr="00032C73">
        <w:rPr>
          <w:i/>
          <w:lang w:val="es-ES"/>
        </w:rPr>
        <w:t xml:space="preserve"> </w:t>
      </w:r>
      <w:proofErr w:type="spellStart"/>
      <w:r w:rsidRPr="00032C73">
        <w:rPr>
          <w:i/>
          <w:lang w:val="es-ES"/>
        </w:rPr>
        <w:t>parties</w:t>
      </w:r>
      <w:proofErr w:type="spellEnd"/>
      <w:r w:rsidRPr="00032C73">
        <w:rPr>
          <w:lang w:val="es-ES"/>
        </w:rPr>
        <w:t>.”</w:t>
      </w:r>
    </w:p>
    <w:p w14:paraId="477DDD44" w14:textId="77777777" w:rsidR="00D86616" w:rsidRPr="00032C73" w:rsidRDefault="00D86616" w:rsidP="003C2143">
      <w:pPr>
        <w:pStyle w:val="FootnoteText"/>
        <w:rPr>
          <w:lang w:val="es-ES"/>
        </w:rPr>
      </w:pPr>
      <w:r w:rsidRPr="00032C73">
        <w:rPr>
          <w:lang w:val="es-ES"/>
        </w:rPr>
        <w:t xml:space="preserve">Art. 46. y 3 du </w:t>
      </w:r>
      <w:proofErr w:type="spellStart"/>
      <w:r w:rsidRPr="00032C73">
        <w:rPr>
          <w:lang w:val="es-ES"/>
        </w:rPr>
        <w:t>Statut</w:t>
      </w:r>
      <w:proofErr w:type="spellEnd"/>
      <w:r w:rsidRPr="00032C73">
        <w:rPr>
          <w:lang w:val="es-ES"/>
        </w:rPr>
        <w:t xml:space="preserve"> de la </w:t>
      </w:r>
      <w:proofErr w:type="spellStart"/>
      <w:r w:rsidRPr="00032C73">
        <w:rPr>
          <w:lang w:val="es-ES"/>
        </w:rPr>
        <w:t>Cour</w:t>
      </w:r>
      <w:proofErr w:type="spellEnd"/>
      <w:r w:rsidRPr="00032C73">
        <w:rPr>
          <w:lang w:val="es-ES"/>
        </w:rPr>
        <w:t xml:space="preserve"> </w:t>
      </w:r>
      <w:proofErr w:type="spellStart"/>
      <w:r w:rsidRPr="00032C73">
        <w:rPr>
          <w:lang w:val="es-ES"/>
        </w:rPr>
        <w:t>Africaine</w:t>
      </w:r>
      <w:proofErr w:type="spellEnd"/>
      <w:r w:rsidRPr="00032C73">
        <w:rPr>
          <w:lang w:val="es-ES"/>
        </w:rPr>
        <w:t xml:space="preserve"> de </w:t>
      </w:r>
      <w:proofErr w:type="spellStart"/>
      <w:r w:rsidRPr="00032C73">
        <w:rPr>
          <w:lang w:val="es-ES"/>
        </w:rPr>
        <w:t>Justice</w:t>
      </w:r>
      <w:proofErr w:type="spellEnd"/>
      <w:r w:rsidRPr="00032C73">
        <w:rPr>
          <w:lang w:val="es-ES"/>
        </w:rPr>
        <w:t xml:space="preserve"> y des </w:t>
      </w:r>
      <w:proofErr w:type="spellStart"/>
      <w:r w:rsidRPr="00032C73">
        <w:rPr>
          <w:lang w:val="es-ES"/>
        </w:rPr>
        <w:t>Droits</w:t>
      </w:r>
      <w:proofErr w:type="spellEnd"/>
      <w:r w:rsidRPr="00032C73">
        <w:rPr>
          <w:lang w:val="es-ES"/>
        </w:rPr>
        <w:t xml:space="preserve"> de </w:t>
      </w:r>
      <w:proofErr w:type="spellStart"/>
      <w:r w:rsidRPr="00032C73">
        <w:rPr>
          <w:lang w:val="es-ES"/>
        </w:rPr>
        <w:t>l´Homme</w:t>
      </w:r>
      <w:proofErr w:type="spellEnd"/>
      <w:r w:rsidRPr="00032C73">
        <w:rPr>
          <w:lang w:val="es-ES"/>
        </w:rPr>
        <w:t>: “</w:t>
      </w:r>
      <w:proofErr w:type="spellStart"/>
      <w:r w:rsidRPr="00032C73">
        <w:rPr>
          <w:i/>
          <w:lang w:val="es-ES"/>
        </w:rPr>
        <w:t>Force</w:t>
      </w:r>
      <w:proofErr w:type="spellEnd"/>
      <w:r w:rsidRPr="00032C73">
        <w:rPr>
          <w:i/>
          <w:lang w:val="es-ES"/>
        </w:rPr>
        <w:t xml:space="preserve"> </w:t>
      </w:r>
      <w:proofErr w:type="spellStart"/>
      <w:r w:rsidRPr="00032C73">
        <w:rPr>
          <w:i/>
          <w:lang w:val="es-ES"/>
        </w:rPr>
        <w:t>obligatoire</w:t>
      </w:r>
      <w:proofErr w:type="spellEnd"/>
      <w:r w:rsidRPr="00032C73">
        <w:rPr>
          <w:i/>
          <w:lang w:val="es-ES"/>
        </w:rPr>
        <w:t xml:space="preserve"> et </w:t>
      </w:r>
      <w:proofErr w:type="spellStart"/>
      <w:r w:rsidRPr="00032C73">
        <w:rPr>
          <w:i/>
          <w:lang w:val="es-ES"/>
        </w:rPr>
        <w:t>exécution</w:t>
      </w:r>
      <w:proofErr w:type="spellEnd"/>
      <w:r w:rsidRPr="00032C73">
        <w:rPr>
          <w:i/>
          <w:lang w:val="es-ES"/>
        </w:rPr>
        <w:t xml:space="preserve"> des </w:t>
      </w:r>
      <w:proofErr w:type="spellStart"/>
      <w:r w:rsidRPr="00032C73">
        <w:rPr>
          <w:i/>
          <w:lang w:val="es-ES"/>
        </w:rPr>
        <w:t>décisions</w:t>
      </w:r>
      <w:proofErr w:type="spellEnd"/>
      <w:r w:rsidRPr="00032C73">
        <w:rPr>
          <w:i/>
          <w:lang w:val="es-ES"/>
        </w:rPr>
        <w:t xml:space="preserve">. 1. La </w:t>
      </w:r>
      <w:proofErr w:type="spellStart"/>
      <w:r w:rsidRPr="00032C73">
        <w:rPr>
          <w:i/>
          <w:lang w:val="es-ES"/>
        </w:rPr>
        <w:t>décision</w:t>
      </w:r>
      <w:proofErr w:type="spellEnd"/>
      <w:r w:rsidRPr="00032C73">
        <w:rPr>
          <w:i/>
          <w:lang w:val="es-ES"/>
        </w:rPr>
        <w:t xml:space="preserve"> de la </w:t>
      </w:r>
      <w:proofErr w:type="spellStart"/>
      <w:r w:rsidRPr="00032C73">
        <w:rPr>
          <w:i/>
          <w:lang w:val="es-ES"/>
        </w:rPr>
        <w:t>Cour</w:t>
      </w:r>
      <w:proofErr w:type="spellEnd"/>
      <w:r w:rsidRPr="00032C73">
        <w:rPr>
          <w:i/>
          <w:lang w:val="es-ES"/>
        </w:rPr>
        <w:t xml:space="preserve"> </w:t>
      </w:r>
      <w:proofErr w:type="spellStart"/>
      <w:r w:rsidRPr="00032C73">
        <w:rPr>
          <w:i/>
          <w:lang w:val="es-ES"/>
        </w:rPr>
        <w:t>n'est</w:t>
      </w:r>
      <w:proofErr w:type="spellEnd"/>
      <w:r w:rsidRPr="00032C73">
        <w:rPr>
          <w:i/>
          <w:lang w:val="es-ES"/>
        </w:rPr>
        <w:t xml:space="preserve"> </w:t>
      </w:r>
      <w:proofErr w:type="spellStart"/>
      <w:r w:rsidRPr="00032C73">
        <w:rPr>
          <w:i/>
          <w:lang w:val="es-ES"/>
        </w:rPr>
        <w:t>obligatoire</w:t>
      </w:r>
      <w:proofErr w:type="spellEnd"/>
      <w:r w:rsidRPr="00032C73">
        <w:rPr>
          <w:i/>
          <w:lang w:val="es-ES"/>
        </w:rPr>
        <w:t xml:space="preserve"> que </w:t>
      </w:r>
      <w:proofErr w:type="spellStart"/>
      <w:r w:rsidRPr="00032C73">
        <w:rPr>
          <w:i/>
          <w:lang w:val="es-ES"/>
        </w:rPr>
        <w:t>pour</w:t>
      </w:r>
      <w:proofErr w:type="spellEnd"/>
      <w:r w:rsidRPr="00032C73">
        <w:rPr>
          <w:i/>
          <w:lang w:val="es-ES"/>
        </w:rPr>
        <w:t xml:space="preserve"> les </w:t>
      </w:r>
      <w:proofErr w:type="spellStart"/>
      <w:r w:rsidRPr="00032C73">
        <w:rPr>
          <w:i/>
          <w:lang w:val="es-ES"/>
        </w:rPr>
        <w:t>parties</w:t>
      </w:r>
      <w:proofErr w:type="spellEnd"/>
      <w:r w:rsidRPr="00032C73">
        <w:rPr>
          <w:i/>
          <w:lang w:val="es-ES"/>
        </w:rPr>
        <w:t xml:space="preserve"> en </w:t>
      </w:r>
      <w:proofErr w:type="spellStart"/>
      <w:r w:rsidRPr="00032C73">
        <w:rPr>
          <w:i/>
          <w:lang w:val="es-ES"/>
        </w:rPr>
        <w:t>litige</w:t>
      </w:r>
      <w:proofErr w:type="spellEnd"/>
      <w:r w:rsidRPr="00032C73">
        <w:rPr>
          <w:i/>
          <w:lang w:val="es-ES"/>
        </w:rPr>
        <w:t xml:space="preserve">. ... 3. Les </w:t>
      </w:r>
      <w:proofErr w:type="spellStart"/>
      <w:r w:rsidRPr="00032C73">
        <w:rPr>
          <w:i/>
          <w:lang w:val="es-ES"/>
        </w:rPr>
        <w:t>parties</w:t>
      </w:r>
      <w:proofErr w:type="spellEnd"/>
      <w:r w:rsidRPr="00032C73">
        <w:rPr>
          <w:i/>
          <w:lang w:val="es-ES"/>
        </w:rPr>
        <w:t xml:space="preserve"> </w:t>
      </w:r>
      <w:proofErr w:type="spellStart"/>
      <w:r w:rsidRPr="00032C73">
        <w:rPr>
          <w:i/>
          <w:lang w:val="es-ES"/>
        </w:rPr>
        <w:t>doivent</w:t>
      </w:r>
      <w:proofErr w:type="spellEnd"/>
      <w:r w:rsidRPr="00032C73">
        <w:rPr>
          <w:i/>
          <w:lang w:val="es-ES"/>
        </w:rPr>
        <w:t xml:space="preserve"> se </w:t>
      </w:r>
      <w:proofErr w:type="spellStart"/>
      <w:r w:rsidRPr="00032C73">
        <w:rPr>
          <w:i/>
          <w:lang w:val="es-ES"/>
        </w:rPr>
        <w:t>conformer</w:t>
      </w:r>
      <w:proofErr w:type="spellEnd"/>
      <w:r w:rsidRPr="00032C73">
        <w:rPr>
          <w:i/>
          <w:lang w:val="es-ES"/>
        </w:rPr>
        <w:t xml:space="preserve"> </w:t>
      </w:r>
      <w:proofErr w:type="spellStart"/>
      <w:r w:rsidRPr="00032C73">
        <w:rPr>
          <w:i/>
          <w:lang w:val="es-ES"/>
        </w:rPr>
        <w:t>aux</w:t>
      </w:r>
      <w:proofErr w:type="spellEnd"/>
      <w:r w:rsidRPr="00032C73">
        <w:rPr>
          <w:i/>
          <w:lang w:val="es-ES"/>
        </w:rPr>
        <w:t xml:space="preserve"> </w:t>
      </w:r>
      <w:proofErr w:type="spellStart"/>
      <w:r w:rsidRPr="00032C73">
        <w:rPr>
          <w:i/>
          <w:lang w:val="es-ES"/>
        </w:rPr>
        <w:t>décisions</w:t>
      </w:r>
      <w:proofErr w:type="spellEnd"/>
      <w:r w:rsidRPr="00032C73">
        <w:rPr>
          <w:i/>
          <w:lang w:val="es-ES"/>
        </w:rPr>
        <w:t xml:space="preserve"> </w:t>
      </w:r>
      <w:proofErr w:type="spellStart"/>
      <w:r w:rsidRPr="00032C73">
        <w:rPr>
          <w:i/>
          <w:lang w:val="es-ES"/>
        </w:rPr>
        <w:t>rendues</w:t>
      </w:r>
      <w:proofErr w:type="spellEnd"/>
      <w:r w:rsidRPr="00032C73">
        <w:rPr>
          <w:i/>
          <w:lang w:val="es-ES"/>
        </w:rPr>
        <w:t xml:space="preserve"> </w:t>
      </w:r>
      <w:proofErr w:type="spellStart"/>
      <w:r w:rsidRPr="00032C73">
        <w:rPr>
          <w:i/>
          <w:lang w:val="es-ES"/>
        </w:rPr>
        <w:t>par</w:t>
      </w:r>
      <w:proofErr w:type="spellEnd"/>
      <w:r w:rsidRPr="00032C73">
        <w:rPr>
          <w:i/>
          <w:lang w:val="es-ES"/>
        </w:rPr>
        <w:t xml:space="preserve"> la </w:t>
      </w:r>
      <w:proofErr w:type="spellStart"/>
      <w:r w:rsidRPr="00032C73">
        <w:rPr>
          <w:i/>
          <w:lang w:val="es-ES"/>
        </w:rPr>
        <w:t>Cour</w:t>
      </w:r>
      <w:proofErr w:type="spellEnd"/>
      <w:r w:rsidRPr="00032C73">
        <w:rPr>
          <w:i/>
          <w:lang w:val="es-ES"/>
        </w:rPr>
        <w:t xml:space="preserve"> </w:t>
      </w:r>
      <w:proofErr w:type="spellStart"/>
      <w:r w:rsidRPr="00032C73">
        <w:rPr>
          <w:i/>
          <w:lang w:val="es-ES"/>
        </w:rPr>
        <w:t>dans</w:t>
      </w:r>
      <w:proofErr w:type="spellEnd"/>
      <w:r w:rsidRPr="00032C73">
        <w:rPr>
          <w:i/>
          <w:lang w:val="es-ES"/>
        </w:rPr>
        <w:t xml:space="preserve"> </w:t>
      </w:r>
      <w:proofErr w:type="spellStart"/>
      <w:r w:rsidRPr="00032C73">
        <w:rPr>
          <w:i/>
          <w:lang w:val="es-ES"/>
        </w:rPr>
        <w:t>tout</w:t>
      </w:r>
      <w:proofErr w:type="spellEnd"/>
      <w:r w:rsidRPr="00032C73">
        <w:rPr>
          <w:i/>
          <w:lang w:val="es-ES"/>
        </w:rPr>
        <w:t xml:space="preserve"> </w:t>
      </w:r>
      <w:proofErr w:type="spellStart"/>
      <w:r w:rsidRPr="00032C73">
        <w:rPr>
          <w:i/>
          <w:lang w:val="es-ES"/>
        </w:rPr>
        <w:t>litige</w:t>
      </w:r>
      <w:proofErr w:type="spellEnd"/>
      <w:r w:rsidRPr="00032C73">
        <w:rPr>
          <w:i/>
          <w:lang w:val="es-ES"/>
        </w:rPr>
        <w:t xml:space="preserve"> </w:t>
      </w:r>
      <w:proofErr w:type="spellStart"/>
      <w:r w:rsidRPr="00032C73">
        <w:rPr>
          <w:i/>
          <w:lang w:val="es-ES"/>
        </w:rPr>
        <w:t>auquel</w:t>
      </w:r>
      <w:proofErr w:type="spellEnd"/>
      <w:r w:rsidRPr="00032C73">
        <w:rPr>
          <w:i/>
          <w:lang w:val="es-ES"/>
        </w:rPr>
        <w:t xml:space="preserve"> elles </w:t>
      </w:r>
      <w:proofErr w:type="spellStart"/>
      <w:r w:rsidRPr="00032C73">
        <w:rPr>
          <w:i/>
          <w:lang w:val="es-ES"/>
        </w:rPr>
        <w:t>sont</w:t>
      </w:r>
      <w:proofErr w:type="spellEnd"/>
      <w:r w:rsidRPr="00032C73">
        <w:rPr>
          <w:i/>
          <w:lang w:val="es-ES"/>
        </w:rPr>
        <w:t xml:space="preserve"> </w:t>
      </w:r>
      <w:proofErr w:type="spellStart"/>
      <w:r w:rsidRPr="00032C73">
        <w:rPr>
          <w:i/>
          <w:lang w:val="es-ES"/>
        </w:rPr>
        <w:t>parties</w:t>
      </w:r>
      <w:proofErr w:type="spellEnd"/>
      <w:r w:rsidRPr="00032C73">
        <w:rPr>
          <w:i/>
          <w:lang w:val="es-ES"/>
        </w:rPr>
        <w:t xml:space="preserve">, et en </w:t>
      </w:r>
      <w:proofErr w:type="spellStart"/>
      <w:r w:rsidRPr="00032C73">
        <w:rPr>
          <w:i/>
          <w:lang w:val="es-ES"/>
        </w:rPr>
        <w:t>assurer</w:t>
      </w:r>
      <w:proofErr w:type="spellEnd"/>
      <w:r w:rsidRPr="00032C73">
        <w:rPr>
          <w:i/>
          <w:lang w:val="es-ES"/>
        </w:rPr>
        <w:t xml:space="preserve"> </w:t>
      </w:r>
      <w:proofErr w:type="spellStart"/>
      <w:r w:rsidRPr="00032C73">
        <w:rPr>
          <w:i/>
          <w:lang w:val="es-ES"/>
        </w:rPr>
        <w:t>l’exécution</w:t>
      </w:r>
      <w:proofErr w:type="spellEnd"/>
      <w:r w:rsidRPr="00032C73">
        <w:rPr>
          <w:i/>
          <w:lang w:val="es-ES"/>
        </w:rPr>
        <w:t xml:space="preserve"> </w:t>
      </w:r>
      <w:proofErr w:type="spellStart"/>
      <w:r w:rsidRPr="00032C73">
        <w:rPr>
          <w:i/>
          <w:lang w:val="es-ES"/>
        </w:rPr>
        <w:t>dans</w:t>
      </w:r>
      <w:proofErr w:type="spellEnd"/>
      <w:r w:rsidRPr="00032C73">
        <w:rPr>
          <w:i/>
          <w:lang w:val="es-ES"/>
        </w:rPr>
        <w:t xml:space="preserve"> le </w:t>
      </w:r>
      <w:proofErr w:type="spellStart"/>
      <w:r w:rsidRPr="00032C73">
        <w:rPr>
          <w:i/>
          <w:lang w:val="es-ES"/>
        </w:rPr>
        <w:t>délai</w:t>
      </w:r>
      <w:proofErr w:type="spellEnd"/>
      <w:r w:rsidRPr="00032C73">
        <w:rPr>
          <w:i/>
          <w:lang w:val="es-ES"/>
        </w:rPr>
        <w:t xml:space="preserve"> </w:t>
      </w:r>
      <w:proofErr w:type="spellStart"/>
      <w:r w:rsidRPr="00032C73">
        <w:rPr>
          <w:i/>
          <w:lang w:val="es-ES"/>
        </w:rPr>
        <w:t>fixé</w:t>
      </w:r>
      <w:proofErr w:type="spellEnd"/>
      <w:r w:rsidRPr="00032C73">
        <w:rPr>
          <w:i/>
          <w:lang w:val="es-ES"/>
        </w:rPr>
        <w:t xml:space="preserve"> </w:t>
      </w:r>
      <w:proofErr w:type="spellStart"/>
      <w:r w:rsidRPr="00032C73">
        <w:rPr>
          <w:i/>
          <w:lang w:val="es-ES"/>
        </w:rPr>
        <w:t>par</w:t>
      </w:r>
      <w:proofErr w:type="spellEnd"/>
      <w:r w:rsidRPr="00032C73">
        <w:rPr>
          <w:i/>
          <w:lang w:val="es-ES"/>
        </w:rPr>
        <w:t xml:space="preserve"> la </w:t>
      </w:r>
      <w:proofErr w:type="spellStart"/>
      <w:r w:rsidRPr="00032C73">
        <w:rPr>
          <w:i/>
          <w:lang w:val="es-ES"/>
        </w:rPr>
        <w:t>Cour</w:t>
      </w:r>
      <w:proofErr w:type="spellEnd"/>
      <w:r w:rsidRPr="00032C73">
        <w:rPr>
          <w:i/>
          <w:lang w:val="es-ES"/>
        </w:rPr>
        <w:t>.”</w:t>
      </w:r>
    </w:p>
    <w:p w14:paraId="429E526B" w14:textId="77777777" w:rsidR="00D86616" w:rsidRPr="00032C73" w:rsidRDefault="00D86616" w:rsidP="003C2143">
      <w:pPr>
        <w:pStyle w:val="FootnoteText"/>
        <w:rPr>
          <w:lang w:val="es-ES"/>
        </w:rPr>
      </w:pPr>
      <w:r w:rsidRPr="00032C73">
        <w:rPr>
          <w:lang w:val="es-ES"/>
        </w:rPr>
        <w:t>Art. 59 del Estatuto de la Corte Internacional de Justicia: “</w:t>
      </w:r>
      <w:r w:rsidRPr="00032C73">
        <w:rPr>
          <w:i/>
          <w:lang w:val="es-ES"/>
        </w:rPr>
        <w:t>La decisión de la Corte no es obligatoria sino para las partes en litigio y respecto del caso que ha sido decidido</w:t>
      </w:r>
      <w:r w:rsidRPr="00032C73">
        <w:rPr>
          <w:lang w:val="es-ES"/>
        </w:rPr>
        <w:t>.”</w:t>
      </w:r>
    </w:p>
    <w:p w14:paraId="4ECCAF1B" w14:textId="77777777" w:rsidR="00D86616" w:rsidRPr="00032C73" w:rsidRDefault="00D86616" w:rsidP="003C2143">
      <w:pPr>
        <w:pStyle w:val="FootnoteText"/>
        <w:rPr>
          <w:lang w:val="es-ES"/>
        </w:rPr>
      </w:pPr>
    </w:p>
  </w:footnote>
  <w:footnote w:id="376">
    <w:p w14:paraId="1D668FA7"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Art.38 del Estatuto de la Corte Internacional de Justicia: </w:t>
      </w:r>
      <w:r w:rsidRPr="00032C73">
        <w:rPr>
          <w:i/>
          <w:lang w:val="es-ES"/>
        </w:rPr>
        <w:t>“1. La Corte, cuya función es decidir conforme al derecho internacional las controversias que le sean sometidas, deberá aplicar:</w:t>
      </w:r>
    </w:p>
    <w:p w14:paraId="02A1C247" w14:textId="77777777" w:rsidR="00D86616" w:rsidRPr="00032C73" w:rsidRDefault="00D86616" w:rsidP="003C2143">
      <w:pPr>
        <w:pStyle w:val="FootnoteText"/>
        <w:rPr>
          <w:i/>
          <w:lang w:val="es-ES"/>
        </w:rPr>
      </w:pPr>
      <w:r w:rsidRPr="00032C73">
        <w:rPr>
          <w:i/>
          <w:lang w:val="es-ES"/>
        </w:rPr>
        <w:t>a. las convenciones internacionales, sean generales o particulares, que establecen reglas expresamente reconocidas por los Estados litigantes;</w:t>
      </w:r>
    </w:p>
    <w:p w14:paraId="12A6D1A5" w14:textId="77777777" w:rsidR="00D86616" w:rsidRPr="00032C73" w:rsidRDefault="00D86616" w:rsidP="003C2143">
      <w:pPr>
        <w:pStyle w:val="FootnoteText"/>
        <w:rPr>
          <w:i/>
          <w:lang w:val="es-ES"/>
        </w:rPr>
      </w:pPr>
      <w:r w:rsidRPr="00032C73">
        <w:rPr>
          <w:i/>
          <w:lang w:val="es-ES"/>
        </w:rPr>
        <w:t>b. la costumbre internacional como prueba de una práctica generalmente aceptada como derecho;</w:t>
      </w:r>
    </w:p>
    <w:p w14:paraId="24C57519" w14:textId="77777777" w:rsidR="00D86616" w:rsidRPr="00032C73" w:rsidRDefault="00D86616" w:rsidP="003C2143">
      <w:pPr>
        <w:pStyle w:val="FootnoteText"/>
        <w:rPr>
          <w:i/>
          <w:lang w:val="es-ES"/>
        </w:rPr>
      </w:pPr>
      <w:r w:rsidRPr="00032C73">
        <w:rPr>
          <w:i/>
          <w:lang w:val="es-ES"/>
        </w:rPr>
        <w:t>c. los principios generales de derecho reconocidos por las naciones civilizadas;</w:t>
      </w:r>
    </w:p>
    <w:p w14:paraId="4629F581" w14:textId="77777777" w:rsidR="00D86616" w:rsidRPr="00032C73" w:rsidRDefault="00D86616" w:rsidP="003C2143">
      <w:pPr>
        <w:pStyle w:val="FootnoteText"/>
        <w:rPr>
          <w:i/>
          <w:lang w:val="es-ES"/>
        </w:rPr>
      </w:pPr>
      <w:r w:rsidRPr="00032C73">
        <w:rPr>
          <w:i/>
          <w:lang w:val="es-ES"/>
        </w:rPr>
        <w:t>d. las decisiones judiciales y las doctrinas de los publicistas de mayor competencia de las distintas naciones, como medio auxiliar para la determinación de las reglas de derecho, sin perjuicio de lo dispuesto en el Artículo 59.</w:t>
      </w:r>
    </w:p>
    <w:p w14:paraId="52BC4342" w14:textId="77777777" w:rsidR="00D86616" w:rsidRPr="00032C73" w:rsidRDefault="00D86616" w:rsidP="003C2143">
      <w:pPr>
        <w:pStyle w:val="FootnoteText"/>
        <w:rPr>
          <w:i/>
          <w:lang w:val="es-ES"/>
        </w:rPr>
      </w:pPr>
      <w:r w:rsidRPr="00032C73">
        <w:rPr>
          <w:i/>
          <w:lang w:val="es-ES"/>
        </w:rPr>
        <w:t>2. La presente disposición no restringe la facultad de la Corte para decidir un litigio ex aequo et bono, si las partes así lo convinieren.”</w:t>
      </w:r>
    </w:p>
    <w:p w14:paraId="1B6D1C50" w14:textId="77777777" w:rsidR="00D86616" w:rsidRPr="00032C73" w:rsidRDefault="00D86616" w:rsidP="003C2143">
      <w:pPr>
        <w:pStyle w:val="FootnoteText"/>
        <w:rPr>
          <w:lang w:val="es-ES"/>
        </w:rPr>
      </w:pPr>
    </w:p>
  </w:footnote>
  <w:footnote w:id="377">
    <w:p w14:paraId="43E3DAAA"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Art. 31: “</w:t>
      </w:r>
      <w:r w:rsidRPr="00032C73">
        <w:rPr>
          <w:i/>
          <w:lang w:val="es-ES"/>
        </w:rPr>
        <w:t>Reconocimiento de Otros Derechos. Podrán ser incluidos en el régimen de protección de esta Convención otros derechos y libertades que sean reconocidos de acuerdo con los procedimientos establecidos en los artículos 76 y 77.”</w:t>
      </w:r>
    </w:p>
    <w:p w14:paraId="17488F0A" w14:textId="77777777" w:rsidR="00D86616" w:rsidRPr="00032C73" w:rsidRDefault="00D86616" w:rsidP="003C2143">
      <w:pPr>
        <w:pStyle w:val="FootnoteText"/>
        <w:rPr>
          <w:lang w:val="es-ES"/>
        </w:rPr>
      </w:pPr>
      <w:r w:rsidRPr="00032C73">
        <w:rPr>
          <w:lang w:val="es-ES"/>
        </w:rPr>
        <w:t>Art. 76.1</w:t>
      </w:r>
      <w:r w:rsidRPr="00032C73">
        <w:rPr>
          <w:i/>
          <w:lang w:val="es-ES"/>
        </w:rPr>
        <w:t>:” Cualquier Estado parte directamente y la Comisión o la Corte por conducto del Secretario General, pueden someter a la Asamblea General, para lo que estime conveniente, una propuesta de enmienda a esta Convención.”</w:t>
      </w:r>
    </w:p>
    <w:p w14:paraId="55A43FF5" w14:textId="77777777" w:rsidR="00D86616" w:rsidRPr="00032C73" w:rsidRDefault="00D86616" w:rsidP="003C2143">
      <w:pPr>
        <w:pStyle w:val="FootnoteText"/>
        <w:rPr>
          <w:lang w:val="es-ES"/>
        </w:rPr>
      </w:pPr>
      <w:r w:rsidRPr="00032C73">
        <w:rPr>
          <w:lang w:val="es-ES"/>
        </w:rPr>
        <w:t>Art.77.1</w:t>
      </w:r>
      <w:r w:rsidRPr="00032C73">
        <w:rPr>
          <w:i/>
          <w:lang w:val="es-ES"/>
        </w:rPr>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footnote>
  <w:footnote w:id="378">
    <w:p w14:paraId="1936853B"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Art. 31. 3.c) de la Convención de Viena sobre el Derecho de los Tratados: “</w:t>
      </w:r>
      <w:r w:rsidRPr="00032C73">
        <w:rPr>
          <w:i/>
          <w:lang w:val="es-ES"/>
        </w:rPr>
        <w:t>Juntamente con el contexto, habrá de tenerse en cuenta: ... c) “toda norma pertinente de derecho internacional aplicable en las relaciones entre las partes.”</w:t>
      </w:r>
    </w:p>
    <w:p w14:paraId="5BA1D923" w14:textId="77777777" w:rsidR="00D86616" w:rsidRPr="00032C73" w:rsidRDefault="00D86616" w:rsidP="003C2143">
      <w:pPr>
        <w:pStyle w:val="FootnoteText"/>
        <w:rPr>
          <w:i/>
          <w:lang w:val="es-ES"/>
        </w:rPr>
      </w:pPr>
    </w:p>
  </w:footnote>
  <w:footnote w:id="379">
    <w:p w14:paraId="6B13F019"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w:t>
      </w:r>
      <w:proofErr w:type="spellStart"/>
      <w:r w:rsidRPr="00032C73">
        <w:rPr>
          <w:lang w:val="es-ES"/>
        </w:rPr>
        <w:t>Párrs</w:t>
      </w:r>
      <w:proofErr w:type="spellEnd"/>
      <w:r w:rsidRPr="00032C73">
        <w:rPr>
          <w:lang w:val="es-ES"/>
        </w:rPr>
        <w:t>. Nºs.141  a 150. En lo sucesivo, cada vez que se cite un párrafo, se hará como “</w:t>
      </w:r>
      <w:proofErr w:type="spellStart"/>
      <w:r w:rsidRPr="00032C73">
        <w:rPr>
          <w:i/>
          <w:lang w:val="es-ES"/>
        </w:rPr>
        <w:t>párr</w:t>
      </w:r>
      <w:proofErr w:type="spellEnd"/>
      <w:r w:rsidRPr="00032C73">
        <w:rPr>
          <w:lang w:val="es-ES"/>
        </w:rPr>
        <w:t>”, en plural “</w:t>
      </w:r>
      <w:proofErr w:type="spellStart"/>
      <w:r w:rsidRPr="00032C73">
        <w:rPr>
          <w:i/>
          <w:lang w:val="es-ES"/>
        </w:rPr>
        <w:t>párrs</w:t>
      </w:r>
      <w:proofErr w:type="spellEnd"/>
      <w:r w:rsidRPr="00032C73">
        <w:rPr>
          <w:i/>
          <w:lang w:val="es-ES"/>
        </w:rPr>
        <w:t>”</w:t>
      </w:r>
      <w:r w:rsidRPr="00032C73">
        <w:rPr>
          <w:lang w:val="es-ES"/>
        </w:rPr>
        <w:t xml:space="preserve"> y se entenderá que corresponde a la Sentencia.</w:t>
      </w:r>
    </w:p>
    <w:p w14:paraId="76EEEDDC" w14:textId="77777777" w:rsidR="00D86616" w:rsidRPr="00032C73" w:rsidRDefault="00D86616" w:rsidP="003C2143">
      <w:pPr>
        <w:pStyle w:val="FootnoteText"/>
        <w:rPr>
          <w:lang w:val="es-ES"/>
        </w:rPr>
      </w:pPr>
    </w:p>
  </w:footnote>
  <w:footnote w:id="380">
    <w:p w14:paraId="4727F7A6"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w:t>
      </w:r>
      <w:r w:rsidRPr="00032C73">
        <w:rPr>
          <w:i/>
          <w:lang w:val="es-ES"/>
        </w:rPr>
        <w:t>Libertad de Asociación. Todas las personas tienen derecho a asociarse libremente con fines ideológicos, religiosos, políticos, económicos, laborales, sociales, culturales, deportivos o de cualquiera otra índole.”</w:t>
      </w:r>
    </w:p>
    <w:p w14:paraId="63547657" w14:textId="77777777" w:rsidR="00D86616" w:rsidRPr="00032C73" w:rsidRDefault="00D86616" w:rsidP="003C2143">
      <w:pPr>
        <w:pStyle w:val="FootnoteText"/>
        <w:rPr>
          <w:lang w:val="es-ES"/>
        </w:rPr>
      </w:pPr>
    </w:p>
  </w:footnote>
  <w:footnote w:id="381">
    <w:p w14:paraId="3A4CDC0B"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w:t>
      </w:r>
      <w:proofErr w:type="spellStart"/>
      <w:r w:rsidRPr="00032C73">
        <w:rPr>
          <w:lang w:val="es-ES"/>
        </w:rPr>
        <w:t>Párrs</w:t>
      </w:r>
      <w:proofErr w:type="spellEnd"/>
      <w:r w:rsidRPr="00032C73">
        <w:rPr>
          <w:lang w:val="es-ES"/>
        </w:rPr>
        <w:t xml:space="preserve"> 155 a 160.</w:t>
      </w:r>
    </w:p>
    <w:p w14:paraId="31A2762D" w14:textId="77777777" w:rsidR="00D86616" w:rsidRPr="00032C73" w:rsidRDefault="00D86616" w:rsidP="003C2143">
      <w:pPr>
        <w:pStyle w:val="FootnoteText"/>
        <w:rPr>
          <w:lang w:val="es-ES"/>
        </w:rPr>
      </w:pPr>
    </w:p>
  </w:footnote>
  <w:footnote w:id="382">
    <w:p w14:paraId="409C7091"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Párr. 158.</w:t>
      </w:r>
    </w:p>
    <w:p w14:paraId="4C974ACF" w14:textId="77777777" w:rsidR="00D86616" w:rsidRPr="00032C73" w:rsidRDefault="00D86616" w:rsidP="003C2143">
      <w:pPr>
        <w:pStyle w:val="FootnoteText"/>
        <w:rPr>
          <w:lang w:val="es-ES"/>
        </w:rPr>
      </w:pPr>
    </w:p>
  </w:footnote>
  <w:footnote w:id="383">
    <w:p w14:paraId="631DC2C3"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Párr. 159.</w:t>
      </w:r>
    </w:p>
    <w:p w14:paraId="07C58B55" w14:textId="77777777" w:rsidR="00D86616" w:rsidRPr="00032C73" w:rsidRDefault="00D86616" w:rsidP="003C2143">
      <w:pPr>
        <w:pStyle w:val="FootnoteText"/>
        <w:rPr>
          <w:lang w:val="es-ES"/>
        </w:rPr>
      </w:pPr>
    </w:p>
  </w:footnote>
  <w:footnote w:id="384">
    <w:p w14:paraId="407F0336" w14:textId="77777777" w:rsidR="00D86616" w:rsidRDefault="00D86616" w:rsidP="003C2143">
      <w:pPr>
        <w:pStyle w:val="FootnoteText"/>
        <w:rPr>
          <w:i/>
          <w:lang w:val="es-ES"/>
        </w:rPr>
      </w:pPr>
      <w:r w:rsidRPr="00032C73">
        <w:rPr>
          <w:rStyle w:val="FootnoteReference"/>
        </w:rPr>
        <w:footnoteRef/>
      </w:r>
      <w:r w:rsidRPr="00032C73">
        <w:rPr>
          <w:lang w:val="es-ES"/>
        </w:rPr>
        <w:t xml:space="preserve">  Art. 31.3.c) de la Convención de Viena sobre el Derecho de los Tratados: “</w:t>
      </w:r>
      <w:r w:rsidRPr="00032C73">
        <w:rPr>
          <w:i/>
          <w:lang w:val="es-ES"/>
        </w:rPr>
        <w:t>Regla general de interpretación.... Juntamente con el contexto, habrá de tenerse en cuenta: ... toda norma pertinente de derecho internacional aplicable en las relaciones entre las partes.”</w:t>
      </w:r>
    </w:p>
    <w:p w14:paraId="63AB0575" w14:textId="77777777" w:rsidR="00D86616" w:rsidRPr="00032C73" w:rsidRDefault="00D86616" w:rsidP="003C2143">
      <w:pPr>
        <w:pStyle w:val="FootnoteText"/>
        <w:rPr>
          <w:i/>
          <w:lang w:val="es-ES"/>
        </w:rPr>
      </w:pPr>
    </w:p>
  </w:footnote>
  <w:footnote w:id="385">
    <w:p w14:paraId="32FD475A"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w:t>
      </w:r>
      <w:r w:rsidRPr="00032C73">
        <w:rPr>
          <w:i/>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032C73">
        <w:rPr>
          <w:lang w:val="es-ES"/>
        </w:rPr>
        <w:t>.”</w:t>
      </w:r>
    </w:p>
    <w:p w14:paraId="39A7061C" w14:textId="77777777" w:rsidR="00D86616" w:rsidRPr="00032C73" w:rsidRDefault="00D86616" w:rsidP="003C2143">
      <w:pPr>
        <w:pStyle w:val="FootnoteText"/>
        <w:rPr>
          <w:lang w:val="es-ES"/>
        </w:rPr>
      </w:pPr>
    </w:p>
  </w:footnote>
  <w:footnote w:id="386">
    <w:p w14:paraId="57A245C6"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w:t>
      </w:r>
      <w:r w:rsidRPr="00032C73">
        <w:rPr>
          <w:i/>
          <w:lang w:val="es-ES"/>
        </w:rPr>
        <w:t xml:space="preserve">“Normas de interpretación. Ninguna disposición de la presente Convención puede ser </w:t>
      </w:r>
      <w:r>
        <w:rPr>
          <w:i/>
          <w:lang w:val="es-ES"/>
        </w:rPr>
        <w:t>interpretada en el sentido de: [</w:t>
      </w:r>
      <w:r w:rsidRPr="00032C73">
        <w:rPr>
          <w:i/>
          <w:lang w:val="es-ES"/>
        </w:rPr>
        <w:t>...</w:t>
      </w:r>
      <w:r>
        <w:rPr>
          <w:i/>
          <w:lang w:val="es-ES"/>
        </w:rPr>
        <w:t>]</w:t>
      </w:r>
      <w:r w:rsidRPr="00032C73">
        <w:rPr>
          <w:i/>
          <w:lang w:val="es-ES"/>
        </w:rPr>
        <w:t xml:space="preserve"> permitir a alguno de los Estados Partes, grupo o persona, suprimir el goce y ejercicio de los derechos y libertades reconocidos en la Convención o limitarlos en mayor medida que la prevista en ella</w:t>
      </w:r>
      <w:r w:rsidRPr="00032C73">
        <w:rPr>
          <w:lang w:val="es-ES"/>
        </w:rPr>
        <w:t>”.</w:t>
      </w:r>
    </w:p>
    <w:p w14:paraId="075BA276" w14:textId="77777777" w:rsidR="00D86616" w:rsidRPr="00032C73" w:rsidRDefault="00D86616" w:rsidP="003C2143">
      <w:pPr>
        <w:pStyle w:val="FootnoteText"/>
        <w:rPr>
          <w:lang w:val="es-ES"/>
        </w:rPr>
      </w:pPr>
    </w:p>
  </w:footnote>
  <w:footnote w:id="387">
    <w:p w14:paraId="61744110"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Art 45.1: “</w:t>
      </w:r>
      <w:r w:rsidRPr="00032C73">
        <w:rPr>
          <w:i/>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r w:rsidRPr="00032C73">
        <w:rPr>
          <w:lang w:val="es-ES"/>
        </w:rPr>
        <w:t>”</w:t>
      </w:r>
    </w:p>
    <w:p w14:paraId="43F0E57E" w14:textId="77777777" w:rsidR="00D86616" w:rsidRPr="00032C73" w:rsidRDefault="00D86616" w:rsidP="003C2143">
      <w:pPr>
        <w:pStyle w:val="FootnoteText"/>
        <w:rPr>
          <w:lang w:val="es-ES"/>
        </w:rPr>
      </w:pPr>
    </w:p>
  </w:footnote>
  <w:footnote w:id="388">
    <w:p w14:paraId="0BA0F515"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Art 47.b: “</w:t>
      </w:r>
      <w:r w:rsidRPr="00032C73">
        <w:rPr>
          <w:i/>
          <w:lang w:val="es-ES"/>
        </w:rPr>
        <w:t xml:space="preserve">La Comisión declarará inadmisible toda petición o comunicación presentada de acuerdo con los artículos 44 </w:t>
      </w:r>
      <w:proofErr w:type="spellStart"/>
      <w:r w:rsidRPr="00032C73">
        <w:rPr>
          <w:i/>
          <w:lang w:val="es-ES"/>
        </w:rPr>
        <w:t>ó</w:t>
      </w:r>
      <w:proofErr w:type="spellEnd"/>
      <w:r w:rsidRPr="00032C73">
        <w:rPr>
          <w:i/>
          <w:lang w:val="es-ES"/>
        </w:rPr>
        <w:t xml:space="preserve"> 45 cuando: ... no exponga hechos que caractericen una violación de los derechos garantizados por esta Convención</w:t>
      </w:r>
      <w:r w:rsidRPr="00032C73">
        <w:rPr>
          <w:lang w:val="es-ES"/>
        </w:rPr>
        <w:t>;”</w:t>
      </w:r>
    </w:p>
    <w:p w14:paraId="38E6E618" w14:textId="77777777" w:rsidR="00D86616" w:rsidRPr="00032C73" w:rsidRDefault="00D86616" w:rsidP="003C2143">
      <w:pPr>
        <w:pStyle w:val="FootnoteText"/>
        <w:rPr>
          <w:lang w:val="es-ES"/>
        </w:rPr>
      </w:pPr>
    </w:p>
  </w:footnote>
  <w:footnote w:id="389">
    <w:p w14:paraId="0D15FACB"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Art.48.1: “</w:t>
      </w:r>
      <w:r w:rsidRPr="00032C73">
        <w:rPr>
          <w:i/>
          <w:lang w:val="es-ES"/>
        </w:rPr>
        <w:t>La Comisión, al recibir una petición o comunicación en la que se alegue la violación de cualquiera de los derechos que consagra esta Convención, procederá en los siguientes términos: ...”</w:t>
      </w:r>
    </w:p>
    <w:p w14:paraId="1F42E995" w14:textId="77777777" w:rsidR="00D86616" w:rsidRPr="00032C73" w:rsidRDefault="00D86616" w:rsidP="003C2143">
      <w:pPr>
        <w:pStyle w:val="FootnoteText"/>
        <w:rPr>
          <w:lang w:val="es-ES"/>
        </w:rPr>
      </w:pPr>
    </w:p>
  </w:footnote>
  <w:footnote w:id="390">
    <w:p w14:paraId="6507B691"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Art.63.1: “</w:t>
      </w:r>
      <w:r w:rsidRPr="00032C73">
        <w:rPr>
          <w:i/>
          <w:lang w:val="es-ES"/>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rsidRPr="00032C73">
        <w:rPr>
          <w:lang w:val="es-ES"/>
        </w:rPr>
        <w:t>.”</w:t>
      </w:r>
    </w:p>
    <w:p w14:paraId="73F3D6C7" w14:textId="77777777" w:rsidR="00D86616" w:rsidRPr="00032C73" w:rsidRDefault="00D86616" w:rsidP="003C2143">
      <w:pPr>
        <w:pStyle w:val="FootnoteText"/>
        <w:rPr>
          <w:lang w:val="es-ES"/>
        </w:rPr>
      </w:pPr>
    </w:p>
  </w:footnote>
  <w:footnote w:id="391">
    <w:p w14:paraId="6C838507"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En lo sucesivo, cada vez que se haga referencia  a los derechos “</w:t>
      </w:r>
      <w:r w:rsidRPr="00032C73">
        <w:rPr>
          <w:i/>
          <w:lang w:val="es-ES"/>
        </w:rPr>
        <w:t>reconocidos</w:t>
      </w:r>
      <w:r w:rsidRPr="00032C73">
        <w:rPr>
          <w:lang w:val="es-ES"/>
        </w:rPr>
        <w:t>” en la Convención, se deberá entender que se incluyen también a los “</w:t>
      </w:r>
      <w:r w:rsidRPr="00032C73">
        <w:rPr>
          <w:i/>
          <w:lang w:val="es-ES"/>
        </w:rPr>
        <w:t>establecidos</w:t>
      </w:r>
      <w:r w:rsidRPr="00032C73">
        <w:rPr>
          <w:lang w:val="es-ES"/>
        </w:rPr>
        <w:t>”, “</w:t>
      </w:r>
      <w:r w:rsidRPr="00032C73">
        <w:rPr>
          <w:i/>
          <w:lang w:val="es-ES"/>
        </w:rPr>
        <w:t>garantizados</w:t>
      </w:r>
      <w:r w:rsidRPr="00032C73">
        <w:rPr>
          <w:lang w:val="es-ES"/>
        </w:rPr>
        <w:t>”,  “</w:t>
      </w:r>
      <w:r w:rsidRPr="00032C73">
        <w:rPr>
          <w:i/>
          <w:lang w:val="es-ES"/>
        </w:rPr>
        <w:t>consagrados</w:t>
      </w:r>
      <w:r w:rsidRPr="00032C73">
        <w:rPr>
          <w:lang w:val="es-ES"/>
        </w:rPr>
        <w:t>”  o “</w:t>
      </w:r>
      <w:r w:rsidRPr="00032C73">
        <w:rPr>
          <w:i/>
          <w:lang w:val="es-ES"/>
        </w:rPr>
        <w:t>protegidos”</w:t>
      </w:r>
      <w:r w:rsidRPr="00032C73">
        <w:rPr>
          <w:lang w:val="es-ES"/>
        </w:rPr>
        <w:t xml:space="preserve"> en ella.</w:t>
      </w:r>
    </w:p>
  </w:footnote>
  <w:footnote w:id="392">
    <w:p w14:paraId="0C935D99"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Procede llamar la atención en cuanto a que la Convención asimismo hace mención a “</w:t>
      </w:r>
      <w:r w:rsidRPr="00032C73">
        <w:rPr>
          <w:i/>
          <w:lang w:val="es-ES"/>
        </w:rPr>
        <w:t>principios</w:t>
      </w:r>
      <w:r w:rsidRPr="00032C73">
        <w:rPr>
          <w:lang w:val="es-ES"/>
        </w:rPr>
        <w:t xml:space="preserve">”, refiriéndose </w:t>
      </w:r>
      <w:proofErr w:type="spellStart"/>
      <w:r w:rsidRPr="00032C73">
        <w:rPr>
          <w:lang w:val="es-ES"/>
        </w:rPr>
        <w:t>a“</w:t>
      </w:r>
      <w:r w:rsidRPr="00032C73">
        <w:rPr>
          <w:i/>
          <w:lang w:val="es-ES"/>
        </w:rPr>
        <w:t>un</w:t>
      </w:r>
      <w:proofErr w:type="spellEnd"/>
      <w:r w:rsidRPr="00032C73">
        <w:rPr>
          <w:i/>
          <w:lang w:val="es-ES"/>
        </w:rPr>
        <w:t xml:space="preserve"> régimen de libertad personal y de justicia social, </w:t>
      </w:r>
      <w:r w:rsidRPr="00032C73">
        <w:rPr>
          <w:lang w:val="es-ES"/>
        </w:rPr>
        <w:t xml:space="preserve">fundado en el </w:t>
      </w:r>
      <w:r w:rsidRPr="00032C73">
        <w:rPr>
          <w:i/>
          <w:lang w:val="es-ES"/>
        </w:rPr>
        <w:t>respeto de los derechos esenciales del hombre”</w:t>
      </w:r>
      <w:r w:rsidRPr="00032C73">
        <w:rPr>
          <w:lang w:val="es-ES"/>
        </w:rPr>
        <w:t>, en tanto que éstos “</w:t>
      </w:r>
      <w:r w:rsidRPr="00032C73">
        <w:rPr>
          <w:i/>
          <w:lang w:val="es-ES"/>
        </w:rPr>
        <w:t>no nacen del hecho de ser nacional de determinado Estado, sino que tienen como fundamento los atributos de la persona humana</w:t>
      </w:r>
      <w:r w:rsidRPr="00032C73">
        <w:rPr>
          <w:lang w:val="es-ES"/>
        </w:rPr>
        <w:t>” y que “</w:t>
      </w:r>
      <w:r w:rsidRPr="00032C73">
        <w:rPr>
          <w:i/>
          <w:lang w:val="es-ES"/>
        </w:rPr>
        <w:t xml:space="preserve">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 </w:t>
      </w:r>
      <w:r w:rsidRPr="00032C73">
        <w:rPr>
          <w:lang w:val="es-ES"/>
        </w:rPr>
        <w:t>Párrs.1</w:t>
      </w:r>
      <w:proofErr w:type="gramStart"/>
      <w:r w:rsidRPr="00032C73">
        <w:rPr>
          <w:lang w:val="es-ES"/>
        </w:rPr>
        <w:t>,2</w:t>
      </w:r>
      <w:proofErr w:type="gramEnd"/>
      <w:r w:rsidRPr="00032C73">
        <w:rPr>
          <w:lang w:val="es-ES"/>
        </w:rPr>
        <w:t xml:space="preserve"> y 3 del Preámbulo.</w:t>
      </w:r>
    </w:p>
    <w:p w14:paraId="0C7A7A65" w14:textId="77777777" w:rsidR="00D86616" w:rsidRPr="00032C73" w:rsidRDefault="00D86616" w:rsidP="003C2143">
      <w:pPr>
        <w:pStyle w:val="FootnoteText"/>
        <w:rPr>
          <w:i/>
          <w:lang w:val="es-ES"/>
        </w:rPr>
      </w:pPr>
    </w:p>
  </w:footnote>
  <w:footnote w:id="393">
    <w:p w14:paraId="51B636ED" w14:textId="77777777" w:rsidR="00D86616" w:rsidRPr="00032C73" w:rsidRDefault="00D86616" w:rsidP="003C2143">
      <w:pPr>
        <w:pStyle w:val="FootnoteText"/>
        <w:rPr>
          <w:i/>
          <w:lang w:val="es-ES"/>
        </w:rPr>
      </w:pPr>
      <w:r w:rsidRPr="00032C73">
        <w:rPr>
          <w:rStyle w:val="FootnoteReference"/>
        </w:rPr>
        <w:footnoteRef/>
      </w:r>
      <w:r>
        <w:rPr>
          <w:lang w:val="es-ES"/>
        </w:rPr>
        <w:t xml:space="preserve"> Párrafo 4º del Preámbulo:</w:t>
      </w:r>
      <w:r w:rsidRPr="00032C73">
        <w:rPr>
          <w:lang w:val="es-ES"/>
        </w:rPr>
        <w:t xml:space="preserve"> </w:t>
      </w:r>
      <w:r w:rsidRPr="00032C73">
        <w:rPr>
          <w:i/>
          <w:lang w:val="es-ES"/>
        </w:rP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w:t>
      </w:r>
    </w:p>
    <w:p w14:paraId="566611D1" w14:textId="77777777" w:rsidR="00D86616" w:rsidRPr="00032C73" w:rsidRDefault="00D86616" w:rsidP="003C2143">
      <w:pPr>
        <w:pStyle w:val="FootnoteText"/>
        <w:rPr>
          <w:lang w:val="es-ES"/>
        </w:rPr>
      </w:pPr>
    </w:p>
  </w:footnote>
  <w:footnote w:id="394">
    <w:p w14:paraId="24C65219"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Art.2, </w:t>
      </w:r>
      <w:r w:rsidRPr="00032C73">
        <w:rPr>
          <w:i/>
          <w:lang w:val="es-ES"/>
        </w:rPr>
        <w:t xml:space="preserve">cit. </w:t>
      </w:r>
      <w:r w:rsidRPr="00032C73">
        <w:rPr>
          <w:lang w:val="es-ES"/>
        </w:rPr>
        <w:t>en nota a pie de pág. Nº 3.</w:t>
      </w:r>
    </w:p>
    <w:p w14:paraId="67485462" w14:textId="77777777" w:rsidR="00D86616" w:rsidRPr="00032C73" w:rsidRDefault="00D86616" w:rsidP="003C2143">
      <w:pPr>
        <w:pStyle w:val="FootnoteText"/>
        <w:rPr>
          <w:lang w:val="es-ES"/>
        </w:rPr>
      </w:pPr>
    </w:p>
  </w:footnote>
  <w:footnote w:id="395">
    <w:p w14:paraId="5CDA227E"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w:t>
      </w:r>
      <w:r>
        <w:rPr>
          <w:lang w:val="es-ES"/>
        </w:rPr>
        <w:t xml:space="preserve">Art. 29.b; “. </w:t>
      </w:r>
      <w:r w:rsidRPr="00032C73">
        <w:rPr>
          <w:i/>
          <w:lang w:val="es-ES"/>
        </w:rPr>
        <w:t>Normas de Interpretación. Ninguna disposición de la presente Convención puede ser interpretada en el sentido de:... limitar el goce y ejercicio de cualquier derecho o libertad que pueda estar reconocido de acuerdo con las leyes de cualquiera de los Estados Partes o de acuerdo con otra convención en que sea parte uno de dichos Estados</w:t>
      </w:r>
      <w:r>
        <w:rPr>
          <w:lang w:val="es-ES"/>
        </w:rPr>
        <w:t>;”</w:t>
      </w:r>
    </w:p>
    <w:p w14:paraId="376A3562" w14:textId="77777777" w:rsidR="00D86616" w:rsidRPr="00032C73" w:rsidRDefault="00D86616" w:rsidP="003C2143">
      <w:pPr>
        <w:pStyle w:val="FootnoteText"/>
        <w:rPr>
          <w:lang w:val="es-ES"/>
        </w:rPr>
      </w:pPr>
    </w:p>
  </w:footnote>
  <w:footnote w:id="396">
    <w:p w14:paraId="008EC2E1" w14:textId="77777777" w:rsidR="00D86616" w:rsidRPr="00032C73" w:rsidRDefault="00D86616" w:rsidP="003C2143">
      <w:pPr>
        <w:pStyle w:val="FootnoteText"/>
        <w:rPr>
          <w:lang w:val="es-ES"/>
        </w:rPr>
      </w:pPr>
      <w:r w:rsidRPr="00032C73">
        <w:rPr>
          <w:rStyle w:val="FootnoteReference"/>
        </w:rPr>
        <w:footnoteRef/>
      </w:r>
      <w:r>
        <w:rPr>
          <w:lang w:val="es-ES"/>
        </w:rPr>
        <w:t xml:space="preserve"> Art. 29.</w:t>
      </w:r>
      <w:r w:rsidRPr="00032C73">
        <w:rPr>
          <w:lang w:val="es-ES"/>
        </w:rPr>
        <w:t xml:space="preserve">c): </w:t>
      </w:r>
      <w:r w:rsidRPr="00032C73">
        <w:rPr>
          <w:i/>
          <w:lang w:val="es-ES"/>
        </w:rPr>
        <w:t>“Normas de Interpretación. Ninguna disposición de la presente Convención puede ser interpretada en el sentido de: ...</w:t>
      </w:r>
      <w:r>
        <w:rPr>
          <w:lang w:val="es-ES"/>
        </w:rPr>
        <w:t xml:space="preserve"> </w:t>
      </w:r>
      <w:r w:rsidRPr="00032C73">
        <w:rPr>
          <w:i/>
          <w:lang w:val="es-ES"/>
        </w:rPr>
        <w:t xml:space="preserve">excluir otros derechos y garantías que son inherentes al ser humano o que se derivan de la forma democrática representativa de gobierno, </w:t>
      </w:r>
      <w:r>
        <w:rPr>
          <w:i/>
          <w:lang w:val="es-ES"/>
        </w:rPr>
        <w:t>[</w:t>
      </w:r>
      <w:r w:rsidRPr="00032C73">
        <w:rPr>
          <w:i/>
          <w:lang w:val="es-ES"/>
        </w:rPr>
        <w:t>...</w:t>
      </w:r>
      <w:r>
        <w:rPr>
          <w:i/>
          <w:lang w:val="es-ES"/>
        </w:rPr>
        <w:t>]</w:t>
      </w:r>
      <w:r w:rsidRPr="00032C73">
        <w:rPr>
          <w:i/>
          <w:lang w:val="es-ES"/>
        </w:rPr>
        <w:t>”</w:t>
      </w:r>
    </w:p>
    <w:p w14:paraId="7FD6CFC8" w14:textId="77777777" w:rsidR="00D86616" w:rsidRPr="00032C73" w:rsidRDefault="00D86616" w:rsidP="003C2143">
      <w:pPr>
        <w:pStyle w:val="FootnoteText"/>
        <w:rPr>
          <w:lang w:val="es-ES"/>
        </w:rPr>
      </w:pPr>
    </w:p>
  </w:footnote>
  <w:footnote w:id="397">
    <w:p w14:paraId="6EEE25A3"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Párrs.142 y 154.</w:t>
      </w:r>
    </w:p>
    <w:p w14:paraId="4126DEDE" w14:textId="77777777" w:rsidR="00D86616" w:rsidRPr="00032C73" w:rsidRDefault="00D86616" w:rsidP="003C2143">
      <w:pPr>
        <w:pStyle w:val="FootnoteText"/>
        <w:rPr>
          <w:lang w:val="es-ES"/>
        </w:rPr>
      </w:pPr>
    </w:p>
  </w:footnote>
  <w:footnote w:id="398">
    <w:p w14:paraId="0B40BFD8"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Art. 33: “</w:t>
      </w:r>
      <w:r w:rsidRPr="00032C73">
        <w:rPr>
          <w:i/>
          <w:lang w:val="es-ES"/>
        </w:rPr>
        <w:t xml:space="preserve">Son competentes para conocer de los asuntos relacionados con el cumplimiento de los </w:t>
      </w:r>
    </w:p>
    <w:p w14:paraId="4E0C891A" w14:textId="77777777" w:rsidR="00D86616" w:rsidRPr="00032C73" w:rsidRDefault="00D86616" w:rsidP="003C2143">
      <w:pPr>
        <w:pStyle w:val="FootnoteText"/>
        <w:rPr>
          <w:i/>
          <w:lang w:val="es-ES"/>
        </w:rPr>
      </w:pPr>
      <w:r w:rsidRPr="00032C73">
        <w:rPr>
          <w:i/>
          <w:lang w:val="es-ES"/>
        </w:rPr>
        <w:t>compromisos contraídos por los Estados Partes en esta Convención:</w:t>
      </w:r>
    </w:p>
    <w:p w14:paraId="51F476CC" w14:textId="77777777" w:rsidR="00D86616" w:rsidRPr="00032C73" w:rsidRDefault="00D86616" w:rsidP="003C2143">
      <w:pPr>
        <w:pStyle w:val="FootnoteText"/>
        <w:rPr>
          <w:i/>
          <w:lang w:val="es-ES"/>
        </w:rPr>
      </w:pPr>
      <w:r w:rsidRPr="00032C73">
        <w:rPr>
          <w:i/>
          <w:lang w:val="es-ES"/>
        </w:rPr>
        <w:t xml:space="preserve"> a) la Comisión Interamericana de Derechos Humanos, llamada en adelante la Comisión, y</w:t>
      </w:r>
    </w:p>
    <w:p w14:paraId="2A7E4D79" w14:textId="77777777" w:rsidR="00D86616" w:rsidRPr="00032C73" w:rsidRDefault="00D86616" w:rsidP="003C2143">
      <w:pPr>
        <w:pStyle w:val="FootnoteText"/>
        <w:rPr>
          <w:i/>
          <w:lang w:val="es-ES"/>
        </w:rPr>
      </w:pPr>
      <w:r w:rsidRPr="00032C73">
        <w:rPr>
          <w:i/>
          <w:lang w:val="es-ES"/>
        </w:rPr>
        <w:t xml:space="preserve"> b) la Corte Interamericana de Derechos Humanos, llamada en adelante la Corte.”</w:t>
      </w:r>
    </w:p>
    <w:p w14:paraId="4A6EDADF" w14:textId="77777777" w:rsidR="00D86616" w:rsidRPr="00032C73" w:rsidRDefault="00D86616" w:rsidP="003C2143">
      <w:pPr>
        <w:pStyle w:val="FootnoteText"/>
        <w:rPr>
          <w:lang w:val="es-ES"/>
        </w:rPr>
      </w:pPr>
    </w:p>
  </w:footnote>
  <w:footnote w:id="399">
    <w:p w14:paraId="19CF7488"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Existe también la posibilidad de que se suscriban protocolos que no impliquen incorporación de derechos al sistema de protección. Así,  por ejemplo, el </w:t>
      </w:r>
      <w:r w:rsidRPr="00032C73">
        <w:rPr>
          <w:i/>
          <w:lang w:val="es-ES"/>
        </w:rPr>
        <w:t>Protocolo a la Convención Americana sobre Derechos Humanos Relativo a la Abolición de la Pena de Muerte</w:t>
      </w:r>
      <w:r w:rsidRPr="00032C73">
        <w:rPr>
          <w:lang w:val="es-ES"/>
        </w:rPr>
        <w:t>, de 1990, se adopta en vista de que, según el párrafo 6º de su Preámbulo, “</w:t>
      </w:r>
      <w:r w:rsidRPr="00032C73">
        <w:rPr>
          <w:i/>
          <w:lang w:val="es-ES"/>
        </w:rPr>
        <w:t>es necesario alcanzar un acuerdo internacional que signifique un desarrollo progresivo de la Convención Americana sobre Derechos Humanos</w:t>
      </w:r>
      <w:r w:rsidRPr="00032C73">
        <w:rPr>
          <w:lang w:val="es-ES"/>
        </w:rPr>
        <w:t>”.</w:t>
      </w:r>
    </w:p>
    <w:p w14:paraId="46B63EE0" w14:textId="77777777" w:rsidR="00D86616" w:rsidRPr="00032C73" w:rsidRDefault="00D86616" w:rsidP="003C2143">
      <w:pPr>
        <w:pStyle w:val="FootnoteText"/>
        <w:rPr>
          <w:lang w:val="es-ES"/>
        </w:rPr>
      </w:pPr>
    </w:p>
  </w:footnote>
  <w:footnote w:id="400">
    <w:p w14:paraId="5896FD6D" w14:textId="77777777" w:rsidR="00D86616" w:rsidRDefault="00D86616" w:rsidP="003C2143">
      <w:pPr>
        <w:pStyle w:val="FootnoteText"/>
        <w:rPr>
          <w:lang w:val="es-ES"/>
        </w:rPr>
      </w:pPr>
      <w:r w:rsidRPr="00032C73">
        <w:rPr>
          <w:rStyle w:val="FootnoteReference"/>
        </w:rPr>
        <w:footnoteRef/>
      </w:r>
      <w:r w:rsidRPr="00032C73">
        <w:rPr>
          <w:lang w:val="es-ES"/>
        </w:rPr>
        <w:t xml:space="preserve"> Nota a pie de pág. Nº14. </w:t>
      </w:r>
    </w:p>
    <w:p w14:paraId="33852793" w14:textId="77777777" w:rsidR="00D86616" w:rsidRPr="00032C73" w:rsidRDefault="00D86616" w:rsidP="003C2143">
      <w:pPr>
        <w:pStyle w:val="FootnoteText"/>
        <w:rPr>
          <w:lang w:val="es-ES"/>
        </w:rPr>
      </w:pPr>
    </w:p>
  </w:footnote>
  <w:footnote w:id="401">
    <w:p w14:paraId="164BF83D"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Párr. 142. </w:t>
      </w:r>
    </w:p>
    <w:p w14:paraId="7B7EFAB9" w14:textId="77777777" w:rsidR="00D86616" w:rsidRPr="00032C73" w:rsidRDefault="00D86616" w:rsidP="003C2143">
      <w:pPr>
        <w:pStyle w:val="FootnoteText"/>
        <w:rPr>
          <w:lang w:val="es-ES"/>
        </w:rPr>
      </w:pPr>
    </w:p>
  </w:footnote>
  <w:footnote w:id="402">
    <w:p w14:paraId="51657EBF"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Considerando 7º: “</w:t>
      </w:r>
      <w:r w:rsidRPr="00032C73">
        <w:rPr>
          <w:i/>
          <w:lang w:val="es-ES"/>
        </w:rPr>
        <w:t>Considerando que la Convención Americana sobre Derechos Humanos establece que pueden someterse a la consideración de los Estados partes reunidos con ocasión de la Asamblea General de la Organización de los Estados Americanos proyectos de protocolos adicionales a esa Convención con la finalidad de incluir progresivamente en el régimen de protección de la misma otros derechos y libertades</w:t>
      </w:r>
      <w:r w:rsidRPr="00032C73">
        <w:rPr>
          <w:lang w:val="es-ES"/>
        </w:rPr>
        <w:t>.”</w:t>
      </w:r>
    </w:p>
    <w:p w14:paraId="3DBC42AC" w14:textId="77777777" w:rsidR="00D86616" w:rsidRPr="00032C73" w:rsidRDefault="00D86616" w:rsidP="003C2143">
      <w:pPr>
        <w:pStyle w:val="FootnoteText"/>
        <w:rPr>
          <w:i/>
          <w:lang w:val="es-ES"/>
        </w:rPr>
      </w:pPr>
    </w:p>
  </w:footnote>
  <w:footnote w:id="403">
    <w:p w14:paraId="7A569FCA"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Art.1 del Protocolo de San Salvador: “</w:t>
      </w:r>
      <w:r w:rsidRPr="00032C73">
        <w:rPr>
          <w:i/>
          <w:lang w:val="es-ES"/>
        </w:rPr>
        <w:t>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14:paraId="683D0A62" w14:textId="77777777" w:rsidR="00D86616" w:rsidRPr="00032C73" w:rsidRDefault="00D86616" w:rsidP="003C2143">
      <w:pPr>
        <w:pStyle w:val="FootnoteText"/>
        <w:rPr>
          <w:lang w:val="es-ES"/>
        </w:rPr>
      </w:pPr>
    </w:p>
  </w:footnote>
  <w:footnote w:id="404">
    <w:p w14:paraId="08C43124"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Art.19.6 de dicho Protocolo: “</w:t>
      </w:r>
      <w:r w:rsidRPr="00032C73">
        <w:rPr>
          <w:i/>
          <w:lang w:val="es-ES"/>
        </w:rPr>
        <w:t>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14:paraId="699DD5E4" w14:textId="77777777" w:rsidR="00D86616" w:rsidRPr="00032C73" w:rsidRDefault="00D86616" w:rsidP="003C2143">
      <w:pPr>
        <w:pStyle w:val="FootnoteText"/>
        <w:rPr>
          <w:i/>
          <w:lang w:val="es-ES"/>
        </w:rPr>
      </w:pPr>
    </w:p>
  </w:footnote>
  <w:footnote w:id="405">
    <w:p w14:paraId="67238549"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Art.8.a) del mismo Protocolo: “</w:t>
      </w:r>
      <w:r w:rsidRPr="00032C73">
        <w:rPr>
          <w:i/>
          <w:lang w:val="es-ES"/>
        </w:rPr>
        <w:t>Los Estados partes garantizarán: a. el derecho de los trabajadores a organizar sindicatos y a afiliarse al de su elección, para la protección y promoción de sus intereses.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w:t>
      </w:r>
      <w:r w:rsidRPr="00032C73">
        <w:rPr>
          <w:lang w:val="es-ES"/>
        </w:rPr>
        <w:t>;”.</w:t>
      </w:r>
    </w:p>
    <w:p w14:paraId="58BD2C37" w14:textId="77777777" w:rsidR="00D86616" w:rsidRPr="00032C73" w:rsidRDefault="00D86616" w:rsidP="003C2143">
      <w:pPr>
        <w:pStyle w:val="FootnoteText"/>
        <w:rPr>
          <w:lang w:val="es-ES"/>
        </w:rPr>
      </w:pPr>
    </w:p>
  </w:footnote>
  <w:footnote w:id="406">
    <w:p w14:paraId="6C562CFE"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Art.13 de tal Protocolo: </w:t>
      </w:r>
      <w:r w:rsidRPr="00032C73">
        <w:rPr>
          <w:i/>
          <w:lang w:val="es-ES"/>
        </w:rPr>
        <w:t>“Derecho a la Educación. 1. Toda persona tiene derecho a la educación. 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 3. Los Estados partes en el presente Protocolo reconocen que, con objeto de lograr el pleno ejercicio del derecho a la educación: a. la enseñanza primaria debe ser obligatoria y asequible a todos gratuitamente; b. la enseñanza secundaria en sus diferentes formas, incluso la enseñanza secundaria técnica y profesional, debe ser generalizada y hacerse accesible a todos, por cuantos medios sean apropiados, y en particular por la implantación progresiva de la enseñanza gratuita; c. la enseñanza superior debe hacerse igualmente accesible a todos, sobre la base de la capacidad de cada uno, por cuantos medios sean apropiados y en particular, por la implantación progresiva de la enseñanza gratuita; d. se deberá fomentar o intensificar, en la medida de lo posible, la educación básica para aquellas personas que no hayan recibido o terminado el ciclo completo de instrucción primaria; e. se deberán establecer programas de enseñanza diferenciada para los minusválidos a fin de proporcionar una especial instrucción y formación a personas con impedimentos físicos o deficiencias mentales. 4. Conforme con la legislación interna de los Estados partes, los padres tendrán derecho a escoger el tipo de educación que habrá de darse a sus hijos, siempre que ella se adecue a los principios enunciados precedentemente. 5. Nada de lo dispuesto en este Protocolo se interpretará como una restricción de la libertad de los particulares y entidades para establecer y dirigir instituciones de enseñanza, de acuerdo con la legislación interna de los Estados partes.”</w:t>
      </w:r>
    </w:p>
    <w:p w14:paraId="41090582" w14:textId="77777777" w:rsidR="00D86616" w:rsidRPr="00032C73" w:rsidRDefault="00D86616" w:rsidP="003C2143">
      <w:pPr>
        <w:pStyle w:val="FootnoteText"/>
        <w:rPr>
          <w:i/>
          <w:lang w:val="es-ES"/>
        </w:rPr>
      </w:pPr>
    </w:p>
  </w:footnote>
  <w:footnote w:id="407">
    <w:p w14:paraId="12252206"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Nota a pie de pág. Nº 5.</w:t>
      </w:r>
    </w:p>
    <w:p w14:paraId="3596F2D5" w14:textId="77777777" w:rsidR="00D86616" w:rsidRPr="00032C73" w:rsidRDefault="00D86616" w:rsidP="003C2143">
      <w:pPr>
        <w:pStyle w:val="FootnoteText"/>
        <w:rPr>
          <w:lang w:val="es-ES"/>
        </w:rPr>
      </w:pPr>
    </w:p>
  </w:footnote>
  <w:footnote w:id="408">
    <w:p w14:paraId="7AEEA71F"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Nota a pie de pág. Nº 3.</w:t>
      </w:r>
    </w:p>
    <w:p w14:paraId="308E56FC" w14:textId="77777777" w:rsidR="00D86616" w:rsidRPr="00032C73" w:rsidRDefault="00D86616" w:rsidP="003C2143">
      <w:pPr>
        <w:pStyle w:val="FootnoteText"/>
        <w:rPr>
          <w:lang w:val="es-ES"/>
        </w:rPr>
      </w:pPr>
    </w:p>
  </w:footnote>
  <w:footnote w:id="409">
    <w:p w14:paraId="5FABCBA6" w14:textId="77777777" w:rsidR="00D86616" w:rsidRDefault="00D86616" w:rsidP="003C2143">
      <w:pPr>
        <w:pStyle w:val="FootnoteText"/>
        <w:rPr>
          <w:i/>
          <w:lang w:val="es-ES"/>
        </w:rPr>
      </w:pPr>
      <w:r w:rsidRPr="00032C73">
        <w:rPr>
          <w:rStyle w:val="FootnoteReference"/>
        </w:rPr>
        <w:footnoteRef/>
      </w:r>
      <w:r w:rsidRPr="00032C73">
        <w:rPr>
          <w:lang w:val="es-ES"/>
        </w:rPr>
        <w:t xml:space="preserve"> </w:t>
      </w:r>
      <w:proofErr w:type="spellStart"/>
      <w:r w:rsidRPr="00032C73">
        <w:rPr>
          <w:i/>
          <w:lang w:val="es-ES"/>
        </w:rPr>
        <w:t>Idem</w:t>
      </w:r>
      <w:proofErr w:type="spellEnd"/>
      <w:r w:rsidRPr="00032C73">
        <w:rPr>
          <w:i/>
          <w:lang w:val="es-ES"/>
        </w:rPr>
        <w:t>.</w:t>
      </w:r>
    </w:p>
    <w:p w14:paraId="5CB091CB" w14:textId="77777777" w:rsidR="00D86616" w:rsidRPr="00032C73" w:rsidRDefault="00D86616" w:rsidP="003C2143">
      <w:pPr>
        <w:pStyle w:val="FootnoteText"/>
        <w:rPr>
          <w:i/>
          <w:lang w:val="es-ES"/>
        </w:rPr>
      </w:pPr>
    </w:p>
  </w:footnote>
  <w:footnote w:id="410">
    <w:p w14:paraId="7CD60790" w14:textId="77777777" w:rsidR="00D86616" w:rsidRDefault="00D86616" w:rsidP="003C2143">
      <w:pPr>
        <w:pStyle w:val="FootnoteText"/>
        <w:rPr>
          <w:lang w:val="es-ES"/>
        </w:rPr>
      </w:pPr>
      <w:r>
        <w:rPr>
          <w:rStyle w:val="FootnoteReference"/>
        </w:rPr>
        <w:footnoteRef/>
      </w:r>
      <w:r w:rsidRPr="00755450">
        <w:rPr>
          <w:lang w:val="es-ES"/>
        </w:rPr>
        <w:t xml:space="preserve"> </w:t>
      </w:r>
      <w:r>
        <w:rPr>
          <w:lang w:val="es-ES"/>
        </w:rPr>
        <w:t>“</w:t>
      </w:r>
      <w:r w:rsidRPr="00755450">
        <w:rPr>
          <w:i/>
          <w:lang w:val="es-ES"/>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755450">
        <w:rPr>
          <w:lang w:val="es-ES"/>
        </w:rPr>
        <w:t>.</w:t>
      </w:r>
      <w:r>
        <w:rPr>
          <w:lang w:val="es-ES"/>
        </w:rPr>
        <w:t>”</w:t>
      </w:r>
    </w:p>
    <w:p w14:paraId="39ED11F4" w14:textId="77777777" w:rsidR="00D86616" w:rsidRPr="00755450" w:rsidRDefault="00D86616" w:rsidP="003C2143">
      <w:pPr>
        <w:pStyle w:val="FootnoteText"/>
        <w:rPr>
          <w:lang w:val="es-ES"/>
        </w:rPr>
      </w:pPr>
    </w:p>
  </w:footnote>
  <w:footnote w:id="411">
    <w:p w14:paraId="00F9E14F" w14:textId="43E1F737" w:rsidR="00D86616" w:rsidRPr="00432286" w:rsidRDefault="00D86616" w:rsidP="003C2143">
      <w:pPr>
        <w:pStyle w:val="FootnoteText"/>
        <w:rPr>
          <w:i/>
          <w:lang w:val="es-ES"/>
        </w:rPr>
      </w:pPr>
      <w:r>
        <w:rPr>
          <w:rStyle w:val="FootnoteReference"/>
        </w:rPr>
        <w:footnoteRef/>
      </w:r>
      <w:r w:rsidRPr="00432286">
        <w:rPr>
          <w:lang w:val="es-ES"/>
        </w:rPr>
        <w:t xml:space="preserve"> Art.32 de la Convención de Viena sobre el Derecho de los Tratados: “</w:t>
      </w:r>
      <w:r w:rsidRPr="00432286">
        <w:rPr>
          <w:i/>
          <w:lang w:val="es-ES"/>
        </w:rPr>
        <w:t>Medios de interpretación complementarios. Se podrán acudir a medios de</w:t>
      </w:r>
      <w:r>
        <w:rPr>
          <w:i/>
          <w:lang w:val="es-ES"/>
        </w:rPr>
        <w:t xml:space="preserve"> </w:t>
      </w:r>
      <w:r w:rsidRPr="00432286">
        <w:rPr>
          <w:i/>
          <w:lang w:val="es-ES"/>
        </w:rPr>
        <w:t>interpretación complementarios, en particular a los trabajo</w:t>
      </w:r>
      <w:r>
        <w:rPr>
          <w:i/>
          <w:lang w:val="es-ES"/>
        </w:rPr>
        <w:t xml:space="preserve">s preparatorios del tratado y a </w:t>
      </w:r>
      <w:r w:rsidRPr="00432286">
        <w:rPr>
          <w:i/>
          <w:lang w:val="es-ES"/>
        </w:rPr>
        <w:t>las circunstancias de su celebración, para confirmar el sent</w:t>
      </w:r>
      <w:r>
        <w:rPr>
          <w:i/>
          <w:lang w:val="es-ES"/>
        </w:rPr>
        <w:t xml:space="preserve">ido resultante de la aplicación del </w:t>
      </w:r>
      <w:r w:rsidRPr="00432286">
        <w:rPr>
          <w:i/>
          <w:lang w:val="es-ES"/>
        </w:rPr>
        <w:t>artículo 31, o para determinar el sentido cuando la interpretación dada de</w:t>
      </w:r>
      <w:r>
        <w:rPr>
          <w:i/>
          <w:lang w:val="es-ES"/>
        </w:rPr>
        <w:t xml:space="preserve"> </w:t>
      </w:r>
      <w:r w:rsidRPr="00432286">
        <w:rPr>
          <w:i/>
          <w:lang w:val="es-ES"/>
        </w:rPr>
        <w:t>conformidad con el artículo 31:</w:t>
      </w:r>
    </w:p>
    <w:p w14:paraId="0D45447B" w14:textId="77777777" w:rsidR="00D86616" w:rsidRPr="00432286" w:rsidRDefault="00D86616" w:rsidP="003C2143">
      <w:pPr>
        <w:pStyle w:val="FootnoteText"/>
        <w:rPr>
          <w:i/>
          <w:lang w:val="es-ES"/>
        </w:rPr>
      </w:pPr>
      <w:r w:rsidRPr="00432286">
        <w:rPr>
          <w:i/>
          <w:lang w:val="es-ES"/>
        </w:rPr>
        <w:t>a) deje ambiguo u oscuro el sentido; o</w:t>
      </w:r>
    </w:p>
    <w:p w14:paraId="3560DFAD" w14:textId="77777777" w:rsidR="00D86616" w:rsidRDefault="00D86616" w:rsidP="003C2143">
      <w:pPr>
        <w:pStyle w:val="FootnoteText"/>
        <w:rPr>
          <w:i/>
          <w:lang w:val="es-ES"/>
        </w:rPr>
      </w:pPr>
      <w:r w:rsidRPr="00432286">
        <w:rPr>
          <w:i/>
          <w:lang w:val="es-ES"/>
        </w:rPr>
        <w:t>b) conduzca a un resultado manifiestamente absurdo o irrazonable.</w:t>
      </w:r>
      <w:r>
        <w:rPr>
          <w:i/>
          <w:lang w:val="es-ES"/>
        </w:rPr>
        <w:t>”</w:t>
      </w:r>
    </w:p>
    <w:p w14:paraId="6071CFA4" w14:textId="77777777" w:rsidR="00D86616" w:rsidRPr="00432286" w:rsidRDefault="00D86616" w:rsidP="003C2143">
      <w:pPr>
        <w:pStyle w:val="FootnoteText"/>
        <w:rPr>
          <w:i/>
          <w:lang w:val="es-ES"/>
        </w:rPr>
      </w:pPr>
    </w:p>
  </w:footnote>
  <w:footnote w:id="412">
    <w:p w14:paraId="0937BC55" w14:textId="55EC7156" w:rsidR="00D86616" w:rsidRPr="00032C73" w:rsidRDefault="00D86616" w:rsidP="003C2143">
      <w:pPr>
        <w:pStyle w:val="FootnoteText"/>
        <w:rPr>
          <w:lang w:val="es-ES"/>
        </w:rPr>
      </w:pPr>
      <w:r w:rsidRPr="00032C73">
        <w:rPr>
          <w:rStyle w:val="FootnoteReference"/>
        </w:rPr>
        <w:footnoteRef/>
      </w:r>
      <w:r w:rsidRPr="00032C73">
        <w:rPr>
          <w:lang w:val="es-ES"/>
        </w:rPr>
        <w:t xml:space="preserve"> Voto concurrente del Juez Alberto Pérez </w:t>
      </w:r>
      <w:proofErr w:type="spellStart"/>
      <w:r w:rsidRPr="00032C73">
        <w:rPr>
          <w:lang w:val="es-ES"/>
        </w:rPr>
        <w:t>Pérez</w:t>
      </w:r>
      <w:proofErr w:type="spellEnd"/>
      <w:r w:rsidRPr="00032C73">
        <w:rPr>
          <w:lang w:val="es-ES"/>
        </w:rPr>
        <w:t xml:space="preserve">, </w:t>
      </w:r>
      <w:r w:rsidRPr="00032C73">
        <w:rPr>
          <w:i/>
          <w:lang w:val="es-ES"/>
        </w:rPr>
        <w:t xml:space="preserve">Caso Gonzales </w:t>
      </w:r>
      <w:proofErr w:type="spellStart"/>
      <w:r w:rsidRPr="00032C73">
        <w:rPr>
          <w:i/>
          <w:lang w:val="es-ES"/>
        </w:rPr>
        <w:t>Lluy</w:t>
      </w:r>
      <w:proofErr w:type="spellEnd"/>
      <w:r w:rsidRPr="00032C73">
        <w:rPr>
          <w:i/>
          <w:lang w:val="es-ES"/>
        </w:rPr>
        <w:t xml:space="preserve"> y Otros Vs. Ecuador,</w:t>
      </w:r>
      <w:r w:rsidRPr="00032C73">
        <w:rPr>
          <w:lang w:val="es-ES"/>
        </w:rPr>
        <w:t xml:space="preserve"> Sentencia de 1 de septiembre de 2015,</w:t>
      </w:r>
      <w:r>
        <w:rPr>
          <w:lang w:val="es-ES"/>
        </w:rPr>
        <w:t xml:space="preserve"> </w:t>
      </w:r>
      <w:r w:rsidRPr="00032C73">
        <w:rPr>
          <w:lang w:val="es-ES"/>
        </w:rPr>
        <w:t>(Excepciones Preliminares, Fondo, Reparaciones y Costas)</w:t>
      </w:r>
      <w:r>
        <w:rPr>
          <w:lang w:val="es-ES"/>
        </w:rPr>
        <w:t>.</w:t>
      </w:r>
    </w:p>
    <w:p w14:paraId="3A40BA68" w14:textId="77777777" w:rsidR="00D86616" w:rsidRPr="00032C73" w:rsidRDefault="00D86616" w:rsidP="003C2143">
      <w:pPr>
        <w:pStyle w:val="FootnoteText"/>
        <w:rPr>
          <w:i/>
          <w:lang w:val="es-ES"/>
        </w:rPr>
      </w:pPr>
    </w:p>
  </w:footnote>
  <w:footnote w:id="413">
    <w:p w14:paraId="603C0417"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w:t>
      </w:r>
      <w:r w:rsidRPr="00032C73">
        <w:rPr>
          <w:i/>
          <w:lang w:val="es-ES"/>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w:t>
      </w:r>
    </w:p>
    <w:p w14:paraId="7975DE2A" w14:textId="77777777" w:rsidR="00D86616" w:rsidRPr="00032C73" w:rsidRDefault="00D86616" w:rsidP="003C2143">
      <w:pPr>
        <w:pStyle w:val="FootnoteText"/>
        <w:rPr>
          <w:i/>
          <w:lang w:val="es-ES"/>
        </w:rPr>
      </w:pPr>
      <w:r w:rsidRPr="00032C73">
        <w:rPr>
          <w:i/>
          <w:lang w:val="es-ES"/>
        </w:rPr>
        <w:t>... 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 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p>
    <w:p w14:paraId="39D8DC1B" w14:textId="77777777" w:rsidR="00D86616" w:rsidRPr="00032C73" w:rsidRDefault="00D86616" w:rsidP="003C2143">
      <w:pPr>
        <w:pStyle w:val="FootnoteText"/>
        <w:rPr>
          <w:lang w:val="es-ES"/>
        </w:rPr>
      </w:pPr>
    </w:p>
  </w:footnote>
  <w:footnote w:id="414">
    <w:p w14:paraId="4F80D265"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w:t>
      </w:r>
      <w:r w:rsidRPr="00032C73">
        <w:rPr>
          <w:i/>
          <w:lang w:val="es-ES"/>
        </w:rPr>
        <w:t>“Los Estados miembros reconocen que, 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p>
    <w:p w14:paraId="1C145DB0" w14:textId="77777777" w:rsidR="00D86616" w:rsidRPr="00032C73" w:rsidRDefault="00D86616" w:rsidP="003C2143">
      <w:pPr>
        <w:pStyle w:val="FootnoteText"/>
        <w:rPr>
          <w:i/>
          <w:lang w:val="es-ES"/>
        </w:rPr>
      </w:pPr>
    </w:p>
  </w:footnote>
  <w:footnote w:id="415">
    <w:p w14:paraId="545AD91E"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w:t>
      </w:r>
      <w:r w:rsidRPr="00032C73">
        <w:rPr>
          <w:i/>
          <w:lang w:val="es-ES"/>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w:t>
      </w:r>
      <w:r>
        <w:rPr>
          <w:i/>
          <w:lang w:val="es-ES"/>
        </w:rPr>
        <w:t xml:space="preserve">entes metas básicas: ... g) </w:t>
      </w:r>
      <w:r w:rsidRPr="00032C73">
        <w:rPr>
          <w:i/>
          <w:lang w:val="es-ES"/>
        </w:rPr>
        <w:t>Salarios justos, oportunidades de empleo y condiciones de trabajo aceptables para todos;”</w:t>
      </w:r>
    </w:p>
    <w:p w14:paraId="3C4825DF" w14:textId="77777777" w:rsidR="00D86616" w:rsidRPr="00032C73" w:rsidRDefault="00D86616" w:rsidP="003C2143">
      <w:pPr>
        <w:pStyle w:val="FootnoteText"/>
        <w:rPr>
          <w:lang w:val="es-ES"/>
        </w:rPr>
      </w:pPr>
    </w:p>
  </w:footnote>
  <w:footnote w:id="416">
    <w:p w14:paraId="36E1AAE9" w14:textId="77777777" w:rsidR="00D86616" w:rsidRDefault="00D86616" w:rsidP="003C2143">
      <w:pPr>
        <w:pStyle w:val="FootnoteText"/>
        <w:rPr>
          <w:i/>
          <w:lang w:val="es-ES"/>
        </w:rPr>
      </w:pPr>
      <w:r w:rsidRPr="003B2532">
        <w:rPr>
          <w:rStyle w:val="FootnoteReference"/>
          <w:i/>
        </w:rPr>
        <w:footnoteRef/>
      </w:r>
      <w:r w:rsidRPr="003B2532">
        <w:rPr>
          <w:i/>
          <w:lang w:val="es-ES"/>
        </w:rPr>
        <w:t>“Los Estados miembros, inspirados en los principios de solidaridad y cooperación interamericanas, se comprometen a aunar esfuerzos para lograr que impere la justicia social internacional en sus relaciones y para que sus pueblos alcancen un desarrollo integral, condiciones indispensables para la paz y la seguridad. El desarrollo integral abarca los campos económico, social, educacional, cultural, científico y tecnológico, en los cuales deben obtenerse las metas que cada país defina para lograrlo.”</w:t>
      </w:r>
    </w:p>
    <w:p w14:paraId="0A6690C1" w14:textId="77777777" w:rsidR="00D86616" w:rsidRPr="003B2532" w:rsidRDefault="00D86616" w:rsidP="003C2143">
      <w:pPr>
        <w:pStyle w:val="FootnoteText"/>
        <w:rPr>
          <w:i/>
          <w:lang w:val="es-ES"/>
        </w:rPr>
      </w:pPr>
    </w:p>
  </w:footnote>
  <w:footnote w:id="417">
    <w:p w14:paraId="1BCBE301"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Nota de pie de pág. Nº 9.</w:t>
      </w:r>
    </w:p>
    <w:p w14:paraId="77D05B40" w14:textId="77777777" w:rsidR="00D86616" w:rsidRPr="00032C73" w:rsidRDefault="00D86616" w:rsidP="003C2143">
      <w:pPr>
        <w:pStyle w:val="FootnoteText"/>
        <w:rPr>
          <w:lang w:val="es-ES"/>
        </w:rPr>
      </w:pPr>
    </w:p>
  </w:footnote>
  <w:footnote w:id="418">
    <w:p w14:paraId="0F49A7CE" w14:textId="77777777" w:rsidR="00D86616" w:rsidRDefault="00D86616" w:rsidP="003C2143">
      <w:pPr>
        <w:pStyle w:val="FootnoteText"/>
        <w:rPr>
          <w:lang w:val="es-ES"/>
        </w:rPr>
      </w:pPr>
      <w:r w:rsidRPr="00032C73">
        <w:rPr>
          <w:rStyle w:val="FootnoteReference"/>
        </w:rPr>
        <w:footnoteRef/>
      </w:r>
      <w:r w:rsidRPr="00032C73">
        <w:rPr>
          <w:lang w:val="es-ES"/>
        </w:rPr>
        <w:t xml:space="preserve"> Párr.  141.</w:t>
      </w:r>
    </w:p>
    <w:p w14:paraId="17B73F90" w14:textId="77777777" w:rsidR="00D86616" w:rsidRPr="00032C73" w:rsidRDefault="00D86616" w:rsidP="003C2143">
      <w:pPr>
        <w:pStyle w:val="FootnoteText"/>
        <w:rPr>
          <w:lang w:val="es-ES"/>
        </w:rPr>
      </w:pPr>
    </w:p>
  </w:footnote>
  <w:footnote w:id="419">
    <w:p w14:paraId="6C0E33DA"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Nota a pie de pág. Nº 14.</w:t>
      </w:r>
    </w:p>
    <w:p w14:paraId="77E82967" w14:textId="77777777" w:rsidR="00D86616" w:rsidRPr="00032C73" w:rsidRDefault="00D86616" w:rsidP="003C2143">
      <w:pPr>
        <w:pStyle w:val="FootnoteText"/>
        <w:rPr>
          <w:lang w:val="es-ES"/>
        </w:rPr>
      </w:pPr>
    </w:p>
  </w:footnote>
  <w:footnote w:id="420">
    <w:p w14:paraId="20895453"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Nota a pie de pág. Nº 42.</w:t>
      </w:r>
    </w:p>
    <w:p w14:paraId="4F74AA06" w14:textId="77777777" w:rsidR="00D86616" w:rsidRPr="00032C73" w:rsidRDefault="00D86616" w:rsidP="003C2143">
      <w:pPr>
        <w:pStyle w:val="FootnoteText"/>
        <w:rPr>
          <w:lang w:val="es-ES"/>
        </w:rPr>
      </w:pPr>
    </w:p>
  </w:footnote>
  <w:footnote w:id="421">
    <w:p w14:paraId="49AB9905"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Así, por ejemplo, acorde a tal criterio y restringiendo la referencia únicamente a lo que atañe a los artículos de la Carta de la OEA citados en la Sentencia, es decir, a los artículos 34, 45 y 46, se podrían judicializar ante la Corte los derechos que “</w:t>
      </w:r>
      <w:r w:rsidRPr="00032C73">
        <w:rPr>
          <w:i/>
          <w:lang w:val="es-ES"/>
        </w:rPr>
        <w:t>derivan</w:t>
      </w:r>
      <w:r w:rsidRPr="00032C73">
        <w:rPr>
          <w:lang w:val="es-ES"/>
        </w:rPr>
        <w:t>” de las “</w:t>
      </w:r>
      <w:r w:rsidRPr="00032C73">
        <w:rPr>
          <w:i/>
          <w:lang w:val="es-ES"/>
        </w:rPr>
        <w:t>metas básicas</w:t>
      </w:r>
      <w:r w:rsidRPr="00032C73">
        <w:rPr>
          <w:lang w:val="es-ES"/>
        </w:rPr>
        <w:t>”, “</w:t>
      </w:r>
      <w:r w:rsidRPr="00032C73">
        <w:rPr>
          <w:i/>
          <w:lang w:val="es-ES"/>
        </w:rPr>
        <w:t>principios y mecanismos</w:t>
      </w:r>
      <w:r w:rsidRPr="00032C73">
        <w:rPr>
          <w:lang w:val="es-ES"/>
        </w:rPr>
        <w:t xml:space="preserve">” o </w:t>
      </w:r>
      <w:r w:rsidRPr="00032C73">
        <w:rPr>
          <w:i/>
          <w:lang w:val="es-ES"/>
        </w:rPr>
        <w:t>“finalidad</w:t>
      </w:r>
      <w:r w:rsidRPr="00032C73">
        <w:rPr>
          <w:lang w:val="es-ES"/>
        </w:rPr>
        <w:t xml:space="preserve">”, según corresponda, que establecen: </w:t>
      </w:r>
    </w:p>
    <w:p w14:paraId="571A43C9" w14:textId="77777777" w:rsidR="00D86616" w:rsidRPr="00032C73" w:rsidRDefault="00D86616" w:rsidP="003C2143">
      <w:pPr>
        <w:pStyle w:val="FootnoteText"/>
        <w:rPr>
          <w:i/>
          <w:lang w:val="es-ES"/>
        </w:rPr>
      </w:pPr>
      <w:r w:rsidRPr="00032C73">
        <w:rPr>
          <w:lang w:val="es-ES"/>
        </w:rPr>
        <w:t>Art. 34 :“</w:t>
      </w:r>
      <w:r w:rsidRPr="00032C73">
        <w:rPr>
          <w:i/>
          <w:lang w:val="es-ES"/>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p>
    <w:p w14:paraId="25A7503C" w14:textId="77777777" w:rsidR="00D86616" w:rsidRPr="00032C73" w:rsidRDefault="00D86616" w:rsidP="003C2143">
      <w:pPr>
        <w:pStyle w:val="FootnoteText"/>
        <w:rPr>
          <w:i/>
          <w:lang w:val="es-ES"/>
        </w:rPr>
      </w:pPr>
      <w:r w:rsidRPr="00032C73">
        <w:rPr>
          <w:i/>
          <w:lang w:val="es-ES"/>
        </w:rPr>
        <w:t xml:space="preserve">a) Incremento sustancial y </w:t>
      </w:r>
      <w:proofErr w:type="spellStart"/>
      <w:r w:rsidRPr="00032C73">
        <w:rPr>
          <w:i/>
          <w:lang w:val="es-ES"/>
        </w:rPr>
        <w:t>autosostenido</w:t>
      </w:r>
      <w:proofErr w:type="spellEnd"/>
      <w:r w:rsidRPr="00032C73">
        <w:rPr>
          <w:i/>
          <w:lang w:val="es-ES"/>
        </w:rPr>
        <w:t xml:space="preserve"> del producto nacional per cápita; </w:t>
      </w:r>
    </w:p>
    <w:p w14:paraId="1EBDDBF3" w14:textId="77777777" w:rsidR="00D86616" w:rsidRPr="00032C73" w:rsidRDefault="00D86616" w:rsidP="003C2143">
      <w:pPr>
        <w:pStyle w:val="FootnoteText"/>
        <w:rPr>
          <w:i/>
          <w:lang w:val="es-ES"/>
        </w:rPr>
      </w:pPr>
      <w:r w:rsidRPr="00032C73">
        <w:rPr>
          <w:i/>
          <w:lang w:val="es-ES"/>
        </w:rPr>
        <w:t>b) Distribución equitativa del ingreso nacional;</w:t>
      </w:r>
    </w:p>
    <w:p w14:paraId="74ABBE0F" w14:textId="77777777" w:rsidR="00D86616" w:rsidRPr="00032C73" w:rsidRDefault="00D86616" w:rsidP="003C2143">
      <w:pPr>
        <w:pStyle w:val="FootnoteText"/>
        <w:rPr>
          <w:i/>
          <w:lang w:val="es-ES"/>
        </w:rPr>
      </w:pPr>
      <w:r w:rsidRPr="00032C73">
        <w:rPr>
          <w:i/>
          <w:lang w:val="es-ES"/>
        </w:rPr>
        <w:t>c) Sistemas impositivos adecuados y equitativos;</w:t>
      </w:r>
    </w:p>
    <w:p w14:paraId="7BA73BE8" w14:textId="77777777" w:rsidR="00D86616" w:rsidRPr="00032C73" w:rsidRDefault="00D86616" w:rsidP="003C2143">
      <w:pPr>
        <w:pStyle w:val="FootnoteText"/>
        <w:rPr>
          <w:i/>
          <w:lang w:val="es-ES"/>
        </w:rPr>
      </w:pPr>
      <w:r w:rsidRPr="00032C73">
        <w:rPr>
          <w:i/>
          <w:lang w:val="es-ES"/>
        </w:rPr>
        <w:t>d) Modernización de la vida rural y reformas que conduzcan a regímenes equitativos y eficaces de tenencia de la tierra, mayor productividad agrícola, expansión del uso de la tierra, diversificación de la producción y mejores sistemas para la industrialización y comercialización de productos agrícolas, y fortalecimiento y ampliación de los medios para alcanzar estos fines;</w:t>
      </w:r>
    </w:p>
    <w:p w14:paraId="59B23A3A" w14:textId="77777777" w:rsidR="00D86616" w:rsidRPr="00032C73" w:rsidRDefault="00D86616" w:rsidP="003C2143">
      <w:pPr>
        <w:pStyle w:val="FootnoteText"/>
        <w:rPr>
          <w:i/>
          <w:lang w:val="es-ES"/>
        </w:rPr>
      </w:pPr>
      <w:r w:rsidRPr="00032C73">
        <w:rPr>
          <w:i/>
          <w:lang w:val="es-ES"/>
        </w:rPr>
        <w:t>e) Industrialización acelerada y diversificada, especialmente de bienes de capital e intermedios;</w:t>
      </w:r>
    </w:p>
    <w:p w14:paraId="2570A228" w14:textId="77777777" w:rsidR="00D86616" w:rsidRPr="00032C73" w:rsidRDefault="00D86616" w:rsidP="003C2143">
      <w:pPr>
        <w:pStyle w:val="FootnoteText"/>
        <w:rPr>
          <w:i/>
          <w:lang w:val="es-ES"/>
        </w:rPr>
      </w:pPr>
      <w:r w:rsidRPr="00032C73">
        <w:rPr>
          <w:i/>
          <w:lang w:val="es-ES"/>
        </w:rPr>
        <w:t>f) Estabilidad del nivel de precios internos en armonía con el desarrollo económico sostenido y el logro de la justicia social;</w:t>
      </w:r>
    </w:p>
    <w:p w14:paraId="6D099F43" w14:textId="77777777" w:rsidR="00D86616" w:rsidRPr="00032C73" w:rsidRDefault="00D86616" w:rsidP="003C2143">
      <w:pPr>
        <w:pStyle w:val="FootnoteText"/>
        <w:rPr>
          <w:i/>
          <w:lang w:val="es-ES"/>
        </w:rPr>
      </w:pPr>
      <w:r w:rsidRPr="00032C73">
        <w:rPr>
          <w:i/>
          <w:lang w:val="es-ES"/>
        </w:rPr>
        <w:t>g) Salarios justos, oportunidades de empleo y condiciones de trabajo aceptables para todos;</w:t>
      </w:r>
    </w:p>
    <w:p w14:paraId="252FB92A" w14:textId="77777777" w:rsidR="00D86616" w:rsidRPr="00032C73" w:rsidRDefault="00D86616" w:rsidP="003C2143">
      <w:pPr>
        <w:pStyle w:val="FootnoteText"/>
        <w:rPr>
          <w:i/>
          <w:lang w:val="es-ES"/>
        </w:rPr>
      </w:pPr>
      <w:r w:rsidRPr="00032C73">
        <w:rPr>
          <w:i/>
          <w:lang w:val="es-ES"/>
        </w:rPr>
        <w:t>h) Erradicación rápida del analfabetismo y ampliación, para todos, de las oportunidades en el campo de la educación;</w:t>
      </w:r>
    </w:p>
    <w:p w14:paraId="32DF426C" w14:textId="77777777" w:rsidR="00D86616" w:rsidRPr="00032C73" w:rsidRDefault="00D86616" w:rsidP="003C2143">
      <w:pPr>
        <w:pStyle w:val="FootnoteText"/>
        <w:rPr>
          <w:i/>
          <w:lang w:val="es-ES"/>
        </w:rPr>
      </w:pPr>
      <w:r w:rsidRPr="00032C73">
        <w:rPr>
          <w:i/>
          <w:lang w:val="es-ES"/>
        </w:rPr>
        <w:t>i) Defensa del potencial humano mediante la extensión y aplicación de los modernos conocimientos de la ciencia médica;</w:t>
      </w:r>
    </w:p>
    <w:p w14:paraId="3A03EB9F" w14:textId="77777777" w:rsidR="00D86616" w:rsidRPr="00032C73" w:rsidRDefault="00D86616" w:rsidP="003C2143">
      <w:pPr>
        <w:pStyle w:val="FootnoteText"/>
        <w:rPr>
          <w:i/>
          <w:lang w:val="es-ES"/>
        </w:rPr>
      </w:pPr>
      <w:r w:rsidRPr="00032C73">
        <w:rPr>
          <w:i/>
          <w:lang w:val="es-ES"/>
        </w:rPr>
        <w:t>j) Nutrición adecuada, particularmente por medio de la aceleración de los esfuerzos nacionales para incrementar la producción y disponibilidad de alimentos;</w:t>
      </w:r>
    </w:p>
    <w:p w14:paraId="43730A0E" w14:textId="77777777" w:rsidR="00D86616" w:rsidRPr="00032C73" w:rsidRDefault="00D86616" w:rsidP="003C2143">
      <w:pPr>
        <w:pStyle w:val="FootnoteText"/>
        <w:rPr>
          <w:i/>
          <w:lang w:val="es-ES"/>
        </w:rPr>
      </w:pPr>
      <w:r w:rsidRPr="00032C73">
        <w:rPr>
          <w:i/>
          <w:lang w:val="es-ES"/>
        </w:rPr>
        <w:t>k) Vivienda adecuada para todos los sectores de la población;</w:t>
      </w:r>
    </w:p>
    <w:p w14:paraId="2F558604" w14:textId="77777777" w:rsidR="00D86616" w:rsidRPr="00032C73" w:rsidRDefault="00D86616" w:rsidP="003C2143">
      <w:pPr>
        <w:pStyle w:val="FootnoteText"/>
        <w:rPr>
          <w:i/>
          <w:lang w:val="es-ES"/>
        </w:rPr>
      </w:pPr>
      <w:r w:rsidRPr="00032C73">
        <w:rPr>
          <w:i/>
          <w:lang w:val="es-ES"/>
        </w:rPr>
        <w:t>l) Condiciones urbanas que hagan posible una vida sana, productiva y digna;</w:t>
      </w:r>
    </w:p>
    <w:p w14:paraId="7F031380" w14:textId="77777777" w:rsidR="00D86616" w:rsidRPr="00032C73" w:rsidRDefault="00D86616" w:rsidP="003C2143">
      <w:pPr>
        <w:pStyle w:val="FootnoteText"/>
        <w:rPr>
          <w:i/>
          <w:lang w:val="es-ES"/>
        </w:rPr>
      </w:pPr>
      <w:r w:rsidRPr="00032C73">
        <w:rPr>
          <w:i/>
          <w:lang w:val="es-ES"/>
        </w:rPr>
        <w:t>m) Promoción de la iniciativa y la inversión privadas en armonía con la acción del sector público, y</w:t>
      </w:r>
    </w:p>
    <w:p w14:paraId="341023B7" w14:textId="77777777" w:rsidR="00D86616" w:rsidRPr="00032C73" w:rsidRDefault="00D86616" w:rsidP="003C2143">
      <w:pPr>
        <w:pStyle w:val="FootnoteText"/>
        <w:rPr>
          <w:lang w:val="es-ES"/>
        </w:rPr>
      </w:pPr>
      <w:r w:rsidRPr="00032C73">
        <w:rPr>
          <w:i/>
          <w:lang w:val="es-ES"/>
        </w:rPr>
        <w:t>n) Expansión y diversificación de las exportaciones</w:t>
      </w:r>
      <w:r w:rsidRPr="00032C73">
        <w:rPr>
          <w:lang w:val="es-ES"/>
        </w:rPr>
        <w:t>.”</w:t>
      </w:r>
    </w:p>
    <w:p w14:paraId="6A36F3E0" w14:textId="77777777" w:rsidR="00D86616" w:rsidRPr="00032C73" w:rsidRDefault="00D86616" w:rsidP="003C2143">
      <w:pPr>
        <w:pStyle w:val="FootnoteText"/>
        <w:rPr>
          <w:i/>
          <w:lang w:val="es-ES"/>
        </w:rPr>
      </w:pPr>
      <w:r w:rsidRPr="00032C73">
        <w:rPr>
          <w:lang w:val="es-ES"/>
        </w:rPr>
        <w:t>Art.45: “</w:t>
      </w:r>
      <w:r w:rsidRPr="00032C73">
        <w:rPr>
          <w:i/>
          <w:lang w:val="es-ES"/>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w:t>
      </w:r>
    </w:p>
    <w:p w14:paraId="5936D4C1" w14:textId="77777777" w:rsidR="00D86616" w:rsidRPr="00032C73" w:rsidRDefault="00D86616" w:rsidP="003C2143">
      <w:pPr>
        <w:pStyle w:val="FootnoteText"/>
        <w:rPr>
          <w:i/>
          <w:lang w:val="es-ES"/>
        </w:rPr>
      </w:pPr>
      <w:r w:rsidRPr="00032C73">
        <w:rPr>
          <w:i/>
          <w:lang w:val="es-ES"/>
        </w:rPr>
        <w:t>a) Todos los seres humanos, sin distinción de raza, sexo, nacionalidad, credo o condición social, tienen derecho al bienestar material y a su desarrollo espiritual, en condiciones de libertad, dignidad, igualdad de oportunidades y seguridad económica;</w:t>
      </w:r>
    </w:p>
    <w:p w14:paraId="278CDE09" w14:textId="77777777" w:rsidR="00D86616" w:rsidRPr="00032C73" w:rsidRDefault="00D86616" w:rsidP="003C2143">
      <w:pPr>
        <w:pStyle w:val="FootnoteText"/>
        <w:rPr>
          <w:i/>
          <w:lang w:val="es-ES"/>
        </w:rPr>
      </w:pPr>
      <w:r w:rsidRPr="00032C73">
        <w:rPr>
          <w:i/>
          <w:lang w:val="es-ES"/>
        </w:rPr>
        <w:t>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p>
    <w:p w14:paraId="622EC4A7" w14:textId="77777777" w:rsidR="00D86616" w:rsidRPr="00032C73" w:rsidRDefault="00D86616" w:rsidP="003C2143">
      <w:pPr>
        <w:pStyle w:val="FootnoteText"/>
        <w:rPr>
          <w:i/>
          <w:lang w:val="es-ES"/>
        </w:rPr>
      </w:pPr>
      <w:r w:rsidRPr="00032C73">
        <w:rPr>
          <w:i/>
          <w:lang w:val="es-ES"/>
        </w:rPr>
        <w:t>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p>
    <w:p w14:paraId="373B1C27" w14:textId="77777777" w:rsidR="00D86616" w:rsidRPr="00032C73" w:rsidRDefault="00D86616" w:rsidP="003C2143">
      <w:pPr>
        <w:pStyle w:val="FootnoteText"/>
        <w:rPr>
          <w:i/>
          <w:lang w:val="es-ES"/>
        </w:rPr>
      </w:pPr>
      <w:r w:rsidRPr="00032C73">
        <w:rPr>
          <w:i/>
          <w:lang w:val="es-ES"/>
        </w:rPr>
        <w:t>d) Justos y eficientes sistemas y procedimientos de consulta y colaboración entre los sectores de la producción, tomando en cuenta la protección de los intereses de toda la sociedad;</w:t>
      </w:r>
    </w:p>
    <w:p w14:paraId="71B3C3B4" w14:textId="77777777" w:rsidR="00D86616" w:rsidRPr="00032C73" w:rsidRDefault="00D86616" w:rsidP="003C2143">
      <w:pPr>
        <w:pStyle w:val="FootnoteText"/>
        <w:rPr>
          <w:i/>
          <w:lang w:val="es-ES"/>
        </w:rPr>
      </w:pPr>
      <w:r w:rsidRPr="00032C73">
        <w:rPr>
          <w:i/>
          <w:lang w:val="es-ES"/>
        </w:rPr>
        <w:t>e) El funcionamiento de los sistemas de administración pública, banca y crédito, empresa, distribución y ventas, en forma que, en armonía con el sector privado, responda a los requerimientos e intereses de la comunidad;</w:t>
      </w:r>
    </w:p>
    <w:p w14:paraId="1867D1CB" w14:textId="77777777" w:rsidR="00D86616" w:rsidRPr="00032C73" w:rsidRDefault="00D86616" w:rsidP="003C2143">
      <w:pPr>
        <w:pStyle w:val="FootnoteText"/>
        <w:rPr>
          <w:i/>
          <w:lang w:val="es-ES"/>
        </w:rPr>
      </w:pPr>
      <w:r w:rsidRPr="00032C73">
        <w:rPr>
          <w:i/>
          <w:lang w:val="es-ES"/>
        </w:rPr>
        <w:t>f) La incorporación y creciente participación de los sectores marginales de la población, tanto del campo como de la ciudad, en la vida económica, social, cívica, cultural y política de la nación, a fin de lograr la plena integración de la comunidad nacional, el aceleramiento del proceso de movilidad social y la consolidación del régimen democrático. El estímulo a todo esfuerzo de promoción y cooperación populares que tenga por fin el desarrollo y progreso de la comunidad;</w:t>
      </w:r>
    </w:p>
    <w:p w14:paraId="61E826E5" w14:textId="77777777" w:rsidR="00D86616" w:rsidRPr="00032C73" w:rsidRDefault="00D86616" w:rsidP="003C2143">
      <w:pPr>
        <w:pStyle w:val="FootnoteText"/>
        <w:rPr>
          <w:i/>
          <w:lang w:val="es-ES"/>
        </w:rPr>
      </w:pPr>
      <w:r w:rsidRPr="00032C73">
        <w:rPr>
          <w:i/>
          <w:lang w:val="es-ES"/>
        </w:rPr>
        <w:t>g) El reconocimiento de la importancia de la contribución de las organizaciones, tales como los sindicatos, las cooperativas y asociaciones culturales, profesionales, de negocios, vecinales y comunales, a la vida de la sociedad y al proceso de desarrollo;</w:t>
      </w:r>
    </w:p>
    <w:p w14:paraId="22290A57" w14:textId="77777777" w:rsidR="00D86616" w:rsidRPr="00032C73" w:rsidRDefault="00D86616" w:rsidP="003C2143">
      <w:pPr>
        <w:pStyle w:val="FootnoteText"/>
        <w:rPr>
          <w:i/>
          <w:lang w:val="es-ES"/>
        </w:rPr>
      </w:pPr>
      <w:r w:rsidRPr="00032C73">
        <w:rPr>
          <w:i/>
          <w:lang w:val="es-ES"/>
        </w:rPr>
        <w:t xml:space="preserve">h) Desarrollo de una política eficiente de seguridad social, e </w:t>
      </w:r>
    </w:p>
    <w:p w14:paraId="1B7E7BB5" w14:textId="77777777" w:rsidR="00D86616" w:rsidRPr="00032C73" w:rsidRDefault="00D86616" w:rsidP="003C2143">
      <w:pPr>
        <w:pStyle w:val="FootnoteText"/>
        <w:rPr>
          <w:lang w:val="es-ES"/>
        </w:rPr>
      </w:pPr>
      <w:r w:rsidRPr="00032C73">
        <w:rPr>
          <w:i/>
          <w:lang w:val="es-ES"/>
        </w:rPr>
        <w:t>i) Disposiciones adecuadas para que todas las personas tengan la debida asistencia legal para hacer valer sus derechos</w:t>
      </w:r>
      <w:r w:rsidRPr="00032C73">
        <w:rPr>
          <w:lang w:val="es-ES"/>
        </w:rPr>
        <w:t>.”</w:t>
      </w:r>
    </w:p>
    <w:p w14:paraId="5E5C88E6" w14:textId="77777777" w:rsidR="00D86616" w:rsidRPr="00032C73" w:rsidRDefault="00D86616" w:rsidP="003C2143">
      <w:pPr>
        <w:pStyle w:val="FootnoteText"/>
        <w:rPr>
          <w:i/>
          <w:lang w:val="es-ES"/>
        </w:rPr>
      </w:pPr>
      <w:r w:rsidRPr="00032C73">
        <w:rPr>
          <w:lang w:val="es-ES"/>
        </w:rPr>
        <w:t xml:space="preserve">Art.46:” </w:t>
      </w:r>
      <w:r w:rsidRPr="00032C73">
        <w:rPr>
          <w:i/>
          <w:lang w:val="es-ES"/>
        </w:rPr>
        <w:t>Los Estados miembros reconocen que, para facilitar el proceso de la integración regional</w:t>
      </w:r>
    </w:p>
    <w:p w14:paraId="1EFCB799" w14:textId="77777777" w:rsidR="00D86616" w:rsidRPr="00032C73" w:rsidRDefault="00D86616" w:rsidP="003C2143">
      <w:pPr>
        <w:pStyle w:val="FootnoteText"/>
        <w:rPr>
          <w:i/>
          <w:lang w:val="es-ES"/>
        </w:rPr>
      </w:pPr>
      <w:r w:rsidRPr="00032C73">
        <w:rPr>
          <w:i/>
          <w:lang w:val="es-ES"/>
        </w:rPr>
        <w:t>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r w:rsidRPr="00032C73">
        <w:rPr>
          <w:lang w:val="es-ES"/>
        </w:rPr>
        <w:t>”.</w:t>
      </w:r>
    </w:p>
    <w:p w14:paraId="601C2C77" w14:textId="77777777" w:rsidR="00D86616" w:rsidRPr="00032C73" w:rsidRDefault="00D86616" w:rsidP="003C2143">
      <w:pPr>
        <w:pStyle w:val="FootnoteText"/>
        <w:rPr>
          <w:lang w:val="es-ES"/>
        </w:rPr>
      </w:pPr>
      <w:r w:rsidRPr="00032C73">
        <w:rPr>
          <w:lang w:val="es-ES"/>
        </w:rPr>
        <w:t xml:space="preserve">Y lo mismo se desprendería de otras normas del Capítulo VII de  la Carta de la OEA, artículos 30 a 52, todos concernientes al </w:t>
      </w:r>
      <w:r w:rsidRPr="00032C73">
        <w:rPr>
          <w:i/>
          <w:lang w:val="es-ES"/>
        </w:rPr>
        <w:t>“desarrollo integral</w:t>
      </w:r>
      <w:r w:rsidRPr="00032C73">
        <w:rPr>
          <w:lang w:val="es-ES"/>
        </w:rPr>
        <w:t>”, del que, según se deduciría de la Sentencia, también se derivaría un derecho cuya violación podría alegarse ante la Corte.</w:t>
      </w:r>
    </w:p>
    <w:p w14:paraId="33E2C0CD" w14:textId="77777777" w:rsidR="00D86616" w:rsidRPr="00032C73" w:rsidRDefault="00D86616" w:rsidP="003C2143">
      <w:pPr>
        <w:pStyle w:val="FootnoteText"/>
        <w:rPr>
          <w:lang w:val="es-ES"/>
        </w:rPr>
      </w:pPr>
    </w:p>
  </w:footnote>
  <w:footnote w:id="422">
    <w:p w14:paraId="1D0B3DB5"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Ejemplo más reciente, </w:t>
      </w:r>
      <w:r w:rsidRPr="00032C73">
        <w:rPr>
          <w:i/>
          <w:lang w:val="es-ES"/>
        </w:rPr>
        <w:t>Caso I.V. Vs. Bolivia. Excepciones Preliminares, Fondo, Reparaciones y Costas.</w:t>
      </w:r>
      <w:r w:rsidRPr="00032C73">
        <w:rPr>
          <w:lang w:val="es-ES"/>
        </w:rPr>
        <w:t xml:space="preserve"> Sentencia de 30 de noviembre de 2016. Serie C No. 329, </w:t>
      </w:r>
      <w:proofErr w:type="spellStart"/>
      <w:r w:rsidRPr="00032C73">
        <w:rPr>
          <w:lang w:val="es-ES"/>
        </w:rPr>
        <w:t>párrs</w:t>
      </w:r>
      <w:proofErr w:type="spellEnd"/>
      <w:r w:rsidRPr="00032C73">
        <w:rPr>
          <w:lang w:val="es-ES"/>
        </w:rPr>
        <w:t>. 154, 155 y ss.</w:t>
      </w:r>
    </w:p>
    <w:p w14:paraId="534B1C4C" w14:textId="77777777" w:rsidR="00D86616" w:rsidRPr="00032C73" w:rsidRDefault="00D86616" w:rsidP="003C2143">
      <w:pPr>
        <w:pStyle w:val="FootnoteText"/>
        <w:rPr>
          <w:lang w:val="es-ES"/>
        </w:rPr>
      </w:pPr>
    </w:p>
  </w:footnote>
  <w:footnote w:id="423">
    <w:p w14:paraId="03897DC2"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Párr. 141.</w:t>
      </w:r>
    </w:p>
    <w:p w14:paraId="4CAA2F67" w14:textId="77777777" w:rsidR="00D86616" w:rsidRPr="00032C73" w:rsidRDefault="00D86616" w:rsidP="003C2143">
      <w:pPr>
        <w:pStyle w:val="FootnoteText"/>
        <w:rPr>
          <w:lang w:val="es-ES"/>
        </w:rPr>
      </w:pPr>
    </w:p>
  </w:footnote>
  <w:footnote w:id="424">
    <w:p w14:paraId="37E9578A"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Preámbulo, 2º Párr. : </w:t>
      </w:r>
      <w:r w:rsidRPr="00032C73">
        <w:rPr>
          <w:i/>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032C73">
        <w:rPr>
          <w:lang w:val="es-ES"/>
        </w:rPr>
        <w:t>;”</w:t>
      </w:r>
    </w:p>
    <w:p w14:paraId="0DD009CD" w14:textId="77777777" w:rsidR="00D86616" w:rsidRPr="00032C73" w:rsidRDefault="00D86616" w:rsidP="003C2143">
      <w:pPr>
        <w:pStyle w:val="FootnoteText"/>
        <w:rPr>
          <w:i/>
          <w:lang w:val="es-ES"/>
        </w:rPr>
      </w:pPr>
      <w:r w:rsidRPr="00032C73">
        <w:rPr>
          <w:lang w:val="es-ES"/>
        </w:rPr>
        <w:t>Art. 46: “</w:t>
      </w:r>
      <w:r w:rsidRPr="00032C73">
        <w:rPr>
          <w:i/>
          <w:lang w:val="es-ES"/>
        </w:rPr>
        <w:t xml:space="preserve">1. Para que una petición o comunicación presentada conforme a los artículos 44 </w:t>
      </w:r>
      <w:proofErr w:type="spellStart"/>
      <w:r w:rsidRPr="00032C73">
        <w:rPr>
          <w:i/>
          <w:lang w:val="es-ES"/>
        </w:rPr>
        <w:t>ó</w:t>
      </w:r>
      <w:proofErr w:type="spellEnd"/>
      <w:r w:rsidRPr="00032C73">
        <w:rPr>
          <w:i/>
          <w:lang w:val="es-ES"/>
        </w:rPr>
        <w:t xml:space="preserve"> 45 sea admitida por la Comisión, se requerirá:</w:t>
      </w:r>
    </w:p>
    <w:p w14:paraId="0114A796" w14:textId="77777777" w:rsidR="00D86616" w:rsidRPr="00032C73" w:rsidRDefault="00D86616" w:rsidP="003C2143">
      <w:pPr>
        <w:pStyle w:val="FootnoteText"/>
        <w:rPr>
          <w:i/>
          <w:lang w:val="es-ES"/>
        </w:rPr>
      </w:pPr>
      <w:r w:rsidRPr="00032C73">
        <w:rPr>
          <w:i/>
          <w:lang w:val="es-ES"/>
        </w:rPr>
        <w:t xml:space="preserve"> a) que se hayan interpuesto y agotado los recursos de jurisdicción interna, conforme a los principios del Derecho Internacional generalmente reconocidos;</w:t>
      </w:r>
    </w:p>
    <w:p w14:paraId="106DDC1E" w14:textId="77777777" w:rsidR="00D86616" w:rsidRPr="00032C73" w:rsidRDefault="00D86616" w:rsidP="003C2143">
      <w:pPr>
        <w:pStyle w:val="FootnoteText"/>
        <w:rPr>
          <w:i/>
          <w:lang w:val="es-ES"/>
        </w:rPr>
      </w:pPr>
      <w:r w:rsidRPr="00032C73">
        <w:rPr>
          <w:i/>
          <w:lang w:val="es-ES"/>
        </w:rPr>
        <w:t xml:space="preserve"> b) que sea presentada dentro del plazo de seis meses, a partir de la fecha en que el presunto lesionado en sus derechos haya sido notificado de la decisión definitiva;</w:t>
      </w:r>
    </w:p>
    <w:p w14:paraId="61A22E55" w14:textId="77777777" w:rsidR="00D86616" w:rsidRPr="00032C73" w:rsidRDefault="00D86616" w:rsidP="003C2143">
      <w:pPr>
        <w:pStyle w:val="FootnoteText"/>
        <w:rPr>
          <w:i/>
          <w:lang w:val="es-ES"/>
        </w:rPr>
      </w:pPr>
      <w:r w:rsidRPr="00032C73">
        <w:rPr>
          <w:i/>
          <w:lang w:val="es-ES"/>
        </w:rPr>
        <w:t xml:space="preserve"> c) que la materia de la petición o comunicación no esté pendiente de otro procedimiento de arreglo internacional, y</w:t>
      </w:r>
    </w:p>
    <w:p w14:paraId="25D86A81" w14:textId="77777777" w:rsidR="00D86616" w:rsidRPr="00032C73" w:rsidRDefault="00D86616" w:rsidP="003C2143">
      <w:pPr>
        <w:pStyle w:val="FootnoteText"/>
        <w:rPr>
          <w:i/>
          <w:lang w:val="es-ES"/>
        </w:rPr>
      </w:pPr>
      <w:r w:rsidRPr="00032C73">
        <w:rPr>
          <w:i/>
          <w:lang w:val="es-ES"/>
        </w:rPr>
        <w:t xml:space="preserve"> d) que en el caso del artículo 44 la petición contenga el nombre, la nacionalidad, la profesión, el domicilio y la firma de la persona o personas o del representante legal de la entidad que somete la petición.</w:t>
      </w:r>
    </w:p>
    <w:p w14:paraId="7A7A9D25" w14:textId="77777777" w:rsidR="00D86616" w:rsidRPr="00032C73" w:rsidRDefault="00D86616" w:rsidP="003C2143">
      <w:pPr>
        <w:pStyle w:val="FootnoteText"/>
        <w:rPr>
          <w:i/>
          <w:lang w:val="es-ES"/>
        </w:rPr>
      </w:pPr>
      <w:r w:rsidRPr="00032C73">
        <w:rPr>
          <w:i/>
          <w:lang w:val="es-ES"/>
        </w:rPr>
        <w:t xml:space="preserve"> 2. Las disposiciones de los incisos 1.a. y 1.b. del presente artículo no se aplicarán cuando:</w:t>
      </w:r>
    </w:p>
    <w:p w14:paraId="4CEB7CD1" w14:textId="77777777" w:rsidR="00D86616" w:rsidRPr="00032C73" w:rsidRDefault="00D86616" w:rsidP="003C2143">
      <w:pPr>
        <w:pStyle w:val="FootnoteText"/>
        <w:rPr>
          <w:i/>
          <w:lang w:val="es-ES"/>
        </w:rPr>
      </w:pPr>
      <w:r w:rsidRPr="00032C73">
        <w:rPr>
          <w:i/>
          <w:lang w:val="es-ES"/>
        </w:rPr>
        <w:t xml:space="preserve"> a) no exista en la legislación interna del Estado de que se trata el debido proceso legal para la protección del derecho o derechos que se alega han sido violados;</w:t>
      </w:r>
    </w:p>
    <w:p w14:paraId="012038D1" w14:textId="77777777" w:rsidR="00D86616" w:rsidRPr="00032C73" w:rsidRDefault="00D86616" w:rsidP="003C2143">
      <w:pPr>
        <w:pStyle w:val="FootnoteText"/>
        <w:rPr>
          <w:i/>
          <w:lang w:val="es-ES"/>
        </w:rPr>
      </w:pPr>
      <w:r w:rsidRPr="00032C73">
        <w:rPr>
          <w:i/>
          <w:lang w:val="es-ES"/>
        </w:rPr>
        <w:t xml:space="preserve"> b) no se haya permitido al presunto lesionado en sus derechos el acceso a los recursos de la jurisdicción interna, o haya sido impedido de agotarlos, y</w:t>
      </w:r>
    </w:p>
    <w:p w14:paraId="4C306A10" w14:textId="77777777" w:rsidR="00D86616" w:rsidRPr="00032C73" w:rsidRDefault="00D86616" w:rsidP="003C2143">
      <w:pPr>
        <w:pStyle w:val="FootnoteText"/>
        <w:rPr>
          <w:i/>
          <w:lang w:val="es-ES"/>
        </w:rPr>
      </w:pPr>
      <w:r w:rsidRPr="00032C73">
        <w:rPr>
          <w:i/>
          <w:lang w:val="es-ES"/>
        </w:rPr>
        <w:t xml:space="preserve"> c) haya retardo injustificado en la decisión sobre los mencionados recursos.”</w:t>
      </w:r>
    </w:p>
    <w:p w14:paraId="7861D43B" w14:textId="77777777" w:rsidR="00D86616" w:rsidRPr="00032C73" w:rsidRDefault="00D86616" w:rsidP="003C2143">
      <w:pPr>
        <w:pStyle w:val="FootnoteText"/>
        <w:rPr>
          <w:i/>
          <w:lang w:val="es-ES"/>
        </w:rPr>
      </w:pPr>
      <w:r w:rsidRPr="00032C73">
        <w:rPr>
          <w:lang w:val="es-ES"/>
        </w:rPr>
        <w:t xml:space="preserve">Art.61:” </w:t>
      </w:r>
      <w:r w:rsidRPr="00032C73">
        <w:rPr>
          <w:i/>
          <w:lang w:val="es-ES"/>
        </w:rPr>
        <w:t>1. Sólo los Estados Partes y la Comisión tienen derecho a someter un caso a la decisión de la Corte.</w:t>
      </w:r>
    </w:p>
    <w:p w14:paraId="5C17E0BB" w14:textId="77777777" w:rsidR="00D86616" w:rsidRPr="00032C73" w:rsidRDefault="00D86616" w:rsidP="003C2143">
      <w:pPr>
        <w:pStyle w:val="FootnoteText"/>
        <w:rPr>
          <w:i/>
          <w:lang w:val="es-ES"/>
        </w:rPr>
      </w:pPr>
      <w:r w:rsidRPr="00032C73">
        <w:rPr>
          <w:i/>
          <w:lang w:val="es-ES"/>
        </w:rPr>
        <w:t xml:space="preserve"> 2. Para que la Corte pueda conocer de cualquier caso, es necesario que sean agotados los procedimientos previstos en los artículos 48 a 50.”</w:t>
      </w:r>
    </w:p>
    <w:p w14:paraId="1B15452C" w14:textId="77777777" w:rsidR="00D86616" w:rsidRPr="00032C73" w:rsidRDefault="00D86616" w:rsidP="003C2143">
      <w:pPr>
        <w:pStyle w:val="FootnoteText"/>
        <w:rPr>
          <w:lang w:val="es-ES"/>
        </w:rPr>
      </w:pPr>
    </w:p>
  </w:footnote>
  <w:footnote w:id="425">
    <w:p w14:paraId="1A0B574B" w14:textId="77777777" w:rsidR="00D86616" w:rsidRDefault="00D86616" w:rsidP="003C2143">
      <w:pPr>
        <w:pStyle w:val="FootnoteText"/>
        <w:rPr>
          <w:lang w:val="es-ES"/>
        </w:rPr>
      </w:pPr>
      <w:r>
        <w:rPr>
          <w:rStyle w:val="FootnoteReference"/>
        </w:rPr>
        <w:footnoteRef/>
      </w:r>
      <w:r w:rsidRPr="008A4C41">
        <w:rPr>
          <w:lang w:val="es-ES"/>
        </w:rPr>
        <w:t xml:space="preserve"> Párr. 142.</w:t>
      </w:r>
    </w:p>
    <w:p w14:paraId="40209576" w14:textId="77777777" w:rsidR="00D86616" w:rsidRPr="00670DE6" w:rsidRDefault="00D86616" w:rsidP="003C2143">
      <w:pPr>
        <w:pStyle w:val="FootnoteText"/>
        <w:rPr>
          <w:lang w:val="es-ES"/>
        </w:rPr>
      </w:pPr>
    </w:p>
  </w:footnote>
  <w:footnote w:id="426">
    <w:p w14:paraId="3D12B911" w14:textId="77777777" w:rsidR="00D86616" w:rsidRPr="008A4C41" w:rsidRDefault="00D86616" w:rsidP="003C2143">
      <w:pPr>
        <w:pStyle w:val="FootnoteText"/>
        <w:rPr>
          <w:lang w:val="es-ES"/>
        </w:rPr>
      </w:pPr>
      <w:r>
        <w:rPr>
          <w:rStyle w:val="FootnoteReference"/>
        </w:rPr>
        <w:footnoteRef/>
      </w:r>
      <w:r w:rsidRPr="008A4C41">
        <w:rPr>
          <w:lang w:val="es-ES"/>
        </w:rPr>
        <w:t xml:space="preserve"> Párr.145.</w:t>
      </w:r>
    </w:p>
    <w:p w14:paraId="12529BEB" w14:textId="77777777" w:rsidR="00D86616" w:rsidRPr="008A4C41" w:rsidRDefault="00D86616" w:rsidP="003C2143">
      <w:pPr>
        <w:pStyle w:val="FootnoteText"/>
        <w:rPr>
          <w:lang w:val="es-ES"/>
        </w:rPr>
      </w:pPr>
    </w:p>
  </w:footnote>
  <w:footnote w:id="427">
    <w:p w14:paraId="06343894" w14:textId="77777777" w:rsidR="00D86616" w:rsidRDefault="00D86616" w:rsidP="003C2143">
      <w:pPr>
        <w:pStyle w:val="FootnoteText"/>
        <w:rPr>
          <w:lang w:val="es-ES"/>
        </w:rPr>
      </w:pPr>
      <w:r>
        <w:rPr>
          <w:rStyle w:val="FootnoteReference"/>
        </w:rPr>
        <w:footnoteRef/>
      </w:r>
      <w:r w:rsidRPr="000C3877">
        <w:rPr>
          <w:lang w:val="es-ES"/>
        </w:rPr>
        <w:t xml:space="preserve"> Párr. 147.</w:t>
      </w:r>
    </w:p>
    <w:p w14:paraId="1C6B2DB4" w14:textId="77777777" w:rsidR="00D86616" w:rsidRPr="000C3877" w:rsidRDefault="00D86616" w:rsidP="003C2143">
      <w:pPr>
        <w:pStyle w:val="FootnoteText"/>
        <w:rPr>
          <w:lang w:val="es-ES"/>
        </w:rPr>
      </w:pPr>
    </w:p>
  </w:footnote>
  <w:footnote w:id="428">
    <w:p w14:paraId="56C5251C" w14:textId="77777777" w:rsidR="00D86616" w:rsidRPr="00B16A81" w:rsidRDefault="00D86616" w:rsidP="003C2143">
      <w:pPr>
        <w:pStyle w:val="FootnoteText"/>
        <w:rPr>
          <w:lang w:val="es-ES"/>
        </w:rPr>
      </w:pPr>
      <w:r w:rsidRPr="00B16A81">
        <w:rPr>
          <w:rStyle w:val="FootnoteReference"/>
        </w:rPr>
        <w:footnoteRef/>
      </w:r>
      <w:r w:rsidRPr="00B16A81">
        <w:rPr>
          <w:lang w:val="es-ES"/>
        </w:rPr>
        <w:t xml:space="preserve"> Párr. 148</w:t>
      </w:r>
    </w:p>
    <w:p w14:paraId="642D9164" w14:textId="77777777" w:rsidR="00D86616" w:rsidRPr="00B16A81" w:rsidRDefault="00D86616" w:rsidP="003C2143">
      <w:pPr>
        <w:pStyle w:val="FootnoteText"/>
        <w:rPr>
          <w:lang w:val="es-ES"/>
        </w:rPr>
      </w:pPr>
    </w:p>
  </w:footnote>
  <w:footnote w:id="429">
    <w:p w14:paraId="432F8A96" w14:textId="77777777" w:rsidR="00D86616" w:rsidRPr="00B16A81" w:rsidRDefault="00D86616" w:rsidP="003C2143">
      <w:pPr>
        <w:pStyle w:val="FootnoteText"/>
        <w:rPr>
          <w:lang w:val="es-ES"/>
        </w:rPr>
      </w:pPr>
      <w:r w:rsidRPr="00B16A81">
        <w:rPr>
          <w:rStyle w:val="FootnoteReference"/>
        </w:rPr>
        <w:footnoteRef/>
      </w:r>
      <w:r w:rsidRPr="00B16A81">
        <w:rPr>
          <w:lang w:val="es-ES"/>
        </w:rPr>
        <w:t xml:space="preserve"> Párr. 144</w:t>
      </w:r>
    </w:p>
    <w:p w14:paraId="11E46D7E" w14:textId="77777777" w:rsidR="00D86616" w:rsidRPr="00B16A81" w:rsidRDefault="00D86616" w:rsidP="003C2143">
      <w:pPr>
        <w:pStyle w:val="FootnoteText"/>
        <w:rPr>
          <w:lang w:val="es-ES"/>
        </w:rPr>
      </w:pPr>
    </w:p>
  </w:footnote>
  <w:footnote w:id="430">
    <w:p w14:paraId="03493BD1" w14:textId="77777777" w:rsidR="00D86616" w:rsidRPr="00B16A81" w:rsidRDefault="00D86616" w:rsidP="003C2143">
      <w:pPr>
        <w:pStyle w:val="FootnoteText"/>
        <w:rPr>
          <w:i/>
          <w:lang w:val="es-ES"/>
        </w:rPr>
      </w:pPr>
      <w:r w:rsidRPr="00B16A81">
        <w:rPr>
          <w:rStyle w:val="FootnoteReference"/>
        </w:rPr>
        <w:footnoteRef/>
      </w:r>
      <w:r w:rsidRPr="00B16A81">
        <w:rPr>
          <w:lang w:val="es-ES"/>
        </w:rPr>
        <w:t xml:space="preserve"> </w:t>
      </w:r>
      <w:r w:rsidRPr="00B16A81">
        <w:rPr>
          <w:i/>
          <w:lang w:val="es-ES"/>
        </w:rPr>
        <w:t>“[n]</w:t>
      </w:r>
      <w:proofErr w:type="spellStart"/>
      <w:r w:rsidRPr="00B16A81">
        <w:rPr>
          <w:i/>
          <w:lang w:val="es-ES"/>
        </w:rPr>
        <w:t>inguna</w:t>
      </w:r>
      <w:proofErr w:type="spellEnd"/>
      <w:r w:rsidRPr="00B16A81">
        <w:rPr>
          <w:i/>
          <w:lang w:val="es-ES"/>
        </w:rPr>
        <w:t xml:space="preserve"> disposición de la presente Convención puede ser interpretada en el sentido de: […] d) excluir o limitar el efecto que puedan producir la Declaración Americana de Derechos y Deberes del Hombre y otros actos internacionales de la misma naturaleza”</w:t>
      </w:r>
    </w:p>
    <w:p w14:paraId="2B886784" w14:textId="77777777" w:rsidR="00D86616" w:rsidRPr="00B16A81" w:rsidRDefault="00D86616" w:rsidP="003C2143">
      <w:pPr>
        <w:pStyle w:val="FootnoteText"/>
        <w:rPr>
          <w:lang w:val="es-ES"/>
        </w:rPr>
      </w:pPr>
    </w:p>
  </w:footnote>
  <w:footnote w:id="431">
    <w:p w14:paraId="2AF7FB56" w14:textId="77777777" w:rsidR="00D86616" w:rsidRPr="00B16A81" w:rsidRDefault="00D86616" w:rsidP="003C2143">
      <w:pPr>
        <w:pStyle w:val="FootnoteText"/>
        <w:rPr>
          <w:i/>
          <w:lang w:val="es-ES"/>
        </w:rPr>
      </w:pPr>
      <w:r w:rsidRPr="00B16A81">
        <w:rPr>
          <w:rStyle w:val="FootnoteReference"/>
        </w:rPr>
        <w:footnoteRef/>
      </w:r>
      <w:r w:rsidRPr="00B16A81">
        <w:rPr>
          <w:lang w:val="es-ES"/>
        </w:rPr>
        <w:t xml:space="preserve"> </w:t>
      </w:r>
      <w:r w:rsidRPr="00B16A81">
        <w:rPr>
          <w:i/>
          <w:lang w:val="es-ES"/>
        </w:rPr>
        <w:t>“1. 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2. La presente disposición no restringe la facultad de la Corte para decidir un litigio ex aequo et bono, si las partes así lo convinieren.”</w:t>
      </w:r>
    </w:p>
    <w:p w14:paraId="0671EE8F" w14:textId="77777777" w:rsidR="00D86616" w:rsidRPr="00B16A81" w:rsidRDefault="00D86616" w:rsidP="003C2143">
      <w:pPr>
        <w:pStyle w:val="FootnoteText"/>
        <w:rPr>
          <w:i/>
          <w:lang w:val="es-ES"/>
        </w:rPr>
      </w:pPr>
    </w:p>
  </w:footnote>
  <w:footnote w:id="432">
    <w:p w14:paraId="5BD98F08" w14:textId="77777777" w:rsidR="00D86616" w:rsidRPr="00B16A81" w:rsidRDefault="00D86616" w:rsidP="003C2143">
      <w:pPr>
        <w:pStyle w:val="FootnoteText"/>
      </w:pPr>
      <w:r w:rsidRPr="00B16A81">
        <w:rPr>
          <w:rStyle w:val="FootnoteReference"/>
        </w:rPr>
        <w:footnoteRef/>
      </w:r>
      <w:r w:rsidRPr="00B16A81">
        <w:t xml:space="preserve"> </w:t>
      </w:r>
      <w:proofErr w:type="spellStart"/>
      <w:proofErr w:type="gramStart"/>
      <w:r w:rsidRPr="00B16A81">
        <w:t>Párrs</w:t>
      </w:r>
      <w:proofErr w:type="spellEnd"/>
      <w:r w:rsidRPr="00B16A81">
        <w:t>.</w:t>
      </w:r>
      <w:proofErr w:type="gramEnd"/>
      <w:r w:rsidRPr="00B16A81">
        <w:t xml:space="preserve"> </w:t>
      </w:r>
      <w:proofErr w:type="gramStart"/>
      <w:r w:rsidRPr="00B16A81">
        <w:t>143 a 149.</w:t>
      </w:r>
      <w:proofErr w:type="gramEnd"/>
    </w:p>
    <w:p w14:paraId="445110C1" w14:textId="77777777" w:rsidR="00D86616" w:rsidRPr="00B16A81" w:rsidRDefault="00D86616" w:rsidP="003C2143">
      <w:pPr>
        <w:pStyle w:val="FootnoteText"/>
      </w:pPr>
    </w:p>
  </w:footnote>
  <w:footnote w:id="433">
    <w:p w14:paraId="74FC96B3" w14:textId="77777777" w:rsidR="00D86616" w:rsidRPr="00B16A81" w:rsidRDefault="00D86616" w:rsidP="003C2143">
      <w:pPr>
        <w:pStyle w:val="FootnoteText"/>
      </w:pPr>
      <w:r w:rsidRPr="00B16A81">
        <w:rPr>
          <w:rStyle w:val="FootnoteReference"/>
        </w:rPr>
        <w:footnoteRef/>
      </w:r>
      <w:r w:rsidRPr="00B16A81">
        <w:t xml:space="preserve"> </w:t>
      </w:r>
      <w:proofErr w:type="spellStart"/>
      <w:proofErr w:type="gramStart"/>
      <w:r w:rsidRPr="00B16A81">
        <w:t>Párr</w:t>
      </w:r>
      <w:proofErr w:type="spellEnd"/>
      <w:r w:rsidRPr="00B16A81">
        <w:t>.</w:t>
      </w:r>
      <w:proofErr w:type="gramEnd"/>
      <w:r w:rsidRPr="00B16A81">
        <w:t xml:space="preserve"> 142.</w:t>
      </w:r>
    </w:p>
    <w:p w14:paraId="192E4206" w14:textId="77777777" w:rsidR="00D86616" w:rsidRPr="00310630" w:rsidRDefault="00D86616" w:rsidP="003C2143">
      <w:pPr>
        <w:pStyle w:val="FootnoteText"/>
      </w:pPr>
    </w:p>
  </w:footnote>
  <w:footnote w:id="434">
    <w:p w14:paraId="1EA7905C" w14:textId="77777777" w:rsidR="00D86616" w:rsidRPr="00B16A81" w:rsidRDefault="00D86616" w:rsidP="003C2143">
      <w:pPr>
        <w:pStyle w:val="FootnoteText"/>
      </w:pPr>
      <w:r w:rsidRPr="00B16A81">
        <w:rPr>
          <w:rStyle w:val="FootnoteReference"/>
        </w:rPr>
        <w:footnoteRef/>
      </w:r>
      <w:r w:rsidRPr="00B16A81">
        <w:t xml:space="preserve"> Art. 62.3. cit.</w:t>
      </w:r>
    </w:p>
    <w:p w14:paraId="1D59EB65" w14:textId="77777777" w:rsidR="00D86616" w:rsidRPr="00B16A81" w:rsidRDefault="00D86616" w:rsidP="003C2143">
      <w:pPr>
        <w:pStyle w:val="FootnoteText"/>
      </w:pPr>
    </w:p>
  </w:footnote>
  <w:footnote w:id="435">
    <w:p w14:paraId="1DA85098" w14:textId="77777777" w:rsidR="00D86616" w:rsidRPr="00B16A81" w:rsidRDefault="00D86616" w:rsidP="003C2143">
      <w:pPr>
        <w:pStyle w:val="FootnoteText"/>
        <w:rPr>
          <w:lang w:val="es-ES"/>
        </w:rPr>
      </w:pPr>
      <w:r w:rsidRPr="00B16A81">
        <w:rPr>
          <w:rStyle w:val="FootnoteReference"/>
        </w:rPr>
        <w:footnoteRef/>
      </w:r>
      <w:r w:rsidRPr="00B16A81">
        <w:rPr>
          <w:lang w:val="es-ES"/>
        </w:rPr>
        <w:t xml:space="preserve"> Párr. 142.</w:t>
      </w:r>
    </w:p>
    <w:p w14:paraId="5D2894F5" w14:textId="77777777" w:rsidR="00D86616" w:rsidRPr="00B16A81" w:rsidRDefault="00D86616" w:rsidP="003C2143">
      <w:pPr>
        <w:pStyle w:val="FootnoteText"/>
        <w:rPr>
          <w:lang w:val="es-ES"/>
        </w:rPr>
      </w:pPr>
    </w:p>
  </w:footnote>
  <w:footnote w:id="436">
    <w:p w14:paraId="78E76E9D" w14:textId="77777777" w:rsidR="00D86616" w:rsidRPr="00B16A81" w:rsidRDefault="00D86616" w:rsidP="003C2143">
      <w:pPr>
        <w:pStyle w:val="FootnoteText"/>
        <w:rPr>
          <w:lang w:val="es-ES"/>
        </w:rPr>
      </w:pPr>
      <w:r w:rsidRPr="00B16A81">
        <w:rPr>
          <w:rStyle w:val="FootnoteReference"/>
        </w:rPr>
        <w:footnoteRef/>
      </w:r>
      <w:r w:rsidRPr="00B16A81">
        <w:rPr>
          <w:lang w:val="es-ES"/>
        </w:rPr>
        <w:t xml:space="preserve"> </w:t>
      </w:r>
      <w:proofErr w:type="spellStart"/>
      <w:r w:rsidRPr="00B16A81">
        <w:rPr>
          <w:lang w:val="es-ES"/>
        </w:rPr>
        <w:t>Párrs</w:t>
      </w:r>
      <w:proofErr w:type="spellEnd"/>
      <w:r w:rsidRPr="00B16A81">
        <w:rPr>
          <w:lang w:val="es-ES"/>
        </w:rPr>
        <w:t>. 133 a 137.</w:t>
      </w:r>
    </w:p>
    <w:p w14:paraId="618B87A7" w14:textId="77777777" w:rsidR="00D86616" w:rsidRPr="00B16A81" w:rsidRDefault="00D86616" w:rsidP="003C2143">
      <w:pPr>
        <w:pStyle w:val="FootnoteText"/>
        <w:rPr>
          <w:lang w:val="es-ES"/>
        </w:rPr>
      </w:pPr>
    </w:p>
  </w:footnote>
  <w:footnote w:id="437">
    <w:p w14:paraId="40DFECDB" w14:textId="77777777" w:rsidR="00D86616" w:rsidRPr="00B16A81" w:rsidRDefault="00D86616" w:rsidP="003C2143">
      <w:pPr>
        <w:pStyle w:val="FootnoteText"/>
        <w:rPr>
          <w:lang w:val="es-ES"/>
        </w:rPr>
      </w:pPr>
      <w:r w:rsidRPr="00B16A81">
        <w:rPr>
          <w:rStyle w:val="FootnoteReference"/>
        </w:rPr>
        <w:footnoteRef/>
      </w:r>
      <w:r w:rsidRPr="00B16A81">
        <w:rPr>
          <w:lang w:val="es-ES"/>
        </w:rPr>
        <w:t xml:space="preserve"> Párr. 145.</w:t>
      </w:r>
    </w:p>
    <w:p w14:paraId="698E6991" w14:textId="77777777" w:rsidR="00D86616" w:rsidRPr="00B16A81" w:rsidRDefault="00D86616" w:rsidP="003C2143">
      <w:pPr>
        <w:pStyle w:val="FootnoteText"/>
        <w:rPr>
          <w:lang w:val="es-ES"/>
        </w:rPr>
      </w:pPr>
    </w:p>
  </w:footnote>
  <w:footnote w:id="438">
    <w:p w14:paraId="1774E1FB" w14:textId="77777777" w:rsidR="00D86616" w:rsidRPr="00B16A81" w:rsidRDefault="00D86616" w:rsidP="003C2143">
      <w:pPr>
        <w:pStyle w:val="FootnoteText"/>
        <w:rPr>
          <w:lang w:val="es-ES"/>
        </w:rPr>
      </w:pPr>
      <w:r w:rsidRPr="00B16A81">
        <w:rPr>
          <w:rStyle w:val="FootnoteReference"/>
        </w:rPr>
        <w:footnoteRef/>
      </w:r>
      <w:r w:rsidRPr="00B16A81">
        <w:rPr>
          <w:lang w:val="es-ES"/>
        </w:rPr>
        <w:t xml:space="preserve"> Párr. 145.</w:t>
      </w:r>
    </w:p>
    <w:p w14:paraId="7A0E08C9" w14:textId="77777777" w:rsidR="00D86616" w:rsidRPr="00032C73" w:rsidRDefault="00D86616" w:rsidP="003C2143">
      <w:pPr>
        <w:pStyle w:val="FootnoteText"/>
        <w:rPr>
          <w:lang w:val="es-ES"/>
        </w:rPr>
      </w:pPr>
    </w:p>
  </w:footnote>
  <w:footnote w:id="439">
    <w:p w14:paraId="0774067A"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Adoptada en el Vigésimo Octavo Período Extraordinario de Sesiones de la Asamblea General de la OEA, 11 de septiembre de 2001, Lima, Perú. </w:t>
      </w:r>
    </w:p>
    <w:p w14:paraId="092928C0" w14:textId="77777777" w:rsidR="00D86616" w:rsidRPr="00032C73" w:rsidRDefault="00D86616" w:rsidP="003C2143">
      <w:pPr>
        <w:pStyle w:val="FootnoteText"/>
        <w:rPr>
          <w:lang w:val="es-ES"/>
        </w:rPr>
      </w:pPr>
      <w:r w:rsidRPr="00032C73">
        <w:rPr>
          <w:lang w:val="es-ES"/>
        </w:rPr>
        <w:t xml:space="preserve">Art. 3:” </w:t>
      </w:r>
      <w:r w:rsidRPr="00032C73">
        <w:rPr>
          <w:i/>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032C73">
        <w:rPr>
          <w:lang w:val="es-ES"/>
        </w:rPr>
        <w:t>.”</w:t>
      </w:r>
    </w:p>
    <w:p w14:paraId="0B0D0A98" w14:textId="77777777" w:rsidR="00D86616" w:rsidRPr="00032C73" w:rsidRDefault="00D86616" w:rsidP="003C2143">
      <w:pPr>
        <w:pStyle w:val="FootnoteText"/>
        <w:rPr>
          <w:lang w:val="es-ES"/>
        </w:rPr>
      </w:pPr>
      <w:r w:rsidRPr="00032C73">
        <w:rPr>
          <w:lang w:val="es-ES"/>
        </w:rPr>
        <w:t>Art. 6: “</w:t>
      </w:r>
      <w:r w:rsidRPr="00032C73">
        <w:rPr>
          <w:i/>
          <w:lang w:val="es-ES"/>
        </w:rPr>
        <w:t>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r w:rsidRPr="00032C73">
        <w:rPr>
          <w:lang w:val="es-ES"/>
        </w:rPr>
        <w:t>.”</w:t>
      </w:r>
    </w:p>
    <w:p w14:paraId="0E5C2F94" w14:textId="77777777" w:rsidR="00D86616" w:rsidRPr="00032C73" w:rsidRDefault="00D86616" w:rsidP="003C2143">
      <w:pPr>
        <w:pStyle w:val="FootnoteText"/>
        <w:rPr>
          <w:lang w:val="es-ES"/>
        </w:rPr>
      </w:pPr>
    </w:p>
  </w:footnote>
  <w:footnote w:id="440">
    <w:p w14:paraId="019A09C0"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Párr. 154. </w:t>
      </w:r>
    </w:p>
    <w:p w14:paraId="0D74BB15" w14:textId="77777777" w:rsidR="00D86616" w:rsidRPr="00032C73" w:rsidRDefault="00D86616" w:rsidP="003C2143">
      <w:pPr>
        <w:pStyle w:val="FootnoteText"/>
        <w:rPr>
          <w:lang w:val="es-ES"/>
        </w:rPr>
      </w:pPr>
    </w:p>
  </w:footnote>
  <w:footnote w:id="441">
    <w:p w14:paraId="5239CE2D" w14:textId="77777777" w:rsidR="00D86616" w:rsidRPr="00032C73" w:rsidRDefault="00D86616" w:rsidP="003C2143">
      <w:pPr>
        <w:pStyle w:val="FootnoteText"/>
        <w:rPr>
          <w:lang w:val="es-ES"/>
        </w:rPr>
      </w:pPr>
      <w:r w:rsidRPr="00032C73">
        <w:rPr>
          <w:rStyle w:val="FootnoteReference"/>
        </w:rPr>
        <w:footnoteRef/>
      </w:r>
      <w:r w:rsidRPr="00032C73">
        <w:rPr>
          <w:lang w:val="es-ES"/>
        </w:rPr>
        <w:t>“</w:t>
      </w:r>
      <w:r w:rsidRPr="00032C73">
        <w:rPr>
          <w:i/>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032C73">
        <w:rPr>
          <w:lang w:val="es-ES"/>
        </w:rPr>
        <w:t>”. Corte Permanente de Justicia Internacional, Opinión Consultiva sobre ciertos decretos de nacionalidad dictados en la zona francesa de Túnez y Marruecos, Serie B Nº 4 Pág. 24.</w:t>
      </w:r>
    </w:p>
    <w:p w14:paraId="0EA76683" w14:textId="77777777" w:rsidR="00D86616" w:rsidRPr="00032C73" w:rsidRDefault="00D86616" w:rsidP="003C2143">
      <w:pPr>
        <w:pStyle w:val="FootnoteText"/>
        <w:rPr>
          <w:lang w:val="es-ES"/>
        </w:rPr>
      </w:pPr>
    </w:p>
  </w:footnote>
  <w:footnote w:id="442">
    <w:p w14:paraId="47145667" w14:textId="77777777" w:rsidR="00D86616" w:rsidRPr="00032C73" w:rsidRDefault="00D86616" w:rsidP="003C2143">
      <w:pPr>
        <w:pStyle w:val="FootnoteText"/>
        <w:rPr>
          <w:lang w:val="es-ES"/>
        </w:rPr>
      </w:pPr>
      <w:r w:rsidRPr="00032C73">
        <w:rPr>
          <w:rStyle w:val="FootnoteReference"/>
        </w:rPr>
        <w:footnoteRef/>
      </w:r>
      <w:r w:rsidRPr="00032C73">
        <w:rPr>
          <w:lang w:val="es-ES"/>
        </w:rPr>
        <w:t xml:space="preserve"> Protocole n° 15 </w:t>
      </w:r>
      <w:proofErr w:type="spellStart"/>
      <w:r w:rsidRPr="00032C73">
        <w:rPr>
          <w:lang w:val="es-ES"/>
        </w:rPr>
        <w:t>portant</w:t>
      </w:r>
      <w:proofErr w:type="spellEnd"/>
      <w:r w:rsidRPr="00032C73">
        <w:rPr>
          <w:lang w:val="es-ES"/>
        </w:rPr>
        <w:t xml:space="preserve"> </w:t>
      </w:r>
      <w:proofErr w:type="spellStart"/>
      <w:r w:rsidRPr="00032C73">
        <w:rPr>
          <w:lang w:val="es-ES"/>
        </w:rPr>
        <w:t>amendement</w:t>
      </w:r>
      <w:proofErr w:type="spellEnd"/>
      <w:r w:rsidRPr="00032C73">
        <w:rPr>
          <w:lang w:val="es-ES"/>
        </w:rPr>
        <w:t xml:space="preserve"> à la </w:t>
      </w:r>
      <w:proofErr w:type="spellStart"/>
      <w:r w:rsidRPr="00032C73">
        <w:rPr>
          <w:lang w:val="es-ES"/>
        </w:rPr>
        <w:t>Convention</w:t>
      </w:r>
      <w:proofErr w:type="spellEnd"/>
      <w:r w:rsidRPr="00032C73">
        <w:rPr>
          <w:lang w:val="es-ES"/>
        </w:rPr>
        <w:t xml:space="preserve"> de </w:t>
      </w:r>
      <w:proofErr w:type="spellStart"/>
      <w:r w:rsidRPr="00032C73">
        <w:rPr>
          <w:lang w:val="es-ES"/>
        </w:rPr>
        <w:t>sauvegarde</w:t>
      </w:r>
      <w:proofErr w:type="spellEnd"/>
      <w:r w:rsidRPr="00032C73">
        <w:rPr>
          <w:lang w:val="es-ES"/>
        </w:rPr>
        <w:t xml:space="preserve"> des </w:t>
      </w:r>
      <w:proofErr w:type="spellStart"/>
      <w:r w:rsidRPr="00032C73">
        <w:rPr>
          <w:lang w:val="es-ES"/>
        </w:rPr>
        <w:t>Droits</w:t>
      </w:r>
      <w:proofErr w:type="spellEnd"/>
      <w:r w:rsidRPr="00032C73">
        <w:rPr>
          <w:lang w:val="es-ES"/>
        </w:rPr>
        <w:t xml:space="preserve"> de </w:t>
      </w:r>
      <w:proofErr w:type="spellStart"/>
      <w:r w:rsidRPr="00032C73">
        <w:rPr>
          <w:lang w:val="es-ES"/>
        </w:rPr>
        <w:t>l’Homme</w:t>
      </w:r>
      <w:proofErr w:type="spellEnd"/>
      <w:r w:rsidRPr="00032C73">
        <w:rPr>
          <w:lang w:val="es-ES"/>
        </w:rPr>
        <w:t xml:space="preserve"> et des </w:t>
      </w:r>
      <w:proofErr w:type="spellStart"/>
      <w:r w:rsidRPr="00032C73">
        <w:rPr>
          <w:lang w:val="es-ES"/>
        </w:rPr>
        <w:t>Libertés</w:t>
      </w:r>
      <w:proofErr w:type="spellEnd"/>
      <w:r w:rsidRPr="00032C73">
        <w:rPr>
          <w:lang w:val="es-ES"/>
        </w:rPr>
        <w:t xml:space="preserve"> </w:t>
      </w:r>
      <w:proofErr w:type="spellStart"/>
      <w:r w:rsidRPr="00032C73">
        <w:rPr>
          <w:lang w:val="es-ES"/>
        </w:rPr>
        <w:t>fondamentales</w:t>
      </w:r>
      <w:proofErr w:type="spellEnd"/>
      <w:r w:rsidRPr="00032C73">
        <w:rPr>
          <w:lang w:val="es-ES"/>
        </w:rPr>
        <w:t>, art.1: “</w:t>
      </w:r>
      <w:r w:rsidRPr="00032C73">
        <w:rPr>
          <w:i/>
          <w:lang w:val="es-ES"/>
        </w:rPr>
        <w:t xml:space="preserve">A la fin du </w:t>
      </w:r>
      <w:proofErr w:type="spellStart"/>
      <w:r w:rsidRPr="00032C73">
        <w:rPr>
          <w:i/>
          <w:lang w:val="es-ES"/>
        </w:rPr>
        <w:t>préambule</w:t>
      </w:r>
      <w:proofErr w:type="spellEnd"/>
      <w:r w:rsidRPr="00032C73">
        <w:rPr>
          <w:i/>
          <w:lang w:val="es-ES"/>
        </w:rPr>
        <w:t xml:space="preserve"> de la </w:t>
      </w:r>
      <w:proofErr w:type="spellStart"/>
      <w:r w:rsidRPr="00032C73">
        <w:rPr>
          <w:i/>
          <w:lang w:val="es-ES"/>
        </w:rPr>
        <w:t>Convention</w:t>
      </w:r>
      <w:proofErr w:type="spellEnd"/>
      <w:r w:rsidRPr="00032C73">
        <w:rPr>
          <w:i/>
          <w:lang w:val="es-ES"/>
        </w:rPr>
        <w:t xml:space="preserve">, un </w:t>
      </w:r>
      <w:proofErr w:type="spellStart"/>
      <w:r w:rsidRPr="00032C73">
        <w:rPr>
          <w:i/>
          <w:lang w:val="es-ES"/>
        </w:rPr>
        <w:t>nouveau</w:t>
      </w:r>
      <w:proofErr w:type="spellEnd"/>
      <w:r w:rsidRPr="00032C73">
        <w:rPr>
          <w:i/>
          <w:lang w:val="es-ES"/>
        </w:rPr>
        <w:t xml:space="preserve"> </w:t>
      </w:r>
      <w:proofErr w:type="spellStart"/>
      <w:r w:rsidRPr="00032C73">
        <w:rPr>
          <w:i/>
          <w:lang w:val="es-ES"/>
        </w:rPr>
        <w:t>considérant</w:t>
      </w:r>
      <w:proofErr w:type="spellEnd"/>
      <w:r w:rsidRPr="00032C73">
        <w:rPr>
          <w:i/>
          <w:lang w:val="es-ES"/>
        </w:rPr>
        <w:t xml:space="preserve"> </w:t>
      </w:r>
      <w:proofErr w:type="spellStart"/>
      <w:r w:rsidRPr="00032C73">
        <w:rPr>
          <w:i/>
          <w:lang w:val="es-ES"/>
        </w:rPr>
        <w:t>est</w:t>
      </w:r>
      <w:proofErr w:type="spellEnd"/>
      <w:r w:rsidRPr="00032C73">
        <w:rPr>
          <w:i/>
          <w:lang w:val="es-ES"/>
        </w:rPr>
        <w:t xml:space="preserve"> </w:t>
      </w:r>
      <w:proofErr w:type="spellStart"/>
      <w:r w:rsidRPr="00032C73">
        <w:rPr>
          <w:i/>
          <w:lang w:val="es-ES"/>
        </w:rPr>
        <w:t>ajouté</w:t>
      </w:r>
      <w:proofErr w:type="spellEnd"/>
      <w:r w:rsidRPr="00032C73">
        <w:rPr>
          <w:i/>
          <w:lang w:val="es-ES"/>
        </w:rPr>
        <w:t xml:space="preserve"> et se </w:t>
      </w:r>
      <w:proofErr w:type="spellStart"/>
      <w:r w:rsidRPr="00032C73">
        <w:rPr>
          <w:i/>
          <w:lang w:val="es-ES"/>
        </w:rPr>
        <w:t>lit</w:t>
      </w:r>
      <w:proofErr w:type="spellEnd"/>
      <w:r w:rsidRPr="00032C73">
        <w:rPr>
          <w:i/>
          <w:lang w:val="es-ES"/>
        </w:rPr>
        <w:t xml:space="preserve"> </w:t>
      </w:r>
      <w:proofErr w:type="spellStart"/>
      <w:r w:rsidRPr="00032C73">
        <w:rPr>
          <w:i/>
          <w:lang w:val="es-ES"/>
        </w:rPr>
        <w:t>comme</w:t>
      </w:r>
      <w:proofErr w:type="spellEnd"/>
      <w:r w:rsidRPr="00032C73">
        <w:rPr>
          <w:i/>
          <w:lang w:val="es-ES"/>
        </w:rPr>
        <w:t xml:space="preserve"> </w:t>
      </w:r>
      <w:proofErr w:type="spellStart"/>
      <w:r w:rsidRPr="00032C73">
        <w:rPr>
          <w:i/>
          <w:lang w:val="es-ES"/>
        </w:rPr>
        <w:t>suit</w:t>
      </w:r>
      <w:proofErr w:type="spellEnd"/>
      <w:r w:rsidRPr="00032C73">
        <w:rPr>
          <w:lang w:val="es-ES"/>
        </w:rPr>
        <w:t>:</w:t>
      </w:r>
      <w:r>
        <w:rPr>
          <w:lang w:val="es-ES"/>
        </w:rPr>
        <w:t xml:space="preserve"> </w:t>
      </w:r>
      <w:proofErr w:type="spellStart"/>
      <w:r w:rsidRPr="00032C73">
        <w:rPr>
          <w:i/>
          <w:lang w:val="es-ES"/>
        </w:rPr>
        <w:t>Affirmant</w:t>
      </w:r>
      <w:proofErr w:type="spellEnd"/>
      <w:r w:rsidRPr="00032C73">
        <w:rPr>
          <w:i/>
          <w:lang w:val="es-ES"/>
        </w:rPr>
        <w:t xml:space="preserve"> </w:t>
      </w:r>
      <w:proofErr w:type="spellStart"/>
      <w:r w:rsidRPr="00032C73">
        <w:rPr>
          <w:i/>
          <w:lang w:val="es-ES"/>
        </w:rPr>
        <w:t>qu’il</w:t>
      </w:r>
      <w:proofErr w:type="spellEnd"/>
      <w:r w:rsidRPr="00032C73">
        <w:rPr>
          <w:i/>
          <w:lang w:val="es-ES"/>
        </w:rPr>
        <w:t xml:space="preserve"> </w:t>
      </w:r>
      <w:proofErr w:type="spellStart"/>
      <w:r w:rsidRPr="00032C73">
        <w:rPr>
          <w:i/>
          <w:lang w:val="es-ES"/>
        </w:rPr>
        <w:t>incombe</w:t>
      </w:r>
      <w:proofErr w:type="spellEnd"/>
      <w:r w:rsidRPr="00032C73">
        <w:rPr>
          <w:i/>
          <w:lang w:val="es-ES"/>
        </w:rPr>
        <w:t xml:space="preserve"> </w:t>
      </w:r>
      <w:proofErr w:type="spellStart"/>
      <w:r w:rsidRPr="00032C73">
        <w:rPr>
          <w:i/>
          <w:lang w:val="es-ES"/>
        </w:rPr>
        <w:t>au</w:t>
      </w:r>
      <w:proofErr w:type="spellEnd"/>
      <w:r w:rsidRPr="00032C73">
        <w:rPr>
          <w:i/>
          <w:lang w:val="es-ES"/>
        </w:rPr>
        <w:t xml:space="preserve"> premier chef </w:t>
      </w:r>
      <w:proofErr w:type="spellStart"/>
      <w:r w:rsidRPr="00032C73">
        <w:rPr>
          <w:i/>
          <w:lang w:val="es-ES"/>
        </w:rPr>
        <w:t>aux</w:t>
      </w:r>
      <w:proofErr w:type="spellEnd"/>
      <w:r w:rsidRPr="00032C73">
        <w:rPr>
          <w:i/>
          <w:lang w:val="es-ES"/>
        </w:rPr>
        <w:t xml:space="preserve"> Hautes </w:t>
      </w:r>
      <w:proofErr w:type="spellStart"/>
      <w:r w:rsidRPr="00032C73">
        <w:rPr>
          <w:i/>
          <w:lang w:val="es-ES"/>
        </w:rPr>
        <w:t>Parties</w:t>
      </w:r>
      <w:proofErr w:type="spellEnd"/>
      <w:r w:rsidRPr="00032C73">
        <w:rPr>
          <w:i/>
          <w:lang w:val="es-ES"/>
        </w:rPr>
        <w:t xml:space="preserve"> </w:t>
      </w:r>
      <w:proofErr w:type="spellStart"/>
      <w:r w:rsidRPr="00032C73">
        <w:rPr>
          <w:i/>
          <w:lang w:val="es-ES"/>
        </w:rPr>
        <w:t>contractantes</w:t>
      </w:r>
      <w:proofErr w:type="spellEnd"/>
      <w:r w:rsidRPr="00032C73">
        <w:rPr>
          <w:i/>
          <w:lang w:val="es-ES"/>
        </w:rPr>
        <w:t xml:space="preserve">, </w:t>
      </w:r>
      <w:proofErr w:type="spellStart"/>
      <w:r w:rsidRPr="00032C73">
        <w:rPr>
          <w:i/>
          <w:lang w:val="es-ES"/>
        </w:rPr>
        <w:t>conformément</w:t>
      </w:r>
      <w:proofErr w:type="spellEnd"/>
      <w:r w:rsidRPr="00032C73">
        <w:rPr>
          <w:i/>
          <w:lang w:val="es-ES"/>
        </w:rPr>
        <w:t xml:space="preserve"> </w:t>
      </w:r>
      <w:proofErr w:type="spellStart"/>
      <w:r w:rsidRPr="00032C73">
        <w:rPr>
          <w:i/>
          <w:lang w:val="es-ES"/>
        </w:rPr>
        <w:t>au</w:t>
      </w:r>
      <w:proofErr w:type="spellEnd"/>
      <w:r w:rsidRPr="00032C73">
        <w:rPr>
          <w:i/>
          <w:lang w:val="es-ES"/>
        </w:rPr>
        <w:t xml:space="preserve"> </w:t>
      </w:r>
      <w:proofErr w:type="spellStart"/>
      <w:r w:rsidRPr="00032C73">
        <w:rPr>
          <w:i/>
          <w:lang w:val="es-ES"/>
        </w:rPr>
        <w:t>principe</w:t>
      </w:r>
      <w:proofErr w:type="spellEnd"/>
      <w:r w:rsidRPr="00032C73">
        <w:rPr>
          <w:i/>
          <w:lang w:val="es-ES"/>
        </w:rPr>
        <w:t xml:space="preserve"> de </w:t>
      </w:r>
      <w:proofErr w:type="spellStart"/>
      <w:r w:rsidRPr="00032C73">
        <w:rPr>
          <w:i/>
          <w:lang w:val="es-ES"/>
        </w:rPr>
        <w:t>subsidiarité</w:t>
      </w:r>
      <w:proofErr w:type="spellEnd"/>
      <w:r w:rsidRPr="00032C73">
        <w:rPr>
          <w:i/>
          <w:lang w:val="es-ES"/>
        </w:rPr>
        <w:t xml:space="preserve">, de garantir le </w:t>
      </w:r>
      <w:proofErr w:type="spellStart"/>
      <w:r w:rsidRPr="00032C73">
        <w:rPr>
          <w:i/>
          <w:lang w:val="es-ES"/>
        </w:rPr>
        <w:t>respect</w:t>
      </w:r>
      <w:proofErr w:type="spellEnd"/>
      <w:r w:rsidRPr="00032C73">
        <w:rPr>
          <w:i/>
          <w:lang w:val="es-ES"/>
        </w:rPr>
        <w:t xml:space="preserve"> des </w:t>
      </w:r>
      <w:proofErr w:type="spellStart"/>
      <w:r w:rsidRPr="00032C73">
        <w:rPr>
          <w:i/>
          <w:lang w:val="es-ES"/>
        </w:rPr>
        <w:t>droits</w:t>
      </w:r>
      <w:proofErr w:type="spellEnd"/>
      <w:r w:rsidRPr="00032C73">
        <w:rPr>
          <w:i/>
          <w:lang w:val="es-ES"/>
        </w:rPr>
        <w:t xml:space="preserve"> et </w:t>
      </w:r>
      <w:proofErr w:type="spellStart"/>
      <w:r w:rsidRPr="00032C73">
        <w:rPr>
          <w:i/>
          <w:lang w:val="es-ES"/>
        </w:rPr>
        <w:t>libertés</w:t>
      </w:r>
      <w:proofErr w:type="spellEnd"/>
      <w:r w:rsidRPr="00032C73">
        <w:rPr>
          <w:i/>
          <w:lang w:val="es-ES"/>
        </w:rPr>
        <w:t xml:space="preserve"> </w:t>
      </w:r>
      <w:proofErr w:type="spellStart"/>
      <w:r w:rsidRPr="00032C73">
        <w:rPr>
          <w:i/>
          <w:lang w:val="es-ES"/>
        </w:rPr>
        <w:t>définis</w:t>
      </w:r>
      <w:proofErr w:type="spellEnd"/>
      <w:r w:rsidRPr="00032C73">
        <w:rPr>
          <w:i/>
          <w:lang w:val="es-ES"/>
        </w:rPr>
        <w:t xml:space="preserve"> </w:t>
      </w:r>
      <w:proofErr w:type="spellStart"/>
      <w:r w:rsidRPr="00032C73">
        <w:rPr>
          <w:i/>
          <w:lang w:val="es-ES"/>
        </w:rPr>
        <w:t>dans</w:t>
      </w:r>
      <w:proofErr w:type="spellEnd"/>
      <w:r w:rsidRPr="00032C73">
        <w:rPr>
          <w:i/>
          <w:lang w:val="es-ES"/>
        </w:rPr>
        <w:t xml:space="preserve"> la </w:t>
      </w:r>
      <w:proofErr w:type="spellStart"/>
      <w:r w:rsidRPr="00032C73">
        <w:rPr>
          <w:i/>
          <w:lang w:val="es-ES"/>
        </w:rPr>
        <w:t>présente</w:t>
      </w:r>
      <w:proofErr w:type="spellEnd"/>
      <w:r w:rsidRPr="00032C73">
        <w:rPr>
          <w:i/>
          <w:lang w:val="es-ES"/>
        </w:rPr>
        <w:t xml:space="preserve"> </w:t>
      </w:r>
      <w:proofErr w:type="spellStart"/>
      <w:r w:rsidRPr="00032C73">
        <w:rPr>
          <w:i/>
          <w:lang w:val="es-ES"/>
        </w:rPr>
        <w:t>Convention</w:t>
      </w:r>
      <w:proofErr w:type="spellEnd"/>
      <w:r w:rsidRPr="00032C73">
        <w:rPr>
          <w:i/>
          <w:lang w:val="es-ES"/>
        </w:rPr>
        <w:t xml:space="preserve"> et </w:t>
      </w:r>
      <w:proofErr w:type="spellStart"/>
      <w:r w:rsidRPr="00032C73">
        <w:rPr>
          <w:i/>
          <w:lang w:val="es-ES"/>
        </w:rPr>
        <w:t>ses</w:t>
      </w:r>
      <w:proofErr w:type="spellEnd"/>
      <w:r w:rsidRPr="00032C73">
        <w:rPr>
          <w:i/>
          <w:lang w:val="es-ES"/>
        </w:rPr>
        <w:t xml:space="preserve"> protocoles, et que, ce </w:t>
      </w:r>
      <w:proofErr w:type="spellStart"/>
      <w:r w:rsidRPr="00032C73">
        <w:rPr>
          <w:i/>
          <w:lang w:val="es-ES"/>
        </w:rPr>
        <w:t>faisant</w:t>
      </w:r>
      <w:proofErr w:type="spellEnd"/>
      <w:r w:rsidRPr="00032C73">
        <w:rPr>
          <w:i/>
          <w:lang w:val="es-ES"/>
        </w:rPr>
        <w:t xml:space="preserve">, elles </w:t>
      </w:r>
      <w:proofErr w:type="spellStart"/>
      <w:r w:rsidRPr="00032C73">
        <w:rPr>
          <w:i/>
          <w:lang w:val="es-ES"/>
        </w:rPr>
        <w:t>jouissent</w:t>
      </w:r>
      <w:proofErr w:type="spellEnd"/>
      <w:r w:rsidRPr="00032C73">
        <w:rPr>
          <w:i/>
          <w:lang w:val="es-ES"/>
        </w:rPr>
        <w:t xml:space="preserve"> </w:t>
      </w:r>
      <w:proofErr w:type="spellStart"/>
      <w:r w:rsidRPr="00032C73">
        <w:rPr>
          <w:i/>
          <w:lang w:val="es-ES"/>
        </w:rPr>
        <w:t>d’une</w:t>
      </w:r>
      <w:proofErr w:type="spellEnd"/>
      <w:r w:rsidRPr="00032C73">
        <w:rPr>
          <w:i/>
          <w:lang w:val="es-ES"/>
        </w:rPr>
        <w:t xml:space="preserve"> </w:t>
      </w:r>
      <w:proofErr w:type="spellStart"/>
      <w:r w:rsidRPr="00032C73">
        <w:rPr>
          <w:i/>
          <w:lang w:val="es-ES"/>
        </w:rPr>
        <w:t>marge</w:t>
      </w:r>
      <w:proofErr w:type="spellEnd"/>
      <w:r w:rsidRPr="00032C73">
        <w:rPr>
          <w:i/>
          <w:lang w:val="es-ES"/>
        </w:rPr>
        <w:t xml:space="preserve"> </w:t>
      </w:r>
      <w:proofErr w:type="spellStart"/>
      <w:r w:rsidRPr="00032C73">
        <w:rPr>
          <w:i/>
          <w:lang w:val="es-ES"/>
        </w:rPr>
        <w:t>d’appréciation</w:t>
      </w:r>
      <w:proofErr w:type="spellEnd"/>
      <w:r w:rsidRPr="00032C73">
        <w:rPr>
          <w:i/>
          <w:lang w:val="es-ES"/>
        </w:rPr>
        <w:t xml:space="preserve">, </w:t>
      </w:r>
      <w:proofErr w:type="spellStart"/>
      <w:r w:rsidRPr="00032C73">
        <w:rPr>
          <w:i/>
          <w:lang w:val="es-ES"/>
        </w:rPr>
        <w:t>sous</w:t>
      </w:r>
      <w:proofErr w:type="spellEnd"/>
      <w:r w:rsidRPr="00032C73">
        <w:rPr>
          <w:i/>
          <w:lang w:val="es-ES"/>
        </w:rPr>
        <w:t xml:space="preserve"> le </w:t>
      </w:r>
      <w:proofErr w:type="spellStart"/>
      <w:r w:rsidRPr="00032C73">
        <w:rPr>
          <w:i/>
          <w:lang w:val="es-ES"/>
        </w:rPr>
        <w:t>contrôle</w:t>
      </w:r>
      <w:proofErr w:type="spellEnd"/>
      <w:r w:rsidRPr="00032C73">
        <w:rPr>
          <w:i/>
          <w:lang w:val="es-ES"/>
        </w:rPr>
        <w:t xml:space="preserve"> de la </w:t>
      </w:r>
      <w:proofErr w:type="spellStart"/>
      <w:r w:rsidRPr="00032C73">
        <w:rPr>
          <w:i/>
          <w:lang w:val="es-ES"/>
        </w:rPr>
        <w:t>Cour</w:t>
      </w:r>
      <w:proofErr w:type="spellEnd"/>
      <w:r w:rsidRPr="00032C73">
        <w:rPr>
          <w:i/>
          <w:lang w:val="es-ES"/>
        </w:rPr>
        <w:t xml:space="preserve"> </w:t>
      </w:r>
      <w:proofErr w:type="spellStart"/>
      <w:r w:rsidRPr="00032C73">
        <w:rPr>
          <w:i/>
          <w:lang w:val="es-ES"/>
        </w:rPr>
        <w:t>européenne</w:t>
      </w:r>
      <w:proofErr w:type="spellEnd"/>
      <w:r w:rsidRPr="00032C73">
        <w:rPr>
          <w:i/>
          <w:lang w:val="es-ES"/>
        </w:rPr>
        <w:t xml:space="preserve"> des </w:t>
      </w:r>
      <w:proofErr w:type="spellStart"/>
      <w:r w:rsidRPr="00032C73">
        <w:rPr>
          <w:i/>
          <w:lang w:val="es-ES"/>
        </w:rPr>
        <w:t>Droits</w:t>
      </w:r>
      <w:proofErr w:type="spellEnd"/>
      <w:r w:rsidRPr="00032C73">
        <w:rPr>
          <w:i/>
          <w:lang w:val="es-ES"/>
        </w:rPr>
        <w:t xml:space="preserve"> de </w:t>
      </w:r>
      <w:proofErr w:type="spellStart"/>
      <w:r w:rsidRPr="00032C73">
        <w:rPr>
          <w:i/>
          <w:lang w:val="es-ES"/>
        </w:rPr>
        <w:t>l’Homme</w:t>
      </w:r>
      <w:proofErr w:type="spellEnd"/>
      <w:r w:rsidRPr="00032C73">
        <w:rPr>
          <w:i/>
          <w:lang w:val="es-ES"/>
        </w:rPr>
        <w:t xml:space="preserve"> </w:t>
      </w:r>
      <w:proofErr w:type="spellStart"/>
      <w:r w:rsidRPr="00032C73">
        <w:rPr>
          <w:i/>
          <w:lang w:val="es-ES"/>
        </w:rPr>
        <w:t>instituée</w:t>
      </w:r>
      <w:proofErr w:type="spellEnd"/>
      <w:r w:rsidRPr="00032C73">
        <w:rPr>
          <w:i/>
          <w:lang w:val="es-ES"/>
        </w:rPr>
        <w:t xml:space="preserve"> </w:t>
      </w:r>
      <w:proofErr w:type="spellStart"/>
      <w:r w:rsidRPr="00032C73">
        <w:rPr>
          <w:i/>
          <w:lang w:val="es-ES"/>
        </w:rPr>
        <w:t>par</w:t>
      </w:r>
      <w:proofErr w:type="spellEnd"/>
      <w:r w:rsidRPr="00032C73">
        <w:rPr>
          <w:i/>
          <w:lang w:val="es-ES"/>
        </w:rPr>
        <w:t xml:space="preserve"> la </w:t>
      </w:r>
      <w:proofErr w:type="spellStart"/>
      <w:r w:rsidRPr="00032C73">
        <w:rPr>
          <w:i/>
          <w:lang w:val="es-ES"/>
        </w:rPr>
        <w:t>présente</w:t>
      </w:r>
      <w:proofErr w:type="spellEnd"/>
      <w:r w:rsidRPr="00032C73">
        <w:rPr>
          <w:i/>
          <w:lang w:val="es-ES"/>
        </w:rPr>
        <w:t xml:space="preserve"> </w:t>
      </w:r>
      <w:proofErr w:type="spellStart"/>
      <w:r w:rsidRPr="00032C73">
        <w:rPr>
          <w:i/>
          <w:lang w:val="es-ES"/>
        </w:rPr>
        <w:t>Convention</w:t>
      </w:r>
      <w:proofErr w:type="spellEnd"/>
      <w:r w:rsidRPr="00032C73">
        <w:rPr>
          <w:i/>
          <w:lang w:val="es-ES"/>
        </w:rPr>
        <w:t>.”</w:t>
      </w:r>
    </w:p>
    <w:p w14:paraId="72438AB3" w14:textId="77777777" w:rsidR="00D86616" w:rsidRPr="00032C73" w:rsidRDefault="00D86616" w:rsidP="003C2143">
      <w:pPr>
        <w:pStyle w:val="FootnoteText"/>
        <w:rPr>
          <w:lang w:val="es-ES"/>
        </w:rPr>
      </w:pPr>
    </w:p>
  </w:footnote>
  <w:footnote w:id="443">
    <w:p w14:paraId="242CFAB4" w14:textId="77777777" w:rsidR="00D86616" w:rsidRPr="00032C73" w:rsidRDefault="00D86616" w:rsidP="003C2143">
      <w:pPr>
        <w:pStyle w:val="FootnoteText"/>
        <w:rPr>
          <w:i/>
          <w:lang w:val="es-ES"/>
        </w:rPr>
      </w:pPr>
      <w:r w:rsidRPr="00032C73">
        <w:rPr>
          <w:rStyle w:val="FootnoteReference"/>
        </w:rPr>
        <w:footnoteRef/>
      </w:r>
      <w:r w:rsidRPr="00032C73">
        <w:rPr>
          <w:lang w:val="es-ES"/>
        </w:rPr>
        <w:t xml:space="preserve"> Art. 68:”</w:t>
      </w:r>
      <w:r w:rsidRPr="00032C73">
        <w:rPr>
          <w:i/>
          <w:lang w:val="es-ES"/>
        </w:rPr>
        <w:t>1. Los Estados Partes en la Convención se comprometen a cumplir la decisión de la Corte en todo caso en que sean partes.</w:t>
      </w:r>
    </w:p>
    <w:p w14:paraId="6C9A80AA" w14:textId="77777777" w:rsidR="00D86616" w:rsidRPr="00032C73" w:rsidRDefault="00D86616" w:rsidP="003C2143">
      <w:pPr>
        <w:pStyle w:val="FootnoteText"/>
        <w:rPr>
          <w:lang w:val="es-ES"/>
        </w:rPr>
      </w:pPr>
      <w:r w:rsidRPr="00032C73">
        <w:rPr>
          <w:i/>
          <w:lang w:val="es-ES"/>
        </w:rPr>
        <w:t xml:space="preserve"> 2. La parte del fallo que disponga indemnización compensatoria se podrá ejecutar en el respectivo país por el procedimiento interno vigente para la ejecución de sentencias contra el Estado.”</w:t>
      </w:r>
    </w:p>
  </w:footnote>
  <w:footnote w:id="444">
    <w:p w14:paraId="1FD8DEBD" w14:textId="77777777" w:rsidR="00D86616" w:rsidRPr="000D35BC" w:rsidRDefault="00D86616" w:rsidP="00C44F79">
      <w:pPr>
        <w:pStyle w:val="FootnoteText"/>
        <w:rPr>
          <w:lang w:val="es-CR"/>
        </w:rPr>
      </w:pPr>
      <w:r w:rsidRPr="00817659">
        <w:rPr>
          <w:rStyle w:val="FootnoteReference"/>
          <w:sz w:val="16"/>
        </w:rPr>
        <w:footnoteRef/>
      </w:r>
      <w:r w:rsidRPr="00E70701">
        <w:rPr>
          <w:lang w:val="es-CR"/>
        </w:rPr>
        <w:t xml:space="preserve"> Al respecto, ver línea jurisprudencial de la Corte Constitucional de Colombia sobre transmutación de los DESC. </w:t>
      </w:r>
      <w:r w:rsidRPr="000D35BC">
        <w:rPr>
          <w:lang w:val="es-CR"/>
        </w:rPr>
        <w:t>Por ejemplo, T- 1079 de 2007. Disponible en: http://www.corteconstitucional.gov.co/relatoria/2007/T-1079-07.htm</w:t>
      </w:r>
    </w:p>
  </w:footnote>
  <w:footnote w:id="445">
    <w:p w14:paraId="5DE5ABE9" w14:textId="77777777" w:rsidR="00D86616" w:rsidRPr="00817659" w:rsidRDefault="00D86616" w:rsidP="00C44F79">
      <w:pPr>
        <w:pStyle w:val="FootnoteText"/>
        <w:rPr>
          <w:lang w:val="es-ES"/>
        </w:rPr>
      </w:pPr>
      <w:r w:rsidRPr="00817659">
        <w:rPr>
          <w:rStyle w:val="FootnoteReference"/>
          <w:sz w:val="16"/>
        </w:rPr>
        <w:footnoteRef/>
      </w:r>
      <w:r w:rsidRPr="000D35BC">
        <w:rPr>
          <w:lang w:val="es-CR"/>
        </w:rPr>
        <w:t xml:space="preserve"> </w:t>
      </w:r>
      <w:r w:rsidRPr="00817659">
        <w:rPr>
          <w:lang w:val="es-ES"/>
        </w:rPr>
        <w:t xml:space="preserve">En este sentido, ver por ejemplo: </w:t>
      </w:r>
      <w:r w:rsidRPr="00312AAF">
        <w:rPr>
          <w:lang w:val="es-ES"/>
        </w:rPr>
        <w:t xml:space="preserve">Oswaldo Ruiz Chiriboga, </w:t>
      </w:r>
      <w:proofErr w:type="spellStart"/>
      <w:r w:rsidRPr="00C24C47">
        <w:rPr>
          <w:rFonts w:cs="MinionPro-Semibold"/>
          <w:i/>
          <w:lang w:val="es-ES"/>
        </w:rPr>
        <w:t>The</w:t>
      </w:r>
      <w:proofErr w:type="spellEnd"/>
      <w:r w:rsidRPr="00C24C47">
        <w:rPr>
          <w:rFonts w:cs="MinionPro-Semibold"/>
          <w:i/>
          <w:lang w:val="es-ES"/>
        </w:rPr>
        <w:t xml:space="preserve"> American </w:t>
      </w:r>
      <w:proofErr w:type="spellStart"/>
      <w:r w:rsidRPr="00C24C47">
        <w:rPr>
          <w:rFonts w:cs="MinionPro-Semibold"/>
          <w:i/>
          <w:lang w:val="es-ES"/>
        </w:rPr>
        <w:t>Convention</w:t>
      </w:r>
      <w:proofErr w:type="spellEnd"/>
      <w:r w:rsidRPr="00C24C47">
        <w:rPr>
          <w:rFonts w:cs="MinionPro-Semibold"/>
          <w:i/>
          <w:lang w:val="es-ES"/>
        </w:rPr>
        <w:t xml:space="preserve"> and </w:t>
      </w:r>
      <w:proofErr w:type="spellStart"/>
      <w:r w:rsidRPr="00C24C47">
        <w:rPr>
          <w:rFonts w:cs="MinionPro-Semibold"/>
          <w:i/>
          <w:lang w:val="es-ES"/>
        </w:rPr>
        <w:t>The</w:t>
      </w:r>
      <w:proofErr w:type="spellEnd"/>
      <w:r w:rsidRPr="00C24C47">
        <w:rPr>
          <w:rFonts w:cs="MinionPro-Semibold"/>
          <w:i/>
          <w:lang w:val="es-ES"/>
        </w:rPr>
        <w:t xml:space="preserve"> </w:t>
      </w:r>
      <w:proofErr w:type="spellStart"/>
      <w:r w:rsidRPr="00C24C47">
        <w:rPr>
          <w:rFonts w:cs="MinionPro-Semibold"/>
          <w:i/>
          <w:lang w:val="es-ES"/>
        </w:rPr>
        <w:t>Protocol</w:t>
      </w:r>
      <w:proofErr w:type="spellEnd"/>
      <w:r w:rsidRPr="00C24C47">
        <w:rPr>
          <w:rFonts w:cs="MinionPro-Semibold"/>
          <w:i/>
          <w:lang w:val="es-ES"/>
        </w:rPr>
        <w:t xml:space="preserve"> Of San Salvador: </w:t>
      </w:r>
      <w:proofErr w:type="spellStart"/>
      <w:r w:rsidRPr="00C24C47">
        <w:rPr>
          <w:rFonts w:cs="MinionPro-Semibold"/>
          <w:i/>
          <w:lang w:val="es-ES"/>
        </w:rPr>
        <w:t>Two</w:t>
      </w:r>
      <w:proofErr w:type="spellEnd"/>
      <w:r w:rsidRPr="00C24C47">
        <w:rPr>
          <w:rFonts w:cs="MinionPro-Semibold"/>
          <w:i/>
          <w:lang w:val="es-ES"/>
        </w:rPr>
        <w:t xml:space="preserve"> </w:t>
      </w:r>
      <w:proofErr w:type="spellStart"/>
      <w:r w:rsidRPr="00C24C47">
        <w:rPr>
          <w:rFonts w:cs="MinionPro-Semibold"/>
          <w:i/>
          <w:lang w:val="es-ES"/>
        </w:rPr>
        <w:t>Intertwined</w:t>
      </w:r>
      <w:proofErr w:type="spellEnd"/>
      <w:r w:rsidRPr="00C24C47">
        <w:rPr>
          <w:rFonts w:cs="MinionPro-Semibold"/>
          <w:i/>
          <w:lang w:val="es-ES"/>
        </w:rPr>
        <w:t xml:space="preserve"> </w:t>
      </w:r>
      <w:proofErr w:type="spellStart"/>
      <w:r w:rsidRPr="00C24C47">
        <w:rPr>
          <w:rFonts w:cs="MinionPro-Semibold"/>
          <w:i/>
          <w:lang w:val="es-ES"/>
        </w:rPr>
        <w:t>Treaties</w:t>
      </w:r>
      <w:proofErr w:type="spellEnd"/>
      <w:r w:rsidRPr="00C24C47">
        <w:rPr>
          <w:rFonts w:cs="MinionPro-Semibold"/>
          <w:i/>
          <w:lang w:val="es-ES"/>
        </w:rPr>
        <w:t xml:space="preserve"> </w:t>
      </w:r>
      <w:r w:rsidRPr="00C24C47">
        <w:rPr>
          <w:rFonts w:cs="MinionPro-Regular"/>
          <w:i/>
          <w:lang w:val="es-ES"/>
        </w:rPr>
        <w:t>Non-</w:t>
      </w:r>
      <w:proofErr w:type="spellStart"/>
      <w:r w:rsidRPr="00C24C47">
        <w:rPr>
          <w:rFonts w:cs="MinionPro-Regular"/>
          <w:i/>
          <w:lang w:val="es-ES"/>
        </w:rPr>
        <w:t>Enforceability</w:t>
      </w:r>
      <w:proofErr w:type="spellEnd"/>
      <w:r w:rsidRPr="00C24C47">
        <w:rPr>
          <w:rFonts w:cs="MinionPro-Regular"/>
          <w:i/>
          <w:lang w:val="es-ES"/>
        </w:rPr>
        <w:t xml:space="preserve"> Of </w:t>
      </w:r>
      <w:proofErr w:type="spellStart"/>
      <w:r w:rsidRPr="00C24C47">
        <w:rPr>
          <w:rFonts w:cs="MinionPro-Regular"/>
          <w:i/>
          <w:lang w:val="es-ES"/>
        </w:rPr>
        <w:t>Economic</w:t>
      </w:r>
      <w:proofErr w:type="spellEnd"/>
      <w:r w:rsidRPr="00C24C47">
        <w:rPr>
          <w:rFonts w:cs="MinionPro-Regular"/>
          <w:i/>
          <w:lang w:val="es-ES"/>
        </w:rPr>
        <w:t xml:space="preserve">, Social And Cultural </w:t>
      </w:r>
      <w:proofErr w:type="spellStart"/>
      <w:r w:rsidRPr="00C24C47">
        <w:rPr>
          <w:rFonts w:cs="MinionPro-Regular"/>
          <w:i/>
          <w:lang w:val="es-ES"/>
        </w:rPr>
        <w:t>Rights</w:t>
      </w:r>
      <w:proofErr w:type="spellEnd"/>
      <w:r w:rsidRPr="00C24C47">
        <w:rPr>
          <w:rFonts w:cs="MinionPro-Regular"/>
          <w:i/>
          <w:lang w:val="es-ES"/>
        </w:rPr>
        <w:t xml:space="preserve"> In </w:t>
      </w:r>
      <w:proofErr w:type="spellStart"/>
      <w:r w:rsidRPr="00C24C47">
        <w:rPr>
          <w:rFonts w:cs="MinionPro-Regular"/>
          <w:i/>
          <w:lang w:val="es-ES"/>
        </w:rPr>
        <w:t>The</w:t>
      </w:r>
      <w:proofErr w:type="spellEnd"/>
      <w:r w:rsidRPr="00C24C47">
        <w:rPr>
          <w:rFonts w:cs="MinionPro-Regular"/>
          <w:i/>
          <w:lang w:val="es-ES"/>
        </w:rPr>
        <w:t xml:space="preserve"> Inter-American </w:t>
      </w:r>
      <w:proofErr w:type="spellStart"/>
      <w:r w:rsidRPr="00C24C47">
        <w:rPr>
          <w:rFonts w:cs="MinionPro-Regular"/>
          <w:i/>
          <w:lang w:val="es-ES"/>
        </w:rPr>
        <w:t>System</w:t>
      </w:r>
      <w:proofErr w:type="spellEnd"/>
      <w:r w:rsidRPr="00312AAF">
        <w:rPr>
          <w:rFonts w:cs="MinionPro-Regular"/>
          <w:lang w:val="es-ES"/>
        </w:rPr>
        <w:t xml:space="preserve">, </w:t>
      </w:r>
      <w:proofErr w:type="spellStart"/>
      <w:r w:rsidRPr="00312AAF">
        <w:rPr>
          <w:rFonts w:cs="MinionPro-Regular"/>
          <w:lang w:val="es-ES"/>
        </w:rPr>
        <w:t>Netherlands</w:t>
      </w:r>
      <w:proofErr w:type="spellEnd"/>
      <w:r w:rsidRPr="00312AAF">
        <w:rPr>
          <w:rFonts w:cs="MinionPro-Regular"/>
          <w:lang w:val="es-ES"/>
        </w:rPr>
        <w:t xml:space="preserve"> </w:t>
      </w:r>
      <w:proofErr w:type="spellStart"/>
      <w:r w:rsidRPr="00312AAF">
        <w:rPr>
          <w:rFonts w:cs="MinionPro-Regular"/>
          <w:lang w:val="es-ES"/>
        </w:rPr>
        <w:t>Quarterly</w:t>
      </w:r>
      <w:proofErr w:type="spellEnd"/>
      <w:r w:rsidRPr="00312AAF">
        <w:rPr>
          <w:rFonts w:cs="MinionPro-Regular"/>
          <w:lang w:val="es-ES"/>
        </w:rPr>
        <w:t xml:space="preserve"> of Human </w:t>
      </w:r>
      <w:proofErr w:type="spellStart"/>
      <w:r w:rsidRPr="00312AAF">
        <w:rPr>
          <w:rFonts w:cs="MinionPro-Regular"/>
          <w:lang w:val="es-ES"/>
        </w:rPr>
        <w:t>Rights</w:t>
      </w:r>
      <w:proofErr w:type="spellEnd"/>
      <w:r w:rsidRPr="00312AAF">
        <w:rPr>
          <w:rFonts w:cs="MinionPro-Regular"/>
          <w:lang w:val="es-ES"/>
        </w:rPr>
        <w:t xml:space="preserve">, Vol. 31/2 (2013); </w:t>
      </w:r>
      <w:proofErr w:type="spellStart"/>
      <w:r w:rsidRPr="00817659">
        <w:rPr>
          <w:lang w:val="es-CO"/>
        </w:rPr>
        <w:t>Abramovich</w:t>
      </w:r>
      <w:proofErr w:type="spellEnd"/>
      <w:r w:rsidRPr="00817659">
        <w:rPr>
          <w:lang w:val="es-CO"/>
        </w:rPr>
        <w:t xml:space="preserve">, V. and </w:t>
      </w:r>
      <w:proofErr w:type="spellStart"/>
      <w:r w:rsidRPr="00817659">
        <w:rPr>
          <w:lang w:val="es-CO"/>
        </w:rPr>
        <w:t>Rossi</w:t>
      </w:r>
      <w:proofErr w:type="spellEnd"/>
      <w:r w:rsidRPr="00817659">
        <w:rPr>
          <w:lang w:val="es-CO"/>
        </w:rPr>
        <w:t>, J., ‘</w:t>
      </w:r>
      <w:r w:rsidRPr="00C24C47">
        <w:rPr>
          <w:i/>
          <w:lang w:val="es-CO"/>
        </w:rPr>
        <w:t>La Tutela de los Derechos Económicos, Sociales y Culturales en el Artículo 26 de la Convención Americana sobre Derechos Humanos’</w:t>
      </w:r>
      <w:r w:rsidRPr="00817659">
        <w:rPr>
          <w:lang w:val="es-CO"/>
        </w:rPr>
        <w:t xml:space="preserve">, Estudios Socio-Jurídicos, Vol. 9, 2007; Oscar Parra Vera, </w:t>
      </w:r>
      <w:proofErr w:type="spellStart"/>
      <w:r w:rsidRPr="00C24C47">
        <w:rPr>
          <w:i/>
          <w:lang w:val="es-CO"/>
        </w:rPr>
        <w:t>Justiciabilidad</w:t>
      </w:r>
      <w:proofErr w:type="spellEnd"/>
      <w:r w:rsidRPr="00C24C47">
        <w:rPr>
          <w:i/>
          <w:lang w:val="es-CO"/>
        </w:rPr>
        <w:t xml:space="preserve"> de los derechos económicos, sociales y culturales ante el sistema interamericano</w:t>
      </w:r>
      <w:r w:rsidRPr="00817659">
        <w:rPr>
          <w:lang w:val="es-CO"/>
        </w:rPr>
        <w:t xml:space="preserve">, Comisión Nacional de los Derechos Humanos México, 2011. </w:t>
      </w:r>
    </w:p>
  </w:footnote>
  <w:footnote w:id="446">
    <w:p w14:paraId="4F00ECC6" w14:textId="77777777" w:rsidR="00D86616" w:rsidRPr="00817659" w:rsidRDefault="00D86616" w:rsidP="00C44F79">
      <w:pPr>
        <w:pStyle w:val="FootnoteText"/>
        <w:rPr>
          <w:lang w:val="es-ES"/>
        </w:rPr>
      </w:pPr>
      <w:r w:rsidRPr="00817659">
        <w:rPr>
          <w:rStyle w:val="FootnoteReference"/>
          <w:sz w:val="16"/>
        </w:rPr>
        <w:footnoteRef/>
      </w:r>
      <w:r w:rsidRPr="000D35BC">
        <w:rPr>
          <w:lang w:val="es-CR"/>
        </w:rPr>
        <w:t xml:space="preserve"> </w:t>
      </w:r>
      <w:r w:rsidRPr="00817659">
        <w:rPr>
          <w:lang w:val="es-ES"/>
        </w:rPr>
        <w:t xml:space="preserve">Ver voto disidente del Juez Ferrar </w:t>
      </w:r>
      <w:proofErr w:type="spellStart"/>
      <w:r w:rsidRPr="00817659">
        <w:rPr>
          <w:lang w:val="es-ES"/>
        </w:rPr>
        <w:t>McGregor</w:t>
      </w:r>
      <w:proofErr w:type="spellEnd"/>
      <w:r w:rsidRPr="00817659">
        <w:rPr>
          <w:lang w:val="es-ES"/>
        </w:rPr>
        <w:t xml:space="preserve"> en el </w:t>
      </w:r>
      <w:r>
        <w:rPr>
          <w:i/>
          <w:lang w:val="es-ES"/>
        </w:rPr>
        <w:t>C</w:t>
      </w:r>
      <w:r w:rsidRPr="00C24C47">
        <w:rPr>
          <w:i/>
          <w:lang w:val="es-ES"/>
        </w:rPr>
        <w:t xml:space="preserve">aso González </w:t>
      </w:r>
      <w:proofErr w:type="spellStart"/>
      <w:r w:rsidRPr="00C24C47">
        <w:rPr>
          <w:i/>
          <w:lang w:val="es-ES"/>
        </w:rPr>
        <w:t>Lluy</w:t>
      </w:r>
      <w:proofErr w:type="spellEnd"/>
      <w:r w:rsidRPr="00C24C47">
        <w:rPr>
          <w:i/>
          <w:lang w:val="es-ES"/>
        </w:rPr>
        <w:t xml:space="preserve"> y otros Vs. Ecuador</w:t>
      </w:r>
      <w:r w:rsidRPr="00817659">
        <w:rPr>
          <w:lang w:val="es-ES"/>
        </w:rPr>
        <w:t xml:space="preserve"> o voto de los jueces Caldas y Ferrer </w:t>
      </w:r>
      <w:proofErr w:type="spellStart"/>
      <w:r w:rsidRPr="00817659">
        <w:rPr>
          <w:lang w:val="es-ES"/>
        </w:rPr>
        <w:t>McGregor</w:t>
      </w:r>
      <w:proofErr w:type="spellEnd"/>
      <w:r w:rsidRPr="00817659">
        <w:rPr>
          <w:lang w:val="es-ES"/>
        </w:rPr>
        <w:t xml:space="preserve"> en el </w:t>
      </w:r>
      <w:r>
        <w:rPr>
          <w:i/>
          <w:lang w:val="es-ES"/>
        </w:rPr>
        <w:t>C</w:t>
      </w:r>
      <w:r w:rsidRPr="00C24C47">
        <w:rPr>
          <w:i/>
          <w:lang w:val="es-ES"/>
        </w:rPr>
        <w:t>aso Canales Huapaya y otros Vs. Perú.</w:t>
      </w:r>
      <w:r w:rsidRPr="00817659">
        <w:rPr>
          <w:lang w:val="es-ES"/>
        </w:rPr>
        <w:t xml:space="preserve"> </w:t>
      </w:r>
    </w:p>
  </w:footnote>
  <w:footnote w:id="447">
    <w:p w14:paraId="71884DAE" w14:textId="77777777" w:rsidR="00D86616" w:rsidRPr="00817659" w:rsidRDefault="00D86616" w:rsidP="00C44F79">
      <w:pPr>
        <w:pStyle w:val="FootnoteText"/>
        <w:rPr>
          <w:lang w:val="es-ES"/>
        </w:rPr>
      </w:pPr>
      <w:r w:rsidRPr="00817659">
        <w:rPr>
          <w:rStyle w:val="FootnoteReference"/>
          <w:sz w:val="16"/>
        </w:rPr>
        <w:footnoteRef/>
      </w:r>
      <w:r w:rsidRPr="000D35BC">
        <w:rPr>
          <w:lang w:val="es-CR"/>
        </w:rPr>
        <w:t xml:space="preserve"> </w:t>
      </w:r>
      <w:r w:rsidRPr="00817659">
        <w:rPr>
          <w:lang w:val="es-ES"/>
        </w:rPr>
        <w:t xml:space="preserve">Al respecto, voto concurrente </w:t>
      </w:r>
      <w:r>
        <w:rPr>
          <w:i/>
          <w:lang w:val="es-ES"/>
        </w:rPr>
        <w:t>C</w:t>
      </w:r>
      <w:r w:rsidRPr="00C24C47">
        <w:rPr>
          <w:i/>
          <w:lang w:val="es-ES"/>
        </w:rPr>
        <w:t xml:space="preserve">aso González </w:t>
      </w:r>
      <w:proofErr w:type="spellStart"/>
      <w:r w:rsidRPr="00C24C47">
        <w:rPr>
          <w:i/>
          <w:lang w:val="es-ES"/>
        </w:rPr>
        <w:t>Lluy</w:t>
      </w:r>
      <w:proofErr w:type="spellEnd"/>
      <w:r w:rsidRPr="00C24C47">
        <w:rPr>
          <w:i/>
          <w:lang w:val="es-ES"/>
        </w:rPr>
        <w:t xml:space="preserve"> y otros Vs. Ecuador</w:t>
      </w:r>
      <w:r w:rsidRPr="00817659">
        <w:rPr>
          <w:lang w:val="es-ES"/>
        </w:rPr>
        <w:t xml:space="preserve">, </w:t>
      </w:r>
      <w:proofErr w:type="spellStart"/>
      <w:r w:rsidRPr="00817659">
        <w:rPr>
          <w:lang w:val="es-ES"/>
        </w:rPr>
        <w:t>párrs</w:t>
      </w:r>
      <w:proofErr w:type="spellEnd"/>
      <w:r w:rsidRPr="00817659">
        <w:rPr>
          <w:lang w:val="es-ES"/>
        </w:rPr>
        <w:t xml:space="preserve">. 7 a 11. </w:t>
      </w:r>
    </w:p>
  </w:footnote>
  <w:footnote w:id="448">
    <w:p w14:paraId="1518FFAE" w14:textId="77777777" w:rsidR="00D86616" w:rsidRPr="00817659" w:rsidRDefault="00D86616" w:rsidP="00C44F79">
      <w:pPr>
        <w:pStyle w:val="NormalWeb"/>
        <w:tabs>
          <w:tab w:val="left" w:pos="709"/>
        </w:tabs>
        <w:spacing w:before="0" w:beforeAutospacing="0" w:after="0" w:afterAutospacing="0"/>
        <w:ind w:right="333"/>
        <w:jc w:val="both"/>
        <w:rPr>
          <w:rFonts w:ascii="Verdana" w:hAnsi="Verdana" w:cs="Tahoma"/>
          <w:color w:val="000000"/>
          <w:sz w:val="16"/>
          <w:szCs w:val="16"/>
        </w:rPr>
      </w:pPr>
      <w:r w:rsidRPr="00817659">
        <w:rPr>
          <w:rStyle w:val="FootnoteReference"/>
          <w:rFonts w:eastAsiaTheme="majorEastAsia"/>
          <w:sz w:val="16"/>
          <w:szCs w:val="16"/>
        </w:rPr>
        <w:footnoteRef/>
      </w:r>
      <w:r w:rsidRPr="00817659">
        <w:rPr>
          <w:rFonts w:ascii="Verdana" w:hAnsi="Verdana"/>
          <w:sz w:val="16"/>
          <w:szCs w:val="16"/>
        </w:rPr>
        <w:t xml:space="preserve"> </w:t>
      </w:r>
      <w:r w:rsidRPr="00817659">
        <w:rPr>
          <w:rFonts w:ascii="Verdana" w:hAnsi="Verdana" w:cs="Tahoma"/>
          <w:bCs/>
          <w:color w:val="000000"/>
          <w:sz w:val="16"/>
          <w:szCs w:val="16"/>
        </w:rPr>
        <w:t>CAPITULO III</w:t>
      </w:r>
      <w:r>
        <w:rPr>
          <w:rFonts w:ascii="Verdana" w:hAnsi="Verdana" w:cs="Tahoma"/>
          <w:bCs/>
          <w:color w:val="000000"/>
          <w:sz w:val="16"/>
          <w:szCs w:val="16"/>
        </w:rPr>
        <w:t xml:space="preserve">. </w:t>
      </w:r>
      <w:r w:rsidRPr="00817659">
        <w:rPr>
          <w:rFonts w:ascii="Verdana" w:hAnsi="Verdana" w:cs="Tahoma"/>
          <w:bCs/>
          <w:color w:val="000000"/>
          <w:sz w:val="16"/>
          <w:szCs w:val="16"/>
        </w:rPr>
        <w:t>DERECHOS ECONOMICOS, SOCIALES Y CULTURALES</w:t>
      </w:r>
      <w:r>
        <w:rPr>
          <w:rFonts w:ascii="Verdana" w:hAnsi="Verdana" w:cs="Tahoma"/>
          <w:bCs/>
          <w:color w:val="000000"/>
          <w:sz w:val="16"/>
          <w:szCs w:val="16"/>
        </w:rPr>
        <w:t xml:space="preserve">. </w:t>
      </w:r>
      <w:r w:rsidRPr="00817659">
        <w:rPr>
          <w:rFonts w:ascii="Verdana" w:hAnsi="Verdana" w:cs="Tahoma"/>
          <w:bCs/>
          <w:color w:val="000000"/>
          <w:sz w:val="16"/>
          <w:szCs w:val="16"/>
        </w:rPr>
        <w:t>Artículo 26.  Desarrollo Progresivo</w:t>
      </w:r>
    </w:p>
    <w:p w14:paraId="7B15663D" w14:textId="77777777" w:rsidR="00D86616" w:rsidRPr="00817659" w:rsidRDefault="00D86616" w:rsidP="00C44F79">
      <w:pPr>
        <w:pStyle w:val="NormalWeb"/>
        <w:tabs>
          <w:tab w:val="left" w:pos="709"/>
        </w:tabs>
        <w:spacing w:before="0" w:beforeAutospacing="0" w:after="0" w:afterAutospacing="0"/>
        <w:ind w:right="49"/>
        <w:jc w:val="both"/>
        <w:rPr>
          <w:rFonts w:ascii="Verdana" w:hAnsi="Verdana" w:cs="Tahoma"/>
          <w:color w:val="000000"/>
          <w:sz w:val="16"/>
          <w:szCs w:val="16"/>
        </w:rPr>
      </w:pPr>
      <w:r w:rsidRPr="00817659">
        <w:rPr>
          <w:rFonts w:ascii="Verdana" w:hAnsi="Verdana" w:cs="Tahoma"/>
          <w:color w:val="000000"/>
          <w:sz w:val="16"/>
          <w:szCs w:val="16"/>
        </w:rPr>
        <w:t xml:space="preserve">Los Estados Partes se comprometen a adoptar providencias, tanto a nivel interno como mediante la cooperación internacional, especialmente económica y técnica, para lograr </w:t>
      </w:r>
      <w:r w:rsidRPr="00817659">
        <w:rPr>
          <w:rFonts w:ascii="Verdana" w:hAnsi="Verdana" w:cs="Tahoma"/>
          <w:color w:val="000000"/>
          <w:sz w:val="16"/>
          <w:szCs w:val="16"/>
          <w:u w:val="single"/>
        </w:rPr>
        <w:t>progresivamente la plena efectividad de los derechos que se derivan de las normas económicas, sociales y sobre educación, ciencia y cultura, contenidas en la Carta de la Organización de los Estados Americanos</w:t>
      </w:r>
      <w:r w:rsidRPr="00817659">
        <w:rPr>
          <w:rFonts w:ascii="Verdana" w:hAnsi="Verdana" w:cs="Tahoma"/>
          <w:color w:val="000000"/>
          <w:sz w:val="16"/>
          <w:szCs w:val="16"/>
        </w:rPr>
        <w:t>, reformada por el Protocolo de Buenos Aires, en la medida de los recursos disponibles, por vía legislativa u otros medios apropiados. (Subrayado fuera del texto)</w:t>
      </w:r>
      <w:r>
        <w:rPr>
          <w:rFonts w:ascii="Verdana" w:hAnsi="Verdana" w:cs="Tahoma"/>
          <w:color w:val="000000"/>
          <w:sz w:val="16"/>
          <w:szCs w:val="16"/>
        </w:rPr>
        <w:t>.</w:t>
      </w:r>
    </w:p>
  </w:footnote>
  <w:footnote w:id="449">
    <w:p w14:paraId="7F001C8E" w14:textId="77777777" w:rsidR="00D86616" w:rsidRPr="00817659" w:rsidRDefault="00D86616" w:rsidP="00C44F79">
      <w:pPr>
        <w:pStyle w:val="FootnoteText"/>
        <w:rPr>
          <w:lang w:val="es-CR"/>
        </w:rPr>
      </w:pPr>
      <w:r w:rsidRPr="00817659">
        <w:rPr>
          <w:rStyle w:val="FootnoteReference"/>
          <w:sz w:val="16"/>
        </w:rPr>
        <w:footnoteRef/>
      </w:r>
      <w:r w:rsidRPr="000D35BC">
        <w:rPr>
          <w:lang w:val="es-CR"/>
        </w:rPr>
        <w:t xml:space="preserve"> </w:t>
      </w:r>
      <w:r w:rsidRPr="00817659">
        <w:rPr>
          <w:lang w:val="es-CR"/>
        </w:rPr>
        <w:t xml:space="preserve">A manera de ejemplo, el artículo XI establece que: </w:t>
      </w:r>
      <w:r w:rsidRPr="000D35BC">
        <w:rPr>
          <w:lang w:val="es-CR"/>
        </w:rPr>
        <w:t>Toda persona tiene derecho a que su salud sea preservada por medidas sanitarias y sociales, relativas a la alimentación, el vestido, la vivienda y la asistencia médica, correspondientes al nivel que permitan los recursos públicos y los de la comunidad.</w:t>
      </w:r>
    </w:p>
  </w:footnote>
  <w:footnote w:id="450">
    <w:p w14:paraId="42547117" w14:textId="77777777" w:rsidR="00D86616" w:rsidRPr="000D35BC" w:rsidRDefault="00D86616" w:rsidP="00C44F79">
      <w:pPr>
        <w:pStyle w:val="FootnoteText"/>
        <w:rPr>
          <w:lang w:val="es-CR"/>
        </w:rPr>
      </w:pPr>
      <w:r w:rsidRPr="00817659">
        <w:rPr>
          <w:rStyle w:val="FootnoteReference"/>
          <w:sz w:val="16"/>
        </w:rPr>
        <w:footnoteRef/>
      </w:r>
      <w:r w:rsidRPr="000D35BC">
        <w:rPr>
          <w:lang w:val="es-CR"/>
        </w:rPr>
        <w:t xml:space="preserve"> Al respecto, </w:t>
      </w:r>
      <w:r w:rsidRPr="00817659">
        <w:rPr>
          <w:caps/>
          <w:lang w:val="es-CO"/>
        </w:rPr>
        <w:t>“</w:t>
      </w:r>
      <w:r w:rsidRPr="00817659">
        <w:rPr>
          <w:lang w:val="es-CO"/>
        </w:rPr>
        <w:t>en el camino que debe seguirse para determinar si un derecho se encuentra implícito en la Carta es necesario, a nuestro entender, evitar el atajo de apelar directamente a la Declaración Americana como instrumento que informa el contenido de los derechos humanos consagrados en la Carta. [Esto teniendo en cuenta que] el artículo 26 habla de los derechos que se derivan de las normas económicas, sociales, y sobre educación, ciencia y cultura de la Carta y no remite a la Declaración</w:t>
      </w:r>
      <w:r w:rsidRPr="00817659">
        <w:rPr>
          <w:caps/>
          <w:lang w:val="es-CO"/>
        </w:rPr>
        <w:t xml:space="preserve">”. </w:t>
      </w:r>
      <w:proofErr w:type="spellStart"/>
      <w:r w:rsidRPr="00817659">
        <w:rPr>
          <w:lang w:val="es-CO"/>
        </w:rPr>
        <w:t>Abramovich</w:t>
      </w:r>
      <w:proofErr w:type="spellEnd"/>
      <w:r w:rsidRPr="00817659">
        <w:rPr>
          <w:lang w:val="es-CO"/>
        </w:rPr>
        <w:t xml:space="preserve">, V. and </w:t>
      </w:r>
      <w:proofErr w:type="spellStart"/>
      <w:r w:rsidRPr="00817659">
        <w:rPr>
          <w:lang w:val="es-CO"/>
        </w:rPr>
        <w:t>Rossi</w:t>
      </w:r>
      <w:proofErr w:type="spellEnd"/>
      <w:r w:rsidRPr="00817659">
        <w:rPr>
          <w:lang w:val="es-CO"/>
        </w:rPr>
        <w:t>, J., ‘</w:t>
      </w:r>
      <w:r w:rsidRPr="00C24C47">
        <w:rPr>
          <w:i/>
          <w:lang w:val="es-CO"/>
        </w:rPr>
        <w:t>La Tutela de los Derechos Económicos, Sociales y Culturales en el Artículo 26 de la Convención Americana sobre Derechos Humanos’</w:t>
      </w:r>
      <w:r w:rsidRPr="00817659">
        <w:rPr>
          <w:lang w:val="es-CO"/>
        </w:rPr>
        <w:t>, Estudios Socio-Jurídicos, Vol. 9, 2007, pp. 47.</w:t>
      </w:r>
    </w:p>
  </w:footnote>
  <w:footnote w:id="451">
    <w:p w14:paraId="3C8362C9" w14:textId="77777777" w:rsidR="00D86616" w:rsidRPr="00817659" w:rsidRDefault="00D86616" w:rsidP="00C44F79">
      <w:pPr>
        <w:pStyle w:val="FootnoteText"/>
        <w:rPr>
          <w:lang w:val="es-CR"/>
        </w:rPr>
      </w:pPr>
      <w:r w:rsidRPr="00817659">
        <w:rPr>
          <w:rStyle w:val="FootnoteReference"/>
          <w:sz w:val="16"/>
        </w:rPr>
        <w:footnoteRef/>
      </w:r>
      <w:r w:rsidRPr="000D35BC">
        <w:rPr>
          <w:lang w:val="es-CR"/>
        </w:rPr>
        <w:t xml:space="preserve"> Por ejemplo, el </w:t>
      </w:r>
      <w:r w:rsidRPr="00817659">
        <w:rPr>
          <w:lang w:val="es-CR"/>
        </w:rPr>
        <w:t>artículo 45.b de la Carta establece que: “</w:t>
      </w:r>
      <w:r w:rsidRPr="000D35BC">
        <w:rPr>
          <w:rFonts w:cs="Tahoma"/>
          <w:color w:val="000000"/>
          <w:lang w:val="es-CR"/>
        </w:rPr>
        <w:t>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r w:rsidRPr="00817659">
        <w:rPr>
          <w:lang w:val="es-CR"/>
        </w:rPr>
        <w:t>”.</w:t>
      </w:r>
    </w:p>
  </w:footnote>
  <w:footnote w:id="452">
    <w:p w14:paraId="17719449" w14:textId="77777777" w:rsidR="00D86616" w:rsidRPr="00817659" w:rsidRDefault="00D86616" w:rsidP="00C44F79">
      <w:pPr>
        <w:pStyle w:val="FootnoteText"/>
        <w:rPr>
          <w:lang w:val="es-ES"/>
        </w:rPr>
      </w:pPr>
      <w:r w:rsidRPr="00817659">
        <w:rPr>
          <w:rStyle w:val="FootnoteReference"/>
          <w:sz w:val="16"/>
        </w:rPr>
        <w:footnoteRef/>
      </w:r>
      <w:r w:rsidRPr="000D35BC">
        <w:rPr>
          <w:lang w:val="es-CR"/>
        </w:rPr>
        <w:t xml:space="preserve"> La discusión sobre cuáles son las fuentes de derecho internacional que pueden ser utilizadas por la Corte IDH para establecer los alcances de obligaciones y derechos exigibles a los Estados no es la materia principal del presente voto, pero deseo manifestar mi preocupación por la utilización de documentos tales como la Agenda de 2030 de la Asamblea de Naciones Unidas (metas del milenio) como fuente vinculante para el sistema interamericano. </w:t>
      </w:r>
    </w:p>
  </w:footnote>
  <w:footnote w:id="453">
    <w:p w14:paraId="7B527122" w14:textId="77777777" w:rsidR="00D86616" w:rsidRPr="00817659" w:rsidRDefault="00D86616" w:rsidP="00C44F79">
      <w:pPr>
        <w:pStyle w:val="FootnoteText"/>
        <w:rPr>
          <w:lang w:val="es-ES"/>
        </w:rPr>
      </w:pPr>
      <w:r w:rsidRPr="00817659">
        <w:rPr>
          <w:rStyle w:val="FootnoteReference"/>
          <w:sz w:val="16"/>
        </w:rPr>
        <w:footnoteRef/>
      </w:r>
      <w:r w:rsidRPr="000D35BC">
        <w:rPr>
          <w:lang w:val="es-CR"/>
        </w:rPr>
        <w:t xml:space="preserve"> </w:t>
      </w:r>
      <w:r w:rsidRPr="00817659">
        <w:rPr>
          <w:lang w:val="es-ES"/>
        </w:rPr>
        <w:t xml:space="preserve">Sentencia </w:t>
      </w:r>
      <w:r w:rsidRPr="00C24C47">
        <w:rPr>
          <w:i/>
          <w:lang w:val="es-ES"/>
        </w:rPr>
        <w:t>Lagos del Campo Vs. Perú</w:t>
      </w:r>
      <w:r w:rsidRPr="00817659">
        <w:rPr>
          <w:lang w:val="es-ES"/>
        </w:rPr>
        <w:t>, párr. 145</w:t>
      </w:r>
      <w:r>
        <w:rPr>
          <w:lang w:val="es-ES"/>
        </w:rPr>
        <w:t>.</w:t>
      </w:r>
    </w:p>
  </w:footnote>
  <w:footnote w:id="454">
    <w:p w14:paraId="24CB2388" w14:textId="77777777" w:rsidR="00D86616" w:rsidRPr="00817659" w:rsidRDefault="00D86616" w:rsidP="00C44F79">
      <w:pPr>
        <w:pStyle w:val="FootnoteText"/>
        <w:rPr>
          <w:lang w:val="es-ES"/>
        </w:rPr>
      </w:pPr>
      <w:r w:rsidRPr="00817659">
        <w:rPr>
          <w:rStyle w:val="FootnoteReference"/>
          <w:sz w:val="16"/>
        </w:rPr>
        <w:footnoteRef/>
      </w:r>
      <w:r w:rsidRPr="000D35BC">
        <w:rPr>
          <w:lang w:val="es-CR"/>
        </w:rPr>
        <w:t xml:space="preserve"> </w:t>
      </w:r>
      <w:r w:rsidRPr="00817659">
        <w:rPr>
          <w:lang w:val="es-ES"/>
        </w:rPr>
        <w:t xml:space="preserve">Al respecto, voto concurrente </w:t>
      </w:r>
      <w:r>
        <w:rPr>
          <w:i/>
          <w:lang w:val="es-ES"/>
        </w:rPr>
        <w:t>C</w:t>
      </w:r>
      <w:r w:rsidRPr="00C24C47">
        <w:rPr>
          <w:i/>
          <w:lang w:val="es-ES"/>
        </w:rPr>
        <w:t xml:space="preserve">aso González </w:t>
      </w:r>
      <w:proofErr w:type="spellStart"/>
      <w:r w:rsidRPr="00C24C47">
        <w:rPr>
          <w:i/>
          <w:lang w:val="es-ES"/>
        </w:rPr>
        <w:t>Lluy</w:t>
      </w:r>
      <w:proofErr w:type="spellEnd"/>
      <w:r w:rsidRPr="00C24C47">
        <w:rPr>
          <w:i/>
          <w:lang w:val="es-ES"/>
        </w:rPr>
        <w:t xml:space="preserve"> y otros Vs. Ecuador</w:t>
      </w:r>
      <w:r w:rsidRPr="00817659">
        <w:rPr>
          <w:lang w:val="es-ES"/>
        </w:rPr>
        <w:t xml:space="preserve">, </w:t>
      </w:r>
      <w:proofErr w:type="spellStart"/>
      <w:r w:rsidRPr="00817659">
        <w:rPr>
          <w:lang w:val="es-ES"/>
        </w:rPr>
        <w:t>párrs</w:t>
      </w:r>
      <w:proofErr w:type="spellEnd"/>
      <w:r w:rsidRPr="00817659">
        <w:rPr>
          <w:lang w:val="es-ES"/>
        </w:rPr>
        <w:t>. 12 a 19.</w:t>
      </w:r>
    </w:p>
  </w:footnote>
  <w:footnote w:id="455">
    <w:p w14:paraId="201EEDC0" w14:textId="77777777" w:rsidR="00D86616" w:rsidRPr="00817659" w:rsidRDefault="00D86616" w:rsidP="00C44F79">
      <w:pPr>
        <w:jc w:val="both"/>
        <w:rPr>
          <w:rFonts w:ascii="Verdana" w:eastAsia="Times New Roman" w:hAnsi="Verdana"/>
          <w:sz w:val="16"/>
          <w:szCs w:val="16"/>
          <w:lang w:eastAsia="es-ES_tradnl"/>
        </w:rPr>
      </w:pPr>
      <w:r w:rsidRPr="00817659">
        <w:rPr>
          <w:rStyle w:val="FootnoteReference"/>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Un buen ejemplo de la correcta utilización de los métodos de interpretación de los tratados se puede encontrar en la Opinión Consultiva No. 21 respecto a la </w:t>
      </w:r>
      <w:r w:rsidRPr="00817659">
        <w:rPr>
          <w:rFonts w:ascii="Verdana" w:eastAsia="Times New Roman" w:hAnsi="Verdana"/>
          <w:bCs/>
          <w:color w:val="000000"/>
          <w:sz w:val="16"/>
          <w:szCs w:val="16"/>
          <w:shd w:val="clear" w:color="auto" w:fill="FFFFFF"/>
          <w:lang w:eastAsia="es-ES_tradnl"/>
        </w:rPr>
        <w:t>Titularidad de derechos de las personas jurídicas en el sistema interamericano de derechos humanos.</w:t>
      </w:r>
    </w:p>
  </w:footnote>
  <w:footnote w:id="456">
    <w:p w14:paraId="5D93B451" w14:textId="77777777" w:rsidR="00D86616" w:rsidRPr="00817659" w:rsidRDefault="00D86616" w:rsidP="00C44F79">
      <w:pPr>
        <w:pStyle w:val="FootnoteText"/>
        <w:rPr>
          <w:lang w:val="es-ES"/>
        </w:rPr>
      </w:pPr>
      <w:r w:rsidRPr="00817659">
        <w:rPr>
          <w:rStyle w:val="FootnoteReference"/>
          <w:sz w:val="16"/>
        </w:rPr>
        <w:footnoteRef/>
      </w:r>
      <w:r w:rsidRPr="000D35BC">
        <w:rPr>
          <w:lang w:val="es-CR"/>
        </w:rPr>
        <w:t xml:space="preserve"> Al respecto,</w:t>
      </w:r>
      <w:r w:rsidRPr="00817659">
        <w:rPr>
          <w:lang w:val="es-ES"/>
        </w:rPr>
        <w:t xml:space="preserve"> voto concurrente </w:t>
      </w:r>
      <w:r w:rsidRPr="00C24C47">
        <w:rPr>
          <w:i/>
          <w:lang w:val="es-ES"/>
        </w:rPr>
        <w:t xml:space="preserve">Caso González </w:t>
      </w:r>
      <w:proofErr w:type="spellStart"/>
      <w:r w:rsidRPr="00C24C47">
        <w:rPr>
          <w:i/>
          <w:lang w:val="es-ES"/>
        </w:rPr>
        <w:t>Lluy</w:t>
      </w:r>
      <w:proofErr w:type="spellEnd"/>
      <w:r w:rsidRPr="00C24C47">
        <w:rPr>
          <w:i/>
          <w:lang w:val="es-ES"/>
        </w:rPr>
        <w:t xml:space="preserve"> y otros Vs. Ecuador</w:t>
      </w:r>
      <w:r w:rsidRPr="00817659">
        <w:rPr>
          <w:lang w:val="es-ES"/>
        </w:rPr>
        <w:t xml:space="preserve">, </w:t>
      </w:r>
      <w:proofErr w:type="spellStart"/>
      <w:r w:rsidRPr="00817659">
        <w:rPr>
          <w:lang w:val="es-ES"/>
        </w:rPr>
        <w:t>párrs</w:t>
      </w:r>
      <w:proofErr w:type="spellEnd"/>
      <w:r w:rsidRPr="00817659">
        <w:rPr>
          <w:lang w:val="es-ES"/>
        </w:rPr>
        <w:t>. 23 a 28.</w:t>
      </w:r>
    </w:p>
  </w:footnote>
  <w:footnote w:id="457">
    <w:p w14:paraId="067971E7" w14:textId="77777777" w:rsidR="00D86616" w:rsidRPr="00817659" w:rsidRDefault="00D86616" w:rsidP="00C44F79">
      <w:pPr>
        <w:pStyle w:val="FootnoteText"/>
        <w:rPr>
          <w:lang w:val="es-CR"/>
        </w:rPr>
      </w:pPr>
      <w:r w:rsidRPr="00817659">
        <w:rPr>
          <w:rStyle w:val="FootnoteReference"/>
          <w:sz w:val="16"/>
        </w:rPr>
        <w:footnoteRef/>
      </w:r>
      <w:r w:rsidRPr="000D35BC">
        <w:rPr>
          <w:lang w:val="es-CR"/>
        </w:rPr>
        <w:t xml:space="preserve"> </w:t>
      </w:r>
      <w:r w:rsidRPr="00817659">
        <w:rPr>
          <w:lang w:val="es-CR"/>
        </w:rPr>
        <w:t xml:space="preserve">En el mismo sentido, ver: </w:t>
      </w:r>
      <w:r w:rsidRPr="00C24C47">
        <w:rPr>
          <w:bCs/>
          <w:i/>
          <w:lang w:val="es-CR"/>
        </w:rPr>
        <w:t xml:space="preserve">Caso González y otras (“Campo Algodonero”) Vs. México. </w:t>
      </w:r>
      <w:r w:rsidRPr="00C24C47">
        <w:rPr>
          <w:i/>
          <w:lang w:val="es-CR"/>
        </w:rPr>
        <w:t>Excepción Preliminar, Fondo, Reparaciones y Costas</w:t>
      </w:r>
      <w:r w:rsidRPr="00817659">
        <w:rPr>
          <w:lang w:val="es-CR"/>
        </w:rPr>
        <w:t>. Sentencia de 16 de noviembre de 2009. Serie C No. 205, párr. 78.</w:t>
      </w:r>
    </w:p>
  </w:footnote>
  <w:footnote w:id="458">
    <w:p w14:paraId="7C1362A9" w14:textId="77777777" w:rsidR="00D86616" w:rsidRPr="00817659" w:rsidRDefault="00D86616" w:rsidP="00C44F79">
      <w:pPr>
        <w:jc w:val="both"/>
        <w:rPr>
          <w:rFonts w:ascii="Verdana" w:eastAsia="Times New Roman" w:hAnsi="Verdana"/>
          <w:sz w:val="16"/>
          <w:szCs w:val="16"/>
          <w:lang w:eastAsia="es-ES_tradnl"/>
        </w:rPr>
      </w:pPr>
      <w:r w:rsidRPr="00817659">
        <w:rPr>
          <w:rStyle w:val="FootnoteReference"/>
          <w:sz w:val="16"/>
          <w:szCs w:val="16"/>
        </w:rPr>
        <w:footnoteRef/>
      </w:r>
      <w:r w:rsidRPr="00817659">
        <w:rPr>
          <w:rFonts w:ascii="Verdana" w:hAnsi="Verdana"/>
          <w:sz w:val="16"/>
          <w:szCs w:val="16"/>
        </w:rPr>
        <w:t xml:space="preserve"> </w:t>
      </w:r>
      <w:r w:rsidRPr="00C24C47">
        <w:rPr>
          <w:rFonts w:ascii="Verdana" w:eastAsia="Times New Roman" w:hAnsi="Verdana"/>
          <w:i/>
          <w:sz w:val="16"/>
          <w:szCs w:val="16"/>
          <w:lang w:eastAsia="es-ES_tradnl"/>
        </w:rPr>
        <w:t>Caso Velásquez Rodríguez vs. Honduras</w:t>
      </w:r>
      <w:r w:rsidRPr="00817659">
        <w:rPr>
          <w:rFonts w:ascii="Verdana" w:eastAsia="Times New Roman" w:hAnsi="Verdana"/>
          <w:sz w:val="16"/>
          <w:szCs w:val="16"/>
          <w:lang w:eastAsia="es-ES_tradnl"/>
        </w:rPr>
        <w:t xml:space="preserve">, Sentencia de 29 de julio de 1988 (Fondo), Serie C No. 4, </w:t>
      </w:r>
      <w:proofErr w:type="spellStart"/>
      <w:r w:rsidRPr="00817659">
        <w:rPr>
          <w:rFonts w:ascii="Verdana" w:eastAsia="Times New Roman" w:hAnsi="Verdana"/>
          <w:sz w:val="16"/>
          <w:szCs w:val="16"/>
          <w:lang w:eastAsia="es-ES_tradnl"/>
        </w:rPr>
        <w:t>párrs</w:t>
      </w:r>
      <w:proofErr w:type="spellEnd"/>
      <w:r w:rsidRPr="00817659">
        <w:rPr>
          <w:rFonts w:ascii="Verdana" w:eastAsia="Times New Roman" w:hAnsi="Verdana"/>
          <w:sz w:val="16"/>
          <w:szCs w:val="16"/>
          <w:lang w:eastAsia="es-ES_tradnl"/>
        </w:rPr>
        <w:t>. 163 a 166.</w:t>
      </w:r>
    </w:p>
  </w:footnote>
  <w:footnote w:id="459">
    <w:p w14:paraId="0EBCF2FF" w14:textId="77777777" w:rsidR="00D86616" w:rsidRPr="00817659" w:rsidRDefault="00D86616" w:rsidP="00C44F79">
      <w:pPr>
        <w:jc w:val="both"/>
        <w:rPr>
          <w:rFonts w:ascii="Verdana" w:eastAsia="Times New Roman" w:hAnsi="Verdana"/>
          <w:sz w:val="16"/>
          <w:szCs w:val="16"/>
          <w:lang w:eastAsia="es-ES_tradnl"/>
        </w:rPr>
      </w:pPr>
      <w:r w:rsidRPr="00817659">
        <w:rPr>
          <w:rStyle w:val="FootnoteReference"/>
          <w:sz w:val="16"/>
          <w:szCs w:val="16"/>
        </w:rPr>
        <w:footnoteRef/>
      </w:r>
      <w:r w:rsidRPr="00817659">
        <w:rPr>
          <w:rFonts w:ascii="Verdana" w:hAnsi="Verdana"/>
          <w:sz w:val="16"/>
          <w:szCs w:val="16"/>
        </w:rPr>
        <w:t xml:space="preserve"> </w:t>
      </w:r>
      <w:r w:rsidRPr="00C24C47">
        <w:rPr>
          <w:rFonts w:ascii="Verdana" w:eastAsia="Times New Roman" w:hAnsi="Verdana"/>
          <w:i/>
          <w:sz w:val="16"/>
          <w:szCs w:val="16"/>
          <w:lang w:eastAsia="es-ES_tradnl"/>
        </w:rPr>
        <w:t xml:space="preserve">Caso </w:t>
      </w:r>
      <w:proofErr w:type="spellStart"/>
      <w:r w:rsidRPr="00C24C47">
        <w:rPr>
          <w:rFonts w:ascii="Verdana" w:eastAsia="Times New Roman" w:hAnsi="Verdana"/>
          <w:i/>
          <w:sz w:val="16"/>
          <w:szCs w:val="16"/>
          <w:lang w:eastAsia="es-ES_tradnl"/>
        </w:rPr>
        <w:t>Hilaire</w:t>
      </w:r>
      <w:proofErr w:type="spellEnd"/>
      <w:r w:rsidRPr="00C24C47">
        <w:rPr>
          <w:rFonts w:ascii="Verdana" w:eastAsia="Times New Roman" w:hAnsi="Verdana"/>
          <w:i/>
          <w:sz w:val="16"/>
          <w:szCs w:val="16"/>
          <w:lang w:eastAsia="es-ES_tradnl"/>
        </w:rPr>
        <w:t xml:space="preserve">, </w:t>
      </w:r>
      <w:proofErr w:type="spellStart"/>
      <w:r w:rsidRPr="00C24C47">
        <w:rPr>
          <w:rFonts w:ascii="Verdana" w:eastAsia="Times New Roman" w:hAnsi="Verdana"/>
          <w:i/>
          <w:sz w:val="16"/>
          <w:szCs w:val="16"/>
          <w:lang w:eastAsia="es-ES_tradnl"/>
        </w:rPr>
        <w:t>Constantine</w:t>
      </w:r>
      <w:proofErr w:type="spellEnd"/>
      <w:r w:rsidRPr="00C24C47">
        <w:rPr>
          <w:rFonts w:ascii="Verdana" w:eastAsia="Times New Roman" w:hAnsi="Verdana"/>
          <w:i/>
          <w:sz w:val="16"/>
          <w:szCs w:val="16"/>
          <w:lang w:eastAsia="es-ES_tradnl"/>
        </w:rPr>
        <w:t xml:space="preserve"> y </w:t>
      </w:r>
      <w:proofErr w:type="spellStart"/>
      <w:r w:rsidRPr="00C24C47">
        <w:rPr>
          <w:rFonts w:ascii="Verdana" w:eastAsia="Times New Roman" w:hAnsi="Verdana"/>
          <w:i/>
          <w:sz w:val="16"/>
          <w:szCs w:val="16"/>
          <w:lang w:eastAsia="es-ES_tradnl"/>
        </w:rPr>
        <w:t>Benjamin</w:t>
      </w:r>
      <w:proofErr w:type="spellEnd"/>
      <w:r w:rsidRPr="00C24C47">
        <w:rPr>
          <w:rFonts w:ascii="Verdana" w:eastAsia="Times New Roman" w:hAnsi="Verdana"/>
          <w:i/>
          <w:sz w:val="16"/>
          <w:szCs w:val="16"/>
          <w:lang w:eastAsia="es-ES_tradnl"/>
        </w:rPr>
        <w:t xml:space="preserve"> y otros Vs. Trinidad y Tobago</w:t>
      </w:r>
      <w:r w:rsidRPr="00817659">
        <w:rPr>
          <w:rFonts w:ascii="Verdana" w:eastAsia="Times New Roman" w:hAnsi="Verdana"/>
          <w:sz w:val="16"/>
          <w:szCs w:val="16"/>
          <w:lang w:eastAsia="es-ES_tradnl"/>
        </w:rPr>
        <w:t xml:space="preserve">, Sentencia de 21 de junio de 2002, (Fondo, Reparaciones y Costas), pár. 107. </w:t>
      </w:r>
    </w:p>
  </w:footnote>
  <w:footnote w:id="460">
    <w:p w14:paraId="01C2CF05" w14:textId="77777777" w:rsidR="00D86616" w:rsidRPr="00817659" w:rsidRDefault="00D86616" w:rsidP="00C44F79">
      <w:pPr>
        <w:pStyle w:val="FootnoteText"/>
        <w:rPr>
          <w:lang w:val="es-ES"/>
        </w:rPr>
      </w:pPr>
      <w:r w:rsidRPr="00817659">
        <w:rPr>
          <w:rStyle w:val="FootnoteReference"/>
          <w:sz w:val="16"/>
        </w:rPr>
        <w:footnoteRef/>
      </w:r>
      <w:r w:rsidRPr="000D35BC">
        <w:rPr>
          <w:lang w:val="es-CR"/>
        </w:rPr>
        <w:t xml:space="preserve"> </w:t>
      </w:r>
      <w:r w:rsidRPr="00817659">
        <w:rPr>
          <w:lang w:val="es-ES"/>
        </w:rPr>
        <w:t xml:space="preserve">Sentencia </w:t>
      </w:r>
      <w:r w:rsidRPr="00C24C47">
        <w:rPr>
          <w:i/>
          <w:lang w:val="es-ES"/>
        </w:rPr>
        <w:t>Lagos del Campo Vs. Perú</w:t>
      </w:r>
      <w:r w:rsidRPr="00817659">
        <w:rPr>
          <w:lang w:val="es-ES"/>
        </w:rPr>
        <w:t xml:space="preserve">, </w:t>
      </w:r>
      <w:proofErr w:type="spellStart"/>
      <w:r w:rsidRPr="00817659">
        <w:rPr>
          <w:lang w:val="es-ES"/>
        </w:rPr>
        <w:t>párrs</w:t>
      </w:r>
      <w:proofErr w:type="spellEnd"/>
      <w:r w:rsidRPr="00817659">
        <w:rPr>
          <w:lang w:val="es-ES"/>
        </w:rPr>
        <w:t>. 133 a 139.</w:t>
      </w:r>
    </w:p>
  </w:footnote>
  <w:footnote w:id="461">
    <w:p w14:paraId="298CB701" w14:textId="77777777" w:rsidR="00D86616" w:rsidRPr="00817659" w:rsidRDefault="00D86616" w:rsidP="00C44F79">
      <w:pPr>
        <w:pStyle w:val="FootnoteText"/>
        <w:rPr>
          <w:lang w:val="es-ES"/>
        </w:rPr>
      </w:pPr>
      <w:r w:rsidRPr="00064313">
        <w:rPr>
          <w:rStyle w:val="FootnoteReference"/>
          <w:sz w:val="16"/>
        </w:rPr>
        <w:footnoteRef/>
      </w:r>
      <w:r w:rsidRPr="000D35BC">
        <w:rPr>
          <w:lang w:val="es-CR"/>
        </w:rPr>
        <w:t xml:space="preserve"> </w:t>
      </w:r>
      <w:r w:rsidRPr="00064313">
        <w:rPr>
          <w:lang w:val="es-ES"/>
        </w:rPr>
        <w:t>Cabe recalcar que se dice que el Estado peruano conocía los hechos, pero al leer la nota al pie No. 1</w:t>
      </w:r>
      <w:r w:rsidRPr="00C24C47">
        <w:rPr>
          <w:lang w:val="es-ES"/>
        </w:rPr>
        <w:t>83</w:t>
      </w:r>
      <w:r w:rsidRPr="00064313">
        <w:rPr>
          <w:lang w:val="es-ES"/>
        </w:rPr>
        <w:t xml:space="preserve"> que remite a esa afirmación, se lee una cita que hace referencia a un alegato a un derecho al trabajo, no a un hecho en concreto.</w:t>
      </w:r>
    </w:p>
  </w:footnote>
  <w:footnote w:id="462">
    <w:p w14:paraId="16556015" w14:textId="77777777" w:rsidR="00D86616" w:rsidRPr="00817659" w:rsidRDefault="00D86616" w:rsidP="00C44F79">
      <w:pPr>
        <w:pStyle w:val="FootnoteText"/>
        <w:rPr>
          <w:lang w:val="es-ES"/>
        </w:rPr>
      </w:pPr>
      <w:r w:rsidRPr="00817659">
        <w:rPr>
          <w:rStyle w:val="FootnoteReference"/>
          <w:sz w:val="16"/>
        </w:rPr>
        <w:footnoteRef/>
      </w:r>
      <w:r w:rsidRPr="000D35BC">
        <w:rPr>
          <w:lang w:val="es-CR"/>
        </w:rPr>
        <w:t xml:space="preserve"> </w:t>
      </w:r>
      <w:r w:rsidRPr="00817659">
        <w:rPr>
          <w:lang w:val="es-ES"/>
        </w:rPr>
        <w:t xml:space="preserve">Sentencia </w:t>
      </w:r>
      <w:r w:rsidRPr="00C24C47">
        <w:rPr>
          <w:i/>
          <w:lang w:val="es-ES"/>
        </w:rPr>
        <w:t>Lagos del Campo Vs. Perú</w:t>
      </w:r>
      <w:r w:rsidRPr="00817659">
        <w:rPr>
          <w:lang w:val="es-ES"/>
        </w:rPr>
        <w:t>, párr. 137.</w:t>
      </w:r>
    </w:p>
  </w:footnote>
  <w:footnote w:id="463">
    <w:p w14:paraId="6453D161" w14:textId="77777777" w:rsidR="00D86616" w:rsidRPr="00061E9C" w:rsidRDefault="00D86616" w:rsidP="00C44F79">
      <w:pPr>
        <w:jc w:val="both"/>
        <w:rPr>
          <w:rFonts w:ascii="Verdana" w:hAnsi="Verdana"/>
          <w:b/>
          <w:sz w:val="16"/>
          <w:szCs w:val="16"/>
        </w:rPr>
      </w:pPr>
      <w:r w:rsidRPr="00817659">
        <w:rPr>
          <w:rStyle w:val="FootnoteReference"/>
          <w:sz w:val="16"/>
          <w:szCs w:val="16"/>
        </w:rPr>
        <w:footnoteRef/>
      </w:r>
      <w:r w:rsidRPr="00817659">
        <w:rPr>
          <w:rFonts w:ascii="Verdana" w:hAnsi="Verdana"/>
          <w:sz w:val="16"/>
          <w:szCs w:val="16"/>
        </w:rPr>
        <w:t xml:space="preserve"> En efecto, la razón por la cual la Sentencia decide que no hay violación es que “teniendo en cuenta que lo que está bajo análisis no es alguna providencia adoptada por el Estado que haya impedido el desarrollo progresivo del derecho a una pensión, sino más bien el incumplimiento estatal del pago ordenado por sus órganos judiciales, el Tribunal </w:t>
      </w:r>
      <w:r w:rsidRPr="00061E9C">
        <w:rPr>
          <w:rFonts w:ascii="Verdana" w:hAnsi="Verdana"/>
          <w:sz w:val="16"/>
          <w:szCs w:val="16"/>
        </w:rPr>
        <w:t xml:space="preserve">considera que los derechos afectados son aquellos protegidos en los artículos 25 y 21 de la Convención y no encuentra motivo para declarar adicionalmente el incumplimiento del artículo 26 de dicho instrumento”. </w:t>
      </w:r>
      <w:r w:rsidRPr="00061E9C">
        <w:rPr>
          <w:rStyle w:val="Strong"/>
          <w:rFonts w:ascii="Verdana" w:hAnsi="Verdana"/>
          <w:b w:val="0"/>
          <w:i/>
          <w:sz w:val="16"/>
          <w:szCs w:val="16"/>
          <w:shd w:val="clear" w:color="auto" w:fill="FFFFFF"/>
        </w:rPr>
        <w:t>Caso Acevedo Buendía y otros (“Cesantes y Jubilados de la Contraloría”) Vs. Perú</w:t>
      </w:r>
      <w:r w:rsidRPr="00061E9C">
        <w:rPr>
          <w:rStyle w:val="Strong"/>
          <w:rFonts w:ascii="Verdana" w:hAnsi="Verdana"/>
          <w:b w:val="0"/>
          <w:sz w:val="16"/>
          <w:szCs w:val="16"/>
          <w:shd w:val="clear" w:color="auto" w:fill="FFFFFF"/>
        </w:rPr>
        <w:t>, párr. 106.</w:t>
      </w:r>
    </w:p>
  </w:footnote>
  <w:footnote w:id="464">
    <w:p w14:paraId="7E946893" w14:textId="77777777" w:rsidR="00D86616" w:rsidRPr="00061E9C" w:rsidRDefault="00D86616" w:rsidP="00C44F79">
      <w:pPr>
        <w:pStyle w:val="NormalWeb"/>
        <w:shd w:val="clear" w:color="auto" w:fill="FFFFFF"/>
        <w:tabs>
          <w:tab w:val="left" w:pos="567"/>
        </w:tabs>
        <w:spacing w:before="0" w:beforeAutospacing="0" w:after="0" w:afterAutospacing="0"/>
        <w:jc w:val="both"/>
        <w:rPr>
          <w:rFonts w:ascii="Verdana" w:hAnsi="Verdana" w:cs="Tahoma"/>
          <w:sz w:val="16"/>
          <w:szCs w:val="16"/>
        </w:rPr>
      </w:pPr>
      <w:r w:rsidRPr="00061E9C">
        <w:rPr>
          <w:rStyle w:val="FootnoteReference"/>
          <w:rFonts w:eastAsiaTheme="majorEastAsia"/>
          <w:sz w:val="16"/>
          <w:szCs w:val="16"/>
        </w:rPr>
        <w:footnoteRef/>
      </w:r>
      <w:r w:rsidRPr="00061E9C">
        <w:rPr>
          <w:rFonts w:ascii="Verdana" w:hAnsi="Verdana"/>
          <w:sz w:val="16"/>
          <w:szCs w:val="16"/>
        </w:rPr>
        <w:t xml:space="preserve"> </w:t>
      </w:r>
      <w:r w:rsidRPr="00061E9C">
        <w:rPr>
          <w:rFonts w:ascii="Verdana" w:eastAsia="Calibri" w:hAnsi="Verdana"/>
          <w:i/>
          <w:sz w:val="16"/>
          <w:szCs w:val="16"/>
        </w:rPr>
        <w:t xml:space="preserve">Cfr. </w:t>
      </w:r>
      <w:r w:rsidRPr="00061E9C">
        <w:rPr>
          <w:rFonts w:ascii="Verdana" w:hAnsi="Verdana"/>
          <w:sz w:val="16"/>
          <w:szCs w:val="16"/>
        </w:rPr>
        <w:t xml:space="preserve">Opinión Consultiva OC-16/99, párr. 114; </w:t>
      </w:r>
      <w:r w:rsidRPr="00061E9C">
        <w:rPr>
          <w:rStyle w:val="Strong"/>
          <w:rFonts w:ascii="Verdana" w:eastAsiaTheme="majorEastAsia" w:hAnsi="Verdana"/>
          <w:b w:val="0"/>
          <w:i/>
          <w:sz w:val="16"/>
          <w:szCs w:val="16"/>
          <w:shd w:val="clear" w:color="auto" w:fill="FFFFFF"/>
        </w:rPr>
        <w:t xml:space="preserve">Caso </w:t>
      </w:r>
      <w:proofErr w:type="spellStart"/>
      <w:r w:rsidRPr="00061E9C">
        <w:rPr>
          <w:rStyle w:val="Strong"/>
          <w:rFonts w:ascii="Verdana" w:eastAsiaTheme="majorEastAsia" w:hAnsi="Verdana"/>
          <w:b w:val="0"/>
          <w:i/>
          <w:sz w:val="16"/>
          <w:szCs w:val="16"/>
          <w:shd w:val="clear" w:color="auto" w:fill="FFFFFF"/>
        </w:rPr>
        <w:t>Atala</w:t>
      </w:r>
      <w:proofErr w:type="spellEnd"/>
      <w:r w:rsidRPr="00061E9C">
        <w:rPr>
          <w:rStyle w:val="Strong"/>
          <w:rFonts w:ascii="Verdana" w:eastAsiaTheme="majorEastAsia" w:hAnsi="Verdana"/>
          <w:b w:val="0"/>
          <w:i/>
          <w:sz w:val="16"/>
          <w:szCs w:val="16"/>
          <w:shd w:val="clear" w:color="auto" w:fill="FFFFFF"/>
        </w:rPr>
        <w:t xml:space="preserve"> </w:t>
      </w:r>
      <w:proofErr w:type="spellStart"/>
      <w:r w:rsidRPr="00061E9C">
        <w:rPr>
          <w:rStyle w:val="Strong"/>
          <w:rFonts w:ascii="Verdana" w:eastAsiaTheme="majorEastAsia" w:hAnsi="Verdana"/>
          <w:b w:val="0"/>
          <w:i/>
          <w:sz w:val="16"/>
          <w:szCs w:val="16"/>
          <w:shd w:val="clear" w:color="auto" w:fill="FFFFFF"/>
        </w:rPr>
        <w:t>Riffo</w:t>
      </w:r>
      <w:proofErr w:type="spellEnd"/>
      <w:r w:rsidRPr="00061E9C">
        <w:rPr>
          <w:rStyle w:val="Strong"/>
          <w:rFonts w:ascii="Verdana" w:eastAsiaTheme="majorEastAsia" w:hAnsi="Verdana"/>
          <w:b w:val="0"/>
          <w:i/>
          <w:sz w:val="16"/>
          <w:szCs w:val="16"/>
          <w:shd w:val="clear" w:color="auto" w:fill="FFFFFF"/>
        </w:rPr>
        <w:t xml:space="preserve"> y Niñas Vs. Chile. Fondo, Reparaciones y Costas</w:t>
      </w:r>
      <w:r w:rsidRPr="00061E9C">
        <w:rPr>
          <w:rStyle w:val="Strong"/>
          <w:rFonts w:ascii="Verdana" w:eastAsiaTheme="majorEastAsia" w:hAnsi="Verdana"/>
          <w:b w:val="0"/>
          <w:sz w:val="16"/>
          <w:szCs w:val="16"/>
          <w:shd w:val="clear" w:color="auto" w:fill="FFFFFF"/>
        </w:rPr>
        <w:t xml:space="preserve">. Sentencia del 24 de febrero de 2012. Serie C No. 239, párr. 83; </w:t>
      </w:r>
      <w:r w:rsidRPr="00061E9C">
        <w:rPr>
          <w:rStyle w:val="Strong"/>
          <w:rFonts w:ascii="Verdana" w:eastAsiaTheme="majorEastAsia" w:hAnsi="Verdana"/>
          <w:b w:val="0"/>
          <w:i/>
          <w:sz w:val="16"/>
          <w:szCs w:val="16"/>
          <w:shd w:val="clear" w:color="auto" w:fill="FFFFFF"/>
        </w:rPr>
        <w:t xml:space="preserve">Caso </w:t>
      </w:r>
      <w:proofErr w:type="spellStart"/>
      <w:r w:rsidRPr="00061E9C">
        <w:rPr>
          <w:rStyle w:val="Strong"/>
          <w:rFonts w:ascii="Verdana" w:eastAsiaTheme="majorEastAsia" w:hAnsi="Verdana"/>
          <w:b w:val="0"/>
          <w:i/>
          <w:sz w:val="16"/>
          <w:szCs w:val="16"/>
          <w:shd w:val="clear" w:color="auto" w:fill="FFFFFF"/>
        </w:rPr>
        <w:t>Artavia</w:t>
      </w:r>
      <w:proofErr w:type="spellEnd"/>
      <w:r w:rsidRPr="00061E9C">
        <w:rPr>
          <w:rStyle w:val="Strong"/>
          <w:rFonts w:ascii="Verdana" w:eastAsiaTheme="majorEastAsia" w:hAnsi="Verdana"/>
          <w:b w:val="0"/>
          <w:i/>
          <w:sz w:val="16"/>
          <w:szCs w:val="16"/>
          <w:shd w:val="clear" w:color="auto" w:fill="FFFFFF"/>
        </w:rPr>
        <w:t xml:space="preserve"> Murillo y otros (Fecundación in vitro) Vs. Costa Rica</w:t>
      </w:r>
      <w:r w:rsidRPr="00061E9C">
        <w:rPr>
          <w:rStyle w:val="Strong"/>
          <w:rFonts w:ascii="Verdana" w:eastAsiaTheme="majorEastAsia" w:hAnsi="Verdana"/>
          <w:b w:val="0"/>
          <w:sz w:val="16"/>
          <w:szCs w:val="16"/>
          <w:shd w:val="clear" w:color="auto" w:fill="FFFFFF"/>
        </w:rPr>
        <w:t>, párr. 245,</w:t>
      </w:r>
      <w:r w:rsidRPr="00061E9C">
        <w:rPr>
          <w:rFonts w:ascii="Verdana" w:hAnsi="Verdana"/>
          <w:b/>
          <w:sz w:val="16"/>
          <w:szCs w:val="16"/>
        </w:rPr>
        <w:t xml:space="preserve"> </w:t>
      </w:r>
      <w:r w:rsidRPr="00061E9C">
        <w:rPr>
          <w:rFonts w:ascii="Verdana" w:hAnsi="Verdana"/>
          <w:sz w:val="16"/>
          <w:szCs w:val="16"/>
        </w:rPr>
        <w:t>y</w:t>
      </w:r>
      <w:r w:rsidRPr="00061E9C">
        <w:rPr>
          <w:rFonts w:ascii="Verdana" w:hAnsi="Verdana"/>
          <w:b/>
          <w:sz w:val="16"/>
          <w:szCs w:val="16"/>
        </w:rPr>
        <w:t xml:space="preserve"> </w:t>
      </w:r>
      <w:r w:rsidRPr="00061E9C">
        <w:rPr>
          <w:rStyle w:val="Strong"/>
          <w:rFonts w:ascii="Verdana" w:eastAsiaTheme="majorEastAsia" w:hAnsi="Verdana"/>
          <w:b w:val="0"/>
          <w:sz w:val="16"/>
          <w:szCs w:val="16"/>
          <w:shd w:val="clear" w:color="auto" w:fill="FFFFFF"/>
        </w:rPr>
        <w:t>Opinión Consultiva OC-21/14, párr. 55</w:t>
      </w:r>
      <w:r w:rsidRPr="00061E9C">
        <w:rPr>
          <w:rFonts w:ascii="Verdana" w:hAnsi="Verdana"/>
          <w:b/>
          <w:sz w:val="16"/>
          <w:szCs w:val="16"/>
        </w:rPr>
        <w:t>.</w:t>
      </w:r>
      <w:r w:rsidRPr="00061E9C">
        <w:rPr>
          <w:rFonts w:ascii="Verdana" w:hAnsi="Verdana"/>
          <w:sz w:val="16"/>
          <w:szCs w:val="16"/>
        </w:rPr>
        <w:t xml:space="preserve"> En similar sentido, el Preámbulo de la Declaración Americana de los Derechos y Deberes del Hombre indica: “</w:t>
      </w:r>
      <w:r w:rsidRPr="00061E9C">
        <w:rPr>
          <w:rFonts w:ascii="Verdana" w:hAnsi="Verdana" w:cs="Tahoma"/>
          <w:sz w:val="16"/>
          <w:szCs w:val="16"/>
        </w:rPr>
        <w:t>[q]</w:t>
      </w:r>
      <w:proofErr w:type="spellStart"/>
      <w:r w:rsidRPr="00061E9C">
        <w:rPr>
          <w:rFonts w:ascii="Verdana" w:hAnsi="Verdana" w:cs="Tahoma"/>
          <w:sz w:val="16"/>
          <w:szCs w:val="16"/>
        </w:rPr>
        <w:t>ue</w:t>
      </w:r>
      <w:proofErr w:type="spellEnd"/>
      <w:r w:rsidRPr="00061E9C">
        <w:rPr>
          <w:rFonts w:ascii="Verdana" w:hAnsi="Verdana" w:cs="Tahoma"/>
          <w:sz w:val="16"/>
          <w:szCs w:val="16"/>
        </w:rPr>
        <w:t xml:space="preserve"> la protección internacional de los derechos del hombre debe ser guía principalísima del derecho americano en evolución</w:t>
      </w:r>
      <w:r w:rsidRPr="00061E9C">
        <w:rPr>
          <w:rFonts w:ascii="Verdana" w:hAnsi="Verdana"/>
          <w:sz w:val="16"/>
          <w:szCs w:val="16"/>
        </w:rPr>
        <w:t>”.</w:t>
      </w:r>
    </w:p>
  </w:footnote>
  <w:footnote w:id="465">
    <w:p w14:paraId="1E7CD6A6" w14:textId="77777777" w:rsidR="00D86616" w:rsidRPr="00061E9C" w:rsidRDefault="00D86616" w:rsidP="00C44F79">
      <w:pPr>
        <w:tabs>
          <w:tab w:val="left" w:pos="567"/>
        </w:tabs>
        <w:jc w:val="both"/>
        <w:rPr>
          <w:rFonts w:ascii="Verdana" w:hAnsi="Verdana"/>
          <w:sz w:val="16"/>
          <w:szCs w:val="16"/>
          <w:lang w:val="es-CR"/>
        </w:rPr>
      </w:pPr>
      <w:r w:rsidRPr="00061E9C">
        <w:rPr>
          <w:rStyle w:val="FootnoteReference"/>
          <w:sz w:val="16"/>
          <w:szCs w:val="16"/>
          <w:lang w:val="es-CR"/>
        </w:rPr>
        <w:footnoteRef/>
      </w:r>
      <w:r w:rsidRPr="00061E9C">
        <w:rPr>
          <w:rFonts w:ascii="Verdana" w:hAnsi="Verdana"/>
          <w:sz w:val="16"/>
          <w:szCs w:val="16"/>
          <w:lang w:val="es-CR"/>
        </w:rPr>
        <w:t xml:space="preserve"> </w:t>
      </w:r>
      <w:r w:rsidRPr="00061E9C">
        <w:rPr>
          <w:rFonts w:ascii="Verdana" w:hAnsi="Verdana"/>
          <w:i/>
          <w:sz w:val="16"/>
          <w:szCs w:val="16"/>
          <w:lang w:val="es-CR"/>
        </w:rPr>
        <w:t xml:space="preserve">Cfr. </w:t>
      </w:r>
      <w:r w:rsidRPr="00061E9C">
        <w:rPr>
          <w:rFonts w:ascii="Verdana" w:hAnsi="Verdana"/>
          <w:sz w:val="16"/>
          <w:szCs w:val="16"/>
          <w:lang w:val="es-CR"/>
        </w:rPr>
        <w:t xml:space="preserve">Opinión Consultiva OC-16/99, párr. 114, y </w:t>
      </w:r>
      <w:r w:rsidRPr="00061E9C">
        <w:rPr>
          <w:rStyle w:val="Strong"/>
          <w:rFonts w:ascii="Verdana" w:hAnsi="Verdana"/>
          <w:b w:val="0"/>
          <w:sz w:val="16"/>
          <w:szCs w:val="16"/>
          <w:shd w:val="clear" w:color="auto" w:fill="FFFFFF"/>
          <w:lang w:val="es-CR"/>
        </w:rPr>
        <w:t>Opinión Consultiva OC-21/14, párr. 55</w:t>
      </w:r>
      <w:r w:rsidRPr="00061E9C">
        <w:rPr>
          <w:rFonts w:ascii="Verdana" w:hAnsi="Verdana"/>
          <w:sz w:val="16"/>
          <w:szCs w:val="16"/>
          <w:lang w:val="es-CR"/>
        </w:rPr>
        <w:t>.</w:t>
      </w:r>
    </w:p>
  </w:footnote>
  <w:footnote w:id="466">
    <w:p w14:paraId="364372E6" w14:textId="77777777" w:rsidR="00D86616" w:rsidRPr="00817659" w:rsidRDefault="00D86616" w:rsidP="00C44F79">
      <w:pPr>
        <w:pStyle w:val="FootnoteText"/>
        <w:rPr>
          <w:lang w:val="es-ES"/>
        </w:rPr>
      </w:pPr>
      <w:r w:rsidRPr="00061E9C">
        <w:rPr>
          <w:rStyle w:val="FootnoteReference"/>
          <w:sz w:val="16"/>
        </w:rPr>
        <w:footnoteRef/>
      </w:r>
      <w:r w:rsidRPr="00061E9C">
        <w:rPr>
          <w:lang w:val="es-CR"/>
        </w:rPr>
        <w:t xml:space="preserve"> </w:t>
      </w:r>
      <w:r w:rsidRPr="00061E9C">
        <w:rPr>
          <w:lang w:val="es-ES"/>
        </w:rPr>
        <w:t xml:space="preserve">Al respecto, la mutación constitucional hace referencia a “la transformación o modificación de un principio o precepto constitucional”. Humberto Sierra Porto, </w:t>
      </w:r>
      <w:r w:rsidRPr="00061E9C">
        <w:rPr>
          <w:i/>
          <w:lang w:val="es-ES"/>
        </w:rPr>
        <w:t>La reforma de la Constitución</w:t>
      </w:r>
      <w:r w:rsidRPr="00061E9C">
        <w:rPr>
          <w:lang w:val="es-ES"/>
        </w:rPr>
        <w:t>, Bogotá, Instituto de Estudios Constitucionales Carlos Restrepo Piedrahita, 1998, p.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0576" w14:textId="5DA095AC" w:rsidR="00D86616" w:rsidRPr="00333304" w:rsidRDefault="00D86616" w:rsidP="00E00EA8">
    <w:pPr>
      <w:pStyle w:val="Header"/>
      <w:tabs>
        <w:tab w:val="clear" w:pos="8838"/>
        <w:tab w:val="right" w:pos="9639"/>
      </w:tabs>
      <w:jc w:val="center"/>
      <w:rPr>
        <w:rFonts w:ascii="Verdana" w:hAnsi="Verdana"/>
        <w:sz w:val="20"/>
        <w:szCs w:val="20"/>
      </w:rPr>
    </w:pPr>
    <w:sdt>
      <w:sdtPr>
        <w:id w:val="1234125594"/>
        <w:docPartObj>
          <w:docPartGallery w:val="Page Numbers (Top of Page)"/>
          <w:docPartUnique/>
        </w:docPartObj>
      </w:sdtPr>
      <w:sdtEndPr>
        <w:rPr>
          <w:noProof/>
          <w:sz w:val="20"/>
          <w:szCs w:val="20"/>
        </w:rPr>
      </w:sdtEndPr>
      <w:sdtContent>
        <w:r w:rsidRPr="00E00EA8">
          <w:rPr>
            <w:rFonts w:ascii="Verdana" w:hAnsi="Verdana"/>
            <w:sz w:val="20"/>
            <w:szCs w:val="20"/>
          </w:rPr>
          <w:fldChar w:fldCharType="begin"/>
        </w:r>
        <w:r w:rsidRPr="00E00EA8">
          <w:rPr>
            <w:rFonts w:ascii="Verdana" w:hAnsi="Verdana"/>
            <w:sz w:val="20"/>
            <w:szCs w:val="20"/>
          </w:rPr>
          <w:instrText xml:space="preserve"> PAGE   \* MERGEFORMAT </w:instrText>
        </w:r>
        <w:r w:rsidRPr="00E00EA8">
          <w:rPr>
            <w:rFonts w:ascii="Verdana" w:hAnsi="Verdana"/>
            <w:sz w:val="20"/>
            <w:szCs w:val="20"/>
          </w:rPr>
          <w:fldChar w:fldCharType="separate"/>
        </w:r>
        <w:r w:rsidR="009378BF">
          <w:rPr>
            <w:rFonts w:ascii="Verdana" w:hAnsi="Verdana"/>
            <w:noProof/>
            <w:sz w:val="20"/>
            <w:szCs w:val="20"/>
          </w:rPr>
          <w:t>18</w:t>
        </w:r>
        <w:r w:rsidRPr="00E00EA8">
          <w:rPr>
            <w:rFonts w:ascii="Verdana" w:hAnsi="Verdana"/>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20"/>
    <w:lvl w:ilvl="0">
      <w:start w:val="1"/>
      <w:numFmt w:val="decimal"/>
      <w:pStyle w:val="Estilo4"/>
      <w:lvlText w:val="%1."/>
      <w:lvlJc w:val="left"/>
      <w:pPr>
        <w:tabs>
          <w:tab w:val="num" w:pos="0"/>
        </w:tabs>
        <w:ind w:left="720" w:hanging="360"/>
      </w:pPr>
      <w:rPr>
        <w:rFonts w:ascii="Verdana" w:eastAsia="Calibri" w:hAnsi="Verdana" w:cs="Times New Roman"/>
        <w:b w:val="0"/>
        <w:i w:val="0"/>
        <w:strike w:val="0"/>
        <w:dstrike w:val="0"/>
        <w:color w:val="auto"/>
        <w:sz w:val="20"/>
        <w:szCs w:val="20"/>
      </w:rPr>
    </w:lvl>
    <w:lvl w:ilvl="1">
      <w:start w:val="1"/>
      <w:numFmt w:val="lowerLetter"/>
      <w:lvlText w:val="%2)"/>
      <w:lvlJc w:val="left"/>
      <w:pPr>
        <w:tabs>
          <w:tab w:val="num" w:pos="0"/>
        </w:tabs>
        <w:ind w:left="1440" w:hanging="360"/>
      </w:pPr>
      <w:rPr>
        <w:rFonts w:ascii="Verdana" w:hAnsi="Verdana" w:cs="Times New Roman"/>
        <w:b w:val="0"/>
        <w:i/>
        <w:caps w:val="0"/>
        <w:smallCaps w:val="0"/>
        <w:strike w:val="0"/>
        <w:dstrike w:val="0"/>
        <w:vanish w:val="0"/>
        <w:color w:val="auto"/>
        <w:position w:val="0"/>
        <w:sz w:val="20"/>
        <w:vertAlign w:val="baseli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13171C0"/>
    <w:multiLevelType w:val="hybridMultilevel"/>
    <w:tmpl w:val="F84E5BE0"/>
    <w:lvl w:ilvl="0" w:tplc="2B826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E40BC"/>
    <w:multiLevelType w:val="hybridMultilevel"/>
    <w:tmpl w:val="0366D748"/>
    <w:lvl w:ilvl="0" w:tplc="B906C7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E68B8"/>
    <w:multiLevelType w:val="hybridMultilevel"/>
    <w:tmpl w:val="7544287C"/>
    <w:lvl w:ilvl="0" w:tplc="43EAE734">
      <w:start w:val="1"/>
      <w:numFmt w:val="lowerRoman"/>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4">
    <w:nsid w:val="074E7427"/>
    <w:multiLevelType w:val="hybridMultilevel"/>
    <w:tmpl w:val="6A4C77B4"/>
    <w:lvl w:ilvl="0" w:tplc="B4E8DDE4">
      <w:start w:val="1"/>
      <w:numFmt w:val="upperRoman"/>
      <w:pStyle w:val="Style1"/>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79F1E49"/>
    <w:multiLevelType w:val="hybridMultilevel"/>
    <w:tmpl w:val="D62255A8"/>
    <w:lvl w:ilvl="0" w:tplc="790E8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B7E24"/>
    <w:multiLevelType w:val="hybridMultilevel"/>
    <w:tmpl w:val="81AE5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F788A"/>
    <w:multiLevelType w:val="hybridMultilevel"/>
    <w:tmpl w:val="553C3BD6"/>
    <w:lvl w:ilvl="0" w:tplc="D204976E">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061086E"/>
    <w:multiLevelType w:val="hybridMultilevel"/>
    <w:tmpl w:val="3704E16C"/>
    <w:lvl w:ilvl="0" w:tplc="F0A69672">
      <w:start w:val="1"/>
      <w:numFmt w:val="decimal"/>
      <w:pStyle w:val="Estilo1"/>
      <w:lvlText w:val="%1."/>
      <w:lvlJc w:val="left"/>
      <w:pPr>
        <w:ind w:left="720" w:hanging="360"/>
      </w:pPr>
      <w:rPr>
        <w:rFonts w:hint="default"/>
      </w:rPr>
    </w:lvl>
    <w:lvl w:ilvl="1" w:tplc="870EC26C">
      <w:start w:val="1"/>
      <w:numFmt w:val="lowerLetter"/>
      <w:lvlText w:val="%2)"/>
      <w:lvlJc w:val="left"/>
      <w:pPr>
        <w:ind w:left="1440" w:hanging="360"/>
      </w:pPr>
      <w:rPr>
        <w:rFonts w:ascii="Times New Roman" w:hAnsi="Times New Roman" w:cs="Times New Roman" w:hint="default"/>
        <w:b w:val="0"/>
        <w:i/>
        <w:sz w:val="24"/>
        <w:szCs w:val="24"/>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10B117D1"/>
    <w:multiLevelType w:val="hybridMultilevel"/>
    <w:tmpl w:val="72B2A2B0"/>
    <w:lvl w:ilvl="0" w:tplc="CDACFC98">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36F3EA2"/>
    <w:multiLevelType w:val="hybridMultilevel"/>
    <w:tmpl w:val="D00E4D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A736248"/>
    <w:multiLevelType w:val="hybridMultilevel"/>
    <w:tmpl w:val="2132D212"/>
    <w:lvl w:ilvl="0" w:tplc="919A28B4">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29BD6209"/>
    <w:multiLevelType w:val="hybridMultilevel"/>
    <w:tmpl w:val="E6B2D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A0FDE"/>
    <w:multiLevelType w:val="multilevel"/>
    <w:tmpl w:val="AB28B5F6"/>
    <w:lvl w:ilvl="0">
      <w:start w:val="1"/>
      <w:numFmt w:val="decimal"/>
      <w:lvlText w:val="%1."/>
      <w:lvlJc w:val="left"/>
      <w:pPr>
        <w:ind w:left="720" w:hanging="360"/>
      </w:pPr>
      <w:rPr>
        <w:b/>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ECF7D97"/>
    <w:multiLevelType w:val="hybridMultilevel"/>
    <w:tmpl w:val="553C3BD6"/>
    <w:lvl w:ilvl="0" w:tplc="D204976E">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2650A12"/>
    <w:multiLevelType w:val="hybridMultilevel"/>
    <w:tmpl w:val="C6DA4C48"/>
    <w:lvl w:ilvl="0" w:tplc="E45E64BA">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34067608"/>
    <w:multiLevelType w:val="hybridMultilevel"/>
    <w:tmpl w:val="C02AA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D0245"/>
    <w:multiLevelType w:val="hybridMultilevel"/>
    <w:tmpl w:val="28FE0B5E"/>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35F10BB0"/>
    <w:multiLevelType w:val="hybridMultilevel"/>
    <w:tmpl w:val="7C148050"/>
    <w:lvl w:ilvl="0" w:tplc="2564CF7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71026D6"/>
    <w:multiLevelType w:val="hybridMultilevel"/>
    <w:tmpl w:val="B8E8458E"/>
    <w:lvl w:ilvl="0" w:tplc="361AE51A">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0">
    <w:nsid w:val="37C00C97"/>
    <w:multiLevelType w:val="hybridMultilevel"/>
    <w:tmpl w:val="BF5A83F6"/>
    <w:lvl w:ilvl="0" w:tplc="7FECE2E4">
      <w:start w:val="1"/>
      <w:numFmt w:val="lowerLetter"/>
      <w:lvlText w:val="%1)"/>
      <w:lvlJc w:val="left"/>
      <w:pPr>
        <w:ind w:left="720" w:hanging="360"/>
      </w:pPr>
      <w:rPr>
        <w:rFonts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39AB1DDC"/>
    <w:multiLevelType w:val="hybridMultilevel"/>
    <w:tmpl w:val="7544287C"/>
    <w:lvl w:ilvl="0" w:tplc="43EAE734">
      <w:start w:val="1"/>
      <w:numFmt w:val="lowerRoman"/>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2">
    <w:nsid w:val="39B34B33"/>
    <w:multiLevelType w:val="hybridMultilevel"/>
    <w:tmpl w:val="12F8F2AA"/>
    <w:lvl w:ilvl="0" w:tplc="2C5ADC88">
      <w:start w:val="1"/>
      <w:numFmt w:val="decimal"/>
      <w:lvlText w:val="%1."/>
      <w:lvlJc w:val="left"/>
      <w:pPr>
        <w:ind w:left="540" w:hanging="36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16168"/>
    <w:multiLevelType w:val="hybridMultilevel"/>
    <w:tmpl w:val="EE4EE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8FCCB44">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E78CE"/>
    <w:multiLevelType w:val="hybridMultilevel"/>
    <w:tmpl w:val="3BBA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01B1B35"/>
    <w:multiLevelType w:val="hybridMultilevel"/>
    <w:tmpl w:val="2132D212"/>
    <w:lvl w:ilvl="0" w:tplc="919A28B4">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41C2035A"/>
    <w:multiLevelType w:val="hybridMultilevel"/>
    <w:tmpl w:val="A554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3490A00"/>
    <w:multiLevelType w:val="hybridMultilevel"/>
    <w:tmpl w:val="7C148050"/>
    <w:lvl w:ilvl="0" w:tplc="2564CF7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442B6979"/>
    <w:multiLevelType w:val="multilevel"/>
    <w:tmpl w:val="AB28B5F6"/>
    <w:lvl w:ilvl="0">
      <w:start w:val="1"/>
      <w:numFmt w:val="decimal"/>
      <w:lvlText w:val="%1."/>
      <w:lvlJc w:val="left"/>
      <w:pPr>
        <w:ind w:left="720" w:hanging="360"/>
      </w:pPr>
      <w:rPr>
        <w:b/>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44A81186"/>
    <w:multiLevelType w:val="hybridMultilevel"/>
    <w:tmpl w:val="0B32DF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4A027F31"/>
    <w:multiLevelType w:val="hybridMultilevel"/>
    <w:tmpl w:val="D64CA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7B52B7"/>
    <w:multiLevelType w:val="hybridMultilevel"/>
    <w:tmpl w:val="2A3ED960"/>
    <w:lvl w:ilvl="0" w:tplc="98AA2D10">
      <w:start w:val="151"/>
      <w:numFmt w:val="decimal"/>
      <w:lvlText w:val="%1."/>
      <w:lvlJc w:val="left"/>
      <w:pPr>
        <w:ind w:left="820" w:hanging="4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EB8347C"/>
    <w:multiLevelType w:val="hybridMultilevel"/>
    <w:tmpl w:val="B092464A"/>
    <w:lvl w:ilvl="0" w:tplc="1CB6CE8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73D46"/>
    <w:multiLevelType w:val="hybridMultilevel"/>
    <w:tmpl w:val="28FE0B5E"/>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nsid w:val="53552C4B"/>
    <w:multiLevelType w:val="hybridMultilevel"/>
    <w:tmpl w:val="7EAE6B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5D5835FB"/>
    <w:multiLevelType w:val="hybridMultilevel"/>
    <w:tmpl w:val="1496466C"/>
    <w:lvl w:ilvl="0" w:tplc="43F8F9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0298B"/>
    <w:multiLevelType w:val="hybridMultilevel"/>
    <w:tmpl w:val="9A926182"/>
    <w:lvl w:ilvl="0" w:tplc="2C5ADC88">
      <w:start w:val="1"/>
      <w:numFmt w:val="decimal"/>
      <w:lvlText w:val="%1."/>
      <w:lvlJc w:val="left"/>
      <w:pPr>
        <w:ind w:left="234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64EB5A5A"/>
    <w:multiLevelType w:val="hybridMultilevel"/>
    <w:tmpl w:val="151071F4"/>
    <w:lvl w:ilvl="0" w:tplc="E5103F26">
      <w:start w:val="1"/>
      <w:numFmt w:val="lowerLetter"/>
      <w:lvlText w:val="%1)"/>
      <w:lvlJc w:val="left"/>
      <w:pPr>
        <w:ind w:left="1068" w:hanging="360"/>
      </w:pPr>
      <w:rPr>
        <w:rFonts w:hint="default"/>
        <w:i/>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9">
    <w:nsid w:val="680C6FF4"/>
    <w:multiLevelType w:val="hybridMultilevel"/>
    <w:tmpl w:val="0B32DF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685C4C48"/>
    <w:multiLevelType w:val="hybridMultilevel"/>
    <w:tmpl w:val="28FE0B5E"/>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nsid w:val="6A0342D4"/>
    <w:multiLevelType w:val="hybridMultilevel"/>
    <w:tmpl w:val="4E023912"/>
    <w:lvl w:ilvl="0" w:tplc="C6928D1E">
      <w:start w:val="1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4E66EF9"/>
    <w:multiLevelType w:val="hybridMultilevel"/>
    <w:tmpl w:val="0B60C32C"/>
    <w:lvl w:ilvl="0" w:tplc="101E9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F4FB2"/>
    <w:multiLevelType w:val="hybridMultilevel"/>
    <w:tmpl w:val="C324B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E2E5A"/>
    <w:multiLevelType w:val="hybridMultilevel"/>
    <w:tmpl w:val="735C140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7B9A2054"/>
    <w:multiLevelType w:val="hybridMultilevel"/>
    <w:tmpl w:val="C96CC97E"/>
    <w:lvl w:ilvl="0" w:tplc="5C8A9954">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6">
    <w:nsid w:val="7C2D1FE5"/>
    <w:multiLevelType w:val="hybridMultilevel"/>
    <w:tmpl w:val="8EF6EB3C"/>
    <w:lvl w:ilvl="0" w:tplc="399A4540">
      <w:start w:val="1"/>
      <w:numFmt w:val="decimal"/>
      <w:lvlText w:val="%1."/>
      <w:lvlJc w:val="left"/>
      <w:pPr>
        <w:ind w:left="360" w:hanging="360"/>
      </w:pPr>
      <w:rPr>
        <w:rFonts w:ascii="Verdana" w:hAnsi="Verdana" w:hint="default"/>
        <w:b w:val="0"/>
        <w:i w:val="0"/>
        <w:strike w:val="0"/>
        <w:color w:val="auto"/>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7"/>
  </w:num>
  <w:num w:numId="2">
    <w:abstractNumId w:val="3"/>
  </w:num>
  <w:num w:numId="3">
    <w:abstractNumId w:val="8"/>
  </w:num>
  <w:num w:numId="4">
    <w:abstractNumId w:val="38"/>
  </w:num>
  <w:num w:numId="5">
    <w:abstractNumId w:val="21"/>
  </w:num>
  <w:num w:numId="6">
    <w:abstractNumId w:val="25"/>
  </w:num>
  <w:num w:numId="7">
    <w:abstractNumId w:val="14"/>
  </w:num>
  <w:num w:numId="8">
    <w:abstractNumId w:val="11"/>
  </w:num>
  <w:num w:numId="9">
    <w:abstractNumId w:val="18"/>
  </w:num>
  <w:num w:numId="10">
    <w:abstractNumId w:val="34"/>
  </w:num>
  <w:num w:numId="11">
    <w:abstractNumId w:val="29"/>
  </w:num>
  <w:num w:numId="12">
    <w:abstractNumId w:val="17"/>
  </w:num>
  <w:num w:numId="13">
    <w:abstractNumId w:val="15"/>
  </w:num>
  <w:num w:numId="14">
    <w:abstractNumId w:val="30"/>
  </w:num>
  <w:num w:numId="15">
    <w:abstractNumId w:val="39"/>
  </w:num>
  <w:num w:numId="16">
    <w:abstractNumId w:val="46"/>
  </w:num>
  <w:num w:numId="17">
    <w:abstractNumId w:val="44"/>
  </w:num>
  <w:num w:numId="18">
    <w:abstractNumId w:val="28"/>
  </w:num>
  <w:num w:numId="19">
    <w:abstractNumId w:val="26"/>
  </w:num>
  <w:num w:numId="20">
    <w:abstractNumId w:val="7"/>
  </w:num>
  <w:num w:numId="21">
    <w:abstractNumId w:val="23"/>
  </w:num>
  <w:num w:numId="22">
    <w:abstractNumId w:val="19"/>
  </w:num>
  <w:num w:numId="23">
    <w:abstractNumId w:val="40"/>
  </w:num>
  <w:num w:numId="24">
    <w:abstractNumId w:val="13"/>
  </w:num>
  <w:num w:numId="25">
    <w:abstractNumId w:val="4"/>
  </w:num>
  <w:num w:numId="26">
    <w:abstractNumId w:val="22"/>
  </w:num>
  <w:num w:numId="27">
    <w:abstractNumId w:val="41"/>
  </w:num>
  <w:num w:numId="28">
    <w:abstractNumId w:val="9"/>
  </w:num>
  <w:num w:numId="29">
    <w:abstractNumId w:val="0"/>
  </w:num>
  <w:num w:numId="30">
    <w:abstractNumId w:val="32"/>
  </w:num>
  <w:num w:numId="31">
    <w:abstractNumId w:val="36"/>
  </w:num>
  <w:num w:numId="32">
    <w:abstractNumId w:val="1"/>
  </w:num>
  <w:num w:numId="33">
    <w:abstractNumId w:val="31"/>
  </w:num>
  <w:num w:numId="34">
    <w:abstractNumId w:val="42"/>
  </w:num>
  <w:num w:numId="35">
    <w:abstractNumId w:val="5"/>
  </w:num>
  <w:num w:numId="36">
    <w:abstractNumId w:val="27"/>
  </w:num>
  <w:num w:numId="37">
    <w:abstractNumId w:val="10"/>
  </w:num>
  <w:num w:numId="38">
    <w:abstractNumId w:val="20"/>
  </w:num>
  <w:num w:numId="39">
    <w:abstractNumId w:val="35"/>
  </w:num>
  <w:num w:numId="40">
    <w:abstractNumId w:val="2"/>
  </w:num>
  <w:num w:numId="41">
    <w:abstractNumId w:val="12"/>
  </w:num>
  <w:num w:numId="42">
    <w:abstractNumId w:val="16"/>
  </w:num>
  <w:num w:numId="43">
    <w:abstractNumId w:val="43"/>
  </w:num>
  <w:num w:numId="44">
    <w:abstractNumId w:val="6"/>
  </w:num>
  <w:num w:numId="45">
    <w:abstractNumId w:val="24"/>
  </w:num>
  <w:num w:numId="46">
    <w:abstractNumId w:val="33"/>
  </w:num>
  <w:num w:numId="47">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AE"/>
    <w:rsid w:val="000002AB"/>
    <w:rsid w:val="000019B8"/>
    <w:rsid w:val="00002299"/>
    <w:rsid w:val="000023EA"/>
    <w:rsid w:val="00003A50"/>
    <w:rsid w:val="00004054"/>
    <w:rsid w:val="00004729"/>
    <w:rsid w:val="000105DA"/>
    <w:rsid w:val="0001219F"/>
    <w:rsid w:val="00012864"/>
    <w:rsid w:val="00014D33"/>
    <w:rsid w:val="0001522B"/>
    <w:rsid w:val="00015422"/>
    <w:rsid w:val="00022E85"/>
    <w:rsid w:val="000236F0"/>
    <w:rsid w:val="00024BA4"/>
    <w:rsid w:val="00024BCE"/>
    <w:rsid w:val="00024D13"/>
    <w:rsid w:val="000259C0"/>
    <w:rsid w:val="00032301"/>
    <w:rsid w:val="00032FC5"/>
    <w:rsid w:val="00033029"/>
    <w:rsid w:val="00035F05"/>
    <w:rsid w:val="00037BE7"/>
    <w:rsid w:val="00040861"/>
    <w:rsid w:val="00046517"/>
    <w:rsid w:val="0004677C"/>
    <w:rsid w:val="0004796D"/>
    <w:rsid w:val="00050930"/>
    <w:rsid w:val="00050C63"/>
    <w:rsid w:val="00052B35"/>
    <w:rsid w:val="00052EDE"/>
    <w:rsid w:val="00052F47"/>
    <w:rsid w:val="00053B34"/>
    <w:rsid w:val="00053F73"/>
    <w:rsid w:val="00054656"/>
    <w:rsid w:val="00060845"/>
    <w:rsid w:val="00060E86"/>
    <w:rsid w:val="00061C0D"/>
    <w:rsid w:val="00061E9C"/>
    <w:rsid w:val="0006276C"/>
    <w:rsid w:val="00062C2B"/>
    <w:rsid w:val="000761D8"/>
    <w:rsid w:val="00076B91"/>
    <w:rsid w:val="000779FE"/>
    <w:rsid w:val="00077AE4"/>
    <w:rsid w:val="0008093F"/>
    <w:rsid w:val="0008108C"/>
    <w:rsid w:val="000828BB"/>
    <w:rsid w:val="0008781B"/>
    <w:rsid w:val="00087FDE"/>
    <w:rsid w:val="000909C0"/>
    <w:rsid w:val="00094281"/>
    <w:rsid w:val="00097496"/>
    <w:rsid w:val="0009769F"/>
    <w:rsid w:val="000A037E"/>
    <w:rsid w:val="000A0627"/>
    <w:rsid w:val="000A121A"/>
    <w:rsid w:val="000A123A"/>
    <w:rsid w:val="000A1CFF"/>
    <w:rsid w:val="000A4ED7"/>
    <w:rsid w:val="000A5561"/>
    <w:rsid w:val="000A6399"/>
    <w:rsid w:val="000A6A6B"/>
    <w:rsid w:val="000B0045"/>
    <w:rsid w:val="000B0E4B"/>
    <w:rsid w:val="000B2D2B"/>
    <w:rsid w:val="000B6950"/>
    <w:rsid w:val="000B6E5E"/>
    <w:rsid w:val="000B7886"/>
    <w:rsid w:val="000B79C0"/>
    <w:rsid w:val="000B7D3A"/>
    <w:rsid w:val="000C066A"/>
    <w:rsid w:val="000C1712"/>
    <w:rsid w:val="000C2193"/>
    <w:rsid w:val="000C25CD"/>
    <w:rsid w:val="000C37A8"/>
    <w:rsid w:val="000C39FB"/>
    <w:rsid w:val="000C4960"/>
    <w:rsid w:val="000C5B9B"/>
    <w:rsid w:val="000C6082"/>
    <w:rsid w:val="000D0470"/>
    <w:rsid w:val="000D2883"/>
    <w:rsid w:val="000D35BC"/>
    <w:rsid w:val="000D5308"/>
    <w:rsid w:val="000D589F"/>
    <w:rsid w:val="000D6295"/>
    <w:rsid w:val="000D64E2"/>
    <w:rsid w:val="000D66BE"/>
    <w:rsid w:val="000D6F59"/>
    <w:rsid w:val="000E07C3"/>
    <w:rsid w:val="000E13A2"/>
    <w:rsid w:val="000E3E5B"/>
    <w:rsid w:val="000E40FD"/>
    <w:rsid w:val="000E46C0"/>
    <w:rsid w:val="000E4E66"/>
    <w:rsid w:val="000E65AB"/>
    <w:rsid w:val="000E7144"/>
    <w:rsid w:val="000F07FC"/>
    <w:rsid w:val="000F0E92"/>
    <w:rsid w:val="000F1536"/>
    <w:rsid w:val="000F1CD7"/>
    <w:rsid w:val="000F2FEA"/>
    <w:rsid w:val="000F37B6"/>
    <w:rsid w:val="000F3BC0"/>
    <w:rsid w:val="000F6BE2"/>
    <w:rsid w:val="0010266E"/>
    <w:rsid w:val="00103419"/>
    <w:rsid w:val="00104B54"/>
    <w:rsid w:val="0010653B"/>
    <w:rsid w:val="00107236"/>
    <w:rsid w:val="00115071"/>
    <w:rsid w:val="001160AC"/>
    <w:rsid w:val="00116500"/>
    <w:rsid w:val="0011787C"/>
    <w:rsid w:val="00123204"/>
    <w:rsid w:val="0012321C"/>
    <w:rsid w:val="00127E65"/>
    <w:rsid w:val="00131ED1"/>
    <w:rsid w:val="001323FA"/>
    <w:rsid w:val="0013567C"/>
    <w:rsid w:val="00135F73"/>
    <w:rsid w:val="001404D3"/>
    <w:rsid w:val="00140FAD"/>
    <w:rsid w:val="001423EE"/>
    <w:rsid w:val="001433B9"/>
    <w:rsid w:val="001452AD"/>
    <w:rsid w:val="00146708"/>
    <w:rsid w:val="00146D98"/>
    <w:rsid w:val="00150F4F"/>
    <w:rsid w:val="00154B4B"/>
    <w:rsid w:val="0015750D"/>
    <w:rsid w:val="00157FEA"/>
    <w:rsid w:val="00161225"/>
    <w:rsid w:val="00164726"/>
    <w:rsid w:val="00164911"/>
    <w:rsid w:val="00166BC5"/>
    <w:rsid w:val="00167383"/>
    <w:rsid w:val="00170630"/>
    <w:rsid w:val="001712B9"/>
    <w:rsid w:val="00171480"/>
    <w:rsid w:val="00172797"/>
    <w:rsid w:val="001736DB"/>
    <w:rsid w:val="00175E75"/>
    <w:rsid w:val="0017650D"/>
    <w:rsid w:val="00180F30"/>
    <w:rsid w:val="001819F5"/>
    <w:rsid w:val="00182CDB"/>
    <w:rsid w:val="0018405A"/>
    <w:rsid w:val="00184C1D"/>
    <w:rsid w:val="00190426"/>
    <w:rsid w:val="0019166C"/>
    <w:rsid w:val="00196FD8"/>
    <w:rsid w:val="001976D7"/>
    <w:rsid w:val="00197772"/>
    <w:rsid w:val="001A071E"/>
    <w:rsid w:val="001A0F14"/>
    <w:rsid w:val="001A4CEE"/>
    <w:rsid w:val="001A63C6"/>
    <w:rsid w:val="001A7BD5"/>
    <w:rsid w:val="001B0C1A"/>
    <w:rsid w:val="001B2ECD"/>
    <w:rsid w:val="001B4407"/>
    <w:rsid w:val="001B45F8"/>
    <w:rsid w:val="001B481A"/>
    <w:rsid w:val="001B4F85"/>
    <w:rsid w:val="001B66ED"/>
    <w:rsid w:val="001C0F23"/>
    <w:rsid w:val="001C2604"/>
    <w:rsid w:val="001C2C32"/>
    <w:rsid w:val="001C4F51"/>
    <w:rsid w:val="001C532B"/>
    <w:rsid w:val="001C6F7E"/>
    <w:rsid w:val="001C75E4"/>
    <w:rsid w:val="001D4D46"/>
    <w:rsid w:val="001D51F0"/>
    <w:rsid w:val="001D7929"/>
    <w:rsid w:val="001E0683"/>
    <w:rsid w:val="001E446C"/>
    <w:rsid w:val="001E7758"/>
    <w:rsid w:val="001F25C7"/>
    <w:rsid w:val="001F3785"/>
    <w:rsid w:val="00201E36"/>
    <w:rsid w:val="00205207"/>
    <w:rsid w:val="00206FA9"/>
    <w:rsid w:val="00211B0D"/>
    <w:rsid w:val="002131CC"/>
    <w:rsid w:val="00215464"/>
    <w:rsid w:val="002177F1"/>
    <w:rsid w:val="002178D0"/>
    <w:rsid w:val="0022183E"/>
    <w:rsid w:val="00223110"/>
    <w:rsid w:val="0022356C"/>
    <w:rsid w:val="00224537"/>
    <w:rsid w:val="002275FD"/>
    <w:rsid w:val="00227C33"/>
    <w:rsid w:val="00231B6A"/>
    <w:rsid w:val="00231BC6"/>
    <w:rsid w:val="00232AA2"/>
    <w:rsid w:val="002333FA"/>
    <w:rsid w:val="00233E17"/>
    <w:rsid w:val="00234C85"/>
    <w:rsid w:val="00235744"/>
    <w:rsid w:val="0023583A"/>
    <w:rsid w:val="00237D6A"/>
    <w:rsid w:val="00240326"/>
    <w:rsid w:val="0024080C"/>
    <w:rsid w:val="00242D23"/>
    <w:rsid w:val="002462AE"/>
    <w:rsid w:val="00247DF4"/>
    <w:rsid w:val="002500C7"/>
    <w:rsid w:val="00253AC7"/>
    <w:rsid w:val="00254723"/>
    <w:rsid w:val="00260920"/>
    <w:rsid w:val="00261A99"/>
    <w:rsid w:val="002621F7"/>
    <w:rsid w:val="002628BE"/>
    <w:rsid w:val="00262F28"/>
    <w:rsid w:val="00266456"/>
    <w:rsid w:val="00266BAF"/>
    <w:rsid w:val="00274864"/>
    <w:rsid w:val="00274C5F"/>
    <w:rsid w:val="00275EDE"/>
    <w:rsid w:val="00276E3E"/>
    <w:rsid w:val="002800C9"/>
    <w:rsid w:val="00280ACD"/>
    <w:rsid w:val="00285CB6"/>
    <w:rsid w:val="00290945"/>
    <w:rsid w:val="00291A57"/>
    <w:rsid w:val="002939FC"/>
    <w:rsid w:val="002947A2"/>
    <w:rsid w:val="002960FD"/>
    <w:rsid w:val="00297DC1"/>
    <w:rsid w:val="002A08A9"/>
    <w:rsid w:val="002A3B2C"/>
    <w:rsid w:val="002A5C41"/>
    <w:rsid w:val="002A7B50"/>
    <w:rsid w:val="002A7E63"/>
    <w:rsid w:val="002B0476"/>
    <w:rsid w:val="002B373E"/>
    <w:rsid w:val="002B3A4D"/>
    <w:rsid w:val="002B70F4"/>
    <w:rsid w:val="002C05F1"/>
    <w:rsid w:val="002C1087"/>
    <w:rsid w:val="002C1303"/>
    <w:rsid w:val="002C1BB3"/>
    <w:rsid w:val="002C289A"/>
    <w:rsid w:val="002C2D83"/>
    <w:rsid w:val="002C4F7B"/>
    <w:rsid w:val="002C7E4F"/>
    <w:rsid w:val="002D0D83"/>
    <w:rsid w:val="002D5935"/>
    <w:rsid w:val="002D74B2"/>
    <w:rsid w:val="002E04A3"/>
    <w:rsid w:val="002E0C6A"/>
    <w:rsid w:val="002E20CE"/>
    <w:rsid w:val="002E2250"/>
    <w:rsid w:val="002E7463"/>
    <w:rsid w:val="002F09B4"/>
    <w:rsid w:val="002F1386"/>
    <w:rsid w:val="002F2FA5"/>
    <w:rsid w:val="002F31BD"/>
    <w:rsid w:val="002F34A4"/>
    <w:rsid w:val="002F3D8B"/>
    <w:rsid w:val="002F59B2"/>
    <w:rsid w:val="002F5C4C"/>
    <w:rsid w:val="002F6EA6"/>
    <w:rsid w:val="00300C98"/>
    <w:rsid w:val="00307039"/>
    <w:rsid w:val="0030747A"/>
    <w:rsid w:val="00310297"/>
    <w:rsid w:val="00310519"/>
    <w:rsid w:val="003118DC"/>
    <w:rsid w:val="00314E87"/>
    <w:rsid w:val="00315AC2"/>
    <w:rsid w:val="00315E10"/>
    <w:rsid w:val="003178A5"/>
    <w:rsid w:val="00324758"/>
    <w:rsid w:val="00324C88"/>
    <w:rsid w:val="003260EB"/>
    <w:rsid w:val="00326D8F"/>
    <w:rsid w:val="003303DB"/>
    <w:rsid w:val="00330467"/>
    <w:rsid w:val="003304E1"/>
    <w:rsid w:val="00330CDA"/>
    <w:rsid w:val="003313D0"/>
    <w:rsid w:val="003315AC"/>
    <w:rsid w:val="00331DEE"/>
    <w:rsid w:val="00332CCF"/>
    <w:rsid w:val="00332EE5"/>
    <w:rsid w:val="00333304"/>
    <w:rsid w:val="0033330B"/>
    <w:rsid w:val="00334B6C"/>
    <w:rsid w:val="003404FE"/>
    <w:rsid w:val="00341FCF"/>
    <w:rsid w:val="00342464"/>
    <w:rsid w:val="00343744"/>
    <w:rsid w:val="0034509C"/>
    <w:rsid w:val="0034646D"/>
    <w:rsid w:val="00347E6E"/>
    <w:rsid w:val="003545D5"/>
    <w:rsid w:val="003556A9"/>
    <w:rsid w:val="00356269"/>
    <w:rsid w:val="003566D4"/>
    <w:rsid w:val="0035747E"/>
    <w:rsid w:val="003610EB"/>
    <w:rsid w:val="00362670"/>
    <w:rsid w:val="003626D7"/>
    <w:rsid w:val="00362CB4"/>
    <w:rsid w:val="00363DED"/>
    <w:rsid w:val="00364E76"/>
    <w:rsid w:val="00365853"/>
    <w:rsid w:val="0037238D"/>
    <w:rsid w:val="00374FC9"/>
    <w:rsid w:val="00383A35"/>
    <w:rsid w:val="00386930"/>
    <w:rsid w:val="003904DE"/>
    <w:rsid w:val="003906A1"/>
    <w:rsid w:val="00390A82"/>
    <w:rsid w:val="00390C38"/>
    <w:rsid w:val="00392009"/>
    <w:rsid w:val="00392AAF"/>
    <w:rsid w:val="00392C24"/>
    <w:rsid w:val="00392E5B"/>
    <w:rsid w:val="00394DA9"/>
    <w:rsid w:val="0039549C"/>
    <w:rsid w:val="003971D5"/>
    <w:rsid w:val="003A0C49"/>
    <w:rsid w:val="003A77AB"/>
    <w:rsid w:val="003B0A07"/>
    <w:rsid w:val="003B0D08"/>
    <w:rsid w:val="003B3688"/>
    <w:rsid w:val="003B4734"/>
    <w:rsid w:val="003B4978"/>
    <w:rsid w:val="003B4A52"/>
    <w:rsid w:val="003B4ECF"/>
    <w:rsid w:val="003B63A1"/>
    <w:rsid w:val="003B71A3"/>
    <w:rsid w:val="003B7A85"/>
    <w:rsid w:val="003C196D"/>
    <w:rsid w:val="003C2143"/>
    <w:rsid w:val="003C2CE9"/>
    <w:rsid w:val="003C2EF7"/>
    <w:rsid w:val="003C5FD8"/>
    <w:rsid w:val="003C6062"/>
    <w:rsid w:val="003C73E4"/>
    <w:rsid w:val="003D0BD5"/>
    <w:rsid w:val="003D1B6E"/>
    <w:rsid w:val="003D3E71"/>
    <w:rsid w:val="003D5B17"/>
    <w:rsid w:val="003D72A5"/>
    <w:rsid w:val="003E3243"/>
    <w:rsid w:val="003E51D3"/>
    <w:rsid w:val="003E6855"/>
    <w:rsid w:val="003E79D2"/>
    <w:rsid w:val="003F07AD"/>
    <w:rsid w:val="003F0DD6"/>
    <w:rsid w:val="003F1212"/>
    <w:rsid w:val="003F1454"/>
    <w:rsid w:val="003F44BE"/>
    <w:rsid w:val="003F5593"/>
    <w:rsid w:val="003F7407"/>
    <w:rsid w:val="003F7ADB"/>
    <w:rsid w:val="00401656"/>
    <w:rsid w:val="00405B4C"/>
    <w:rsid w:val="004120AB"/>
    <w:rsid w:val="00413274"/>
    <w:rsid w:val="00414D52"/>
    <w:rsid w:val="004150B7"/>
    <w:rsid w:val="004169EF"/>
    <w:rsid w:val="00416CFF"/>
    <w:rsid w:val="004177E3"/>
    <w:rsid w:val="004205B3"/>
    <w:rsid w:val="00423D89"/>
    <w:rsid w:val="00430DEE"/>
    <w:rsid w:val="00430EA0"/>
    <w:rsid w:val="00431AE6"/>
    <w:rsid w:val="0043307C"/>
    <w:rsid w:val="00433131"/>
    <w:rsid w:val="00433FD8"/>
    <w:rsid w:val="004341CA"/>
    <w:rsid w:val="004354AD"/>
    <w:rsid w:val="00435644"/>
    <w:rsid w:val="00440E54"/>
    <w:rsid w:val="00441744"/>
    <w:rsid w:val="00442264"/>
    <w:rsid w:val="00443AF9"/>
    <w:rsid w:val="00443E75"/>
    <w:rsid w:val="00444309"/>
    <w:rsid w:val="004446F4"/>
    <w:rsid w:val="00444E07"/>
    <w:rsid w:val="0044642C"/>
    <w:rsid w:val="0044649E"/>
    <w:rsid w:val="00446B52"/>
    <w:rsid w:val="00446E9C"/>
    <w:rsid w:val="004471D4"/>
    <w:rsid w:val="0044733E"/>
    <w:rsid w:val="00450C8D"/>
    <w:rsid w:val="00452C95"/>
    <w:rsid w:val="00456D38"/>
    <w:rsid w:val="00461469"/>
    <w:rsid w:val="00462432"/>
    <w:rsid w:val="0046282D"/>
    <w:rsid w:val="00466606"/>
    <w:rsid w:val="00466F26"/>
    <w:rsid w:val="0046780A"/>
    <w:rsid w:val="00470F22"/>
    <w:rsid w:val="00471E40"/>
    <w:rsid w:val="00472DD3"/>
    <w:rsid w:val="00473B78"/>
    <w:rsid w:val="00473D38"/>
    <w:rsid w:val="004747DD"/>
    <w:rsid w:val="00474F8F"/>
    <w:rsid w:val="004775E5"/>
    <w:rsid w:val="00477775"/>
    <w:rsid w:val="00485545"/>
    <w:rsid w:val="004868B2"/>
    <w:rsid w:val="00487AE7"/>
    <w:rsid w:val="00490432"/>
    <w:rsid w:val="00491D41"/>
    <w:rsid w:val="00497BE5"/>
    <w:rsid w:val="004A065B"/>
    <w:rsid w:val="004A0AE4"/>
    <w:rsid w:val="004A5823"/>
    <w:rsid w:val="004B000A"/>
    <w:rsid w:val="004B01AC"/>
    <w:rsid w:val="004B406E"/>
    <w:rsid w:val="004B5238"/>
    <w:rsid w:val="004B7F3B"/>
    <w:rsid w:val="004C2A78"/>
    <w:rsid w:val="004C3F47"/>
    <w:rsid w:val="004C4F1C"/>
    <w:rsid w:val="004C544A"/>
    <w:rsid w:val="004C58EF"/>
    <w:rsid w:val="004C5CF1"/>
    <w:rsid w:val="004D173C"/>
    <w:rsid w:val="004D3179"/>
    <w:rsid w:val="004D4497"/>
    <w:rsid w:val="004D6B60"/>
    <w:rsid w:val="004E0FC9"/>
    <w:rsid w:val="004E1E6A"/>
    <w:rsid w:val="004E1FFE"/>
    <w:rsid w:val="004E2087"/>
    <w:rsid w:val="004E3685"/>
    <w:rsid w:val="004E38FB"/>
    <w:rsid w:val="004E3D28"/>
    <w:rsid w:val="004E4E2E"/>
    <w:rsid w:val="004E6587"/>
    <w:rsid w:val="004E7321"/>
    <w:rsid w:val="004F060B"/>
    <w:rsid w:val="004F26DD"/>
    <w:rsid w:val="004F270D"/>
    <w:rsid w:val="004F2839"/>
    <w:rsid w:val="004F2E09"/>
    <w:rsid w:val="004F3EAC"/>
    <w:rsid w:val="0050137A"/>
    <w:rsid w:val="0050194F"/>
    <w:rsid w:val="00501AB0"/>
    <w:rsid w:val="005021ED"/>
    <w:rsid w:val="0050364F"/>
    <w:rsid w:val="00505D3F"/>
    <w:rsid w:val="00506907"/>
    <w:rsid w:val="00507831"/>
    <w:rsid w:val="0051047A"/>
    <w:rsid w:val="00510F96"/>
    <w:rsid w:val="00510F9C"/>
    <w:rsid w:val="00511A2A"/>
    <w:rsid w:val="00517048"/>
    <w:rsid w:val="00517952"/>
    <w:rsid w:val="00520024"/>
    <w:rsid w:val="00520841"/>
    <w:rsid w:val="00522399"/>
    <w:rsid w:val="00523E85"/>
    <w:rsid w:val="00523F19"/>
    <w:rsid w:val="00524EDB"/>
    <w:rsid w:val="0052581B"/>
    <w:rsid w:val="00526EFB"/>
    <w:rsid w:val="00527C33"/>
    <w:rsid w:val="00535854"/>
    <w:rsid w:val="00541658"/>
    <w:rsid w:val="00542996"/>
    <w:rsid w:val="005453DF"/>
    <w:rsid w:val="0054602A"/>
    <w:rsid w:val="00546247"/>
    <w:rsid w:val="005463D0"/>
    <w:rsid w:val="0054644B"/>
    <w:rsid w:val="005467CF"/>
    <w:rsid w:val="005469D2"/>
    <w:rsid w:val="00547C2C"/>
    <w:rsid w:val="0055376B"/>
    <w:rsid w:val="005571BA"/>
    <w:rsid w:val="00557859"/>
    <w:rsid w:val="005604AA"/>
    <w:rsid w:val="0056094E"/>
    <w:rsid w:val="00562583"/>
    <w:rsid w:val="00564330"/>
    <w:rsid w:val="00564925"/>
    <w:rsid w:val="00566247"/>
    <w:rsid w:val="00567794"/>
    <w:rsid w:val="00573306"/>
    <w:rsid w:val="00573EC4"/>
    <w:rsid w:val="00577DD8"/>
    <w:rsid w:val="00580DA5"/>
    <w:rsid w:val="005810EE"/>
    <w:rsid w:val="0058370E"/>
    <w:rsid w:val="00584602"/>
    <w:rsid w:val="00584B8B"/>
    <w:rsid w:val="00585E16"/>
    <w:rsid w:val="00586A6D"/>
    <w:rsid w:val="00587B73"/>
    <w:rsid w:val="00587F59"/>
    <w:rsid w:val="0059018A"/>
    <w:rsid w:val="00590489"/>
    <w:rsid w:val="00590D60"/>
    <w:rsid w:val="0059220E"/>
    <w:rsid w:val="00593C00"/>
    <w:rsid w:val="00594FD5"/>
    <w:rsid w:val="00595FF3"/>
    <w:rsid w:val="005967AA"/>
    <w:rsid w:val="0059763E"/>
    <w:rsid w:val="005B0EF8"/>
    <w:rsid w:val="005B36AE"/>
    <w:rsid w:val="005B3D37"/>
    <w:rsid w:val="005B3F73"/>
    <w:rsid w:val="005B7F73"/>
    <w:rsid w:val="005C4615"/>
    <w:rsid w:val="005C48F9"/>
    <w:rsid w:val="005C5923"/>
    <w:rsid w:val="005D0332"/>
    <w:rsid w:val="005D0ACD"/>
    <w:rsid w:val="005D0F69"/>
    <w:rsid w:val="005D1E63"/>
    <w:rsid w:val="005D2ACE"/>
    <w:rsid w:val="005D409E"/>
    <w:rsid w:val="005D45A8"/>
    <w:rsid w:val="005D5543"/>
    <w:rsid w:val="005D67B6"/>
    <w:rsid w:val="005D72FB"/>
    <w:rsid w:val="005F0356"/>
    <w:rsid w:val="005F0BEE"/>
    <w:rsid w:val="005F3BC6"/>
    <w:rsid w:val="005F40B2"/>
    <w:rsid w:val="005F52EC"/>
    <w:rsid w:val="00602389"/>
    <w:rsid w:val="0060277E"/>
    <w:rsid w:val="00604459"/>
    <w:rsid w:val="006047B3"/>
    <w:rsid w:val="006047B7"/>
    <w:rsid w:val="00604FFA"/>
    <w:rsid w:val="00605218"/>
    <w:rsid w:val="00605981"/>
    <w:rsid w:val="00606920"/>
    <w:rsid w:val="00606E2F"/>
    <w:rsid w:val="00607A55"/>
    <w:rsid w:val="00610895"/>
    <w:rsid w:val="006110B2"/>
    <w:rsid w:val="00612244"/>
    <w:rsid w:val="0062065E"/>
    <w:rsid w:val="006218C8"/>
    <w:rsid w:val="00622A50"/>
    <w:rsid w:val="00624163"/>
    <w:rsid w:val="00625FAD"/>
    <w:rsid w:val="00627E5D"/>
    <w:rsid w:val="00630957"/>
    <w:rsid w:val="00633DC9"/>
    <w:rsid w:val="006358F8"/>
    <w:rsid w:val="0063732D"/>
    <w:rsid w:val="00637639"/>
    <w:rsid w:val="00637B35"/>
    <w:rsid w:val="006415B4"/>
    <w:rsid w:val="006416BA"/>
    <w:rsid w:val="006427A3"/>
    <w:rsid w:val="006448F1"/>
    <w:rsid w:val="00646454"/>
    <w:rsid w:val="006465EF"/>
    <w:rsid w:val="00653B63"/>
    <w:rsid w:val="006543C8"/>
    <w:rsid w:val="00654A2E"/>
    <w:rsid w:val="006554B8"/>
    <w:rsid w:val="00655F82"/>
    <w:rsid w:val="00657172"/>
    <w:rsid w:val="0065727E"/>
    <w:rsid w:val="00660483"/>
    <w:rsid w:val="00661092"/>
    <w:rsid w:val="00663984"/>
    <w:rsid w:val="00663F1E"/>
    <w:rsid w:val="00664C48"/>
    <w:rsid w:val="00674E77"/>
    <w:rsid w:val="0067646F"/>
    <w:rsid w:val="006804CE"/>
    <w:rsid w:val="006823BC"/>
    <w:rsid w:val="0068572C"/>
    <w:rsid w:val="00685C1B"/>
    <w:rsid w:val="00685D4D"/>
    <w:rsid w:val="006862BC"/>
    <w:rsid w:val="00691B72"/>
    <w:rsid w:val="0069374A"/>
    <w:rsid w:val="00693A30"/>
    <w:rsid w:val="00693FC6"/>
    <w:rsid w:val="006948D3"/>
    <w:rsid w:val="00695EFB"/>
    <w:rsid w:val="00696BC7"/>
    <w:rsid w:val="006A2D03"/>
    <w:rsid w:val="006A43F5"/>
    <w:rsid w:val="006A6FC7"/>
    <w:rsid w:val="006A7D7E"/>
    <w:rsid w:val="006B10D1"/>
    <w:rsid w:val="006B14A1"/>
    <w:rsid w:val="006B1DAB"/>
    <w:rsid w:val="006B4D8C"/>
    <w:rsid w:val="006B5AB5"/>
    <w:rsid w:val="006B6319"/>
    <w:rsid w:val="006B755F"/>
    <w:rsid w:val="006C25F6"/>
    <w:rsid w:val="006C2680"/>
    <w:rsid w:val="006C2E34"/>
    <w:rsid w:val="006C6825"/>
    <w:rsid w:val="006C7E59"/>
    <w:rsid w:val="006D0010"/>
    <w:rsid w:val="006D08CA"/>
    <w:rsid w:val="006D12B9"/>
    <w:rsid w:val="006D2CF3"/>
    <w:rsid w:val="006D5615"/>
    <w:rsid w:val="006D61BA"/>
    <w:rsid w:val="006D6498"/>
    <w:rsid w:val="006E13AD"/>
    <w:rsid w:val="006E194D"/>
    <w:rsid w:val="006E4687"/>
    <w:rsid w:val="006E5ECF"/>
    <w:rsid w:val="006F2773"/>
    <w:rsid w:val="006F2EA3"/>
    <w:rsid w:val="006F3D39"/>
    <w:rsid w:val="006F45A7"/>
    <w:rsid w:val="006F4F1B"/>
    <w:rsid w:val="006F503A"/>
    <w:rsid w:val="006F79F4"/>
    <w:rsid w:val="006F7BE4"/>
    <w:rsid w:val="00700175"/>
    <w:rsid w:val="00703C2A"/>
    <w:rsid w:val="00705592"/>
    <w:rsid w:val="00706ED3"/>
    <w:rsid w:val="0071446B"/>
    <w:rsid w:val="0071598A"/>
    <w:rsid w:val="00717715"/>
    <w:rsid w:val="00722A4A"/>
    <w:rsid w:val="00725FB9"/>
    <w:rsid w:val="00726A7B"/>
    <w:rsid w:val="007277E3"/>
    <w:rsid w:val="00730CA2"/>
    <w:rsid w:val="00730D77"/>
    <w:rsid w:val="0073168F"/>
    <w:rsid w:val="00731D4E"/>
    <w:rsid w:val="0073406A"/>
    <w:rsid w:val="00734FDA"/>
    <w:rsid w:val="00735A70"/>
    <w:rsid w:val="00740C5A"/>
    <w:rsid w:val="00741787"/>
    <w:rsid w:val="007418CB"/>
    <w:rsid w:val="007422B9"/>
    <w:rsid w:val="00742E20"/>
    <w:rsid w:val="00747383"/>
    <w:rsid w:val="00751089"/>
    <w:rsid w:val="00751D6D"/>
    <w:rsid w:val="00752D43"/>
    <w:rsid w:val="00752DD2"/>
    <w:rsid w:val="007535FA"/>
    <w:rsid w:val="00753933"/>
    <w:rsid w:val="00755C5A"/>
    <w:rsid w:val="0075627E"/>
    <w:rsid w:val="00756404"/>
    <w:rsid w:val="0075730C"/>
    <w:rsid w:val="00762DE9"/>
    <w:rsid w:val="00763019"/>
    <w:rsid w:val="00765331"/>
    <w:rsid w:val="00766372"/>
    <w:rsid w:val="0076651B"/>
    <w:rsid w:val="00772258"/>
    <w:rsid w:val="00775643"/>
    <w:rsid w:val="00776055"/>
    <w:rsid w:val="0077645C"/>
    <w:rsid w:val="0077648D"/>
    <w:rsid w:val="00776947"/>
    <w:rsid w:val="00776E17"/>
    <w:rsid w:val="007777F8"/>
    <w:rsid w:val="00780C61"/>
    <w:rsid w:val="00787FF6"/>
    <w:rsid w:val="007912F7"/>
    <w:rsid w:val="007922F4"/>
    <w:rsid w:val="00793256"/>
    <w:rsid w:val="0079458D"/>
    <w:rsid w:val="00795658"/>
    <w:rsid w:val="00795E3D"/>
    <w:rsid w:val="0079676D"/>
    <w:rsid w:val="0079757D"/>
    <w:rsid w:val="007A21DE"/>
    <w:rsid w:val="007A25C3"/>
    <w:rsid w:val="007A2909"/>
    <w:rsid w:val="007A2AEE"/>
    <w:rsid w:val="007A2B35"/>
    <w:rsid w:val="007A36B4"/>
    <w:rsid w:val="007A568E"/>
    <w:rsid w:val="007A6FDA"/>
    <w:rsid w:val="007A74D0"/>
    <w:rsid w:val="007B33B5"/>
    <w:rsid w:val="007B458A"/>
    <w:rsid w:val="007C0391"/>
    <w:rsid w:val="007C0A26"/>
    <w:rsid w:val="007C10CE"/>
    <w:rsid w:val="007C1297"/>
    <w:rsid w:val="007C3FF2"/>
    <w:rsid w:val="007C5857"/>
    <w:rsid w:val="007C6623"/>
    <w:rsid w:val="007C68E6"/>
    <w:rsid w:val="007C7027"/>
    <w:rsid w:val="007C7916"/>
    <w:rsid w:val="007D0E72"/>
    <w:rsid w:val="007D51F9"/>
    <w:rsid w:val="007D5791"/>
    <w:rsid w:val="007D6ABA"/>
    <w:rsid w:val="007D7DA8"/>
    <w:rsid w:val="007D7DF2"/>
    <w:rsid w:val="007E0655"/>
    <w:rsid w:val="007E0ADF"/>
    <w:rsid w:val="007E0EA8"/>
    <w:rsid w:val="007E39F5"/>
    <w:rsid w:val="007E39FD"/>
    <w:rsid w:val="007E4DD3"/>
    <w:rsid w:val="007E6DFD"/>
    <w:rsid w:val="007F027B"/>
    <w:rsid w:val="007F067F"/>
    <w:rsid w:val="007F2826"/>
    <w:rsid w:val="007F3588"/>
    <w:rsid w:val="007F5D36"/>
    <w:rsid w:val="007F7307"/>
    <w:rsid w:val="00800076"/>
    <w:rsid w:val="00801513"/>
    <w:rsid w:val="008018A8"/>
    <w:rsid w:val="00801C46"/>
    <w:rsid w:val="00803FF0"/>
    <w:rsid w:val="00805907"/>
    <w:rsid w:val="008076EF"/>
    <w:rsid w:val="00807B52"/>
    <w:rsid w:val="00812E27"/>
    <w:rsid w:val="008131D0"/>
    <w:rsid w:val="008147AE"/>
    <w:rsid w:val="00815B20"/>
    <w:rsid w:val="008168A7"/>
    <w:rsid w:val="008203C6"/>
    <w:rsid w:val="00825A0F"/>
    <w:rsid w:val="00826DCD"/>
    <w:rsid w:val="00830CF2"/>
    <w:rsid w:val="00833F28"/>
    <w:rsid w:val="008345B6"/>
    <w:rsid w:val="008352D0"/>
    <w:rsid w:val="008352F8"/>
    <w:rsid w:val="00836233"/>
    <w:rsid w:val="00837E87"/>
    <w:rsid w:val="00840749"/>
    <w:rsid w:val="0084406D"/>
    <w:rsid w:val="00844874"/>
    <w:rsid w:val="0084584E"/>
    <w:rsid w:val="008476EE"/>
    <w:rsid w:val="00847AEA"/>
    <w:rsid w:val="00852E42"/>
    <w:rsid w:val="00853A1C"/>
    <w:rsid w:val="008551F7"/>
    <w:rsid w:val="008560FF"/>
    <w:rsid w:val="00856546"/>
    <w:rsid w:val="0085656E"/>
    <w:rsid w:val="00857530"/>
    <w:rsid w:val="008579A2"/>
    <w:rsid w:val="00857C27"/>
    <w:rsid w:val="0086299F"/>
    <w:rsid w:val="00862C9E"/>
    <w:rsid w:val="008638D8"/>
    <w:rsid w:val="0086411F"/>
    <w:rsid w:val="008644E8"/>
    <w:rsid w:val="0086485F"/>
    <w:rsid w:val="008656C4"/>
    <w:rsid w:val="0086743E"/>
    <w:rsid w:val="00870AF1"/>
    <w:rsid w:val="00871B35"/>
    <w:rsid w:val="00871CFD"/>
    <w:rsid w:val="00871F9C"/>
    <w:rsid w:val="00873AAD"/>
    <w:rsid w:val="00875782"/>
    <w:rsid w:val="0087666E"/>
    <w:rsid w:val="00880163"/>
    <w:rsid w:val="00880261"/>
    <w:rsid w:val="0088184E"/>
    <w:rsid w:val="00882F3B"/>
    <w:rsid w:val="00882FB7"/>
    <w:rsid w:val="00883C20"/>
    <w:rsid w:val="008846D2"/>
    <w:rsid w:val="0088470C"/>
    <w:rsid w:val="0088700B"/>
    <w:rsid w:val="0089179B"/>
    <w:rsid w:val="0089338A"/>
    <w:rsid w:val="0089444E"/>
    <w:rsid w:val="00894D26"/>
    <w:rsid w:val="00895F4C"/>
    <w:rsid w:val="00897912"/>
    <w:rsid w:val="00897EE7"/>
    <w:rsid w:val="008A1C18"/>
    <w:rsid w:val="008A661B"/>
    <w:rsid w:val="008A7A4B"/>
    <w:rsid w:val="008A7A52"/>
    <w:rsid w:val="008B4058"/>
    <w:rsid w:val="008B7337"/>
    <w:rsid w:val="008C2527"/>
    <w:rsid w:val="008C32E3"/>
    <w:rsid w:val="008C33CE"/>
    <w:rsid w:val="008C4F66"/>
    <w:rsid w:val="008C770D"/>
    <w:rsid w:val="008D084E"/>
    <w:rsid w:val="008D1FB1"/>
    <w:rsid w:val="008D2D6F"/>
    <w:rsid w:val="008D2F2C"/>
    <w:rsid w:val="008D4A99"/>
    <w:rsid w:val="008D4FD7"/>
    <w:rsid w:val="008D6117"/>
    <w:rsid w:val="008D705A"/>
    <w:rsid w:val="008D7ED4"/>
    <w:rsid w:val="008E143F"/>
    <w:rsid w:val="008E18C3"/>
    <w:rsid w:val="008E7DF8"/>
    <w:rsid w:val="008F1812"/>
    <w:rsid w:val="008F4B6C"/>
    <w:rsid w:val="008F53F4"/>
    <w:rsid w:val="00900CB9"/>
    <w:rsid w:val="00900E26"/>
    <w:rsid w:val="009037F8"/>
    <w:rsid w:val="009053E1"/>
    <w:rsid w:val="00906C0E"/>
    <w:rsid w:val="0090770F"/>
    <w:rsid w:val="00907A20"/>
    <w:rsid w:val="00910EE0"/>
    <w:rsid w:val="00912A92"/>
    <w:rsid w:val="00912BD1"/>
    <w:rsid w:val="00915ACA"/>
    <w:rsid w:val="00923890"/>
    <w:rsid w:val="00924980"/>
    <w:rsid w:val="00925329"/>
    <w:rsid w:val="00925AA3"/>
    <w:rsid w:val="00925FE5"/>
    <w:rsid w:val="009272B4"/>
    <w:rsid w:val="0093006D"/>
    <w:rsid w:val="009310E1"/>
    <w:rsid w:val="00931418"/>
    <w:rsid w:val="009378BF"/>
    <w:rsid w:val="0094080A"/>
    <w:rsid w:val="009409BF"/>
    <w:rsid w:val="00945F19"/>
    <w:rsid w:val="00950CFF"/>
    <w:rsid w:val="00951062"/>
    <w:rsid w:val="00954C4C"/>
    <w:rsid w:val="00956AF0"/>
    <w:rsid w:val="00957B44"/>
    <w:rsid w:val="00960236"/>
    <w:rsid w:val="00961814"/>
    <w:rsid w:val="00962B64"/>
    <w:rsid w:val="00964B20"/>
    <w:rsid w:val="0096766A"/>
    <w:rsid w:val="00971D70"/>
    <w:rsid w:val="00973202"/>
    <w:rsid w:val="009734F2"/>
    <w:rsid w:val="00973902"/>
    <w:rsid w:val="0098788B"/>
    <w:rsid w:val="00990959"/>
    <w:rsid w:val="00990E44"/>
    <w:rsid w:val="009958A8"/>
    <w:rsid w:val="00995EA7"/>
    <w:rsid w:val="0099759B"/>
    <w:rsid w:val="00997A37"/>
    <w:rsid w:val="00997FE6"/>
    <w:rsid w:val="009A3098"/>
    <w:rsid w:val="009B0AB9"/>
    <w:rsid w:val="009B36EC"/>
    <w:rsid w:val="009B44DD"/>
    <w:rsid w:val="009B640F"/>
    <w:rsid w:val="009B66E3"/>
    <w:rsid w:val="009B6CB7"/>
    <w:rsid w:val="009C1190"/>
    <w:rsid w:val="009C5D55"/>
    <w:rsid w:val="009C6F8E"/>
    <w:rsid w:val="009D0441"/>
    <w:rsid w:val="009D2224"/>
    <w:rsid w:val="009D44FB"/>
    <w:rsid w:val="009D4F2D"/>
    <w:rsid w:val="009D5837"/>
    <w:rsid w:val="009D6D75"/>
    <w:rsid w:val="009D78D0"/>
    <w:rsid w:val="009D7C1A"/>
    <w:rsid w:val="009E2389"/>
    <w:rsid w:val="009E2488"/>
    <w:rsid w:val="009E43A2"/>
    <w:rsid w:val="009E43D3"/>
    <w:rsid w:val="009E49BF"/>
    <w:rsid w:val="009E58AE"/>
    <w:rsid w:val="009E5B55"/>
    <w:rsid w:val="009E6ED2"/>
    <w:rsid w:val="009E6FF9"/>
    <w:rsid w:val="009E7A76"/>
    <w:rsid w:val="009F0DF9"/>
    <w:rsid w:val="009F2AB5"/>
    <w:rsid w:val="009F31A8"/>
    <w:rsid w:val="009F4C88"/>
    <w:rsid w:val="00A00B41"/>
    <w:rsid w:val="00A032B8"/>
    <w:rsid w:val="00A04166"/>
    <w:rsid w:val="00A05C6B"/>
    <w:rsid w:val="00A07137"/>
    <w:rsid w:val="00A07203"/>
    <w:rsid w:val="00A07557"/>
    <w:rsid w:val="00A13770"/>
    <w:rsid w:val="00A164F0"/>
    <w:rsid w:val="00A2159F"/>
    <w:rsid w:val="00A21E28"/>
    <w:rsid w:val="00A2372F"/>
    <w:rsid w:val="00A23A37"/>
    <w:rsid w:val="00A257A1"/>
    <w:rsid w:val="00A31238"/>
    <w:rsid w:val="00A31444"/>
    <w:rsid w:val="00A316D7"/>
    <w:rsid w:val="00A31F26"/>
    <w:rsid w:val="00A337F2"/>
    <w:rsid w:val="00A346D0"/>
    <w:rsid w:val="00A35817"/>
    <w:rsid w:val="00A41FED"/>
    <w:rsid w:val="00A451D6"/>
    <w:rsid w:val="00A4549D"/>
    <w:rsid w:val="00A45F7E"/>
    <w:rsid w:val="00A4743A"/>
    <w:rsid w:val="00A50F88"/>
    <w:rsid w:val="00A52131"/>
    <w:rsid w:val="00A528A6"/>
    <w:rsid w:val="00A532BE"/>
    <w:rsid w:val="00A54494"/>
    <w:rsid w:val="00A546AD"/>
    <w:rsid w:val="00A5637E"/>
    <w:rsid w:val="00A56678"/>
    <w:rsid w:val="00A5709B"/>
    <w:rsid w:val="00A57AE0"/>
    <w:rsid w:val="00A61899"/>
    <w:rsid w:val="00A63061"/>
    <w:rsid w:val="00A63638"/>
    <w:rsid w:val="00A65BC8"/>
    <w:rsid w:val="00A67318"/>
    <w:rsid w:val="00A7161A"/>
    <w:rsid w:val="00A74CF7"/>
    <w:rsid w:val="00A75D24"/>
    <w:rsid w:val="00A76F9A"/>
    <w:rsid w:val="00A92499"/>
    <w:rsid w:val="00A96A35"/>
    <w:rsid w:val="00AA03ED"/>
    <w:rsid w:val="00AA1F88"/>
    <w:rsid w:val="00AA38E9"/>
    <w:rsid w:val="00AA39BC"/>
    <w:rsid w:val="00AA54B8"/>
    <w:rsid w:val="00AA5FCF"/>
    <w:rsid w:val="00AB3313"/>
    <w:rsid w:val="00AB361C"/>
    <w:rsid w:val="00AB4A39"/>
    <w:rsid w:val="00AB5ECF"/>
    <w:rsid w:val="00AC0532"/>
    <w:rsid w:val="00AC2966"/>
    <w:rsid w:val="00AC5A07"/>
    <w:rsid w:val="00AD0A6C"/>
    <w:rsid w:val="00AD271C"/>
    <w:rsid w:val="00AD4F20"/>
    <w:rsid w:val="00AD5EEE"/>
    <w:rsid w:val="00AD7CB4"/>
    <w:rsid w:val="00AE0F4B"/>
    <w:rsid w:val="00AE1C79"/>
    <w:rsid w:val="00AE3EAF"/>
    <w:rsid w:val="00AE4AB9"/>
    <w:rsid w:val="00AE5990"/>
    <w:rsid w:val="00AE647D"/>
    <w:rsid w:val="00AE6C98"/>
    <w:rsid w:val="00AE7725"/>
    <w:rsid w:val="00AE7770"/>
    <w:rsid w:val="00AF0B80"/>
    <w:rsid w:val="00AF223F"/>
    <w:rsid w:val="00AF22E7"/>
    <w:rsid w:val="00AF62E2"/>
    <w:rsid w:val="00AF6642"/>
    <w:rsid w:val="00AF7637"/>
    <w:rsid w:val="00B0111A"/>
    <w:rsid w:val="00B01DA8"/>
    <w:rsid w:val="00B03FB2"/>
    <w:rsid w:val="00B05904"/>
    <w:rsid w:val="00B06027"/>
    <w:rsid w:val="00B11716"/>
    <w:rsid w:val="00B13D53"/>
    <w:rsid w:val="00B14AA6"/>
    <w:rsid w:val="00B15A07"/>
    <w:rsid w:val="00B20E34"/>
    <w:rsid w:val="00B22068"/>
    <w:rsid w:val="00B22E29"/>
    <w:rsid w:val="00B24F29"/>
    <w:rsid w:val="00B27B16"/>
    <w:rsid w:val="00B31162"/>
    <w:rsid w:val="00B31467"/>
    <w:rsid w:val="00B32662"/>
    <w:rsid w:val="00B32EB0"/>
    <w:rsid w:val="00B34FD4"/>
    <w:rsid w:val="00B36365"/>
    <w:rsid w:val="00B374B9"/>
    <w:rsid w:val="00B37B22"/>
    <w:rsid w:val="00B40571"/>
    <w:rsid w:val="00B40E35"/>
    <w:rsid w:val="00B425B0"/>
    <w:rsid w:val="00B5029D"/>
    <w:rsid w:val="00B513B5"/>
    <w:rsid w:val="00B51843"/>
    <w:rsid w:val="00B51C42"/>
    <w:rsid w:val="00B53BD8"/>
    <w:rsid w:val="00B56102"/>
    <w:rsid w:val="00B575AF"/>
    <w:rsid w:val="00B60AC9"/>
    <w:rsid w:val="00B61FEF"/>
    <w:rsid w:val="00B65C51"/>
    <w:rsid w:val="00B66023"/>
    <w:rsid w:val="00B7230F"/>
    <w:rsid w:val="00B72782"/>
    <w:rsid w:val="00B74567"/>
    <w:rsid w:val="00B765D2"/>
    <w:rsid w:val="00B76653"/>
    <w:rsid w:val="00B76915"/>
    <w:rsid w:val="00B84386"/>
    <w:rsid w:val="00B84DB1"/>
    <w:rsid w:val="00B86291"/>
    <w:rsid w:val="00B87206"/>
    <w:rsid w:val="00B91A4D"/>
    <w:rsid w:val="00B94580"/>
    <w:rsid w:val="00B956CB"/>
    <w:rsid w:val="00B95916"/>
    <w:rsid w:val="00BA0989"/>
    <w:rsid w:val="00BA1230"/>
    <w:rsid w:val="00BA29F8"/>
    <w:rsid w:val="00BA6EF4"/>
    <w:rsid w:val="00BA7AE2"/>
    <w:rsid w:val="00BB0C93"/>
    <w:rsid w:val="00BB1A4A"/>
    <w:rsid w:val="00BB26D9"/>
    <w:rsid w:val="00BB6919"/>
    <w:rsid w:val="00BB752A"/>
    <w:rsid w:val="00BC1791"/>
    <w:rsid w:val="00BC30B8"/>
    <w:rsid w:val="00BC4F49"/>
    <w:rsid w:val="00BC59F1"/>
    <w:rsid w:val="00BD0D35"/>
    <w:rsid w:val="00BD532E"/>
    <w:rsid w:val="00BD68E8"/>
    <w:rsid w:val="00BD701A"/>
    <w:rsid w:val="00BE068B"/>
    <w:rsid w:val="00BE23F2"/>
    <w:rsid w:val="00BE46E1"/>
    <w:rsid w:val="00BE5724"/>
    <w:rsid w:val="00BE5737"/>
    <w:rsid w:val="00BF0FD7"/>
    <w:rsid w:val="00BF15E1"/>
    <w:rsid w:val="00BF183B"/>
    <w:rsid w:val="00BF206B"/>
    <w:rsid w:val="00BF3D81"/>
    <w:rsid w:val="00BF5E6E"/>
    <w:rsid w:val="00BF6B02"/>
    <w:rsid w:val="00BF7209"/>
    <w:rsid w:val="00BF737C"/>
    <w:rsid w:val="00C01305"/>
    <w:rsid w:val="00C0187C"/>
    <w:rsid w:val="00C0392A"/>
    <w:rsid w:val="00C047AE"/>
    <w:rsid w:val="00C05656"/>
    <w:rsid w:val="00C07C30"/>
    <w:rsid w:val="00C13384"/>
    <w:rsid w:val="00C13469"/>
    <w:rsid w:val="00C14520"/>
    <w:rsid w:val="00C150BF"/>
    <w:rsid w:val="00C15C8A"/>
    <w:rsid w:val="00C15F8C"/>
    <w:rsid w:val="00C16A26"/>
    <w:rsid w:val="00C202A0"/>
    <w:rsid w:val="00C22CCF"/>
    <w:rsid w:val="00C2483D"/>
    <w:rsid w:val="00C25F98"/>
    <w:rsid w:val="00C265AA"/>
    <w:rsid w:val="00C33E9C"/>
    <w:rsid w:val="00C364F7"/>
    <w:rsid w:val="00C373F4"/>
    <w:rsid w:val="00C40AA6"/>
    <w:rsid w:val="00C41937"/>
    <w:rsid w:val="00C44D49"/>
    <w:rsid w:val="00C44F79"/>
    <w:rsid w:val="00C464D5"/>
    <w:rsid w:val="00C47391"/>
    <w:rsid w:val="00C475AC"/>
    <w:rsid w:val="00C52AF8"/>
    <w:rsid w:val="00C53581"/>
    <w:rsid w:val="00C546D5"/>
    <w:rsid w:val="00C546EC"/>
    <w:rsid w:val="00C566D6"/>
    <w:rsid w:val="00C568E2"/>
    <w:rsid w:val="00C601C3"/>
    <w:rsid w:val="00C61F40"/>
    <w:rsid w:val="00C640C0"/>
    <w:rsid w:val="00C6704C"/>
    <w:rsid w:val="00C7088E"/>
    <w:rsid w:val="00C70D0F"/>
    <w:rsid w:val="00C7140C"/>
    <w:rsid w:val="00C71C24"/>
    <w:rsid w:val="00C72F54"/>
    <w:rsid w:val="00C73350"/>
    <w:rsid w:val="00C74AF1"/>
    <w:rsid w:val="00C81E7D"/>
    <w:rsid w:val="00C82752"/>
    <w:rsid w:val="00C82CC4"/>
    <w:rsid w:val="00C83461"/>
    <w:rsid w:val="00C846A2"/>
    <w:rsid w:val="00C84F3E"/>
    <w:rsid w:val="00C86725"/>
    <w:rsid w:val="00C87BE2"/>
    <w:rsid w:val="00C9204E"/>
    <w:rsid w:val="00C92868"/>
    <w:rsid w:val="00C94D8E"/>
    <w:rsid w:val="00C954CF"/>
    <w:rsid w:val="00C96AF0"/>
    <w:rsid w:val="00C9715A"/>
    <w:rsid w:val="00CA1298"/>
    <w:rsid w:val="00CA1624"/>
    <w:rsid w:val="00CA4365"/>
    <w:rsid w:val="00CA4720"/>
    <w:rsid w:val="00CA553C"/>
    <w:rsid w:val="00CA58EF"/>
    <w:rsid w:val="00CB2CF7"/>
    <w:rsid w:val="00CB30A5"/>
    <w:rsid w:val="00CB3D61"/>
    <w:rsid w:val="00CB46A0"/>
    <w:rsid w:val="00CB47F9"/>
    <w:rsid w:val="00CB57EF"/>
    <w:rsid w:val="00CB5A95"/>
    <w:rsid w:val="00CB6768"/>
    <w:rsid w:val="00CB760A"/>
    <w:rsid w:val="00CB7CCB"/>
    <w:rsid w:val="00CB7DCF"/>
    <w:rsid w:val="00CC31D1"/>
    <w:rsid w:val="00CC42C3"/>
    <w:rsid w:val="00CC6291"/>
    <w:rsid w:val="00CC7C1E"/>
    <w:rsid w:val="00CD0D18"/>
    <w:rsid w:val="00CD0F88"/>
    <w:rsid w:val="00CD27D3"/>
    <w:rsid w:val="00CD2A17"/>
    <w:rsid w:val="00CD3B31"/>
    <w:rsid w:val="00CD4939"/>
    <w:rsid w:val="00CD4A1F"/>
    <w:rsid w:val="00CE3ACC"/>
    <w:rsid w:val="00CE50B2"/>
    <w:rsid w:val="00CE7987"/>
    <w:rsid w:val="00CF08DF"/>
    <w:rsid w:val="00CF0B12"/>
    <w:rsid w:val="00CF1BC6"/>
    <w:rsid w:val="00CF35EF"/>
    <w:rsid w:val="00CF3824"/>
    <w:rsid w:val="00CF7C15"/>
    <w:rsid w:val="00D02C92"/>
    <w:rsid w:val="00D04032"/>
    <w:rsid w:val="00D07C6E"/>
    <w:rsid w:val="00D110D1"/>
    <w:rsid w:val="00D11C73"/>
    <w:rsid w:val="00D11E67"/>
    <w:rsid w:val="00D16F00"/>
    <w:rsid w:val="00D20A28"/>
    <w:rsid w:val="00D214EC"/>
    <w:rsid w:val="00D22D6D"/>
    <w:rsid w:val="00D24B13"/>
    <w:rsid w:val="00D258DC"/>
    <w:rsid w:val="00D265A8"/>
    <w:rsid w:val="00D319AD"/>
    <w:rsid w:val="00D3263C"/>
    <w:rsid w:val="00D32C73"/>
    <w:rsid w:val="00D33760"/>
    <w:rsid w:val="00D33C43"/>
    <w:rsid w:val="00D34C81"/>
    <w:rsid w:val="00D37304"/>
    <w:rsid w:val="00D37AAF"/>
    <w:rsid w:val="00D37E77"/>
    <w:rsid w:val="00D40753"/>
    <w:rsid w:val="00D40E01"/>
    <w:rsid w:val="00D53276"/>
    <w:rsid w:val="00D55A7E"/>
    <w:rsid w:val="00D633D8"/>
    <w:rsid w:val="00D66AF2"/>
    <w:rsid w:val="00D67D4A"/>
    <w:rsid w:val="00D70C58"/>
    <w:rsid w:val="00D71FEA"/>
    <w:rsid w:val="00D73A3B"/>
    <w:rsid w:val="00D7403A"/>
    <w:rsid w:val="00D74FDD"/>
    <w:rsid w:val="00D81F49"/>
    <w:rsid w:val="00D83171"/>
    <w:rsid w:val="00D8499C"/>
    <w:rsid w:val="00D86616"/>
    <w:rsid w:val="00D905FE"/>
    <w:rsid w:val="00D927CF"/>
    <w:rsid w:val="00D93E6C"/>
    <w:rsid w:val="00D9489E"/>
    <w:rsid w:val="00D9490E"/>
    <w:rsid w:val="00D95BCF"/>
    <w:rsid w:val="00D95EC2"/>
    <w:rsid w:val="00D9601C"/>
    <w:rsid w:val="00D97397"/>
    <w:rsid w:val="00DA078B"/>
    <w:rsid w:val="00DA13E0"/>
    <w:rsid w:val="00DA496C"/>
    <w:rsid w:val="00DA6194"/>
    <w:rsid w:val="00DB56D8"/>
    <w:rsid w:val="00DB59C8"/>
    <w:rsid w:val="00DC1C15"/>
    <w:rsid w:val="00DC2D17"/>
    <w:rsid w:val="00DC49A1"/>
    <w:rsid w:val="00DD091E"/>
    <w:rsid w:val="00DD1C76"/>
    <w:rsid w:val="00DD2481"/>
    <w:rsid w:val="00DD2F36"/>
    <w:rsid w:val="00DD5817"/>
    <w:rsid w:val="00DD7001"/>
    <w:rsid w:val="00DE3D07"/>
    <w:rsid w:val="00DE5D83"/>
    <w:rsid w:val="00DE6464"/>
    <w:rsid w:val="00DE6F3B"/>
    <w:rsid w:val="00DE6FFF"/>
    <w:rsid w:val="00DF09C1"/>
    <w:rsid w:val="00DF19CA"/>
    <w:rsid w:val="00DF4234"/>
    <w:rsid w:val="00DF7914"/>
    <w:rsid w:val="00E00EA8"/>
    <w:rsid w:val="00E02AC4"/>
    <w:rsid w:val="00E056CE"/>
    <w:rsid w:val="00E137A4"/>
    <w:rsid w:val="00E13D9C"/>
    <w:rsid w:val="00E2136A"/>
    <w:rsid w:val="00E2706A"/>
    <w:rsid w:val="00E27C47"/>
    <w:rsid w:val="00E304AF"/>
    <w:rsid w:val="00E32BD1"/>
    <w:rsid w:val="00E3327C"/>
    <w:rsid w:val="00E34E59"/>
    <w:rsid w:val="00E358F5"/>
    <w:rsid w:val="00E362E6"/>
    <w:rsid w:val="00E365AD"/>
    <w:rsid w:val="00E37CDC"/>
    <w:rsid w:val="00E40F70"/>
    <w:rsid w:val="00E41369"/>
    <w:rsid w:val="00E4215B"/>
    <w:rsid w:val="00E4380F"/>
    <w:rsid w:val="00E44B16"/>
    <w:rsid w:val="00E535D8"/>
    <w:rsid w:val="00E53E13"/>
    <w:rsid w:val="00E541BF"/>
    <w:rsid w:val="00E54DBC"/>
    <w:rsid w:val="00E553FE"/>
    <w:rsid w:val="00E5753D"/>
    <w:rsid w:val="00E57603"/>
    <w:rsid w:val="00E606B9"/>
    <w:rsid w:val="00E60BC2"/>
    <w:rsid w:val="00E62F6C"/>
    <w:rsid w:val="00E66DD7"/>
    <w:rsid w:val="00E6716F"/>
    <w:rsid w:val="00E677C5"/>
    <w:rsid w:val="00E67E7B"/>
    <w:rsid w:val="00E70701"/>
    <w:rsid w:val="00E71477"/>
    <w:rsid w:val="00E72D85"/>
    <w:rsid w:val="00E72E8E"/>
    <w:rsid w:val="00E74F1C"/>
    <w:rsid w:val="00E75160"/>
    <w:rsid w:val="00E76C44"/>
    <w:rsid w:val="00E77AF3"/>
    <w:rsid w:val="00E81D56"/>
    <w:rsid w:val="00E91326"/>
    <w:rsid w:val="00EA03AE"/>
    <w:rsid w:val="00EA09EF"/>
    <w:rsid w:val="00EA0CBD"/>
    <w:rsid w:val="00EA2071"/>
    <w:rsid w:val="00EA6979"/>
    <w:rsid w:val="00EA7178"/>
    <w:rsid w:val="00EA7583"/>
    <w:rsid w:val="00EB1B0B"/>
    <w:rsid w:val="00EB2749"/>
    <w:rsid w:val="00EB3278"/>
    <w:rsid w:val="00EB3765"/>
    <w:rsid w:val="00EB4B8F"/>
    <w:rsid w:val="00EB5530"/>
    <w:rsid w:val="00EB5F60"/>
    <w:rsid w:val="00EB66B1"/>
    <w:rsid w:val="00EB7A3B"/>
    <w:rsid w:val="00EC1095"/>
    <w:rsid w:val="00EC11D2"/>
    <w:rsid w:val="00EC3032"/>
    <w:rsid w:val="00EC6021"/>
    <w:rsid w:val="00EC670C"/>
    <w:rsid w:val="00EC6C24"/>
    <w:rsid w:val="00EC6CDD"/>
    <w:rsid w:val="00EC71A4"/>
    <w:rsid w:val="00ED2701"/>
    <w:rsid w:val="00ED3EBF"/>
    <w:rsid w:val="00ED5EDF"/>
    <w:rsid w:val="00EE08D5"/>
    <w:rsid w:val="00EE284E"/>
    <w:rsid w:val="00EE4286"/>
    <w:rsid w:val="00EE4766"/>
    <w:rsid w:val="00EE6DEA"/>
    <w:rsid w:val="00EE71F5"/>
    <w:rsid w:val="00EF1AD0"/>
    <w:rsid w:val="00EF53FA"/>
    <w:rsid w:val="00EF57BA"/>
    <w:rsid w:val="00EF5A2D"/>
    <w:rsid w:val="00F02C0D"/>
    <w:rsid w:val="00F02C75"/>
    <w:rsid w:val="00F071B0"/>
    <w:rsid w:val="00F126F6"/>
    <w:rsid w:val="00F134F6"/>
    <w:rsid w:val="00F1353C"/>
    <w:rsid w:val="00F14F57"/>
    <w:rsid w:val="00F20449"/>
    <w:rsid w:val="00F20967"/>
    <w:rsid w:val="00F213D8"/>
    <w:rsid w:val="00F22676"/>
    <w:rsid w:val="00F2363E"/>
    <w:rsid w:val="00F23D52"/>
    <w:rsid w:val="00F23E09"/>
    <w:rsid w:val="00F24736"/>
    <w:rsid w:val="00F24C42"/>
    <w:rsid w:val="00F26F0A"/>
    <w:rsid w:val="00F317FF"/>
    <w:rsid w:val="00F3215D"/>
    <w:rsid w:val="00F328B6"/>
    <w:rsid w:val="00F32C3D"/>
    <w:rsid w:val="00F409D7"/>
    <w:rsid w:val="00F41D30"/>
    <w:rsid w:val="00F42C9D"/>
    <w:rsid w:val="00F45E7E"/>
    <w:rsid w:val="00F477BC"/>
    <w:rsid w:val="00F51421"/>
    <w:rsid w:val="00F5146C"/>
    <w:rsid w:val="00F535E6"/>
    <w:rsid w:val="00F54FF1"/>
    <w:rsid w:val="00F55E95"/>
    <w:rsid w:val="00F616D5"/>
    <w:rsid w:val="00F631DC"/>
    <w:rsid w:val="00F6453B"/>
    <w:rsid w:val="00F656E0"/>
    <w:rsid w:val="00F66037"/>
    <w:rsid w:val="00F67DB2"/>
    <w:rsid w:val="00F67F8B"/>
    <w:rsid w:val="00F7031B"/>
    <w:rsid w:val="00F71FAF"/>
    <w:rsid w:val="00F77B70"/>
    <w:rsid w:val="00F80ADC"/>
    <w:rsid w:val="00F830E9"/>
    <w:rsid w:val="00F831F1"/>
    <w:rsid w:val="00F83A02"/>
    <w:rsid w:val="00F83E8F"/>
    <w:rsid w:val="00F864C3"/>
    <w:rsid w:val="00F8746C"/>
    <w:rsid w:val="00F953F9"/>
    <w:rsid w:val="00F95C69"/>
    <w:rsid w:val="00F9615B"/>
    <w:rsid w:val="00F969B2"/>
    <w:rsid w:val="00F97051"/>
    <w:rsid w:val="00F97509"/>
    <w:rsid w:val="00FA16AC"/>
    <w:rsid w:val="00FA2547"/>
    <w:rsid w:val="00FA445A"/>
    <w:rsid w:val="00FA58C4"/>
    <w:rsid w:val="00FA6B50"/>
    <w:rsid w:val="00FA6DAD"/>
    <w:rsid w:val="00FB5CAF"/>
    <w:rsid w:val="00FB5FB6"/>
    <w:rsid w:val="00FB6DEF"/>
    <w:rsid w:val="00FC196C"/>
    <w:rsid w:val="00FC3517"/>
    <w:rsid w:val="00FC3F8C"/>
    <w:rsid w:val="00FC6BA5"/>
    <w:rsid w:val="00FC7FE8"/>
    <w:rsid w:val="00FD2E29"/>
    <w:rsid w:val="00FD4ECC"/>
    <w:rsid w:val="00FE0963"/>
    <w:rsid w:val="00FE4450"/>
    <w:rsid w:val="00FE58FA"/>
    <w:rsid w:val="00FE6203"/>
    <w:rsid w:val="00FE6821"/>
    <w:rsid w:val="00FF0A4C"/>
    <w:rsid w:val="00FF0C2D"/>
    <w:rsid w:val="00FF1171"/>
    <w:rsid w:val="00FF17CC"/>
    <w:rsid w:val="00FF2083"/>
    <w:rsid w:val="00FF5791"/>
    <w:rsid w:val="00FF7414"/>
    <w:rsid w:val="00FF79FE"/>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796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CE"/>
    <w:pPr>
      <w:spacing w:after="0" w:line="240" w:lineRule="auto"/>
    </w:pPr>
    <w:rPr>
      <w:rFonts w:ascii="Times New Roman" w:eastAsia="Calibri" w:hAnsi="Times New Roman" w:cs="Times New Roman"/>
      <w:sz w:val="24"/>
      <w:szCs w:val="24"/>
      <w:lang w:val="es-ES_tradnl"/>
    </w:rPr>
  </w:style>
  <w:style w:type="paragraph" w:styleId="Heading1">
    <w:name w:val="heading 1"/>
    <w:aliases w:val="Título Verdana"/>
    <w:basedOn w:val="Normal"/>
    <w:next w:val="Normal"/>
    <w:link w:val="Heading1Char"/>
    <w:uiPriority w:val="9"/>
    <w:qFormat/>
    <w:rsid w:val="00D04032"/>
    <w:pPr>
      <w:keepNext/>
      <w:keepLines/>
      <w:spacing w:before="480"/>
      <w:outlineLvl w:val="0"/>
    </w:pPr>
    <w:rPr>
      <w:rFonts w:ascii="Verdana" w:eastAsia="Times New Roman" w:hAnsi="Verdana"/>
      <w:b/>
      <w:bCs/>
      <w:sz w:val="20"/>
      <w:szCs w:val="28"/>
    </w:rPr>
  </w:style>
  <w:style w:type="paragraph" w:styleId="Heading2">
    <w:name w:val="heading 2"/>
    <w:basedOn w:val="Normal"/>
    <w:next w:val="Normal"/>
    <w:link w:val="Heading2Char"/>
    <w:unhideWhenUsed/>
    <w:qFormat/>
    <w:rsid w:val="0076651B"/>
    <w:pPr>
      <w:keepNext/>
      <w:keepLines/>
      <w:outlineLvl w:val="1"/>
    </w:pPr>
    <w:rPr>
      <w:rFonts w:ascii="Verdana" w:eastAsia="Times New Roman" w:hAnsi="Verdana"/>
      <w:b/>
      <w:bCs/>
      <w:sz w:val="20"/>
      <w:szCs w:val="26"/>
    </w:rPr>
  </w:style>
  <w:style w:type="paragraph" w:styleId="Heading3">
    <w:name w:val="heading 3"/>
    <w:basedOn w:val="Normal"/>
    <w:next w:val="Normal"/>
    <w:link w:val="Heading3Char"/>
    <w:uiPriority w:val="9"/>
    <w:unhideWhenUsed/>
    <w:qFormat/>
    <w:rsid w:val="0076651B"/>
    <w:pPr>
      <w:keepNext/>
      <w:keepLines/>
      <w:outlineLvl w:val="2"/>
    </w:pPr>
    <w:rPr>
      <w:rFonts w:ascii="Verdana" w:eastAsiaTheme="majorEastAsia" w:hAnsi="Verdana" w:cstheme="majorBidi"/>
      <w:b/>
      <w:bCs/>
      <w:sz w:val="20"/>
    </w:rPr>
  </w:style>
  <w:style w:type="paragraph" w:styleId="Heading4">
    <w:name w:val="heading 4"/>
    <w:basedOn w:val="Normal"/>
    <w:next w:val="Normal"/>
    <w:link w:val="Heading4Char"/>
    <w:uiPriority w:val="9"/>
    <w:unhideWhenUsed/>
    <w:qFormat/>
    <w:rsid w:val="00262F28"/>
    <w:pPr>
      <w:keepNext/>
      <w:keepLines/>
      <w:outlineLvl w:val="3"/>
    </w:pPr>
    <w:rPr>
      <w:rFonts w:ascii="Verdana" w:eastAsiaTheme="majorEastAsia" w:hAnsi="Verdana" w:cstheme="majorBidi"/>
      <w:b/>
      <w:bCs/>
      <w:i/>
      <w:iCs/>
      <w:sz w:val="20"/>
    </w:rPr>
  </w:style>
  <w:style w:type="paragraph" w:styleId="Heading5">
    <w:name w:val="heading 5"/>
    <w:basedOn w:val="Normal"/>
    <w:next w:val="Normal"/>
    <w:link w:val="Heading5Char"/>
    <w:uiPriority w:val="9"/>
    <w:unhideWhenUsed/>
    <w:qFormat/>
    <w:rsid w:val="009E58AE"/>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D04032"/>
    <w:rPr>
      <w:rFonts w:ascii="Verdana" w:eastAsia="Times New Roman" w:hAnsi="Verdana" w:cs="Times New Roman"/>
      <w:b/>
      <w:bCs/>
      <w:sz w:val="20"/>
      <w:szCs w:val="28"/>
      <w:lang w:val="es-ES_tradnl"/>
    </w:rPr>
  </w:style>
  <w:style w:type="character" w:customStyle="1" w:styleId="Heading2Char">
    <w:name w:val="Heading 2 Char"/>
    <w:basedOn w:val="DefaultParagraphFont"/>
    <w:link w:val="Heading2"/>
    <w:uiPriority w:val="9"/>
    <w:rsid w:val="0076651B"/>
    <w:rPr>
      <w:rFonts w:ascii="Verdana" w:eastAsia="Times New Roman" w:hAnsi="Verdana" w:cs="Times New Roman"/>
      <w:b/>
      <w:bCs/>
      <w:sz w:val="20"/>
      <w:szCs w:val="26"/>
      <w:lang w:val="es-ES_tradnl"/>
    </w:rPr>
  </w:style>
  <w:style w:type="character" w:customStyle="1" w:styleId="Heading3Char">
    <w:name w:val="Heading 3 Char"/>
    <w:basedOn w:val="DefaultParagraphFont"/>
    <w:link w:val="Heading3"/>
    <w:uiPriority w:val="9"/>
    <w:rsid w:val="0076651B"/>
    <w:rPr>
      <w:rFonts w:ascii="Verdana" w:eastAsiaTheme="majorEastAsia" w:hAnsi="Verdana" w:cstheme="majorBidi"/>
      <w:b/>
      <w:bCs/>
      <w:sz w:val="20"/>
      <w:szCs w:val="24"/>
      <w:lang w:val="es-ES_tradnl"/>
    </w:rPr>
  </w:style>
  <w:style w:type="character" w:customStyle="1" w:styleId="Heading4Char">
    <w:name w:val="Heading 4 Char"/>
    <w:basedOn w:val="DefaultParagraphFont"/>
    <w:link w:val="Heading4"/>
    <w:uiPriority w:val="9"/>
    <w:rsid w:val="00262F28"/>
    <w:rPr>
      <w:rFonts w:ascii="Verdana" w:eastAsiaTheme="majorEastAsia" w:hAnsi="Verdana" w:cstheme="majorBidi"/>
      <w:b/>
      <w:bCs/>
      <w:i/>
      <w:iCs/>
      <w:sz w:val="20"/>
      <w:szCs w:val="24"/>
      <w:lang w:val="es-ES_tradnl"/>
    </w:rPr>
  </w:style>
  <w:style w:type="character" w:customStyle="1" w:styleId="Heading5Char">
    <w:name w:val="Heading 5 Char"/>
    <w:basedOn w:val="DefaultParagraphFont"/>
    <w:link w:val="Heading5"/>
    <w:uiPriority w:val="9"/>
    <w:rsid w:val="009E58AE"/>
    <w:rPr>
      <w:rFonts w:asciiTheme="majorHAnsi" w:eastAsiaTheme="majorEastAsia" w:hAnsiTheme="majorHAnsi" w:cstheme="majorBidi"/>
      <w:color w:val="243F60" w:themeColor="accent1" w:themeShade="7F"/>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334B6C"/>
    <w:pPr>
      <w:widowControl w:val="0"/>
      <w:tabs>
        <w:tab w:val="left" w:pos="567"/>
      </w:tabs>
      <w:spacing w:after="40"/>
      <w:jc w:val="both"/>
    </w:pPr>
    <w:rPr>
      <w:rFonts w:ascii="Verdana" w:eastAsia="Batang" w:hAnsi="Verdana"/>
      <w:sz w:val="16"/>
      <w:szCs w:val="16"/>
      <w:lang w:val="en-U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qFormat/>
    <w:rsid w:val="00334B6C"/>
    <w:rPr>
      <w:rFonts w:ascii="Verdana" w:eastAsia="Batang" w:hAnsi="Verdana" w:cs="Times New Roman"/>
      <w:sz w:val="16"/>
      <w:szCs w:val="16"/>
      <w:lang w:eastAsia="es-ES"/>
    </w:rPr>
  </w:style>
  <w:style w:type="paragraph" w:styleId="ListParagraph">
    <w:name w:val="List Paragraph"/>
    <w:aliases w:val="Párrafo de lista1,Footnote,List Paragraph2,List Paragraph1,Colorful List - Accent 11,Lista vistosa - Énfasis 11"/>
    <w:basedOn w:val="Normal"/>
    <w:link w:val="ListParagraphChar"/>
    <w:uiPriority w:val="34"/>
    <w:qFormat/>
    <w:rsid w:val="009E58AE"/>
    <w:pPr>
      <w:ind w:left="720"/>
      <w:contextualSpacing/>
    </w:p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34"/>
    <w:locked/>
    <w:rsid w:val="009E58AE"/>
    <w:rPr>
      <w:rFonts w:ascii="Times New Roman" w:eastAsia="Calibri" w:hAnsi="Times New Roman" w:cs="Times New Roman"/>
      <w:sz w:val="24"/>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9E58AE"/>
    <w:rPr>
      <w:rFonts w:ascii="Verdana" w:hAnsi="Verdana" w:cs="Times New Roman"/>
      <w:sz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E58AE"/>
    <w:pPr>
      <w:jc w:val="both"/>
    </w:pPr>
    <w:rPr>
      <w:rFonts w:ascii="Verdana" w:eastAsiaTheme="minorHAnsi" w:hAnsi="Verdana"/>
      <w:sz w:val="20"/>
      <w:szCs w:val="22"/>
      <w:vertAlign w:val="superscript"/>
      <w:lang w:val="en-US"/>
    </w:rPr>
  </w:style>
  <w:style w:type="character" w:styleId="Hyperlink">
    <w:name w:val="Hyperlink"/>
    <w:aliases w:val="Heading 3 caso"/>
    <w:uiPriority w:val="99"/>
    <w:rsid w:val="009E58AE"/>
    <w:rPr>
      <w:rFonts w:cs="Times New Roman"/>
      <w:color w:val="0000FF"/>
      <w:u w:val="single"/>
    </w:rPr>
  </w:style>
  <w:style w:type="paragraph" w:styleId="TOC1">
    <w:name w:val="toc 1"/>
    <w:basedOn w:val="Normal"/>
    <w:next w:val="Normal"/>
    <w:autoRedefine/>
    <w:uiPriority w:val="39"/>
    <w:unhideWhenUsed/>
    <w:rsid w:val="009D5837"/>
    <w:pPr>
      <w:tabs>
        <w:tab w:val="left" w:pos="0"/>
        <w:tab w:val="right" w:leader="dot" w:pos="8931"/>
      </w:tabs>
      <w:ind w:right="958"/>
      <w:jc w:val="both"/>
    </w:pPr>
    <w:rPr>
      <w:rFonts w:ascii="Verdana" w:hAnsi="Verdana" w:cs="Verdana"/>
      <w:b/>
      <w:caps/>
      <w:noProof/>
      <w:snapToGrid w:val="0"/>
      <w:sz w:val="20"/>
      <w:szCs w:val="20"/>
    </w:rPr>
  </w:style>
  <w:style w:type="paragraph" w:styleId="TOC2">
    <w:name w:val="toc 2"/>
    <w:basedOn w:val="Normal"/>
    <w:next w:val="Normal"/>
    <w:autoRedefine/>
    <w:uiPriority w:val="39"/>
    <w:unhideWhenUsed/>
    <w:rsid w:val="00167383"/>
    <w:pPr>
      <w:tabs>
        <w:tab w:val="left" w:pos="720"/>
        <w:tab w:val="right" w:leader="dot" w:pos="8931"/>
      </w:tabs>
      <w:ind w:left="238" w:right="815"/>
      <w:jc w:val="both"/>
    </w:pPr>
  </w:style>
  <w:style w:type="paragraph" w:styleId="TOC3">
    <w:name w:val="toc 3"/>
    <w:basedOn w:val="Normal"/>
    <w:next w:val="Normal"/>
    <w:autoRedefine/>
    <w:uiPriority w:val="39"/>
    <w:unhideWhenUsed/>
    <w:rsid w:val="009D5837"/>
    <w:pPr>
      <w:tabs>
        <w:tab w:val="left" w:pos="960"/>
        <w:tab w:val="right" w:leader="dot" w:pos="8828"/>
      </w:tabs>
      <w:ind w:left="482" w:right="815"/>
      <w:contextualSpacing/>
    </w:pPr>
  </w:style>
  <w:style w:type="paragraph" w:styleId="Footer">
    <w:name w:val="footer"/>
    <w:basedOn w:val="Normal"/>
    <w:link w:val="FooterChar"/>
    <w:uiPriority w:val="99"/>
    <w:unhideWhenUsed/>
    <w:rsid w:val="009E58AE"/>
    <w:pPr>
      <w:tabs>
        <w:tab w:val="center" w:pos="4419"/>
        <w:tab w:val="right" w:pos="8838"/>
      </w:tabs>
    </w:pPr>
  </w:style>
  <w:style w:type="character" w:customStyle="1" w:styleId="FooterChar">
    <w:name w:val="Footer Char"/>
    <w:basedOn w:val="DefaultParagraphFont"/>
    <w:link w:val="Footer"/>
    <w:uiPriority w:val="99"/>
    <w:rsid w:val="009E58AE"/>
    <w:rPr>
      <w:rFonts w:ascii="Times New Roman" w:eastAsia="Calibri" w:hAnsi="Times New Roman" w:cs="Times New Roman"/>
      <w:sz w:val="24"/>
      <w:szCs w:val="24"/>
      <w:lang w:val="es-ES_tradnl"/>
    </w:rPr>
  </w:style>
  <w:style w:type="character" w:styleId="CommentReference">
    <w:name w:val="annotation reference"/>
    <w:basedOn w:val="DefaultParagraphFont"/>
    <w:uiPriority w:val="99"/>
    <w:unhideWhenUsed/>
    <w:rsid w:val="009E58AE"/>
    <w:rPr>
      <w:sz w:val="16"/>
      <w:szCs w:val="16"/>
    </w:rPr>
  </w:style>
  <w:style w:type="character" w:customStyle="1" w:styleId="CommentTextChar">
    <w:name w:val="Comment Text Char"/>
    <w:basedOn w:val="DefaultParagraphFont"/>
    <w:link w:val="CommentText"/>
    <w:uiPriority w:val="99"/>
    <w:rsid w:val="009E58AE"/>
    <w:rPr>
      <w:rFonts w:ascii="Times New Roman" w:eastAsia="Calibri" w:hAnsi="Times New Roman" w:cs="Times New Roman"/>
      <w:sz w:val="20"/>
      <w:szCs w:val="20"/>
      <w:lang w:val="es-ES_tradnl"/>
    </w:rPr>
  </w:style>
  <w:style w:type="paragraph" w:styleId="CommentText">
    <w:name w:val="annotation text"/>
    <w:basedOn w:val="Normal"/>
    <w:link w:val="CommentTextChar"/>
    <w:uiPriority w:val="99"/>
    <w:unhideWhenUsed/>
    <w:rsid w:val="009E58AE"/>
    <w:rPr>
      <w:sz w:val="20"/>
      <w:szCs w:val="20"/>
    </w:rPr>
  </w:style>
  <w:style w:type="character" w:customStyle="1" w:styleId="CommentTextChar1">
    <w:name w:val="Comment Text Char1"/>
    <w:basedOn w:val="DefaultParagraphFont"/>
    <w:uiPriority w:val="99"/>
    <w:semiHidden/>
    <w:rsid w:val="009E58AE"/>
    <w:rPr>
      <w:rFonts w:ascii="Times New Roman" w:eastAsia="Calibri" w:hAnsi="Times New Roman" w:cs="Times New Roman"/>
      <w:sz w:val="20"/>
      <w:szCs w:val="20"/>
      <w:lang w:val="es-ES_tradnl"/>
    </w:rPr>
  </w:style>
  <w:style w:type="character" w:customStyle="1" w:styleId="apple-converted-space">
    <w:name w:val="apple-converted-space"/>
    <w:basedOn w:val="DefaultParagraphFont"/>
    <w:rsid w:val="009E58AE"/>
  </w:style>
  <w:style w:type="character" w:styleId="Strong">
    <w:name w:val="Strong"/>
    <w:basedOn w:val="DefaultParagraphFont"/>
    <w:uiPriority w:val="22"/>
    <w:qFormat/>
    <w:rsid w:val="009E58AE"/>
    <w:rPr>
      <w:b/>
      <w:bCs/>
    </w:rPr>
  </w:style>
  <w:style w:type="character" w:customStyle="1" w:styleId="BalloonTextChar">
    <w:name w:val="Balloon Text Char"/>
    <w:basedOn w:val="DefaultParagraphFont"/>
    <w:link w:val="BalloonText"/>
    <w:uiPriority w:val="99"/>
    <w:semiHidden/>
    <w:rsid w:val="009E58AE"/>
    <w:rPr>
      <w:rFonts w:ascii="Tahoma" w:eastAsia="Calibri" w:hAnsi="Tahoma" w:cs="Tahoma"/>
      <w:sz w:val="16"/>
      <w:szCs w:val="16"/>
      <w:lang w:val="es-ES_tradnl"/>
    </w:rPr>
  </w:style>
  <w:style w:type="paragraph" w:styleId="BalloonText">
    <w:name w:val="Balloon Text"/>
    <w:basedOn w:val="Normal"/>
    <w:link w:val="BalloonTextChar"/>
    <w:uiPriority w:val="99"/>
    <w:semiHidden/>
    <w:unhideWhenUsed/>
    <w:rsid w:val="009E58AE"/>
    <w:rPr>
      <w:rFonts w:ascii="Tahoma" w:hAnsi="Tahoma" w:cs="Tahoma"/>
      <w:sz w:val="16"/>
      <w:szCs w:val="16"/>
    </w:rPr>
  </w:style>
  <w:style w:type="character" w:customStyle="1" w:styleId="BalloonTextChar1">
    <w:name w:val="Balloon Text Char1"/>
    <w:basedOn w:val="DefaultParagraphFont"/>
    <w:uiPriority w:val="99"/>
    <w:semiHidden/>
    <w:rsid w:val="009E58AE"/>
    <w:rPr>
      <w:rFonts w:ascii="Tahoma" w:eastAsia="Calibri" w:hAnsi="Tahoma" w:cs="Tahoma"/>
      <w:sz w:val="16"/>
      <w:szCs w:val="16"/>
      <w:lang w:val="es-ES_tradnl"/>
    </w:rPr>
  </w:style>
  <w:style w:type="paragraph" w:styleId="Header">
    <w:name w:val="header"/>
    <w:basedOn w:val="Normal"/>
    <w:link w:val="HeaderChar"/>
    <w:uiPriority w:val="99"/>
    <w:unhideWhenUsed/>
    <w:rsid w:val="009E58AE"/>
    <w:pPr>
      <w:tabs>
        <w:tab w:val="center" w:pos="4419"/>
        <w:tab w:val="right" w:pos="8838"/>
      </w:tabs>
    </w:pPr>
    <w:rPr>
      <w:rFonts w:asciiTheme="minorHAnsi" w:eastAsiaTheme="minorHAnsi" w:hAnsiTheme="minorHAnsi" w:cstheme="minorBidi"/>
      <w:sz w:val="22"/>
      <w:szCs w:val="22"/>
      <w:lang w:val="es-CR"/>
    </w:rPr>
  </w:style>
  <w:style w:type="character" w:customStyle="1" w:styleId="HeaderChar">
    <w:name w:val="Header Char"/>
    <w:basedOn w:val="DefaultParagraphFont"/>
    <w:link w:val="Header"/>
    <w:uiPriority w:val="99"/>
    <w:rsid w:val="009E58AE"/>
    <w:rPr>
      <w:lang w:val="es-CR"/>
    </w:rPr>
  </w:style>
  <w:style w:type="paragraph" w:styleId="CommentSubject">
    <w:name w:val="annotation subject"/>
    <w:basedOn w:val="CommentText"/>
    <w:next w:val="CommentText"/>
    <w:link w:val="CommentSubjectChar"/>
    <w:uiPriority w:val="99"/>
    <w:semiHidden/>
    <w:unhideWhenUsed/>
    <w:rsid w:val="009E58AE"/>
    <w:pPr>
      <w:spacing w:after="200"/>
    </w:pPr>
    <w:rPr>
      <w:rFonts w:asciiTheme="minorHAnsi" w:eastAsiaTheme="minorHAnsi" w:hAnsiTheme="minorHAnsi" w:cstheme="minorBidi"/>
      <w:b/>
      <w:bCs/>
      <w:lang w:val="es-CR"/>
    </w:rPr>
  </w:style>
  <w:style w:type="character" w:customStyle="1" w:styleId="CommentSubjectChar">
    <w:name w:val="Comment Subject Char"/>
    <w:basedOn w:val="CommentTextChar1"/>
    <w:link w:val="CommentSubject"/>
    <w:uiPriority w:val="99"/>
    <w:semiHidden/>
    <w:rsid w:val="009E58AE"/>
    <w:rPr>
      <w:rFonts w:ascii="Times New Roman" w:eastAsia="Calibri" w:hAnsi="Times New Roman" w:cs="Times New Roman"/>
      <w:b/>
      <w:bCs/>
      <w:sz w:val="20"/>
      <w:szCs w:val="20"/>
      <w:lang w:val="es-CR"/>
    </w:rPr>
  </w:style>
  <w:style w:type="paragraph" w:customStyle="1" w:styleId="Footnotes">
    <w:name w:val="**. Footnotes"/>
    <w:basedOn w:val="FootnoteText"/>
    <w:link w:val="FootnotesChar"/>
    <w:autoRedefine/>
    <w:qFormat/>
    <w:rsid w:val="009E58AE"/>
    <w:pPr>
      <w:spacing w:before="120"/>
    </w:pPr>
    <w:rPr>
      <w:rFonts w:cs="Palatino-Italic"/>
      <w:iCs/>
      <w:lang w:eastAsia="en-US"/>
    </w:rPr>
  </w:style>
  <w:style w:type="character" w:customStyle="1" w:styleId="FootnotesChar">
    <w:name w:val="**. Footnotes Char"/>
    <w:basedOn w:val="DefaultParagraphFont"/>
    <w:link w:val="Footnotes"/>
    <w:rsid w:val="009E58AE"/>
    <w:rPr>
      <w:rFonts w:ascii="Verdana" w:eastAsia="Batang" w:hAnsi="Verdana" w:cs="Palatino-Italic"/>
      <w:iCs/>
      <w:sz w:val="16"/>
      <w:szCs w:val="16"/>
      <w:lang w:val="es-ES"/>
    </w:rPr>
  </w:style>
  <w:style w:type="character" w:customStyle="1" w:styleId="apple-style-span">
    <w:name w:val="apple-style-span"/>
    <w:basedOn w:val="DefaultParagraphFont"/>
    <w:rsid w:val="009E58AE"/>
    <w:rPr>
      <w:rFonts w:cs="Times New Roman"/>
    </w:rPr>
  </w:style>
  <w:style w:type="paragraph" w:customStyle="1" w:styleId="Default">
    <w:name w:val="Default"/>
    <w:rsid w:val="009E58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
    <w:name w:val="Título1"/>
    <w:basedOn w:val="DefaultParagraphFont"/>
    <w:rsid w:val="009E58AE"/>
  </w:style>
  <w:style w:type="paragraph" w:styleId="NoSpacing">
    <w:name w:val="No Spacing"/>
    <w:uiPriority w:val="1"/>
    <w:qFormat/>
    <w:rsid w:val="009E58AE"/>
    <w:pPr>
      <w:spacing w:after="0" w:line="240" w:lineRule="auto"/>
    </w:pPr>
    <w:rPr>
      <w:rFonts w:eastAsiaTheme="minorEastAsia"/>
    </w:rPr>
  </w:style>
  <w:style w:type="paragraph" w:styleId="TOC4">
    <w:name w:val="toc 4"/>
    <w:basedOn w:val="Normal"/>
    <w:next w:val="Normal"/>
    <w:autoRedefine/>
    <w:uiPriority w:val="39"/>
    <w:unhideWhenUsed/>
    <w:rsid w:val="009E58AE"/>
    <w:pPr>
      <w:spacing w:after="100"/>
      <w:ind w:left="720"/>
    </w:pPr>
  </w:style>
  <w:style w:type="paragraph" w:styleId="TOC5">
    <w:name w:val="toc 5"/>
    <w:basedOn w:val="Normal"/>
    <w:next w:val="Normal"/>
    <w:autoRedefine/>
    <w:uiPriority w:val="39"/>
    <w:unhideWhenUsed/>
    <w:rsid w:val="009E58AE"/>
    <w:pPr>
      <w:spacing w:after="100"/>
      <w:ind w:left="960"/>
    </w:pPr>
  </w:style>
  <w:style w:type="character" w:styleId="LineNumber">
    <w:name w:val="line number"/>
    <w:basedOn w:val="DefaultParagraphFont"/>
    <w:uiPriority w:val="99"/>
    <w:unhideWhenUsed/>
    <w:rsid w:val="009E58AE"/>
    <w:rPr>
      <w:rFonts w:ascii="Verdana" w:hAnsi="Verdana"/>
      <w:sz w:val="20"/>
    </w:rPr>
  </w:style>
  <w:style w:type="paragraph" w:customStyle="1" w:styleId="PrrafodeSentencia">
    <w:name w:val="*. Párrafo de Sentencia"/>
    <w:link w:val="PrrafodeSentenciaChar"/>
    <w:autoRedefine/>
    <w:qFormat/>
    <w:rsid w:val="009E58AE"/>
    <w:pPr>
      <w:tabs>
        <w:tab w:val="left" w:pos="0"/>
        <w:tab w:val="left" w:pos="567"/>
      </w:tabs>
      <w:spacing w:after="0" w:line="240" w:lineRule="auto"/>
      <w:jc w:val="both"/>
    </w:pPr>
    <w:rPr>
      <w:rFonts w:ascii="Verdana" w:eastAsia="Batang" w:hAnsi="Verdana" w:cs="Times New Roman"/>
      <w:sz w:val="16"/>
      <w:szCs w:val="16"/>
      <w:lang w:val="es-MX" w:eastAsia="es-MX"/>
    </w:rPr>
  </w:style>
  <w:style w:type="character" w:customStyle="1" w:styleId="PrrafodeSentenciaChar">
    <w:name w:val="*. Párrafo de Sentencia Char"/>
    <w:link w:val="PrrafodeSentencia"/>
    <w:rsid w:val="009E58AE"/>
    <w:rPr>
      <w:rFonts w:ascii="Verdana" w:eastAsia="Batang" w:hAnsi="Verdana" w:cs="Times New Roman"/>
      <w:sz w:val="16"/>
      <w:szCs w:val="16"/>
      <w:lang w:val="es-MX" w:eastAsia="es-MX"/>
    </w:rPr>
  </w:style>
  <w:style w:type="character" w:customStyle="1" w:styleId="hps">
    <w:name w:val="hps"/>
    <w:basedOn w:val="DefaultParagraphFont"/>
    <w:rsid w:val="009E58AE"/>
  </w:style>
  <w:style w:type="paragraph" w:styleId="HTMLPreformatted">
    <w:name w:val="HTML Preformatted"/>
    <w:basedOn w:val="Normal"/>
    <w:link w:val="HTMLPreformattedChar"/>
    <w:uiPriority w:val="99"/>
    <w:unhideWhenUsed/>
    <w:rsid w:val="009E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9E58AE"/>
    <w:rPr>
      <w:rFonts w:ascii="Courier New" w:eastAsia="Times New Roman" w:hAnsi="Courier New" w:cs="Times New Roman"/>
      <w:sz w:val="20"/>
      <w:szCs w:val="20"/>
      <w:lang w:val="es-ES_tradnl"/>
    </w:rPr>
  </w:style>
  <w:style w:type="paragraph" w:customStyle="1" w:styleId="2Footnotes">
    <w:name w:val="2. Footnotes"/>
    <w:basedOn w:val="FootnoteText"/>
    <w:link w:val="2FootnotesChar"/>
    <w:autoRedefine/>
    <w:qFormat/>
    <w:rsid w:val="009E58AE"/>
    <w:pPr>
      <w:tabs>
        <w:tab w:val="clear" w:pos="567"/>
      </w:tabs>
      <w:spacing w:before="120"/>
    </w:pPr>
    <w:rPr>
      <w:rFonts w:eastAsia="Times New Roman" w:cs="Palatino-Italic"/>
      <w:iCs/>
      <w:noProof/>
      <w:szCs w:val="18"/>
      <w:lang w:eastAsia="en-US"/>
    </w:rPr>
  </w:style>
  <w:style w:type="character" w:customStyle="1" w:styleId="2FootnotesChar">
    <w:name w:val="2. Footnotes Char"/>
    <w:link w:val="2Footnotes"/>
    <w:rsid w:val="009E58AE"/>
    <w:rPr>
      <w:rFonts w:ascii="Verdana" w:eastAsia="Times New Roman" w:hAnsi="Verdana" w:cs="Palatino-Italic"/>
      <w:iCs/>
      <w:noProof/>
      <w:sz w:val="16"/>
      <w:szCs w:val="18"/>
      <w:lang w:val="es-ES"/>
    </w:rPr>
  </w:style>
  <w:style w:type="paragraph" w:styleId="NormalWeb">
    <w:name w:val="Normal (Web)"/>
    <w:aliases w:val="Normal (Web) Char1,Normal (Web) Char Char,Normal (Web) Char1 Char,Normal (Web) Char Char Char"/>
    <w:basedOn w:val="Normal"/>
    <w:uiPriority w:val="99"/>
    <w:unhideWhenUsed/>
    <w:rsid w:val="009E58AE"/>
    <w:pPr>
      <w:spacing w:before="100" w:beforeAutospacing="1" w:after="100" w:afterAutospacing="1"/>
    </w:pPr>
    <w:rPr>
      <w:rFonts w:eastAsia="Times New Roman"/>
      <w:lang w:val="es-CR" w:eastAsia="es-CR"/>
    </w:rPr>
  </w:style>
  <w:style w:type="paragraph" w:customStyle="1" w:styleId="xmsonormal">
    <w:name w:val="x_msonormal"/>
    <w:basedOn w:val="Normal"/>
    <w:rsid w:val="009E58AE"/>
    <w:pPr>
      <w:spacing w:before="100" w:beforeAutospacing="1" w:after="100" w:afterAutospacing="1"/>
    </w:pPr>
    <w:rPr>
      <w:rFonts w:eastAsia="Times New Roman"/>
      <w:lang w:val="en-US"/>
    </w:rPr>
  </w:style>
  <w:style w:type="paragraph" w:customStyle="1" w:styleId="HChG">
    <w:name w:val="_ H _Ch_G"/>
    <w:basedOn w:val="Normal"/>
    <w:next w:val="Normal"/>
    <w:rsid w:val="009E58AE"/>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9E58AE"/>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Estilo1">
    <w:name w:val="Estilo1"/>
    <w:basedOn w:val="ListParagraph"/>
    <w:link w:val="Estilo1Car"/>
    <w:qFormat/>
    <w:rsid w:val="009E58AE"/>
    <w:pPr>
      <w:numPr>
        <w:numId w:val="3"/>
      </w:numPr>
      <w:spacing w:after="240"/>
      <w:contextualSpacing w:val="0"/>
      <w:jc w:val="both"/>
    </w:pPr>
    <w:rPr>
      <w:lang w:val="es-UY"/>
    </w:rPr>
  </w:style>
  <w:style w:type="character" w:customStyle="1" w:styleId="Estilo1Car">
    <w:name w:val="Estilo1 Car"/>
    <w:link w:val="Estilo1"/>
    <w:locked/>
    <w:rsid w:val="009E58AE"/>
    <w:rPr>
      <w:rFonts w:ascii="Times New Roman" w:eastAsia="Calibri" w:hAnsi="Times New Roman" w:cs="Times New Roman"/>
      <w:sz w:val="24"/>
      <w:szCs w:val="24"/>
      <w:lang w:val="es-UY"/>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DefaultParagraphFont"/>
    <w:qFormat/>
    <w:locked/>
    <w:rsid w:val="009E58AE"/>
    <w:rPr>
      <w:rFonts w:ascii="Verdana" w:eastAsia="MS Mincho" w:hAnsi="Verdana" w:cs="Times"/>
      <w:sz w:val="16"/>
      <w:szCs w:val="24"/>
      <w:lang w:val="es-ES_tradnl"/>
    </w:rPr>
  </w:style>
  <w:style w:type="character" w:customStyle="1" w:styleId="Smbolodenotaalpie">
    <w:name w:val="Símbolo de nota al pie"/>
    <w:rsid w:val="009E58AE"/>
    <w:rPr>
      <w:vertAlign w:val="superscript"/>
    </w:rPr>
  </w:style>
  <w:style w:type="paragraph" w:styleId="BodyText">
    <w:name w:val="Body Text"/>
    <w:basedOn w:val="Normal"/>
    <w:link w:val="BodyTextChar"/>
    <w:uiPriority w:val="99"/>
    <w:semiHidden/>
    <w:unhideWhenUsed/>
    <w:rsid w:val="009E58AE"/>
    <w:pPr>
      <w:jc w:val="both"/>
    </w:pPr>
    <w:rPr>
      <w:rFonts w:ascii="Garamond" w:eastAsia="Times" w:hAnsi="Garamond"/>
      <w:noProof/>
      <w:sz w:val="22"/>
      <w:szCs w:val="20"/>
    </w:rPr>
  </w:style>
  <w:style w:type="character" w:customStyle="1" w:styleId="BodyTextChar">
    <w:name w:val="Body Text Char"/>
    <w:basedOn w:val="DefaultParagraphFont"/>
    <w:link w:val="BodyText"/>
    <w:uiPriority w:val="99"/>
    <w:semiHidden/>
    <w:rsid w:val="009E58AE"/>
    <w:rPr>
      <w:rFonts w:ascii="Garamond" w:eastAsia="Times" w:hAnsi="Garamond" w:cs="Times New Roman"/>
      <w:noProof/>
      <w:szCs w:val="20"/>
      <w:lang w:val="es-ES_tradnl"/>
    </w:rPr>
  </w:style>
  <w:style w:type="character" w:customStyle="1" w:styleId="BodyTextIndentChar">
    <w:name w:val="Body Text Indent Char"/>
    <w:basedOn w:val="DefaultParagraphFont"/>
    <w:link w:val="BodyTextIndent"/>
    <w:uiPriority w:val="99"/>
    <w:semiHidden/>
    <w:rsid w:val="009E58AE"/>
    <w:rPr>
      <w:rFonts w:ascii="Times New Roman" w:eastAsia="Calibri" w:hAnsi="Times New Roman" w:cs="Times New Roman"/>
      <w:sz w:val="24"/>
      <w:szCs w:val="24"/>
      <w:lang w:val="es-ES_tradnl"/>
    </w:rPr>
  </w:style>
  <w:style w:type="paragraph" w:styleId="BodyTextIndent">
    <w:name w:val="Body Text Indent"/>
    <w:basedOn w:val="Normal"/>
    <w:link w:val="BodyTextIndentChar"/>
    <w:uiPriority w:val="99"/>
    <w:semiHidden/>
    <w:unhideWhenUsed/>
    <w:rsid w:val="009E58AE"/>
    <w:pPr>
      <w:spacing w:after="120"/>
      <w:ind w:left="283"/>
    </w:pPr>
  </w:style>
  <w:style w:type="character" w:customStyle="1" w:styleId="BodyTextIndentChar1">
    <w:name w:val="Body Text Indent Char1"/>
    <w:basedOn w:val="DefaultParagraphFont"/>
    <w:uiPriority w:val="99"/>
    <w:semiHidden/>
    <w:rsid w:val="009E58AE"/>
    <w:rPr>
      <w:rFonts w:ascii="Times New Roman" w:eastAsia="Calibri" w:hAnsi="Times New Roman" w:cs="Times New Roman"/>
      <w:sz w:val="24"/>
      <w:szCs w:val="24"/>
      <w:lang w:val="es-ES_tradnl"/>
    </w:rPr>
  </w:style>
  <w:style w:type="character" w:customStyle="1" w:styleId="Estilo1Char">
    <w:name w:val="Estilo1 Char"/>
    <w:rsid w:val="009E58AE"/>
    <w:rPr>
      <w:rFonts w:ascii="Verdana" w:eastAsia="Calibri" w:hAnsi="Verdana" w:cs="Times New Roman"/>
      <w:sz w:val="20"/>
      <w:szCs w:val="20"/>
      <w:lang w:val="es-ES"/>
    </w:rPr>
  </w:style>
  <w:style w:type="paragraph" w:customStyle="1" w:styleId="Estilo2">
    <w:name w:val="Estilo2"/>
    <w:basedOn w:val="Normal"/>
    <w:qFormat/>
    <w:rsid w:val="009E58AE"/>
    <w:pPr>
      <w:tabs>
        <w:tab w:val="left" w:pos="567"/>
        <w:tab w:val="left" w:pos="1134"/>
        <w:tab w:val="num" w:pos="4767"/>
      </w:tabs>
      <w:spacing w:after="120"/>
      <w:ind w:left="4767" w:hanging="360"/>
      <w:jc w:val="both"/>
    </w:pPr>
    <w:rPr>
      <w:rFonts w:ascii="Verdana" w:hAnsi="Verdana"/>
      <w:sz w:val="20"/>
      <w:szCs w:val="20"/>
      <w:lang w:val="es-ES"/>
    </w:rPr>
  </w:style>
  <w:style w:type="paragraph" w:styleId="BodyTextIndent3">
    <w:name w:val="Body Text Indent 3"/>
    <w:basedOn w:val="Normal"/>
    <w:link w:val="BodyTextIndent3Char"/>
    <w:rsid w:val="009E58AE"/>
    <w:pPr>
      <w:ind w:left="720"/>
      <w:jc w:val="both"/>
    </w:pPr>
    <w:rPr>
      <w:rFonts w:ascii="Verdana" w:eastAsia="Times" w:hAnsi="Verdana"/>
      <w:b/>
      <w:sz w:val="22"/>
      <w:szCs w:val="20"/>
      <w:lang w:eastAsia="es-ES"/>
    </w:rPr>
  </w:style>
  <w:style w:type="character" w:customStyle="1" w:styleId="BodyTextIndent3Char">
    <w:name w:val="Body Text Indent 3 Char"/>
    <w:basedOn w:val="DefaultParagraphFont"/>
    <w:link w:val="BodyTextIndent3"/>
    <w:rsid w:val="009E58AE"/>
    <w:rPr>
      <w:rFonts w:ascii="Verdana" w:eastAsia="Times" w:hAnsi="Verdana" w:cs="Times New Roman"/>
      <w:b/>
      <w:szCs w:val="20"/>
      <w:lang w:val="es-ES_tradnl" w:eastAsia="es-ES"/>
    </w:rPr>
  </w:style>
  <w:style w:type="paragraph" w:customStyle="1" w:styleId="Estilo7">
    <w:name w:val="Estilo7"/>
    <w:basedOn w:val="Normal"/>
    <w:qFormat/>
    <w:rsid w:val="009E58AE"/>
    <w:pPr>
      <w:tabs>
        <w:tab w:val="left" w:pos="567"/>
        <w:tab w:val="left" w:pos="851"/>
        <w:tab w:val="num" w:pos="2160"/>
      </w:tabs>
      <w:spacing w:before="120" w:after="120"/>
      <w:ind w:left="2160" w:hanging="180"/>
      <w:jc w:val="both"/>
    </w:pPr>
    <w:rPr>
      <w:rFonts w:ascii="Verdana" w:eastAsia="Batang" w:hAnsi="Verdana"/>
      <w:b/>
      <w:i/>
      <w:sz w:val="20"/>
      <w:szCs w:val="20"/>
      <w:lang w:eastAsia="es-MX"/>
    </w:rPr>
  </w:style>
  <w:style w:type="paragraph" w:customStyle="1" w:styleId="Sangradetindependiente">
    <w:name w:val="Sangr’a de t. independiente"/>
    <w:basedOn w:val="Normal"/>
    <w:rsid w:val="009E58AE"/>
    <w:pPr>
      <w:overflowPunct w:val="0"/>
      <w:autoSpaceDE w:val="0"/>
      <w:autoSpaceDN w:val="0"/>
      <w:adjustRightInd w:val="0"/>
      <w:jc w:val="both"/>
      <w:textAlignment w:val="baseline"/>
    </w:pPr>
    <w:rPr>
      <w:rFonts w:eastAsia="Times New Roman"/>
      <w:szCs w:val="20"/>
      <w:lang w:eastAsia="es-ES"/>
    </w:rPr>
  </w:style>
  <w:style w:type="paragraph" w:styleId="EndnoteText">
    <w:name w:val="endnote text"/>
    <w:basedOn w:val="Normal"/>
    <w:link w:val="EndnoteTextChar"/>
    <w:rsid w:val="009E58AE"/>
    <w:rPr>
      <w:rFonts w:ascii="Verdana" w:eastAsia="Times" w:hAnsi="Verdana"/>
      <w:sz w:val="20"/>
      <w:szCs w:val="20"/>
      <w:lang w:val="es-CR"/>
    </w:rPr>
  </w:style>
  <w:style w:type="character" w:customStyle="1" w:styleId="EndnoteTextChar">
    <w:name w:val="Endnote Text Char"/>
    <w:basedOn w:val="DefaultParagraphFont"/>
    <w:link w:val="EndnoteText"/>
    <w:rsid w:val="009E58AE"/>
    <w:rPr>
      <w:rFonts w:ascii="Verdana" w:eastAsia="Times" w:hAnsi="Verdana" w:cs="Times New Roman"/>
      <w:sz w:val="20"/>
      <w:szCs w:val="20"/>
      <w:lang w:val="es-CR"/>
    </w:rPr>
  </w:style>
  <w:style w:type="character" w:customStyle="1" w:styleId="Caracteresdenotafinal">
    <w:name w:val="Caracteres de nota final"/>
    <w:basedOn w:val="DefaultParagraphFont"/>
    <w:rsid w:val="009E58AE"/>
    <w:rPr>
      <w:vertAlign w:val="superscript"/>
    </w:rPr>
  </w:style>
  <w:style w:type="character" w:customStyle="1" w:styleId="normalchar1">
    <w:name w:val="normal__char1"/>
    <w:basedOn w:val="DefaultParagraphFont"/>
    <w:rsid w:val="009E58AE"/>
    <w:rPr>
      <w:rFonts w:ascii="Verdana" w:hAnsi="Verdana" w:hint="default"/>
      <w:sz w:val="20"/>
      <w:szCs w:val="20"/>
    </w:rPr>
  </w:style>
  <w:style w:type="character" w:customStyle="1" w:styleId="FootnoteTextCharCar">
    <w:name w:val="Footnote Text Char Car"/>
    <w:aliases w:val="FA Car,Note de bas de page Car Car Car"/>
    <w:basedOn w:val="DefaultParagraphFont"/>
    <w:uiPriority w:val="99"/>
    <w:locked/>
    <w:rsid w:val="009E58AE"/>
  </w:style>
  <w:style w:type="character" w:customStyle="1" w:styleId="sb8d990e2">
    <w:name w:val="sb8d990e2"/>
    <w:uiPriority w:val="99"/>
    <w:rsid w:val="009E58AE"/>
  </w:style>
  <w:style w:type="paragraph" w:customStyle="1" w:styleId="Prrafodelista2">
    <w:name w:val="Párrafo de lista2"/>
    <w:basedOn w:val="Normal"/>
    <w:uiPriority w:val="99"/>
    <w:rsid w:val="009E58AE"/>
    <w:pPr>
      <w:ind w:left="720"/>
    </w:pPr>
    <w:rPr>
      <w:rFonts w:ascii="Verdana" w:eastAsia="MS Mincho" w:hAnsi="Verdana"/>
      <w:sz w:val="20"/>
      <w:szCs w:val="20"/>
      <w:lang w:bidi="en-US"/>
    </w:rPr>
  </w:style>
  <w:style w:type="character" w:customStyle="1" w:styleId="st1">
    <w:name w:val="st1"/>
    <w:basedOn w:val="DefaultParagraphFont"/>
    <w:rsid w:val="009E58AE"/>
  </w:style>
  <w:style w:type="paragraph" w:styleId="Revision">
    <w:name w:val="Revision"/>
    <w:hidden/>
    <w:uiPriority w:val="99"/>
    <w:semiHidden/>
    <w:rsid w:val="002C1303"/>
    <w:pPr>
      <w:spacing w:after="0" w:line="240" w:lineRule="auto"/>
    </w:pPr>
    <w:rPr>
      <w:rFonts w:ascii="Times New Roman" w:eastAsia="Calibri" w:hAnsi="Times New Roman" w:cs="Times New Roman"/>
      <w:sz w:val="24"/>
      <w:szCs w:val="24"/>
      <w:lang w:val="es-ES_tradnl"/>
    </w:rPr>
  </w:style>
  <w:style w:type="paragraph" w:customStyle="1" w:styleId="NormalNumbered">
    <w:name w:val="Normal Numbered"/>
    <w:basedOn w:val="Normal"/>
    <w:qFormat/>
    <w:rsid w:val="00F54FF1"/>
    <w:pPr>
      <w:numPr>
        <w:numId w:val="6"/>
      </w:numPr>
      <w:ind w:left="0" w:firstLine="0"/>
      <w:jc w:val="both"/>
    </w:pPr>
    <w:rPr>
      <w:rFonts w:ascii="Verdana" w:eastAsia="Times New Roman" w:hAnsi="Verdana"/>
      <w:sz w:val="20"/>
      <w:szCs w:val="20"/>
      <w:lang w:val="x-none" w:eastAsia="x-none"/>
    </w:rPr>
  </w:style>
  <w:style w:type="numbering" w:customStyle="1" w:styleId="NoList1">
    <w:name w:val="No List1"/>
    <w:next w:val="NoList"/>
    <w:uiPriority w:val="99"/>
    <w:semiHidden/>
    <w:unhideWhenUsed/>
    <w:rsid w:val="00C01305"/>
  </w:style>
  <w:style w:type="paragraph" w:customStyle="1" w:styleId="ju-005fpara-002cleft-002cfirst-0020line-003a-0020-00200-0020cm">
    <w:name w:val="ju-005fpara-002cleft-002cfirst-0020line-003a-0020-00200-0020cm"/>
    <w:basedOn w:val="Normal"/>
    <w:rsid w:val="00C01305"/>
    <w:pPr>
      <w:spacing w:after="135"/>
    </w:pPr>
    <w:rPr>
      <w:rFonts w:eastAsia="Times New Roman"/>
      <w:lang w:val="es-MX" w:eastAsia="es-MX"/>
    </w:rPr>
  </w:style>
  <w:style w:type="character" w:customStyle="1" w:styleId="ju-005fpara-002cleft-002cfirst-0020line-003a-0020-00200-0020cm--char">
    <w:name w:val="ju-005fpara-002cleft-002cfirst-0020line-003a-0020-00200-0020cm--char"/>
    <w:rsid w:val="00C01305"/>
  </w:style>
  <w:style w:type="character" w:customStyle="1" w:styleId="PrrafodelistaCar1">
    <w:name w:val="Párrafo de lista Car1"/>
    <w:basedOn w:val="DefaultParagraphFont"/>
    <w:uiPriority w:val="99"/>
    <w:locked/>
    <w:rsid w:val="00C01305"/>
    <w:rPr>
      <w:rFonts w:ascii="Verdana" w:hAnsi="Verdana" w:cs="Verdana"/>
      <w:lang w:eastAsia="en-US"/>
    </w:rPr>
  </w:style>
  <w:style w:type="character" w:customStyle="1" w:styleId="TextocomentarioCar1">
    <w:name w:val="Texto comentario Car1"/>
    <w:basedOn w:val="DefaultParagraphFont"/>
    <w:uiPriority w:val="99"/>
    <w:semiHidden/>
    <w:rsid w:val="00C01305"/>
    <w:rPr>
      <w:sz w:val="20"/>
      <w:szCs w:val="20"/>
    </w:rPr>
  </w:style>
  <w:style w:type="paragraph" w:customStyle="1" w:styleId="Body1">
    <w:name w:val="Body 1"/>
    <w:link w:val="Body1Char"/>
    <w:rsid w:val="00AF7637"/>
    <w:pPr>
      <w:outlineLvl w:val="0"/>
    </w:pPr>
    <w:rPr>
      <w:rFonts w:ascii="Helvetica" w:eastAsia="ヒラギノ角ゴ Pro W3" w:hAnsi="Helvetica" w:cs="Times New Roman"/>
      <w:color w:val="000000"/>
      <w:szCs w:val="20"/>
      <w:lang w:eastAsia="es-CR"/>
    </w:rPr>
  </w:style>
  <w:style w:type="character" w:customStyle="1" w:styleId="Body1Char">
    <w:name w:val="Body 1 Char"/>
    <w:link w:val="Body1"/>
    <w:rsid w:val="00AF7637"/>
    <w:rPr>
      <w:rFonts w:ascii="Helvetica" w:eastAsia="ヒラギノ角ゴ Pro W3" w:hAnsi="Helvetica" w:cs="Times New Roman"/>
      <w:color w:val="000000"/>
      <w:szCs w:val="20"/>
      <w:lang w:eastAsia="es-CR"/>
    </w:rPr>
  </w:style>
  <w:style w:type="paragraph" w:customStyle="1" w:styleId="style11">
    <w:name w:val="style11"/>
    <w:basedOn w:val="Normal"/>
    <w:rsid w:val="0088700B"/>
    <w:pPr>
      <w:spacing w:before="192" w:after="192"/>
      <w:ind w:left="120" w:right="144"/>
      <w:jc w:val="both"/>
    </w:pPr>
    <w:rPr>
      <w:rFonts w:eastAsia="Times New Roman"/>
      <w:lang w:val="es-MX" w:eastAsia="es-MX"/>
    </w:rPr>
  </w:style>
  <w:style w:type="paragraph" w:customStyle="1" w:styleId="Style1">
    <w:name w:val="Style1"/>
    <w:basedOn w:val="ListParagraph"/>
    <w:link w:val="Style1Char"/>
    <w:qFormat/>
    <w:rsid w:val="00F83E8F"/>
    <w:pPr>
      <w:numPr>
        <w:numId w:val="25"/>
      </w:numPr>
      <w:spacing w:after="160" w:line="256" w:lineRule="auto"/>
      <w:jc w:val="center"/>
    </w:pPr>
    <w:rPr>
      <w:rFonts w:ascii="Verdana" w:eastAsia="Times New Roman" w:hAnsi="Verdana"/>
      <w:b/>
      <w:sz w:val="20"/>
      <w:szCs w:val="20"/>
      <w:u w:val="single"/>
      <w:lang w:val="es-MX"/>
    </w:rPr>
  </w:style>
  <w:style w:type="character" w:customStyle="1" w:styleId="Style1Char">
    <w:name w:val="Style1 Char"/>
    <w:basedOn w:val="ListParagraphChar"/>
    <w:link w:val="Style1"/>
    <w:rsid w:val="00F83E8F"/>
    <w:rPr>
      <w:rFonts w:ascii="Verdana" w:eastAsia="Times New Roman" w:hAnsi="Verdana" w:cs="Times New Roman"/>
      <w:b/>
      <w:sz w:val="20"/>
      <w:szCs w:val="20"/>
      <w:u w:val="single"/>
      <w:lang w:val="es-MX"/>
    </w:rPr>
  </w:style>
  <w:style w:type="paragraph" w:styleId="Quote">
    <w:name w:val="Quote"/>
    <w:basedOn w:val="Normal"/>
    <w:next w:val="Normal"/>
    <w:link w:val="QuoteChar"/>
    <w:uiPriority w:val="29"/>
    <w:qFormat/>
    <w:rsid w:val="00F83E8F"/>
    <w:pPr>
      <w:spacing w:before="200" w:after="160"/>
      <w:ind w:left="864" w:right="864"/>
      <w:jc w:val="center"/>
    </w:pPr>
    <w:rPr>
      <w:rFonts w:ascii="Verdana" w:eastAsia="Times New Roman" w:hAnsi="Verdana"/>
      <w:i/>
      <w:iCs/>
      <w:color w:val="404040" w:themeColor="text1" w:themeTint="BF"/>
      <w:sz w:val="20"/>
      <w:lang w:val="en-US"/>
    </w:rPr>
  </w:style>
  <w:style w:type="character" w:customStyle="1" w:styleId="QuoteChar">
    <w:name w:val="Quote Char"/>
    <w:basedOn w:val="DefaultParagraphFont"/>
    <w:link w:val="Quote"/>
    <w:uiPriority w:val="29"/>
    <w:rsid w:val="00F83E8F"/>
    <w:rPr>
      <w:rFonts w:ascii="Verdana" w:eastAsia="Times New Roman" w:hAnsi="Verdana" w:cs="Times New Roman"/>
      <w:i/>
      <w:iCs/>
      <w:color w:val="404040" w:themeColor="text1" w:themeTint="BF"/>
      <w:sz w:val="20"/>
      <w:szCs w:val="24"/>
    </w:rPr>
  </w:style>
  <w:style w:type="paragraph" w:customStyle="1" w:styleId="s32b251d">
    <w:name w:val="s32b251d"/>
    <w:basedOn w:val="Normal"/>
    <w:rsid w:val="00F83E8F"/>
    <w:pPr>
      <w:spacing w:before="100" w:beforeAutospacing="1" w:after="100" w:afterAutospacing="1"/>
    </w:pPr>
    <w:rPr>
      <w:rFonts w:ascii="Times" w:eastAsiaTheme="minorHAnsi" w:hAnsi="Times" w:cstheme="minorBidi"/>
      <w:noProof/>
      <w:sz w:val="20"/>
      <w:szCs w:val="20"/>
      <w:lang w:eastAsia="es-ES"/>
    </w:rPr>
  </w:style>
  <w:style w:type="paragraph" w:customStyle="1" w:styleId="Estilo4">
    <w:name w:val="Estilo4"/>
    <w:basedOn w:val="ListParagraph"/>
    <w:link w:val="Estilo4Car"/>
    <w:qFormat/>
    <w:rsid w:val="00F83E8F"/>
    <w:pPr>
      <w:numPr>
        <w:numId w:val="29"/>
      </w:numPr>
      <w:spacing w:after="120"/>
      <w:ind w:left="0" w:firstLine="357"/>
      <w:contextualSpacing w:val="0"/>
      <w:jc w:val="both"/>
    </w:pPr>
    <w:rPr>
      <w:rFonts w:ascii="Verdana" w:eastAsia="Times New Roman" w:hAnsi="Verdana"/>
      <w:spacing w:val="-2"/>
      <w:sz w:val="20"/>
      <w:szCs w:val="20"/>
      <w:lang w:val="es-CR"/>
    </w:rPr>
  </w:style>
  <w:style w:type="character" w:customStyle="1" w:styleId="Estilo4Car">
    <w:name w:val="Estilo4 Car"/>
    <w:basedOn w:val="DefaultParagraphFont"/>
    <w:link w:val="Estilo4"/>
    <w:rsid w:val="00F83E8F"/>
    <w:rPr>
      <w:rFonts w:ascii="Verdana" w:eastAsia="Times New Roman" w:hAnsi="Verdana" w:cs="Times New Roman"/>
      <w:spacing w:val="-2"/>
      <w:sz w:val="20"/>
      <w:szCs w:val="20"/>
      <w:lang w:val="es-CR"/>
    </w:rPr>
  </w:style>
  <w:style w:type="character" w:styleId="PageNumber">
    <w:name w:val="page number"/>
    <w:basedOn w:val="DefaultParagraphFont"/>
    <w:uiPriority w:val="99"/>
    <w:semiHidden/>
    <w:unhideWhenUsed/>
    <w:rsid w:val="00F83E8F"/>
  </w:style>
  <w:style w:type="character" w:styleId="FollowedHyperlink">
    <w:name w:val="FollowedHyperlink"/>
    <w:basedOn w:val="DefaultParagraphFont"/>
    <w:uiPriority w:val="99"/>
    <w:semiHidden/>
    <w:unhideWhenUsed/>
    <w:rsid w:val="00F83E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CE"/>
    <w:pPr>
      <w:spacing w:after="0" w:line="240" w:lineRule="auto"/>
    </w:pPr>
    <w:rPr>
      <w:rFonts w:ascii="Times New Roman" w:eastAsia="Calibri" w:hAnsi="Times New Roman" w:cs="Times New Roman"/>
      <w:sz w:val="24"/>
      <w:szCs w:val="24"/>
      <w:lang w:val="es-ES_tradnl"/>
    </w:rPr>
  </w:style>
  <w:style w:type="paragraph" w:styleId="Heading1">
    <w:name w:val="heading 1"/>
    <w:aliases w:val="Título Verdana"/>
    <w:basedOn w:val="Normal"/>
    <w:next w:val="Normal"/>
    <w:link w:val="Heading1Char"/>
    <w:uiPriority w:val="9"/>
    <w:qFormat/>
    <w:rsid w:val="00D04032"/>
    <w:pPr>
      <w:keepNext/>
      <w:keepLines/>
      <w:spacing w:before="480"/>
      <w:outlineLvl w:val="0"/>
    </w:pPr>
    <w:rPr>
      <w:rFonts w:ascii="Verdana" w:eastAsia="Times New Roman" w:hAnsi="Verdana"/>
      <w:b/>
      <w:bCs/>
      <w:sz w:val="20"/>
      <w:szCs w:val="28"/>
    </w:rPr>
  </w:style>
  <w:style w:type="paragraph" w:styleId="Heading2">
    <w:name w:val="heading 2"/>
    <w:basedOn w:val="Normal"/>
    <w:next w:val="Normal"/>
    <w:link w:val="Heading2Char"/>
    <w:unhideWhenUsed/>
    <w:qFormat/>
    <w:rsid w:val="0076651B"/>
    <w:pPr>
      <w:keepNext/>
      <w:keepLines/>
      <w:outlineLvl w:val="1"/>
    </w:pPr>
    <w:rPr>
      <w:rFonts w:ascii="Verdana" w:eastAsia="Times New Roman" w:hAnsi="Verdana"/>
      <w:b/>
      <w:bCs/>
      <w:sz w:val="20"/>
      <w:szCs w:val="26"/>
    </w:rPr>
  </w:style>
  <w:style w:type="paragraph" w:styleId="Heading3">
    <w:name w:val="heading 3"/>
    <w:basedOn w:val="Normal"/>
    <w:next w:val="Normal"/>
    <w:link w:val="Heading3Char"/>
    <w:uiPriority w:val="9"/>
    <w:unhideWhenUsed/>
    <w:qFormat/>
    <w:rsid w:val="0076651B"/>
    <w:pPr>
      <w:keepNext/>
      <w:keepLines/>
      <w:outlineLvl w:val="2"/>
    </w:pPr>
    <w:rPr>
      <w:rFonts w:ascii="Verdana" w:eastAsiaTheme="majorEastAsia" w:hAnsi="Verdana" w:cstheme="majorBidi"/>
      <w:b/>
      <w:bCs/>
      <w:sz w:val="20"/>
    </w:rPr>
  </w:style>
  <w:style w:type="paragraph" w:styleId="Heading4">
    <w:name w:val="heading 4"/>
    <w:basedOn w:val="Normal"/>
    <w:next w:val="Normal"/>
    <w:link w:val="Heading4Char"/>
    <w:uiPriority w:val="9"/>
    <w:unhideWhenUsed/>
    <w:qFormat/>
    <w:rsid w:val="00262F28"/>
    <w:pPr>
      <w:keepNext/>
      <w:keepLines/>
      <w:outlineLvl w:val="3"/>
    </w:pPr>
    <w:rPr>
      <w:rFonts w:ascii="Verdana" w:eastAsiaTheme="majorEastAsia" w:hAnsi="Verdana" w:cstheme="majorBidi"/>
      <w:b/>
      <w:bCs/>
      <w:i/>
      <w:iCs/>
      <w:sz w:val="20"/>
    </w:rPr>
  </w:style>
  <w:style w:type="paragraph" w:styleId="Heading5">
    <w:name w:val="heading 5"/>
    <w:basedOn w:val="Normal"/>
    <w:next w:val="Normal"/>
    <w:link w:val="Heading5Char"/>
    <w:uiPriority w:val="9"/>
    <w:unhideWhenUsed/>
    <w:qFormat/>
    <w:rsid w:val="009E58AE"/>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D04032"/>
    <w:rPr>
      <w:rFonts w:ascii="Verdana" w:eastAsia="Times New Roman" w:hAnsi="Verdana" w:cs="Times New Roman"/>
      <w:b/>
      <w:bCs/>
      <w:sz w:val="20"/>
      <w:szCs w:val="28"/>
      <w:lang w:val="es-ES_tradnl"/>
    </w:rPr>
  </w:style>
  <w:style w:type="character" w:customStyle="1" w:styleId="Heading2Char">
    <w:name w:val="Heading 2 Char"/>
    <w:basedOn w:val="DefaultParagraphFont"/>
    <w:link w:val="Heading2"/>
    <w:uiPriority w:val="9"/>
    <w:rsid w:val="0076651B"/>
    <w:rPr>
      <w:rFonts w:ascii="Verdana" w:eastAsia="Times New Roman" w:hAnsi="Verdana" w:cs="Times New Roman"/>
      <w:b/>
      <w:bCs/>
      <w:sz w:val="20"/>
      <w:szCs w:val="26"/>
      <w:lang w:val="es-ES_tradnl"/>
    </w:rPr>
  </w:style>
  <w:style w:type="character" w:customStyle="1" w:styleId="Heading3Char">
    <w:name w:val="Heading 3 Char"/>
    <w:basedOn w:val="DefaultParagraphFont"/>
    <w:link w:val="Heading3"/>
    <w:uiPriority w:val="9"/>
    <w:rsid w:val="0076651B"/>
    <w:rPr>
      <w:rFonts w:ascii="Verdana" w:eastAsiaTheme="majorEastAsia" w:hAnsi="Verdana" w:cstheme="majorBidi"/>
      <w:b/>
      <w:bCs/>
      <w:sz w:val="20"/>
      <w:szCs w:val="24"/>
      <w:lang w:val="es-ES_tradnl"/>
    </w:rPr>
  </w:style>
  <w:style w:type="character" w:customStyle="1" w:styleId="Heading4Char">
    <w:name w:val="Heading 4 Char"/>
    <w:basedOn w:val="DefaultParagraphFont"/>
    <w:link w:val="Heading4"/>
    <w:uiPriority w:val="9"/>
    <w:rsid w:val="00262F28"/>
    <w:rPr>
      <w:rFonts w:ascii="Verdana" w:eastAsiaTheme="majorEastAsia" w:hAnsi="Verdana" w:cstheme="majorBidi"/>
      <w:b/>
      <w:bCs/>
      <w:i/>
      <w:iCs/>
      <w:sz w:val="20"/>
      <w:szCs w:val="24"/>
      <w:lang w:val="es-ES_tradnl"/>
    </w:rPr>
  </w:style>
  <w:style w:type="character" w:customStyle="1" w:styleId="Heading5Char">
    <w:name w:val="Heading 5 Char"/>
    <w:basedOn w:val="DefaultParagraphFont"/>
    <w:link w:val="Heading5"/>
    <w:uiPriority w:val="9"/>
    <w:rsid w:val="009E58AE"/>
    <w:rPr>
      <w:rFonts w:asciiTheme="majorHAnsi" w:eastAsiaTheme="majorEastAsia" w:hAnsiTheme="majorHAnsi" w:cstheme="majorBidi"/>
      <w:color w:val="243F60" w:themeColor="accent1" w:themeShade="7F"/>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334B6C"/>
    <w:pPr>
      <w:widowControl w:val="0"/>
      <w:tabs>
        <w:tab w:val="left" w:pos="567"/>
      </w:tabs>
      <w:spacing w:after="40"/>
      <w:jc w:val="both"/>
    </w:pPr>
    <w:rPr>
      <w:rFonts w:ascii="Verdana" w:eastAsia="Batang" w:hAnsi="Verdana"/>
      <w:sz w:val="16"/>
      <w:szCs w:val="16"/>
      <w:lang w:val="en-U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qFormat/>
    <w:rsid w:val="00334B6C"/>
    <w:rPr>
      <w:rFonts w:ascii="Verdana" w:eastAsia="Batang" w:hAnsi="Verdana" w:cs="Times New Roman"/>
      <w:sz w:val="16"/>
      <w:szCs w:val="16"/>
      <w:lang w:eastAsia="es-ES"/>
    </w:rPr>
  </w:style>
  <w:style w:type="paragraph" w:styleId="ListParagraph">
    <w:name w:val="List Paragraph"/>
    <w:aliases w:val="Párrafo de lista1,Footnote,List Paragraph2,List Paragraph1,Colorful List - Accent 11,Lista vistosa - Énfasis 11"/>
    <w:basedOn w:val="Normal"/>
    <w:link w:val="ListParagraphChar"/>
    <w:uiPriority w:val="34"/>
    <w:qFormat/>
    <w:rsid w:val="009E58AE"/>
    <w:pPr>
      <w:ind w:left="720"/>
      <w:contextualSpacing/>
    </w:p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34"/>
    <w:locked/>
    <w:rsid w:val="009E58AE"/>
    <w:rPr>
      <w:rFonts w:ascii="Times New Roman" w:eastAsia="Calibri" w:hAnsi="Times New Roman" w:cs="Times New Roman"/>
      <w:sz w:val="24"/>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9E58AE"/>
    <w:rPr>
      <w:rFonts w:ascii="Verdana" w:hAnsi="Verdana" w:cs="Times New Roman"/>
      <w:sz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E58AE"/>
    <w:pPr>
      <w:jc w:val="both"/>
    </w:pPr>
    <w:rPr>
      <w:rFonts w:ascii="Verdana" w:eastAsiaTheme="minorHAnsi" w:hAnsi="Verdana"/>
      <w:sz w:val="20"/>
      <w:szCs w:val="22"/>
      <w:vertAlign w:val="superscript"/>
      <w:lang w:val="en-US"/>
    </w:rPr>
  </w:style>
  <w:style w:type="character" w:styleId="Hyperlink">
    <w:name w:val="Hyperlink"/>
    <w:aliases w:val="Heading 3 caso"/>
    <w:uiPriority w:val="99"/>
    <w:rsid w:val="009E58AE"/>
    <w:rPr>
      <w:rFonts w:cs="Times New Roman"/>
      <w:color w:val="0000FF"/>
      <w:u w:val="single"/>
    </w:rPr>
  </w:style>
  <w:style w:type="paragraph" w:styleId="TOC1">
    <w:name w:val="toc 1"/>
    <w:basedOn w:val="Normal"/>
    <w:next w:val="Normal"/>
    <w:autoRedefine/>
    <w:uiPriority w:val="39"/>
    <w:unhideWhenUsed/>
    <w:rsid w:val="009D5837"/>
    <w:pPr>
      <w:tabs>
        <w:tab w:val="left" w:pos="0"/>
        <w:tab w:val="right" w:leader="dot" w:pos="8931"/>
      </w:tabs>
      <w:ind w:right="958"/>
      <w:jc w:val="both"/>
    </w:pPr>
    <w:rPr>
      <w:rFonts w:ascii="Verdana" w:hAnsi="Verdana" w:cs="Verdana"/>
      <w:b/>
      <w:caps/>
      <w:noProof/>
      <w:snapToGrid w:val="0"/>
      <w:sz w:val="20"/>
      <w:szCs w:val="20"/>
    </w:rPr>
  </w:style>
  <w:style w:type="paragraph" w:styleId="TOC2">
    <w:name w:val="toc 2"/>
    <w:basedOn w:val="Normal"/>
    <w:next w:val="Normal"/>
    <w:autoRedefine/>
    <w:uiPriority w:val="39"/>
    <w:unhideWhenUsed/>
    <w:rsid w:val="00167383"/>
    <w:pPr>
      <w:tabs>
        <w:tab w:val="left" w:pos="720"/>
        <w:tab w:val="right" w:leader="dot" w:pos="8931"/>
      </w:tabs>
      <w:ind w:left="238" w:right="815"/>
      <w:jc w:val="both"/>
    </w:pPr>
  </w:style>
  <w:style w:type="paragraph" w:styleId="TOC3">
    <w:name w:val="toc 3"/>
    <w:basedOn w:val="Normal"/>
    <w:next w:val="Normal"/>
    <w:autoRedefine/>
    <w:uiPriority w:val="39"/>
    <w:unhideWhenUsed/>
    <w:rsid w:val="009D5837"/>
    <w:pPr>
      <w:tabs>
        <w:tab w:val="left" w:pos="960"/>
        <w:tab w:val="right" w:leader="dot" w:pos="8828"/>
      </w:tabs>
      <w:ind w:left="482" w:right="815"/>
      <w:contextualSpacing/>
    </w:pPr>
  </w:style>
  <w:style w:type="paragraph" w:styleId="Footer">
    <w:name w:val="footer"/>
    <w:basedOn w:val="Normal"/>
    <w:link w:val="FooterChar"/>
    <w:uiPriority w:val="99"/>
    <w:unhideWhenUsed/>
    <w:rsid w:val="009E58AE"/>
    <w:pPr>
      <w:tabs>
        <w:tab w:val="center" w:pos="4419"/>
        <w:tab w:val="right" w:pos="8838"/>
      </w:tabs>
    </w:pPr>
  </w:style>
  <w:style w:type="character" w:customStyle="1" w:styleId="FooterChar">
    <w:name w:val="Footer Char"/>
    <w:basedOn w:val="DefaultParagraphFont"/>
    <w:link w:val="Footer"/>
    <w:uiPriority w:val="99"/>
    <w:rsid w:val="009E58AE"/>
    <w:rPr>
      <w:rFonts w:ascii="Times New Roman" w:eastAsia="Calibri" w:hAnsi="Times New Roman" w:cs="Times New Roman"/>
      <w:sz w:val="24"/>
      <w:szCs w:val="24"/>
      <w:lang w:val="es-ES_tradnl"/>
    </w:rPr>
  </w:style>
  <w:style w:type="character" w:styleId="CommentReference">
    <w:name w:val="annotation reference"/>
    <w:basedOn w:val="DefaultParagraphFont"/>
    <w:uiPriority w:val="99"/>
    <w:unhideWhenUsed/>
    <w:rsid w:val="009E58AE"/>
    <w:rPr>
      <w:sz w:val="16"/>
      <w:szCs w:val="16"/>
    </w:rPr>
  </w:style>
  <w:style w:type="character" w:customStyle="1" w:styleId="CommentTextChar">
    <w:name w:val="Comment Text Char"/>
    <w:basedOn w:val="DefaultParagraphFont"/>
    <w:link w:val="CommentText"/>
    <w:uiPriority w:val="99"/>
    <w:rsid w:val="009E58AE"/>
    <w:rPr>
      <w:rFonts w:ascii="Times New Roman" w:eastAsia="Calibri" w:hAnsi="Times New Roman" w:cs="Times New Roman"/>
      <w:sz w:val="20"/>
      <w:szCs w:val="20"/>
      <w:lang w:val="es-ES_tradnl"/>
    </w:rPr>
  </w:style>
  <w:style w:type="paragraph" w:styleId="CommentText">
    <w:name w:val="annotation text"/>
    <w:basedOn w:val="Normal"/>
    <w:link w:val="CommentTextChar"/>
    <w:uiPriority w:val="99"/>
    <w:unhideWhenUsed/>
    <w:rsid w:val="009E58AE"/>
    <w:rPr>
      <w:sz w:val="20"/>
      <w:szCs w:val="20"/>
    </w:rPr>
  </w:style>
  <w:style w:type="character" w:customStyle="1" w:styleId="CommentTextChar1">
    <w:name w:val="Comment Text Char1"/>
    <w:basedOn w:val="DefaultParagraphFont"/>
    <w:uiPriority w:val="99"/>
    <w:semiHidden/>
    <w:rsid w:val="009E58AE"/>
    <w:rPr>
      <w:rFonts w:ascii="Times New Roman" w:eastAsia="Calibri" w:hAnsi="Times New Roman" w:cs="Times New Roman"/>
      <w:sz w:val="20"/>
      <w:szCs w:val="20"/>
      <w:lang w:val="es-ES_tradnl"/>
    </w:rPr>
  </w:style>
  <w:style w:type="character" w:customStyle="1" w:styleId="apple-converted-space">
    <w:name w:val="apple-converted-space"/>
    <w:basedOn w:val="DefaultParagraphFont"/>
    <w:rsid w:val="009E58AE"/>
  </w:style>
  <w:style w:type="character" w:styleId="Strong">
    <w:name w:val="Strong"/>
    <w:basedOn w:val="DefaultParagraphFont"/>
    <w:uiPriority w:val="22"/>
    <w:qFormat/>
    <w:rsid w:val="009E58AE"/>
    <w:rPr>
      <w:b/>
      <w:bCs/>
    </w:rPr>
  </w:style>
  <w:style w:type="character" w:customStyle="1" w:styleId="BalloonTextChar">
    <w:name w:val="Balloon Text Char"/>
    <w:basedOn w:val="DefaultParagraphFont"/>
    <w:link w:val="BalloonText"/>
    <w:uiPriority w:val="99"/>
    <w:semiHidden/>
    <w:rsid w:val="009E58AE"/>
    <w:rPr>
      <w:rFonts w:ascii="Tahoma" w:eastAsia="Calibri" w:hAnsi="Tahoma" w:cs="Tahoma"/>
      <w:sz w:val="16"/>
      <w:szCs w:val="16"/>
      <w:lang w:val="es-ES_tradnl"/>
    </w:rPr>
  </w:style>
  <w:style w:type="paragraph" w:styleId="BalloonText">
    <w:name w:val="Balloon Text"/>
    <w:basedOn w:val="Normal"/>
    <w:link w:val="BalloonTextChar"/>
    <w:uiPriority w:val="99"/>
    <w:semiHidden/>
    <w:unhideWhenUsed/>
    <w:rsid w:val="009E58AE"/>
    <w:rPr>
      <w:rFonts w:ascii="Tahoma" w:hAnsi="Tahoma" w:cs="Tahoma"/>
      <w:sz w:val="16"/>
      <w:szCs w:val="16"/>
    </w:rPr>
  </w:style>
  <w:style w:type="character" w:customStyle="1" w:styleId="BalloonTextChar1">
    <w:name w:val="Balloon Text Char1"/>
    <w:basedOn w:val="DefaultParagraphFont"/>
    <w:uiPriority w:val="99"/>
    <w:semiHidden/>
    <w:rsid w:val="009E58AE"/>
    <w:rPr>
      <w:rFonts w:ascii="Tahoma" w:eastAsia="Calibri" w:hAnsi="Tahoma" w:cs="Tahoma"/>
      <w:sz w:val="16"/>
      <w:szCs w:val="16"/>
      <w:lang w:val="es-ES_tradnl"/>
    </w:rPr>
  </w:style>
  <w:style w:type="paragraph" w:styleId="Header">
    <w:name w:val="header"/>
    <w:basedOn w:val="Normal"/>
    <w:link w:val="HeaderChar"/>
    <w:uiPriority w:val="99"/>
    <w:unhideWhenUsed/>
    <w:rsid w:val="009E58AE"/>
    <w:pPr>
      <w:tabs>
        <w:tab w:val="center" w:pos="4419"/>
        <w:tab w:val="right" w:pos="8838"/>
      </w:tabs>
    </w:pPr>
    <w:rPr>
      <w:rFonts w:asciiTheme="minorHAnsi" w:eastAsiaTheme="minorHAnsi" w:hAnsiTheme="minorHAnsi" w:cstheme="minorBidi"/>
      <w:sz w:val="22"/>
      <w:szCs w:val="22"/>
      <w:lang w:val="es-CR"/>
    </w:rPr>
  </w:style>
  <w:style w:type="character" w:customStyle="1" w:styleId="HeaderChar">
    <w:name w:val="Header Char"/>
    <w:basedOn w:val="DefaultParagraphFont"/>
    <w:link w:val="Header"/>
    <w:uiPriority w:val="99"/>
    <w:rsid w:val="009E58AE"/>
    <w:rPr>
      <w:lang w:val="es-CR"/>
    </w:rPr>
  </w:style>
  <w:style w:type="paragraph" w:styleId="CommentSubject">
    <w:name w:val="annotation subject"/>
    <w:basedOn w:val="CommentText"/>
    <w:next w:val="CommentText"/>
    <w:link w:val="CommentSubjectChar"/>
    <w:uiPriority w:val="99"/>
    <w:semiHidden/>
    <w:unhideWhenUsed/>
    <w:rsid w:val="009E58AE"/>
    <w:pPr>
      <w:spacing w:after="200"/>
    </w:pPr>
    <w:rPr>
      <w:rFonts w:asciiTheme="minorHAnsi" w:eastAsiaTheme="minorHAnsi" w:hAnsiTheme="minorHAnsi" w:cstheme="minorBidi"/>
      <w:b/>
      <w:bCs/>
      <w:lang w:val="es-CR"/>
    </w:rPr>
  </w:style>
  <w:style w:type="character" w:customStyle="1" w:styleId="CommentSubjectChar">
    <w:name w:val="Comment Subject Char"/>
    <w:basedOn w:val="CommentTextChar1"/>
    <w:link w:val="CommentSubject"/>
    <w:uiPriority w:val="99"/>
    <w:semiHidden/>
    <w:rsid w:val="009E58AE"/>
    <w:rPr>
      <w:rFonts w:ascii="Times New Roman" w:eastAsia="Calibri" w:hAnsi="Times New Roman" w:cs="Times New Roman"/>
      <w:b/>
      <w:bCs/>
      <w:sz w:val="20"/>
      <w:szCs w:val="20"/>
      <w:lang w:val="es-CR"/>
    </w:rPr>
  </w:style>
  <w:style w:type="paragraph" w:customStyle="1" w:styleId="Footnotes">
    <w:name w:val="**. Footnotes"/>
    <w:basedOn w:val="FootnoteText"/>
    <w:link w:val="FootnotesChar"/>
    <w:autoRedefine/>
    <w:qFormat/>
    <w:rsid w:val="009E58AE"/>
    <w:pPr>
      <w:spacing w:before="120"/>
    </w:pPr>
    <w:rPr>
      <w:rFonts w:cs="Palatino-Italic"/>
      <w:iCs/>
      <w:lang w:eastAsia="en-US"/>
    </w:rPr>
  </w:style>
  <w:style w:type="character" w:customStyle="1" w:styleId="FootnotesChar">
    <w:name w:val="**. Footnotes Char"/>
    <w:basedOn w:val="DefaultParagraphFont"/>
    <w:link w:val="Footnotes"/>
    <w:rsid w:val="009E58AE"/>
    <w:rPr>
      <w:rFonts w:ascii="Verdana" w:eastAsia="Batang" w:hAnsi="Verdana" w:cs="Palatino-Italic"/>
      <w:iCs/>
      <w:sz w:val="16"/>
      <w:szCs w:val="16"/>
      <w:lang w:val="es-ES"/>
    </w:rPr>
  </w:style>
  <w:style w:type="character" w:customStyle="1" w:styleId="apple-style-span">
    <w:name w:val="apple-style-span"/>
    <w:basedOn w:val="DefaultParagraphFont"/>
    <w:rsid w:val="009E58AE"/>
    <w:rPr>
      <w:rFonts w:cs="Times New Roman"/>
    </w:rPr>
  </w:style>
  <w:style w:type="paragraph" w:customStyle="1" w:styleId="Default">
    <w:name w:val="Default"/>
    <w:rsid w:val="009E58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
    <w:name w:val="Título1"/>
    <w:basedOn w:val="DefaultParagraphFont"/>
    <w:rsid w:val="009E58AE"/>
  </w:style>
  <w:style w:type="paragraph" w:styleId="NoSpacing">
    <w:name w:val="No Spacing"/>
    <w:uiPriority w:val="1"/>
    <w:qFormat/>
    <w:rsid w:val="009E58AE"/>
    <w:pPr>
      <w:spacing w:after="0" w:line="240" w:lineRule="auto"/>
    </w:pPr>
    <w:rPr>
      <w:rFonts w:eastAsiaTheme="minorEastAsia"/>
    </w:rPr>
  </w:style>
  <w:style w:type="paragraph" w:styleId="TOC4">
    <w:name w:val="toc 4"/>
    <w:basedOn w:val="Normal"/>
    <w:next w:val="Normal"/>
    <w:autoRedefine/>
    <w:uiPriority w:val="39"/>
    <w:unhideWhenUsed/>
    <w:rsid w:val="009E58AE"/>
    <w:pPr>
      <w:spacing w:after="100"/>
      <w:ind w:left="720"/>
    </w:pPr>
  </w:style>
  <w:style w:type="paragraph" w:styleId="TOC5">
    <w:name w:val="toc 5"/>
    <w:basedOn w:val="Normal"/>
    <w:next w:val="Normal"/>
    <w:autoRedefine/>
    <w:uiPriority w:val="39"/>
    <w:unhideWhenUsed/>
    <w:rsid w:val="009E58AE"/>
    <w:pPr>
      <w:spacing w:after="100"/>
      <w:ind w:left="960"/>
    </w:pPr>
  </w:style>
  <w:style w:type="character" w:styleId="LineNumber">
    <w:name w:val="line number"/>
    <w:basedOn w:val="DefaultParagraphFont"/>
    <w:uiPriority w:val="99"/>
    <w:unhideWhenUsed/>
    <w:rsid w:val="009E58AE"/>
    <w:rPr>
      <w:rFonts w:ascii="Verdana" w:hAnsi="Verdana"/>
      <w:sz w:val="20"/>
    </w:rPr>
  </w:style>
  <w:style w:type="paragraph" w:customStyle="1" w:styleId="PrrafodeSentencia">
    <w:name w:val="*. Párrafo de Sentencia"/>
    <w:link w:val="PrrafodeSentenciaChar"/>
    <w:autoRedefine/>
    <w:qFormat/>
    <w:rsid w:val="009E58AE"/>
    <w:pPr>
      <w:tabs>
        <w:tab w:val="left" w:pos="0"/>
        <w:tab w:val="left" w:pos="567"/>
      </w:tabs>
      <w:spacing w:after="0" w:line="240" w:lineRule="auto"/>
      <w:jc w:val="both"/>
    </w:pPr>
    <w:rPr>
      <w:rFonts w:ascii="Verdana" w:eastAsia="Batang" w:hAnsi="Verdana" w:cs="Times New Roman"/>
      <w:sz w:val="16"/>
      <w:szCs w:val="16"/>
      <w:lang w:val="es-MX" w:eastAsia="es-MX"/>
    </w:rPr>
  </w:style>
  <w:style w:type="character" w:customStyle="1" w:styleId="PrrafodeSentenciaChar">
    <w:name w:val="*. Párrafo de Sentencia Char"/>
    <w:link w:val="PrrafodeSentencia"/>
    <w:rsid w:val="009E58AE"/>
    <w:rPr>
      <w:rFonts w:ascii="Verdana" w:eastAsia="Batang" w:hAnsi="Verdana" w:cs="Times New Roman"/>
      <w:sz w:val="16"/>
      <w:szCs w:val="16"/>
      <w:lang w:val="es-MX" w:eastAsia="es-MX"/>
    </w:rPr>
  </w:style>
  <w:style w:type="character" w:customStyle="1" w:styleId="hps">
    <w:name w:val="hps"/>
    <w:basedOn w:val="DefaultParagraphFont"/>
    <w:rsid w:val="009E58AE"/>
  </w:style>
  <w:style w:type="paragraph" w:styleId="HTMLPreformatted">
    <w:name w:val="HTML Preformatted"/>
    <w:basedOn w:val="Normal"/>
    <w:link w:val="HTMLPreformattedChar"/>
    <w:uiPriority w:val="99"/>
    <w:unhideWhenUsed/>
    <w:rsid w:val="009E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9E58AE"/>
    <w:rPr>
      <w:rFonts w:ascii="Courier New" w:eastAsia="Times New Roman" w:hAnsi="Courier New" w:cs="Times New Roman"/>
      <w:sz w:val="20"/>
      <w:szCs w:val="20"/>
      <w:lang w:val="es-ES_tradnl"/>
    </w:rPr>
  </w:style>
  <w:style w:type="paragraph" w:customStyle="1" w:styleId="2Footnotes">
    <w:name w:val="2. Footnotes"/>
    <w:basedOn w:val="FootnoteText"/>
    <w:link w:val="2FootnotesChar"/>
    <w:autoRedefine/>
    <w:qFormat/>
    <w:rsid w:val="009E58AE"/>
    <w:pPr>
      <w:tabs>
        <w:tab w:val="clear" w:pos="567"/>
      </w:tabs>
      <w:spacing w:before="120"/>
    </w:pPr>
    <w:rPr>
      <w:rFonts w:eastAsia="Times New Roman" w:cs="Palatino-Italic"/>
      <w:iCs/>
      <w:noProof/>
      <w:szCs w:val="18"/>
      <w:lang w:eastAsia="en-US"/>
    </w:rPr>
  </w:style>
  <w:style w:type="character" w:customStyle="1" w:styleId="2FootnotesChar">
    <w:name w:val="2. Footnotes Char"/>
    <w:link w:val="2Footnotes"/>
    <w:rsid w:val="009E58AE"/>
    <w:rPr>
      <w:rFonts w:ascii="Verdana" w:eastAsia="Times New Roman" w:hAnsi="Verdana" w:cs="Palatino-Italic"/>
      <w:iCs/>
      <w:noProof/>
      <w:sz w:val="16"/>
      <w:szCs w:val="18"/>
      <w:lang w:val="es-ES"/>
    </w:rPr>
  </w:style>
  <w:style w:type="paragraph" w:styleId="NormalWeb">
    <w:name w:val="Normal (Web)"/>
    <w:aliases w:val="Normal (Web) Char1,Normal (Web) Char Char,Normal (Web) Char1 Char,Normal (Web) Char Char Char"/>
    <w:basedOn w:val="Normal"/>
    <w:uiPriority w:val="99"/>
    <w:unhideWhenUsed/>
    <w:rsid w:val="009E58AE"/>
    <w:pPr>
      <w:spacing w:before="100" w:beforeAutospacing="1" w:after="100" w:afterAutospacing="1"/>
    </w:pPr>
    <w:rPr>
      <w:rFonts w:eastAsia="Times New Roman"/>
      <w:lang w:val="es-CR" w:eastAsia="es-CR"/>
    </w:rPr>
  </w:style>
  <w:style w:type="paragraph" w:customStyle="1" w:styleId="xmsonormal">
    <w:name w:val="x_msonormal"/>
    <w:basedOn w:val="Normal"/>
    <w:rsid w:val="009E58AE"/>
    <w:pPr>
      <w:spacing w:before="100" w:beforeAutospacing="1" w:after="100" w:afterAutospacing="1"/>
    </w:pPr>
    <w:rPr>
      <w:rFonts w:eastAsia="Times New Roman"/>
      <w:lang w:val="en-US"/>
    </w:rPr>
  </w:style>
  <w:style w:type="paragraph" w:customStyle="1" w:styleId="HChG">
    <w:name w:val="_ H _Ch_G"/>
    <w:basedOn w:val="Normal"/>
    <w:next w:val="Normal"/>
    <w:rsid w:val="009E58AE"/>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9E58AE"/>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Estilo1">
    <w:name w:val="Estilo1"/>
    <w:basedOn w:val="ListParagraph"/>
    <w:link w:val="Estilo1Car"/>
    <w:qFormat/>
    <w:rsid w:val="009E58AE"/>
    <w:pPr>
      <w:numPr>
        <w:numId w:val="3"/>
      </w:numPr>
      <w:spacing w:after="240"/>
      <w:contextualSpacing w:val="0"/>
      <w:jc w:val="both"/>
    </w:pPr>
    <w:rPr>
      <w:lang w:val="es-UY"/>
    </w:rPr>
  </w:style>
  <w:style w:type="character" w:customStyle="1" w:styleId="Estilo1Car">
    <w:name w:val="Estilo1 Car"/>
    <w:link w:val="Estilo1"/>
    <w:locked/>
    <w:rsid w:val="009E58AE"/>
    <w:rPr>
      <w:rFonts w:ascii="Times New Roman" w:eastAsia="Calibri" w:hAnsi="Times New Roman" w:cs="Times New Roman"/>
      <w:sz w:val="24"/>
      <w:szCs w:val="24"/>
      <w:lang w:val="es-UY"/>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DefaultParagraphFont"/>
    <w:qFormat/>
    <w:locked/>
    <w:rsid w:val="009E58AE"/>
    <w:rPr>
      <w:rFonts w:ascii="Verdana" w:eastAsia="MS Mincho" w:hAnsi="Verdana" w:cs="Times"/>
      <w:sz w:val="16"/>
      <w:szCs w:val="24"/>
      <w:lang w:val="es-ES_tradnl"/>
    </w:rPr>
  </w:style>
  <w:style w:type="character" w:customStyle="1" w:styleId="Smbolodenotaalpie">
    <w:name w:val="Símbolo de nota al pie"/>
    <w:rsid w:val="009E58AE"/>
    <w:rPr>
      <w:vertAlign w:val="superscript"/>
    </w:rPr>
  </w:style>
  <w:style w:type="paragraph" w:styleId="BodyText">
    <w:name w:val="Body Text"/>
    <w:basedOn w:val="Normal"/>
    <w:link w:val="BodyTextChar"/>
    <w:uiPriority w:val="99"/>
    <w:semiHidden/>
    <w:unhideWhenUsed/>
    <w:rsid w:val="009E58AE"/>
    <w:pPr>
      <w:jc w:val="both"/>
    </w:pPr>
    <w:rPr>
      <w:rFonts w:ascii="Garamond" w:eastAsia="Times" w:hAnsi="Garamond"/>
      <w:noProof/>
      <w:sz w:val="22"/>
      <w:szCs w:val="20"/>
    </w:rPr>
  </w:style>
  <w:style w:type="character" w:customStyle="1" w:styleId="BodyTextChar">
    <w:name w:val="Body Text Char"/>
    <w:basedOn w:val="DefaultParagraphFont"/>
    <w:link w:val="BodyText"/>
    <w:uiPriority w:val="99"/>
    <w:semiHidden/>
    <w:rsid w:val="009E58AE"/>
    <w:rPr>
      <w:rFonts w:ascii="Garamond" w:eastAsia="Times" w:hAnsi="Garamond" w:cs="Times New Roman"/>
      <w:noProof/>
      <w:szCs w:val="20"/>
      <w:lang w:val="es-ES_tradnl"/>
    </w:rPr>
  </w:style>
  <w:style w:type="character" w:customStyle="1" w:styleId="BodyTextIndentChar">
    <w:name w:val="Body Text Indent Char"/>
    <w:basedOn w:val="DefaultParagraphFont"/>
    <w:link w:val="BodyTextIndent"/>
    <w:uiPriority w:val="99"/>
    <w:semiHidden/>
    <w:rsid w:val="009E58AE"/>
    <w:rPr>
      <w:rFonts w:ascii="Times New Roman" w:eastAsia="Calibri" w:hAnsi="Times New Roman" w:cs="Times New Roman"/>
      <w:sz w:val="24"/>
      <w:szCs w:val="24"/>
      <w:lang w:val="es-ES_tradnl"/>
    </w:rPr>
  </w:style>
  <w:style w:type="paragraph" w:styleId="BodyTextIndent">
    <w:name w:val="Body Text Indent"/>
    <w:basedOn w:val="Normal"/>
    <w:link w:val="BodyTextIndentChar"/>
    <w:uiPriority w:val="99"/>
    <w:semiHidden/>
    <w:unhideWhenUsed/>
    <w:rsid w:val="009E58AE"/>
    <w:pPr>
      <w:spacing w:after="120"/>
      <w:ind w:left="283"/>
    </w:pPr>
  </w:style>
  <w:style w:type="character" w:customStyle="1" w:styleId="BodyTextIndentChar1">
    <w:name w:val="Body Text Indent Char1"/>
    <w:basedOn w:val="DefaultParagraphFont"/>
    <w:uiPriority w:val="99"/>
    <w:semiHidden/>
    <w:rsid w:val="009E58AE"/>
    <w:rPr>
      <w:rFonts w:ascii="Times New Roman" w:eastAsia="Calibri" w:hAnsi="Times New Roman" w:cs="Times New Roman"/>
      <w:sz w:val="24"/>
      <w:szCs w:val="24"/>
      <w:lang w:val="es-ES_tradnl"/>
    </w:rPr>
  </w:style>
  <w:style w:type="character" w:customStyle="1" w:styleId="Estilo1Char">
    <w:name w:val="Estilo1 Char"/>
    <w:rsid w:val="009E58AE"/>
    <w:rPr>
      <w:rFonts w:ascii="Verdana" w:eastAsia="Calibri" w:hAnsi="Verdana" w:cs="Times New Roman"/>
      <w:sz w:val="20"/>
      <w:szCs w:val="20"/>
      <w:lang w:val="es-ES"/>
    </w:rPr>
  </w:style>
  <w:style w:type="paragraph" w:customStyle="1" w:styleId="Estilo2">
    <w:name w:val="Estilo2"/>
    <w:basedOn w:val="Normal"/>
    <w:qFormat/>
    <w:rsid w:val="009E58AE"/>
    <w:pPr>
      <w:tabs>
        <w:tab w:val="left" w:pos="567"/>
        <w:tab w:val="left" w:pos="1134"/>
        <w:tab w:val="num" w:pos="4767"/>
      </w:tabs>
      <w:spacing w:after="120"/>
      <w:ind w:left="4767" w:hanging="360"/>
      <w:jc w:val="both"/>
    </w:pPr>
    <w:rPr>
      <w:rFonts w:ascii="Verdana" w:hAnsi="Verdana"/>
      <w:sz w:val="20"/>
      <w:szCs w:val="20"/>
      <w:lang w:val="es-ES"/>
    </w:rPr>
  </w:style>
  <w:style w:type="paragraph" w:styleId="BodyTextIndent3">
    <w:name w:val="Body Text Indent 3"/>
    <w:basedOn w:val="Normal"/>
    <w:link w:val="BodyTextIndent3Char"/>
    <w:rsid w:val="009E58AE"/>
    <w:pPr>
      <w:ind w:left="720"/>
      <w:jc w:val="both"/>
    </w:pPr>
    <w:rPr>
      <w:rFonts w:ascii="Verdana" w:eastAsia="Times" w:hAnsi="Verdana"/>
      <w:b/>
      <w:sz w:val="22"/>
      <w:szCs w:val="20"/>
      <w:lang w:eastAsia="es-ES"/>
    </w:rPr>
  </w:style>
  <w:style w:type="character" w:customStyle="1" w:styleId="BodyTextIndent3Char">
    <w:name w:val="Body Text Indent 3 Char"/>
    <w:basedOn w:val="DefaultParagraphFont"/>
    <w:link w:val="BodyTextIndent3"/>
    <w:rsid w:val="009E58AE"/>
    <w:rPr>
      <w:rFonts w:ascii="Verdana" w:eastAsia="Times" w:hAnsi="Verdana" w:cs="Times New Roman"/>
      <w:b/>
      <w:szCs w:val="20"/>
      <w:lang w:val="es-ES_tradnl" w:eastAsia="es-ES"/>
    </w:rPr>
  </w:style>
  <w:style w:type="paragraph" w:customStyle="1" w:styleId="Estilo7">
    <w:name w:val="Estilo7"/>
    <w:basedOn w:val="Normal"/>
    <w:qFormat/>
    <w:rsid w:val="009E58AE"/>
    <w:pPr>
      <w:tabs>
        <w:tab w:val="left" w:pos="567"/>
        <w:tab w:val="left" w:pos="851"/>
        <w:tab w:val="num" w:pos="2160"/>
      </w:tabs>
      <w:spacing w:before="120" w:after="120"/>
      <w:ind w:left="2160" w:hanging="180"/>
      <w:jc w:val="both"/>
    </w:pPr>
    <w:rPr>
      <w:rFonts w:ascii="Verdana" w:eastAsia="Batang" w:hAnsi="Verdana"/>
      <w:b/>
      <w:i/>
      <w:sz w:val="20"/>
      <w:szCs w:val="20"/>
      <w:lang w:eastAsia="es-MX"/>
    </w:rPr>
  </w:style>
  <w:style w:type="paragraph" w:customStyle="1" w:styleId="Sangradetindependiente">
    <w:name w:val="Sangr’a de t. independiente"/>
    <w:basedOn w:val="Normal"/>
    <w:rsid w:val="009E58AE"/>
    <w:pPr>
      <w:overflowPunct w:val="0"/>
      <w:autoSpaceDE w:val="0"/>
      <w:autoSpaceDN w:val="0"/>
      <w:adjustRightInd w:val="0"/>
      <w:jc w:val="both"/>
      <w:textAlignment w:val="baseline"/>
    </w:pPr>
    <w:rPr>
      <w:rFonts w:eastAsia="Times New Roman"/>
      <w:szCs w:val="20"/>
      <w:lang w:eastAsia="es-ES"/>
    </w:rPr>
  </w:style>
  <w:style w:type="paragraph" w:styleId="EndnoteText">
    <w:name w:val="endnote text"/>
    <w:basedOn w:val="Normal"/>
    <w:link w:val="EndnoteTextChar"/>
    <w:rsid w:val="009E58AE"/>
    <w:rPr>
      <w:rFonts w:ascii="Verdana" w:eastAsia="Times" w:hAnsi="Verdana"/>
      <w:sz w:val="20"/>
      <w:szCs w:val="20"/>
      <w:lang w:val="es-CR"/>
    </w:rPr>
  </w:style>
  <w:style w:type="character" w:customStyle="1" w:styleId="EndnoteTextChar">
    <w:name w:val="Endnote Text Char"/>
    <w:basedOn w:val="DefaultParagraphFont"/>
    <w:link w:val="EndnoteText"/>
    <w:rsid w:val="009E58AE"/>
    <w:rPr>
      <w:rFonts w:ascii="Verdana" w:eastAsia="Times" w:hAnsi="Verdana" w:cs="Times New Roman"/>
      <w:sz w:val="20"/>
      <w:szCs w:val="20"/>
      <w:lang w:val="es-CR"/>
    </w:rPr>
  </w:style>
  <w:style w:type="character" w:customStyle="1" w:styleId="Caracteresdenotafinal">
    <w:name w:val="Caracteres de nota final"/>
    <w:basedOn w:val="DefaultParagraphFont"/>
    <w:rsid w:val="009E58AE"/>
    <w:rPr>
      <w:vertAlign w:val="superscript"/>
    </w:rPr>
  </w:style>
  <w:style w:type="character" w:customStyle="1" w:styleId="normalchar1">
    <w:name w:val="normal__char1"/>
    <w:basedOn w:val="DefaultParagraphFont"/>
    <w:rsid w:val="009E58AE"/>
    <w:rPr>
      <w:rFonts w:ascii="Verdana" w:hAnsi="Verdana" w:hint="default"/>
      <w:sz w:val="20"/>
      <w:szCs w:val="20"/>
    </w:rPr>
  </w:style>
  <w:style w:type="character" w:customStyle="1" w:styleId="FootnoteTextCharCar">
    <w:name w:val="Footnote Text Char Car"/>
    <w:aliases w:val="FA Car,Note de bas de page Car Car Car"/>
    <w:basedOn w:val="DefaultParagraphFont"/>
    <w:uiPriority w:val="99"/>
    <w:locked/>
    <w:rsid w:val="009E58AE"/>
  </w:style>
  <w:style w:type="character" w:customStyle="1" w:styleId="sb8d990e2">
    <w:name w:val="sb8d990e2"/>
    <w:uiPriority w:val="99"/>
    <w:rsid w:val="009E58AE"/>
  </w:style>
  <w:style w:type="paragraph" w:customStyle="1" w:styleId="Prrafodelista2">
    <w:name w:val="Párrafo de lista2"/>
    <w:basedOn w:val="Normal"/>
    <w:uiPriority w:val="99"/>
    <w:rsid w:val="009E58AE"/>
    <w:pPr>
      <w:ind w:left="720"/>
    </w:pPr>
    <w:rPr>
      <w:rFonts w:ascii="Verdana" w:eastAsia="MS Mincho" w:hAnsi="Verdana"/>
      <w:sz w:val="20"/>
      <w:szCs w:val="20"/>
      <w:lang w:bidi="en-US"/>
    </w:rPr>
  </w:style>
  <w:style w:type="character" w:customStyle="1" w:styleId="st1">
    <w:name w:val="st1"/>
    <w:basedOn w:val="DefaultParagraphFont"/>
    <w:rsid w:val="009E58AE"/>
  </w:style>
  <w:style w:type="paragraph" w:styleId="Revision">
    <w:name w:val="Revision"/>
    <w:hidden/>
    <w:uiPriority w:val="99"/>
    <w:semiHidden/>
    <w:rsid w:val="002C1303"/>
    <w:pPr>
      <w:spacing w:after="0" w:line="240" w:lineRule="auto"/>
    </w:pPr>
    <w:rPr>
      <w:rFonts w:ascii="Times New Roman" w:eastAsia="Calibri" w:hAnsi="Times New Roman" w:cs="Times New Roman"/>
      <w:sz w:val="24"/>
      <w:szCs w:val="24"/>
      <w:lang w:val="es-ES_tradnl"/>
    </w:rPr>
  </w:style>
  <w:style w:type="paragraph" w:customStyle="1" w:styleId="NormalNumbered">
    <w:name w:val="Normal Numbered"/>
    <w:basedOn w:val="Normal"/>
    <w:qFormat/>
    <w:rsid w:val="00F54FF1"/>
    <w:pPr>
      <w:numPr>
        <w:numId w:val="6"/>
      </w:numPr>
      <w:ind w:left="0" w:firstLine="0"/>
      <w:jc w:val="both"/>
    </w:pPr>
    <w:rPr>
      <w:rFonts w:ascii="Verdana" w:eastAsia="Times New Roman" w:hAnsi="Verdana"/>
      <w:sz w:val="20"/>
      <w:szCs w:val="20"/>
      <w:lang w:val="x-none" w:eastAsia="x-none"/>
    </w:rPr>
  </w:style>
  <w:style w:type="numbering" w:customStyle="1" w:styleId="NoList1">
    <w:name w:val="No List1"/>
    <w:next w:val="NoList"/>
    <w:uiPriority w:val="99"/>
    <w:semiHidden/>
    <w:unhideWhenUsed/>
    <w:rsid w:val="00C01305"/>
  </w:style>
  <w:style w:type="paragraph" w:customStyle="1" w:styleId="ju-005fpara-002cleft-002cfirst-0020line-003a-0020-00200-0020cm">
    <w:name w:val="ju-005fpara-002cleft-002cfirst-0020line-003a-0020-00200-0020cm"/>
    <w:basedOn w:val="Normal"/>
    <w:rsid w:val="00C01305"/>
    <w:pPr>
      <w:spacing w:after="135"/>
    </w:pPr>
    <w:rPr>
      <w:rFonts w:eastAsia="Times New Roman"/>
      <w:lang w:val="es-MX" w:eastAsia="es-MX"/>
    </w:rPr>
  </w:style>
  <w:style w:type="character" w:customStyle="1" w:styleId="ju-005fpara-002cleft-002cfirst-0020line-003a-0020-00200-0020cm--char">
    <w:name w:val="ju-005fpara-002cleft-002cfirst-0020line-003a-0020-00200-0020cm--char"/>
    <w:rsid w:val="00C01305"/>
  </w:style>
  <w:style w:type="character" w:customStyle="1" w:styleId="PrrafodelistaCar1">
    <w:name w:val="Párrafo de lista Car1"/>
    <w:basedOn w:val="DefaultParagraphFont"/>
    <w:uiPriority w:val="99"/>
    <w:locked/>
    <w:rsid w:val="00C01305"/>
    <w:rPr>
      <w:rFonts w:ascii="Verdana" w:hAnsi="Verdana" w:cs="Verdana"/>
      <w:lang w:eastAsia="en-US"/>
    </w:rPr>
  </w:style>
  <w:style w:type="character" w:customStyle="1" w:styleId="TextocomentarioCar1">
    <w:name w:val="Texto comentario Car1"/>
    <w:basedOn w:val="DefaultParagraphFont"/>
    <w:uiPriority w:val="99"/>
    <w:semiHidden/>
    <w:rsid w:val="00C01305"/>
    <w:rPr>
      <w:sz w:val="20"/>
      <w:szCs w:val="20"/>
    </w:rPr>
  </w:style>
  <w:style w:type="paragraph" w:customStyle="1" w:styleId="Body1">
    <w:name w:val="Body 1"/>
    <w:link w:val="Body1Char"/>
    <w:rsid w:val="00AF7637"/>
    <w:pPr>
      <w:outlineLvl w:val="0"/>
    </w:pPr>
    <w:rPr>
      <w:rFonts w:ascii="Helvetica" w:eastAsia="ヒラギノ角ゴ Pro W3" w:hAnsi="Helvetica" w:cs="Times New Roman"/>
      <w:color w:val="000000"/>
      <w:szCs w:val="20"/>
      <w:lang w:eastAsia="es-CR"/>
    </w:rPr>
  </w:style>
  <w:style w:type="character" w:customStyle="1" w:styleId="Body1Char">
    <w:name w:val="Body 1 Char"/>
    <w:link w:val="Body1"/>
    <w:rsid w:val="00AF7637"/>
    <w:rPr>
      <w:rFonts w:ascii="Helvetica" w:eastAsia="ヒラギノ角ゴ Pro W3" w:hAnsi="Helvetica" w:cs="Times New Roman"/>
      <w:color w:val="000000"/>
      <w:szCs w:val="20"/>
      <w:lang w:eastAsia="es-CR"/>
    </w:rPr>
  </w:style>
  <w:style w:type="paragraph" w:customStyle="1" w:styleId="style11">
    <w:name w:val="style11"/>
    <w:basedOn w:val="Normal"/>
    <w:rsid w:val="0088700B"/>
    <w:pPr>
      <w:spacing w:before="192" w:after="192"/>
      <w:ind w:left="120" w:right="144"/>
      <w:jc w:val="both"/>
    </w:pPr>
    <w:rPr>
      <w:rFonts w:eastAsia="Times New Roman"/>
      <w:lang w:val="es-MX" w:eastAsia="es-MX"/>
    </w:rPr>
  </w:style>
  <w:style w:type="paragraph" w:customStyle="1" w:styleId="Style1">
    <w:name w:val="Style1"/>
    <w:basedOn w:val="ListParagraph"/>
    <w:link w:val="Style1Char"/>
    <w:qFormat/>
    <w:rsid w:val="00F83E8F"/>
    <w:pPr>
      <w:numPr>
        <w:numId w:val="25"/>
      </w:numPr>
      <w:spacing w:after="160" w:line="256" w:lineRule="auto"/>
      <w:jc w:val="center"/>
    </w:pPr>
    <w:rPr>
      <w:rFonts w:ascii="Verdana" w:eastAsia="Times New Roman" w:hAnsi="Verdana"/>
      <w:b/>
      <w:sz w:val="20"/>
      <w:szCs w:val="20"/>
      <w:u w:val="single"/>
      <w:lang w:val="es-MX"/>
    </w:rPr>
  </w:style>
  <w:style w:type="character" w:customStyle="1" w:styleId="Style1Char">
    <w:name w:val="Style1 Char"/>
    <w:basedOn w:val="ListParagraphChar"/>
    <w:link w:val="Style1"/>
    <w:rsid w:val="00F83E8F"/>
    <w:rPr>
      <w:rFonts w:ascii="Verdana" w:eastAsia="Times New Roman" w:hAnsi="Verdana" w:cs="Times New Roman"/>
      <w:b/>
      <w:sz w:val="20"/>
      <w:szCs w:val="20"/>
      <w:u w:val="single"/>
      <w:lang w:val="es-MX"/>
    </w:rPr>
  </w:style>
  <w:style w:type="paragraph" w:styleId="Quote">
    <w:name w:val="Quote"/>
    <w:basedOn w:val="Normal"/>
    <w:next w:val="Normal"/>
    <w:link w:val="QuoteChar"/>
    <w:uiPriority w:val="29"/>
    <w:qFormat/>
    <w:rsid w:val="00F83E8F"/>
    <w:pPr>
      <w:spacing w:before="200" w:after="160"/>
      <w:ind w:left="864" w:right="864"/>
      <w:jc w:val="center"/>
    </w:pPr>
    <w:rPr>
      <w:rFonts w:ascii="Verdana" w:eastAsia="Times New Roman" w:hAnsi="Verdana"/>
      <w:i/>
      <w:iCs/>
      <w:color w:val="404040" w:themeColor="text1" w:themeTint="BF"/>
      <w:sz w:val="20"/>
      <w:lang w:val="en-US"/>
    </w:rPr>
  </w:style>
  <w:style w:type="character" w:customStyle="1" w:styleId="QuoteChar">
    <w:name w:val="Quote Char"/>
    <w:basedOn w:val="DefaultParagraphFont"/>
    <w:link w:val="Quote"/>
    <w:uiPriority w:val="29"/>
    <w:rsid w:val="00F83E8F"/>
    <w:rPr>
      <w:rFonts w:ascii="Verdana" w:eastAsia="Times New Roman" w:hAnsi="Verdana" w:cs="Times New Roman"/>
      <w:i/>
      <w:iCs/>
      <w:color w:val="404040" w:themeColor="text1" w:themeTint="BF"/>
      <w:sz w:val="20"/>
      <w:szCs w:val="24"/>
    </w:rPr>
  </w:style>
  <w:style w:type="paragraph" w:customStyle="1" w:styleId="s32b251d">
    <w:name w:val="s32b251d"/>
    <w:basedOn w:val="Normal"/>
    <w:rsid w:val="00F83E8F"/>
    <w:pPr>
      <w:spacing w:before="100" w:beforeAutospacing="1" w:after="100" w:afterAutospacing="1"/>
    </w:pPr>
    <w:rPr>
      <w:rFonts w:ascii="Times" w:eastAsiaTheme="minorHAnsi" w:hAnsi="Times" w:cstheme="minorBidi"/>
      <w:noProof/>
      <w:sz w:val="20"/>
      <w:szCs w:val="20"/>
      <w:lang w:eastAsia="es-ES"/>
    </w:rPr>
  </w:style>
  <w:style w:type="paragraph" w:customStyle="1" w:styleId="Estilo4">
    <w:name w:val="Estilo4"/>
    <w:basedOn w:val="ListParagraph"/>
    <w:link w:val="Estilo4Car"/>
    <w:qFormat/>
    <w:rsid w:val="00F83E8F"/>
    <w:pPr>
      <w:numPr>
        <w:numId w:val="29"/>
      </w:numPr>
      <w:spacing w:after="120"/>
      <w:ind w:left="0" w:firstLine="357"/>
      <w:contextualSpacing w:val="0"/>
      <w:jc w:val="both"/>
    </w:pPr>
    <w:rPr>
      <w:rFonts w:ascii="Verdana" w:eastAsia="Times New Roman" w:hAnsi="Verdana"/>
      <w:spacing w:val="-2"/>
      <w:sz w:val="20"/>
      <w:szCs w:val="20"/>
      <w:lang w:val="es-CR"/>
    </w:rPr>
  </w:style>
  <w:style w:type="character" w:customStyle="1" w:styleId="Estilo4Car">
    <w:name w:val="Estilo4 Car"/>
    <w:basedOn w:val="DefaultParagraphFont"/>
    <w:link w:val="Estilo4"/>
    <w:rsid w:val="00F83E8F"/>
    <w:rPr>
      <w:rFonts w:ascii="Verdana" w:eastAsia="Times New Roman" w:hAnsi="Verdana" w:cs="Times New Roman"/>
      <w:spacing w:val="-2"/>
      <w:sz w:val="20"/>
      <w:szCs w:val="20"/>
      <w:lang w:val="es-CR"/>
    </w:rPr>
  </w:style>
  <w:style w:type="character" w:styleId="PageNumber">
    <w:name w:val="page number"/>
    <w:basedOn w:val="DefaultParagraphFont"/>
    <w:uiPriority w:val="99"/>
    <w:semiHidden/>
    <w:unhideWhenUsed/>
    <w:rsid w:val="00F83E8F"/>
  </w:style>
  <w:style w:type="character" w:styleId="FollowedHyperlink">
    <w:name w:val="FollowedHyperlink"/>
    <w:basedOn w:val="DefaultParagraphFont"/>
    <w:uiPriority w:val="99"/>
    <w:semiHidden/>
    <w:unhideWhenUsed/>
    <w:rsid w:val="00F83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2324">
      <w:bodyDiv w:val="1"/>
      <w:marLeft w:val="0"/>
      <w:marRight w:val="0"/>
      <w:marTop w:val="0"/>
      <w:marBottom w:val="0"/>
      <w:divBdr>
        <w:top w:val="none" w:sz="0" w:space="0" w:color="auto"/>
        <w:left w:val="none" w:sz="0" w:space="0" w:color="auto"/>
        <w:bottom w:val="none" w:sz="0" w:space="0" w:color="auto"/>
        <w:right w:val="none" w:sz="0" w:space="0" w:color="auto"/>
      </w:divBdr>
    </w:div>
    <w:div w:id="181478829">
      <w:bodyDiv w:val="1"/>
      <w:marLeft w:val="0"/>
      <w:marRight w:val="0"/>
      <w:marTop w:val="0"/>
      <w:marBottom w:val="0"/>
      <w:divBdr>
        <w:top w:val="none" w:sz="0" w:space="0" w:color="auto"/>
        <w:left w:val="none" w:sz="0" w:space="0" w:color="auto"/>
        <w:bottom w:val="none" w:sz="0" w:space="0" w:color="auto"/>
        <w:right w:val="none" w:sz="0" w:space="0" w:color="auto"/>
      </w:divBdr>
    </w:div>
    <w:div w:id="360715920">
      <w:bodyDiv w:val="1"/>
      <w:marLeft w:val="0"/>
      <w:marRight w:val="0"/>
      <w:marTop w:val="0"/>
      <w:marBottom w:val="0"/>
      <w:divBdr>
        <w:top w:val="none" w:sz="0" w:space="0" w:color="auto"/>
        <w:left w:val="none" w:sz="0" w:space="0" w:color="auto"/>
        <w:bottom w:val="none" w:sz="0" w:space="0" w:color="auto"/>
        <w:right w:val="none" w:sz="0" w:space="0" w:color="auto"/>
      </w:divBdr>
    </w:div>
    <w:div w:id="639651739">
      <w:bodyDiv w:val="1"/>
      <w:marLeft w:val="0"/>
      <w:marRight w:val="0"/>
      <w:marTop w:val="0"/>
      <w:marBottom w:val="0"/>
      <w:divBdr>
        <w:top w:val="none" w:sz="0" w:space="0" w:color="auto"/>
        <w:left w:val="none" w:sz="0" w:space="0" w:color="auto"/>
        <w:bottom w:val="none" w:sz="0" w:space="0" w:color="auto"/>
        <w:right w:val="none" w:sz="0" w:space="0" w:color="auto"/>
      </w:divBdr>
    </w:div>
    <w:div w:id="675379822">
      <w:bodyDiv w:val="1"/>
      <w:marLeft w:val="0"/>
      <w:marRight w:val="0"/>
      <w:marTop w:val="0"/>
      <w:marBottom w:val="0"/>
      <w:divBdr>
        <w:top w:val="none" w:sz="0" w:space="0" w:color="auto"/>
        <w:left w:val="none" w:sz="0" w:space="0" w:color="auto"/>
        <w:bottom w:val="none" w:sz="0" w:space="0" w:color="auto"/>
        <w:right w:val="none" w:sz="0" w:space="0" w:color="auto"/>
      </w:divBdr>
    </w:div>
    <w:div w:id="950207721">
      <w:bodyDiv w:val="1"/>
      <w:marLeft w:val="0"/>
      <w:marRight w:val="0"/>
      <w:marTop w:val="0"/>
      <w:marBottom w:val="0"/>
      <w:divBdr>
        <w:top w:val="none" w:sz="0" w:space="0" w:color="auto"/>
        <w:left w:val="none" w:sz="0" w:space="0" w:color="auto"/>
        <w:bottom w:val="none" w:sz="0" w:space="0" w:color="auto"/>
        <w:right w:val="none" w:sz="0" w:space="0" w:color="auto"/>
      </w:divBdr>
    </w:div>
    <w:div w:id="989795448">
      <w:bodyDiv w:val="1"/>
      <w:marLeft w:val="0"/>
      <w:marRight w:val="0"/>
      <w:marTop w:val="0"/>
      <w:marBottom w:val="0"/>
      <w:divBdr>
        <w:top w:val="none" w:sz="0" w:space="0" w:color="auto"/>
        <w:left w:val="none" w:sz="0" w:space="0" w:color="auto"/>
        <w:bottom w:val="none" w:sz="0" w:space="0" w:color="auto"/>
        <w:right w:val="none" w:sz="0" w:space="0" w:color="auto"/>
      </w:divBdr>
    </w:div>
    <w:div w:id="1225989393">
      <w:bodyDiv w:val="1"/>
      <w:marLeft w:val="0"/>
      <w:marRight w:val="0"/>
      <w:marTop w:val="0"/>
      <w:marBottom w:val="0"/>
      <w:divBdr>
        <w:top w:val="none" w:sz="0" w:space="0" w:color="auto"/>
        <w:left w:val="none" w:sz="0" w:space="0" w:color="auto"/>
        <w:bottom w:val="none" w:sz="0" w:space="0" w:color="auto"/>
        <w:right w:val="none" w:sz="0" w:space="0" w:color="auto"/>
      </w:divBdr>
    </w:div>
    <w:div w:id="1357345799">
      <w:bodyDiv w:val="1"/>
      <w:marLeft w:val="0"/>
      <w:marRight w:val="0"/>
      <w:marTop w:val="0"/>
      <w:marBottom w:val="0"/>
      <w:divBdr>
        <w:top w:val="none" w:sz="0" w:space="0" w:color="auto"/>
        <w:left w:val="none" w:sz="0" w:space="0" w:color="auto"/>
        <w:bottom w:val="none" w:sz="0" w:space="0" w:color="auto"/>
        <w:right w:val="none" w:sz="0" w:space="0" w:color="auto"/>
      </w:divBdr>
    </w:div>
    <w:div w:id="1403139141">
      <w:bodyDiv w:val="1"/>
      <w:marLeft w:val="0"/>
      <w:marRight w:val="0"/>
      <w:marTop w:val="0"/>
      <w:marBottom w:val="0"/>
      <w:divBdr>
        <w:top w:val="none" w:sz="0" w:space="0" w:color="auto"/>
        <w:left w:val="none" w:sz="0" w:space="0" w:color="auto"/>
        <w:bottom w:val="none" w:sz="0" w:space="0" w:color="auto"/>
        <w:right w:val="none" w:sz="0" w:space="0" w:color="auto"/>
      </w:divBdr>
    </w:div>
    <w:div w:id="1450198720">
      <w:bodyDiv w:val="1"/>
      <w:marLeft w:val="0"/>
      <w:marRight w:val="0"/>
      <w:marTop w:val="0"/>
      <w:marBottom w:val="0"/>
      <w:divBdr>
        <w:top w:val="none" w:sz="0" w:space="0" w:color="auto"/>
        <w:left w:val="none" w:sz="0" w:space="0" w:color="auto"/>
        <w:bottom w:val="none" w:sz="0" w:space="0" w:color="auto"/>
        <w:right w:val="none" w:sz="0" w:space="0" w:color="auto"/>
      </w:divBdr>
    </w:div>
    <w:div w:id="1480687379">
      <w:bodyDiv w:val="1"/>
      <w:marLeft w:val="0"/>
      <w:marRight w:val="0"/>
      <w:marTop w:val="0"/>
      <w:marBottom w:val="0"/>
      <w:divBdr>
        <w:top w:val="none" w:sz="0" w:space="0" w:color="auto"/>
        <w:left w:val="none" w:sz="0" w:space="0" w:color="auto"/>
        <w:bottom w:val="none" w:sz="0" w:space="0" w:color="auto"/>
        <w:right w:val="none" w:sz="0" w:space="0" w:color="auto"/>
      </w:divBdr>
    </w:div>
    <w:div w:id="1533181791">
      <w:bodyDiv w:val="1"/>
      <w:marLeft w:val="0"/>
      <w:marRight w:val="0"/>
      <w:marTop w:val="0"/>
      <w:marBottom w:val="0"/>
      <w:divBdr>
        <w:top w:val="none" w:sz="0" w:space="0" w:color="auto"/>
        <w:left w:val="none" w:sz="0" w:space="0" w:color="auto"/>
        <w:bottom w:val="none" w:sz="0" w:space="0" w:color="auto"/>
        <w:right w:val="none" w:sz="0" w:space="0" w:color="auto"/>
      </w:divBdr>
      <w:divsChild>
        <w:div w:id="89591561">
          <w:marLeft w:val="0"/>
          <w:marRight w:val="0"/>
          <w:marTop w:val="0"/>
          <w:marBottom w:val="0"/>
          <w:divBdr>
            <w:top w:val="none" w:sz="0" w:space="0" w:color="auto"/>
            <w:left w:val="none" w:sz="0" w:space="0" w:color="auto"/>
            <w:bottom w:val="none" w:sz="0" w:space="0" w:color="auto"/>
            <w:right w:val="none" w:sz="0" w:space="0" w:color="auto"/>
          </w:divBdr>
          <w:divsChild>
            <w:div w:id="535898962">
              <w:marLeft w:val="0"/>
              <w:marRight w:val="0"/>
              <w:marTop w:val="0"/>
              <w:marBottom w:val="0"/>
              <w:divBdr>
                <w:top w:val="none" w:sz="0" w:space="0" w:color="auto"/>
                <w:left w:val="none" w:sz="0" w:space="0" w:color="auto"/>
                <w:bottom w:val="none" w:sz="0" w:space="0" w:color="auto"/>
                <w:right w:val="none" w:sz="0" w:space="0" w:color="auto"/>
              </w:divBdr>
              <w:divsChild>
                <w:div w:id="1582910984">
                  <w:marLeft w:val="0"/>
                  <w:marRight w:val="0"/>
                  <w:marTop w:val="0"/>
                  <w:marBottom w:val="0"/>
                  <w:divBdr>
                    <w:top w:val="none" w:sz="0" w:space="0" w:color="auto"/>
                    <w:left w:val="none" w:sz="0" w:space="0" w:color="auto"/>
                    <w:bottom w:val="none" w:sz="0" w:space="0" w:color="auto"/>
                    <w:right w:val="none" w:sz="0" w:space="0" w:color="auto"/>
                  </w:divBdr>
                  <w:divsChild>
                    <w:div w:id="1524321935">
                      <w:marLeft w:val="0"/>
                      <w:marRight w:val="0"/>
                      <w:marTop w:val="0"/>
                      <w:marBottom w:val="0"/>
                      <w:divBdr>
                        <w:top w:val="none" w:sz="0" w:space="0" w:color="auto"/>
                        <w:left w:val="none" w:sz="0" w:space="0" w:color="auto"/>
                        <w:bottom w:val="none" w:sz="0" w:space="0" w:color="auto"/>
                        <w:right w:val="none" w:sz="0" w:space="0" w:color="auto"/>
                      </w:divBdr>
                      <w:divsChild>
                        <w:div w:id="2049644518">
                          <w:marLeft w:val="0"/>
                          <w:marRight w:val="0"/>
                          <w:marTop w:val="0"/>
                          <w:marBottom w:val="0"/>
                          <w:divBdr>
                            <w:top w:val="none" w:sz="0" w:space="0" w:color="auto"/>
                            <w:left w:val="none" w:sz="0" w:space="0" w:color="auto"/>
                            <w:bottom w:val="none" w:sz="0" w:space="0" w:color="auto"/>
                            <w:right w:val="none" w:sz="0" w:space="0" w:color="auto"/>
                          </w:divBdr>
                          <w:divsChild>
                            <w:div w:id="2095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11213">
      <w:bodyDiv w:val="1"/>
      <w:marLeft w:val="0"/>
      <w:marRight w:val="0"/>
      <w:marTop w:val="0"/>
      <w:marBottom w:val="0"/>
      <w:divBdr>
        <w:top w:val="none" w:sz="0" w:space="0" w:color="auto"/>
        <w:left w:val="none" w:sz="0" w:space="0" w:color="auto"/>
        <w:bottom w:val="none" w:sz="0" w:space="0" w:color="auto"/>
        <w:right w:val="none" w:sz="0" w:space="0" w:color="auto"/>
      </w:divBdr>
    </w:div>
    <w:div w:id="1780248634">
      <w:bodyDiv w:val="1"/>
      <w:marLeft w:val="0"/>
      <w:marRight w:val="0"/>
      <w:marTop w:val="0"/>
      <w:marBottom w:val="0"/>
      <w:divBdr>
        <w:top w:val="none" w:sz="0" w:space="0" w:color="auto"/>
        <w:left w:val="none" w:sz="0" w:space="0" w:color="auto"/>
        <w:bottom w:val="none" w:sz="0" w:space="0" w:color="auto"/>
        <w:right w:val="none" w:sz="0" w:space="0" w:color="auto"/>
      </w:divBdr>
    </w:div>
    <w:div w:id="1956859884">
      <w:bodyDiv w:val="1"/>
      <w:marLeft w:val="0"/>
      <w:marRight w:val="0"/>
      <w:marTop w:val="0"/>
      <w:marBottom w:val="0"/>
      <w:divBdr>
        <w:top w:val="none" w:sz="0" w:space="0" w:color="auto"/>
        <w:left w:val="none" w:sz="0" w:space="0" w:color="auto"/>
        <w:bottom w:val="none" w:sz="0" w:space="0" w:color="auto"/>
        <w:right w:val="none" w:sz="0" w:space="0" w:color="auto"/>
      </w:divBdr>
    </w:div>
    <w:div w:id="2002998010">
      <w:bodyDiv w:val="1"/>
      <w:marLeft w:val="0"/>
      <w:marRight w:val="0"/>
      <w:marTop w:val="0"/>
      <w:marBottom w:val="0"/>
      <w:divBdr>
        <w:top w:val="none" w:sz="0" w:space="0" w:color="auto"/>
        <w:left w:val="none" w:sz="0" w:space="0" w:color="auto"/>
        <w:bottom w:val="none" w:sz="0" w:space="0" w:color="auto"/>
        <w:right w:val="none" w:sz="0" w:space="0" w:color="auto"/>
      </w:divBdr>
    </w:div>
    <w:div w:id="21131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eru.justia.com/federales/decretos-leyes/18350-jul-27-1970/gdoc/" TargetMode="External"/><Relationship Id="rId7" Type="http://schemas.openxmlformats.org/officeDocument/2006/relationships/hyperlink" Target="http://dle.rae.es" TargetMode="External"/><Relationship Id="rId2" Type="http://schemas.openxmlformats.org/officeDocument/2006/relationships/hyperlink" Target="http://www.corteidh.or.cr/docs/asuntos/lagos_21_11_16.pdf" TargetMode="External"/><Relationship Id="rId1" Type="http://schemas.openxmlformats.org/officeDocument/2006/relationships/hyperlink" Target="http://www.corteidh.or.cr/docs/asuntos/lagos_fv_16.pdf" TargetMode="External"/><Relationship Id="rId6" Type="http://schemas.openxmlformats.org/officeDocument/2006/relationships/hyperlink" Target="http://www.corteidh.or.cr/docs/asuntos/lagos_fv_16.pdf" TargetMode="External"/><Relationship Id="rId5" Type="http://schemas.openxmlformats.org/officeDocument/2006/relationships/hyperlink" Target="http://www.corteidh.or.cr/docs/casos/articulos/seriec_182_esp.pdf" TargetMode="External"/><Relationship Id="rId4" Type="http://schemas.openxmlformats.org/officeDocument/2006/relationships/hyperlink" Target="http://docs.peru.justia.com/federales/decretos-leyes/18384-sep-1-19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510B-2154-4936-B6C9-9102AA458871}">
  <ds:schemaRefs>
    <ds:schemaRef ds:uri="http://schemas.microsoft.com/sharepoint/v3/contenttype/forms"/>
  </ds:schemaRefs>
</ds:datastoreItem>
</file>

<file path=customXml/itemProps2.xml><?xml version="1.0" encoding="utf-8"?>
<ds:datastoreItem xmlns:ds="http://schemas.openxmlformats.org/officeDocument/2006/customXml" ds:itemID="{92E841CC-5D21-443A-BA07-FF53FFFCF4B1}">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A60D056-FB99-429F-864A-A8E4EABE7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5E0244-E0D0-44FB-A56A-ACDD7284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127</Pages>
  <Words>51375</Words>
  <Characters>292840</Characters>
  <Application>Microsoft Office Word</Application>
  <DocSecurity>0</DocSecurity>
  <Lines>2440</Lines>
  <Paragraphs>687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Patricia Calderon</cp:lastModifiedBy>
  <cp:revision>27</cp:revision>
  <cp:lastPrinted>2017-11-13T19:36:00Z</cp:lastPrinted>
  <dcterms:created xsi:type="dcterms:W3CDTF">2017-11-14T23:51:00Z</dcterms:created>
  <dcterms:modified xsi:type="dcterms:W3CDTF">2017-11-15T20:54:00Z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y fmtid="{D5CDD505-2E9C-101B-9397-08002B2CF9AE}" pid="3" name="_DocHome">
    <vt:i4>-320132752</vt:i4>
  </property>
</Properties>
</file>