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4F6AA" w14:textId="2CBE9A62" w:rsidR="003D717E" w:rsidRDefault="003D717E" w:rsidP="003D717E">
      <w:pPr>
        <w:widowControl w:val="0"/>
        <w:tabs>
          <w:tab w:val="left" w:pos="567"/>
        </w:tabs>
        <w:adjustRightInd w:val="0"/>
        <w:textAlignment w:val="baseline"/>
        <w:rPr>
          <w:b/>
          <w:spacing w:val="-4"/>
          <w:szCs w:val="20"/>
          <w:lang w:eastAsia="es-CR"/>
        </w:rPr>
      </w:pPr>
      <w:bookmarkStart w:id="0" w:name="_Ref395209168"/>
    </w:p>
    <w:p w14:paraId="40733D20" w14:textId="77777777" w:rsidR="00E02FDB" w:rsidRDefault="00E02FDB" w:rsidP="003D717E">
      <w:pPr>
        <w:widowControl w:val="0"/>
        <w:tabs>
          <w:tab w:val="left" w:pos="567"/>
        </w:tabs>
        <w:adjustRightInd w:val="0"/>
        <w:textAlignment w:val="baseline"/>
        <w:rPr>
          <w:b/>
          <w:spacing w:val="-4"/>
          <w:szCs w:val="20"/>
          <w:lang w:eastAsia="es-CR"/>
        </w:rPr>
      </w:pPr>
    </w:p>
    <w:p w14:paraId="1FFCDCB4" w14:textId="77777777" w:rsidR="00E02FDB" w:rsidRDefault="00E02FDB" w:rsidP="003D717E">
      <w:pPr>
        <w:widowControl w:val="0"/>
        <w:tabs>
          <w:tab w:val="left" w:pos="567"/>
        </w:tabs>
        <w:adjustRightInd w:val="0"/>
        <w:textAlignment w:val="baseline"/>
        <w:rPr>
          <w:b/>
          <w:spacing w:val="-4"/>
          <w:szCs w:val="20"/>
          <w:lang w:eastAsia="es-CR"/>
        </w:rPr>
      </w:pPr>
    </w:p>
    <w:p w14:paraId="42ABA455" w14:textId="77777777" w:rsidR="00E02FDB" w:rsidRDefault="00E02FDB" w:rsidP="003D717E">
      <w:pPr>
        <w:widowControl w:val="0"/>
        <w:tabs>
          <w:tab w:val="left" w:pos="567"/>
        </w:tabs>
        <w:adjustRightInd w:val="0"/>
        <w:textAlignment w:val="baseline"/>
        <w:rPr>
          <w:b/>
          <w:spacing w:val="-4"/>
          <w:szCs w:val="20"/>
          <w:lang w:eastAsia="es-CR"/>
        </w:rPr>
      </w:pPr>
    </w:p>
    <w:p w14:paraId="4DCC1A88" w14:textId="77777777" w:rsidR="00E02FDB" w:rsidRDefault="00E02FDB" w:rsidP="003D717E">
      <w:pPr>
        <w:widowControl w:val="0"/>
        <w:tabs>
          <w:tab w:val="left" w:pos="567"/>
        </w:tabs>
        <w:adjustRightInd w:val="0"/>
        <w:textAlignment w:val="baseline"/>
        <w:rPr>
          <w:b/>
          <w:spacing w:val="-4"/>
          <w:szCs w:val="20"/>
          <w:lang w:eastAsia="es-CR"/>
        </w:rPr>
      </w:pPr>
      <w:bookmarkStart w:id="1" w:name="_GoBack"/>
      <w:bookmarkEnd w:id="1"/>
    </w:p>
    <w:p w14:paraId="2A22C274" w14:textId="77777777" w:rsidR="00E02FDB" w:rsidRPr="004A0940" w:rsidRDefault="00E02FDB" w:rsidP="003D717E">
      <w:pPr>
        <w:widowControl w:val="0"/>
        <w:tabs>
          <w:tab w:val="left" w:pos="567"/>
        </w:tabs>
        <w:adjustRightInd w:val="0"/>
        <w:textAlignment w:val="baseline"/>
        <w:rPr>
          <w:b/>
          <w:spacing w:val="-4"/>
          <w:szCs w:val="20"/>
          <w:lang w:eastAsia="es-CR"/>
        </w:rPr>
      </w:pPr>
    </w:p>
    <w:p w14:paraId="47B7A037" w14:textId="77777777" w:rsidR="003D717E" w:rsidRPr="004A0940" w:rsidRDefault="003D717E" w:rsidP="003D717E">
      <w:pPr>
        <w:widowControl w:val="0"/>
        <w:tabs>
          <w:tab w:val="left" w:pos="567"/>
        </w:tabs>
        <w:adjustRightInd w:val="0"/>
        <w:jc w:val="center"/>
        <w:textAlignment w:val="baseline"/>
        <w:rPr>
          <w:b/>
          <w:spacing w:val="-4"/>
          <w:szCs w:val="20"/>
          <w:lang w:eastAsia="es-CR"/>
        </w:rPr>
      </w:pPr>
    </w:p>
    <w:p w14:paraId="6A8A2A41" w14:textId="77777777" w:rsidR="003D717E" w:rsidRPr="004A0940" w:rsidRDefault="003D717E" w:rsidP="003D717E">
      <w:pPr>
        <w:jc w:val="center"/>
        <w:rPr>
          <w:b/>
          <w:spacing w:val="-4"/>
        </w:rPr>
      </w:pPr>
      <w:bookmarkStart w:id="2" w:name="_Toc424833990"/>
      <w:bookmarkStart w:id="3" w:name="_Toc424834591"/>
      <w:bookmarkStart w:id="4" w:name="_Toc424834674"/>
      <w:bookmarkStart w:id="5" w:name="_Toc424834741"/>
      <w:r w:rsidRPr="004A0940">
        <w:rPr>
          <w:b/>
          <w:spacing w:val="-4"/>
        </w:rPr>
        <w:t>CORTE INTERAMERICANA DE DERECHOS HUMANOS</w:t>
      </w:r>
      <w:bookmarkEnd w:id="2"/>
      <w:bookmarkEnd w:id="3"/>
      <w:bookmarkEnd w:id="4"/>
      <w:bookmarkEnd w:id="5"/>
    </w:p>
    <w:p w14:paraId="5183FC5E" w14:textId="77777777" w:rsidR="003D717E" w:rsidRDefault="003D717E" w:rsidP="003D717E">
      <w:pPr>
        <w:jc w:val="center"/>
        <w:rPr>
          <w:b/>
          <w:spacing w:val="-4"/>
        </w:rPr>
      </w:pPr>
    </w:p>
    <w:p w14:paraId="5E8BE13C" w14:textId="77777777" w:rsidR="00170284" w:rsidRPr="004A0940" w:rsidRDefault="00170284" w:rsidP="003D717E">
      <w:pPr>
        <w:jc w:val="center"/>
        <w:rPr>
          <w:b/>
          <w:spacing w:val="-4"/>
        </w:rPr>
      </w:pPr>
    </w:p>
    <w:p w14:paraId="4F758C8C" w14:textId="4FC78157" w:rsidR="003D717E" w:rsidRPr="004A0940" w:rsidRDefault="0009555C" w:rsidP="003D717E">
      <w:pPr>
        <w:jc w:val="center"/>
        <w:rPr>
          <w:b/>
          <w:spacing w:val="-4"/>
        </w:rPr>
      </w:pPr>
      <w:bookmarkStart w:id="6" w:name="_Toc424833991"/>
      <w:bookmarkStart w:id="7" w:name="_Toc424834592"/>
      <w:bookmarkStart w:id="8" w:name="_Toc424834675"/>
      <w:bookmarkStart w:id="9" w:name="_Toc424834742"/>
      <w:r>
        <w:rPr>
          <w:b/>
          <w:spacing w:val="-4"/>
        </w:rPr>
        <w:t>CASO PACHECO LEÓ</w:t>
      </w:r>
      <w:r w:rsidR="00150F60">
        <w:rPr>
          <w:b/>
          <w:spacing w:val="-4"/>
        </w:rPr>
        <w:t>N</w:t>
      </w:r>
      <w:r w:rsidR="003D717E" w:rsidRPr="004A0940">
        <w:rPr>
          <w:b/>
          <w:spacing w:val="-4"/>
        </w:rPr>
        <w:t xml:space="preserve"> Y OTROS VS. HONDURAS</w:t>
      </w:r>
      <w:bookmarkEnd w:id="6"/>
      <w:bookmarkEnd w:id="7"/>
      <w:bookmarkEnd w:id="8"/>
      <w:bookmarkEnd w:id="9"/>
    </w:p>
    <w:p w14:paraId="6B9DAE00" w14:textId="77777777" w:rsidR="003D717E" w:rsidRDefault="003D717E" w:rsidP="003D717E">
      <w:pPr>
        <w:jc w:val="center"/>
        <w:rPr>
          <w:b/>
          <w:spacing w:val="-4"/>
        </w:rPr>
      </w:pPr>
    </w:p>
    <w:p w14:paraId="374CA63F" w14:textId="77777777" w:rsidR="00170284" w:rsidRPr="004A0940" w:rsidRDefault="00170284" w:rsidP="003D717E">
      <w:pPr>
        <w:jc w:val="center"/>
        <w:rPr>
          <w:b/>
          <w:spacing w:val="-4"/>
        </w:rPr>
      </w:pPr>
    </w:p>
    <w:p w14:paraId="1B29195C" w14:textId="74C1AE43" w:rsidR="003D717E" w:rsidRPr="004A0940" w:rsidRDefault="003D717E" w:rsidP="003D717E">
      <w:pPr>
        <w:jc w:val="center"/>
        <w:rPr>
          <w:b/>
          <w:spacing w:val="-4"/>
        </w:rPr>
      </w:pPr>
      <w:bookmarkStart w:id="10" w:name="_Toc424833992"/>
      <w:bookmarkStart w:id="11" w:name="_Toc424834593"/>
      <w:bookmarkStart w:id="12" w:name="_Toc424834676"/>
      <w:bookmarkStart w:id="13" w:name="_Toc424834743"/>
      <w:r w:rsidRPr="004A0940">
        <w:rPr>
          <w:b/>
          <w:spacing w:val="-4"/>
        </w:rPr>
        <w:t xml:space="preserve">SENTENCIA DE </w:t>
      </w:r>
      <w:r w:rsidR="002E6DF2">
        <w:rPr>
          <w:b/>
          <w:spacing w:val="-4"/>
        </w:rPr>
        <w:t xml:space="preserve">15 </w:t>
      </w:r>
      <w:r w:rsidR="007C4756">
        <w:rPr>
          <w:b/>
          <w:spacing w:val="-4"/>
        </w:rPr>
        <w:t>DE NOVIEMBRE</w:t>
      </w:r>
      <w:r w:rsidRPr="004A0940">
        <w:rPr>
          <w:b/>
          <w:spacing w:val="-4"/>
        </w:rPr>
        <w:t xml:space="preserve"> DE 201</w:t>
      </w:r>
      <w:bookmarkEnd w:id="10"/>
      <w:bookmarkEnd w:id="11"/>
      <w:bookmarkEnd w:id="12"/>
      <w:bookmarkEnd w:id="13"/>
      <w:r w:rsidR="00150F60">
        <w:rPr>
          <w:b/>
          <w:spacing w:val="-4"/>
        </w:rPr>
        <w:t>7</w:t>
      </w:r>
    </w:p>
    <w:p w14:paraId="12BE8C82" w14:textId="77777777" w:rsidR="003D717E" w:rsidRDefault="003D717E" w:rsidP="004D030C">
      <w:pPr>
        <w:rPr>
          <w:spacing w:val="-4"/>
        </w:rPr>
      </w:pPr>
    </w:p>
    <w:p w14:paraId="12928480" w14:textId="77777777" w:rsidR="00170284" w:rsidRPr="004A0940" w:rsidRDefault="00170284" w:rsidP="004D030C">
      <w:pPr>
        <w:rPr>
          <w:spacing w:val="-4"/>
        </w:rPr>
      </w:pPr>
    </w:p>
    <w:p w14:paraId="3320FF8A" w14:textId="77777777" w:rsidR="003D717E" w:rsidRDefault="003D717E" w:rsidP="0095595D">
      <w:pPr>
        <w:jc w:val="center"/>
        <w:rPr>
          <w:b/>
          <w:spacing w:val="-4"/>
        </w:rPr>
      </w:pPr>
      <w:bookmarkStart w:id="14" w:name="_Toc424833993"/>
      <w:bookmarkStart w:id="15" w:name="_Toc424834594"/>
      <w:bookmarkStart w:id="16" w:name="_Toc424834677"/>
      <w:bookmarkStart w:id="17" w:name="_Toc424834744"/>
      <w:r w:rsidRPr="004A0940">
        <w:rPr>
          <w:b/>
          <w:spacing w:val="-4"/>
        </w:rPr>
        <w:t>(</w:t>
      </w:r>
      <w:r w:rsidRPr="004A0940">
        <w:rPr>
          <w:b/>
          <w:i/>
          <w:spacing w:val="-4"/>
        </w:rPr>
        <w:t>Fondo, Reparaciones y Costas</w:t>
      </w:r>
      <w:r w:rsidRPr="004A0940">
        <w:rPr>
          <w:b/>
          <w:spacing w:val="-4"/>
        </w:rPr>
        <w:t>)</w:t>
      </w:r>
      <w:bookmarkEnd w:id="14"/>
      <w:bookmarkEnd w:id="15"/>
      <w:bookmarkEnd w:id="16"/>
      <w:bookmarkEnd w:id="17"/>
    </w:p>
    <w:p w14:paraId="77D35915" w14:textId="77777777" w:rsidR="00170284" w:rsidRDefault="00170284" w:rsidP="0095595D">
      <w:pPr>
        <w:jc w:val="center"/>
        <w:rPr>
          <w:b/>
          <w:spacing w:val="-4"/>
        </w:rPr>
      </w:pPr>
    </w:p>
    <w:p w14:paraId="020D7909" w14:textId="77777777" w:rsidR="00170284" w:rsidRDefault="00170284" w:rsidP="0095595D">
      <w:pPr>
        <w:jc w:val="center"/>
        <w:rPr>
          <w:b/>
          <w:spacing w:val="-4"/>
        </w:rPr>
      </w:pPr>
    </w:p>
    <w:p w14:paraId="59E9123A" w14:textId="77777777" w:rsidR="00170284" w:rsidRDefault="00170284" w:rsidP="0095595D">
      <w:pPr>
        <w:jc w:val="center"/>
        <w:rPr>
          <w:b/>
          <w:spacing w:val="-4"/>
        </w:rPr>
      </w:pPr>
    </w:p>
    <w:p w14:paraId="5D6D319C" w14:textId="77777777" w:rsidR="00170284" w:rsidRDefault="00170284" w:rsidP="0095595D">
      <w:pPr>
        <w:jc w:val="center"/>
        <w:rPr>
          <w:b/>
          <w:spacing w:val="-4"/>
        </w:rPr>
      </w:pPr>
    </w:p>
    <w:p w14:paraId="411505CA" w14:textId="77777777" w:rsidR="00170284" w:rsidRPr="0095595D" w:rsidRDefault="00170284" w:rsidP="0095595D">
      <w:pPr>
        <w:jc w:val="center"/>
        <w:rPr>
          <w:rFonts w:cs="Verdana"/>
          <w:b/>
          <w:bCs/>
          <w:caps/>
          <w:snapToGrid w:val="0"/>
          <w:spacing w:val="-4"/>
          <w:lang w:eastAsia="es-ES"/>
        </w:rPr>
      </w:pPr>
    </w:p>
    <w:p w14:paraId="13F82056"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30FD367F"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7D2062E6" w14:textId="77777777" w:rsidR="003D717E" w:rsidRPr="004A0940" w:rsidRDefault="003D717E" w:rsidP="003D717E">
      <w:pPr>
        <w:widowControl w:val="0"/>
        <w:tabs>
          <w:tab w:val="left" w:pos="567"/>
          <w:tab w:val="left" w:pos="720"/>
        </w:tabs>
        <w:adjustRightInd w:val="0"/>
        <w:textAlignment w:val="baseline"/>
        <w:rPr>
          <w:rFonts w:cs="Verdana"/>
          <w:i/>
          <w:iCs/>
          <w:spacing w:val="-4"/>
          <w:szCs w:val="20"/>
          <w:lang w:eastAsia="es-CR"/>
        </w:rPr>
      </w:pPr>
      <w:r w:rsidRPr="004A0940">
        <w:rPr>
          <w:rFonts w:cs="Verdana"/>
          <w:spacing w:val="-4"/>
          <w:szCs w:val="20"/>
          <w:lang w:eastAsia="es-CR"/>
        </w:rPr>
        <w:t>En el caso</w:t>
      </w:r>
      <w:r w:rsidR="00150F60">
        <w:rPr>
          <w:rFonts w:cs="Verdana"/>
          <w:i/>
          <w:iCs/>
          <w:spacing w:val="-4"/>
          <w:szCs w:val="20"/>
          <w:lang w:eastAsia="es-CR"/>
        </w:rPr>
        <w:t xml:space="preserve"> </w:t>
      </w:r>
      <w:proofErr w:type="spellStart"/>
      <w:r w:rsidR="00150F60">
        <w:rPr>
          <w:rFonts w:cs="Verdana"/>
          <w:i/>
          <w:iCs/>
          <w:spacing w:val="-4"/>
          <w:szCs w:val="20"/>
          <w:lang w:eastAsia="es-CR"/>
        </w:rPr>
        <w:t>Pacheo</w:t>
      </w:r>
      <w:proofErr w:type="spellEnd"/>
      <w:r w:rsidR="00150F60">
        <w:rPr>
          <w:rFonts w:cs="Verdana"/>
          <w:i/>
          <w:iCs/>
          <w:spacing w:val="-4"/>
          <w:szCs w:val="20"/>
          <w:lang w:eastAsia="es-CR"/>
        </w:rPr>
        <w:t xml:space="preserve"> León</w:t>
      </w:r>
      <w:r w:rsidRPr="004A0940">
        <w:rPr>
          <w:rFonts w:cs="Verdana"/>
          <w:i/>
          <w:iCs/>
          <w:spacing w:val="-4"/>
          <w:szCs w:val="20"/>
          <w:lang w:eastAsia="es-CR"/>
        </w:rPr>
        <w:t xml:space="preserve"> y otros Vs. Honduras, </w:t>
      </w:r>
    </w:p>
    <w:p w14:paraId="5E7F1DAB"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4DA21CBC"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roofErr w:type="gramStart"/>
      <w:r w:rsidRPr="004A0940">
        <w:rPr>
          <w:rFonts w:cs="Verdana"/>
          <w:spacing w:val="-4"/>
          <w:szCs w:val="20"/>
          <w:lang w:eastAsia="es-CR"/>
        </w:rPr>
        <w:t>la</w:t>
      </w:r>
      <w:proofErr w:type="gramEnd"/>
      <w:r w:rsidRPr="004A0940">
        <w:rPr>
          <w:rFonts w:cs="Verdana"/>
          <w:spacing w:val="-4"/>
          <w:szCs w:val="20"/>
          <w:lang w:eastAsia="es-CR"/>
        </w:rPr>
        <w:t xml:space="preserve"> Corte Interamericana de Derechos Humanos (en adelante “la Corte Interamericana”, “la Corte” o “este Tribunal”), integrada por los siguientes jueces:</w:t>
      </w:r>
    </w:p>
    <w:p w14:paraId="5F353C8D"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1860C86A" w14:textId="77777777" w:rsidR="003D717E" w:rsidRPr="004A0940" w:rsidRDefault="00150F60" w:rsidP="003D717E">
      <w:pPr>
        <w:pStyle w:val="citaindirecta"/>
        <w:tabs>
          <w:tab w:val="left" w:pos="567"/>
          <w:tab w:val="left" w:pos="851"/>
        </w:tabs>
        <w:ind w:left="0" w:right="-174"/>
        <w:rPr>
          <w:spacing w:val="-4"/>
        </w:rPr>
      </w:pPr>
      <w:r w:rsidRPr="004A0940">
        <w:rPr>
          <w:spacing w:val="-4"/>
        </w:rPr>
        <w:t>Roberto F. Caldas</w:t>
      </w:r>
      <w:r w:rsidR="003D717E" w:rsidRPr="004A0940">
        <w:rPr>
          <w:spacing w:val="-4"/>
        </w:rPr>
        <w:t>, Presidente;</w:t>
      </w:r>
    </w:p>
    <w:p w14:paraId="53F54028" w14:textId="77777777" w:rsidR="003D717E" w:rsidRPr="004A0940" w:rsidRDefault="00150F60" w:rsidP="003D717E">
      <w:pPr>
        <w:pStyle w:val="citaindirecta"/>
        <w:tabs>
          <w:tab w:val="left" w:pos="567"/>
          <w:tab w:val="left" w:pos="851"/>
        </w:tabs>
        <w:ind w:left="0" w:right="-174"/>
        <w:rPr>
          <w:spacing w:val="-4"/>
        </w:rPr>
      </w:pPr>
      <w:r w:rsidRPr="004A0940">
        <w:rPr>
          <w:spacing w:val="-4"/>
        </w:rPr>
        <w:t>Eduardo Ferrer Mac-</w:t>
      </w:r>
      <w:proofErr w:type="spellStart"/>
      <w:r w:rsidRPr="004A0940">
        <w:rPr>
          <w:spacing w:val="-4"/>
        </w:rPr>
        <w:t>Gregor</w:t>
      </w:r>
      <w:proofErr w:type="spellEnd"/>
      <w:r w:rsidRPr="004A0940">
        <w:rPr>
          <w:spacing w:val="-4"/>
        </w:rPr>
        <w:t xml:space="preserve"> </w:t>
      </w:r>
      <w:proofErr w:type="spellStart"/>
      <w:r w:rsidRPr="004A0940">
        <w:rPr>
          <w:spacing w:val="-4"/>
        </w:rPr>
        <w:t>Poisot</w:t>
      </w:r>
      <w:proofErr w:type="spellEnd"/>
      <w:r w:rsidR="003D717E" w:rsidRPr="004A0940">
        <w:rPr>
          <w:spacing w:val="-4"/>
        </w:rPr>
        <w:t>,</w:t>
      </w:r>
      <w:r w:rsidR="003D717E" w:rsidRPr="004A0940">
        <w:rPr>
          <w:rFonts w:cs="Verdana"/>
          <w:spacing w:val="-4"/>
          <w:lang w:val="es-CR"/>
        </w:rPr>
        <w:t xml:space="preserve"> Vicepresidente;</w:t>
      </w:r>
    </w:p>
    <w:p w14:paraId="02AB1A79" w14:textId="77777777" w:rsidR="00150F60" w:rsidRDefault="00150F60" w:rsidP="00150F60">
      <w:pPr>
        <w:pStyle w:val="citaindirecta"/>
        <w:tabs>
          <w:tab w:val="left" w:pos="567"/>
          <w:tab w:val="left" w:pos="851"/>
        </w:tabs>
        <w:ind w:left="0" w:right="-174"/>
        <w:rPr>
          <w:spacing w:val="-4"/>
        </w:rPr>
      </w:pPr>
      <w:r w:rsidRPr="004A0940">
        <w:rPr>
          <w:spacing w:val="-4"/>
        </w:rPr>
        <w:t>Eduardo Vio Grossi, Juez</w:t>
      </w:r>
      <w:r w:rsidR="00C503AC">
        <w:rPr>
          <w:spacing w:val="-4"/>
        </w:rPr>
        <w:t>;</w:t>
      </w:r>
    </w:p>
    <w:p w14:paraId="7923428F" w14:textId="77777777" w:rsidR="00150F60" w:rsidRPr="00150F60" w:rsidRDefault="00150F60" w:rsidP="00150F60">
      <w:pPr>
        <w:pStyle w:val="citaindirecta"/>
        <w:tabs>
          <w:tab w:val="left" w:pos="567"/>
          <w:tab w:val="left" w:pos="851"/>
        </w:tabs>
        <w:ind w:left="0" w:right="-174"/>
        <w:rPr>
          <w:spacing w:val="-4"/>
        </w:rPr>
      </w:pPr>
      <w:r w:rsidRPr="004A0940">
        <w:rPr>
          <w:spacing w:val="-4"/>
        </w:rPr>
        <w:t>Humberto Antonio Sierra Porto</w:t>
      </w:r>
      <w:r>
        <w:rPr>
          <w:spacing w:val="-4"/>
        </w:rPr>
        <w:t>,</w:t>
      </w:r>
      <w:r w:rsidRPr="004A0940">
        <w:rPr>
          <w:spacing w:val="-4"/>
        </w:rPr>
        <w:t xml:space="preserve"> Juez;</w:t>
      </w:r>
    </w:p>
    <w:p w14:paraId="58BD6767" w14:textId="51645EBB" w:rsidR="003D717E" w:rsidRPr="004A0940" w:rsidRDefault="00150F60" w:rsidP="003D717E">
      <w:pPr>
        <w:tabs>
          <w:tab w:val="left" w:pos="567"/>
          <w:tab w:val="left" w:pos="720"/>
          <w:tab w:val="left" w:pos="851"/>
        </w:tabs>
        <w:ind w:right="-174"/>
        <w:rPr>
          <w:rFonts w:cs="Verdana"/>
          <w:spacing w:val="-4"/>
          <w:szCs w:val="20"/>
          <w:lang w:val="es-CR"/>
        </w:rPr>
      </w:pPr>
      <w:r>
        <w:rPr>
          <w:rFonts w:cs="Verdana"/>
          <w:spacing w:val="-4"/>
          <w:szCs w:val="20"/>
          <w:lang w:val="es-CR"/>
        </w:rPr>
        <w:t>Elizabeth Odio Benito</w:t>
      </w:r>
      <w:r w:rsidR="003D717E" w:rsidRPr="004A0940">
        <w:rPr>
          <w:rFonts w:cs="Verdana"/>
          <w:spacing w:val="-4"/>
          <w:szCs w:val="20"/>
          <w:lang w:val="es-CR"/>
        </w:rPr>
        <w:t xml:space="preserve">, </w:t>
      </w:r>
      <w:r w:rsidR="003D717E" w:rsidRPr="004A0940">
        <w:rPr>
          <w:spacing w:val="-4"/>
          <w:szCs w:val="20"/>
        </w:rPr>
        <w:t>Juez</w:t>
      </w:r>
      <w:r w:rsidR="00824D61">
        <w:rPr>
          <w:spacing w:val="-4"/>
          <w:szCs w:val="20"/>
        </w:rPr>
        <w:t>a</w:t>
      </w:r>
      <w:r w:rsidR="003D717E" w:rsidRPr="004A0940">
        <w:rPr>
          <w:spacing w:val="-4"/>
          <w:szCs w:val="20"/>
        </w:rPr>
        <w:t>;</w:t>
      </w:r>
      <w:r w:rsidR="003D717E" w:rsidRPr="004A0940">
        <w:rPr>
          <w:rFonts w:cs="Verdana"/>
          <w:spacing w:val="-4"/>
          <w:szCs w:val="20"/>
          <w:lang w:val="es-CR"/>
        </w:rPr>
        <w:t xml:space="preserve"> </w:t>
      </w:r>
    </w:p>
    <w:p w14:paraId="7534CA22" w14:textId="77777777" w:rsidR="003D717E" w:rsidRPr="004A0940" w:rsidRDefault="00150F60" w:rsidP="003D717E">
      <w:pPr>
        <w:tabs>
          <w:tab w:val="left" w:pos="567"/>
          <w:tab w:val="left" w:pos="720"/>
          <w:tab w:val="left" w:pos="851"/>
        </w:tabs>
        <w:ind w:right="-174"/>
        <w:rPr>
          <w:rFonts w:cs="Verdana"/>
          <w:spacing w:val="-4"/>
          <w:szCs w:val="20"/>
          <w:lang w:val="es-CR"/>
        </w:rPr>
      </w:pPr>
      <w:r>
        <w:rPr>
          <w:spacing w:val="-4"/>
          <w:szCs w:val="20"/>
        </w:rPr>
        <w:t xml:space="preserve">Eugenio Raúl </w:t>
      </w:r>
      <w:proofErr w:type="spellStart"/>
      <w:r>
        <w:rPr>
          <w:spacing w:val="-4"/>
          <w:szCs w:val="20"/>
        </w:rPr>
        <w:t>Zaffaroni</w:t>
      </w:r>
      <w:proofErr w:type="spellEnd"/>
      <w:r w:rsidR="003D717E" w:rsidRPr="004A0940">
        <w:rPr>
          <w:spacing w:val="-4"/>
          <w:szCs w:val="20"/>
        </w:rPr>
        <w:t>,</w:t>
      </w:r>
      <w:r w:rsidR="003D717E" w:rsidRPr="004A0940">
        <w:rPr>
          <w:rFonts w:cs="Verdana"/>
          <w:spacing w:val="-4"/>
          <w:szCs w:val="20"/>
          <w:lang w:val="es-CR"/>
        </w:rPr>
        <w:t xml:space="preserve"> </w:t>
      </w:r>
      <w:r>
        <w:rPr>
          <w:spacing w:val="-4"/>
          <w:szCs w:val="20"/>
        </w:rPr>
        <w:t>Juez, y</w:t>
      </w:r>
      <w:r w:rsidR="003D717E" w:rsidRPr="004A0940">
        <w:rPr>
          <w:rFonts w:cs="Verdana"/>
          <w:spacing w:val="-4"/>
          <w:szCs w:val="20"/>
          <w:lang w:val="es-CR"/>
        </w:rPr>
        <w:t xml:space="preserve"> </w:t>
      </w:r>
    </w:p>
    <w:p w14:paraId="053B73E4" w14:textId="77777777" w:rsidR="003D717E" w:rsidRPr="004A0940" w:rsidRDefault="00150F60" w:rsidP="003D717E">
      <w:pPr>
        <w:pStyle w:val="citaindirecta"/>
        <w:tabs>
          <w:tab w:val="left" w:pos="567"/>
          <w:tab w:val="left" w:pos="851"/>
        </w:tabs>
        <w:ind w:left="0" w:right="-174"/>
        <w:rPr>
          <w:spacing w:val="-4"/>
        </w:rPr>
      </w:pPr>
      <w:r>
        <w:rPr>
          <w:spacing w:val="-4"/>
        </w:rPr>
        <w:t>Luis Patricio Pazmiño Freire</w:t>
      </w:r>
      <w:r w:rsidR="003D717E" w:rsidRPr="004A0940">
        <w:rPr>
          <w:spacing w:val="-4"/>
        </w:rPr>
        <w:t>, Juez;</w:t>
      </w:r>
    </w:p>
    <w:p w14:paraId="54D996EB" w14:textId="77777777" w:rsidR="003D717E" w:rsidRPr="004A0940" w:rsidRDefault="003D717E" w:rsidP="003D717E">
      <w:pPr>
        <w:widowControl w:val="0"/>
        <w:tabs>
          <w:tab w:val="left" w:pos="567"/>
          <w:tab w:val="left" w:pos="720"/>
        </w:tabs>
        <w:adjustRightInd w:val="0"/>
        <w:textAlignment w:val="baseline"/>
        <w:rPr>
          <w:rFonts w:cs="Verdana"/>
          <w:spacing w:val="-4"/>
          <w:szCs w:val="20"/>
          <w:lang w:val="es-ES_tradnl" w:eastAsia="es-CR"/>
        </w:rPr>
      </w:pPr>
    </w:p>
    <w:p w14:paraId="3A7F8BD7"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roofErr w:type="gramStart"/>
      <w:r w:rsidRPr="004A0940">
        <w:rPr>
          <w:rFonts w:cs="Verdana"/>
          <w:spacing w:val="-4"/>
          <w:szCs w:val="20"/>
          <w:lang w:eastAsia="es-CR"/>
        </w:rPr>
        <w:t>presentes</w:t>
      </w:r>
      <w:proofErr w:type="gramEnd"/>
      <w:r w:rsidRPr="004A0940">
        <w:rPr>
          <w:rFonts w:cs="Verdana"/>
          <w:spacing w:val="-4"/>
          <w:szCs w:val="20"/>
          <w:lang w:eastAsia="es-CR"/>
        </w:rPr>
        <w:t xml:space="preserve"> además,</w:t>
      </w:r>
    </w:p>
    <w:p w14:paraId="4A24821C"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75A03F31"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r w:rsidRPr="004A0940">
        <w:rPr>
          <w:rFonts w:cs="Verdana"/>
          <w:spacing w:val="-4"/>
          <w:szCs w:val="20"/>
          <w:lang w:eastAsia="es-CR"/>
        </w:rPr>
        <w:t xml:space="preserve">Pablo Saavedra Alessandri, Secretario, y </w:t>
      </w:r>
    </w:p>
    <w:p w14:paraId="1FA51E88"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r w:rsidRPr="004A0940">
        <w:rPr>
          <w:rFonts w:cs="Verdana"/>
          <w:spacing w:val="-4"/>
          <w:szCs w:val="20"/>
          <w:lang w:eastAsia="es-MX"/>
        </w:rPr>
        <w:t>Emilia Segares Rodríguez, Secretaria Adjunta,</w:t>
      </w:r>
    </w:p>
    <w:p w14:paraId="1C911842"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055C4F15"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roofErr w:type="gramStart"/>
      <w:r w:rsidRPr="004A0940">
        <w:rPr>
          <w:rFonts w:cs="Verdana"/>
          <w:spacing w:val="-4"/>
          <w:szCs w:val="20"/>
          <w:lang w:eastAsia="es-CR"/>
        </w:rPr>
        <w:t>de</w:t>
      </w:r>
      <w:proofErr w:type="gramEnd"/>
      <w:r w:rsidRPr="004A0940">
        <w:rPr>
          <w:rFonts w:cs="Verdana"/>
          <w:spacing w:val="-4"/>
          <w:szCs w:val="20"/>
          <w:lang w:eastAsia="es-CR"/>
        </w:rPr>
        <w:t xml:space="preserve"> conformidad con los artículos 62.3 y 63.1 de la Convención Americana sobre Derechos Humanos (en adelante </w:t>
      </w:r>
      <w:r w:rsidR="006373DD">
        <w:rPr>
          <w:rFonts w:cs="Verdana"/>
          <w:spacing w:val="-4"/>
          <w:szCs w:val="20"/>
          <w:lang w:eastAsia="es-CR"/>
        </w:rPr>
        <w:t xml:space="preserve">también </w:t>
      </w:r>
      <w:r w:rsidRPr="004A0940">
        <w:rPr>
          <w:rFonts w:cs="Verdana"/>
          <w:spacing w:val="-4"/>
          <w:szCs w:val="20"/>
          <w:lang w:eastAsia="es-CR"/>
        </w:rPr>
        <w:t>“la Convención Americana” o “la Convención”)</w:t>
      </w:r>
      <w:r w:rsidR="009850D6">
        <w:rPr>
          <w:rFonts w:cs="Verdana"/>
          <w:spacing w:val="-4"/>
          <w:szCs w:val="20"/>
          <w:lang w:eastAsia="es-CR"/>
        </w:rPr>
        <w:t xml:space="preserve"> y con los artículos 31, 32,</w:t>
      </w:r>
      <w:r w:rsidRPr="004A0940">
        <w:rPr>
          <w:rFonts w:cs="Verdana"/>
          <w:spacing w:val="-4"/>
          <w:szCs w:val="20"/>
          <w:lang w:eastAsia="es-CR"/>
        </w:rPr>
        <w:t xml:space="preserve"> 65 y 67 del Reglamento de la Corte (en adelante </w:t>
      </w:r>
      <w:r w:rsidR="006373DD">
        <w:rPr>
          <w:rFonts w:cs="Verdana"/>
          <w:spacing w:val="-4"/>
          <w:szCs w:val="20"/>
          <w:lang w:eastAsia="es-CR"/>
        </w:rPr>
        <w:t xml:space="preserve">también </w:t>
      </w:r>
      <w:r w:rsidRPr="004A0940">
        <w:rPr>
          <w:rFonts w:cs="Verdana"/>
          <w:spacing w:val="-4"/>
          <w:szCs w:val="20"/>
          <w:lang w:eastAsia="es-CR"/>
        </w:rPr>
        <w:t>“el Reglamento”), dicta la presente Sentencia que se estructura en el siguiente orden:</w:t>
      </w:r>
    </w:p>
    <w:p w14:paraId="41528776"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16238180" w14:textId="77777777" w:rsidR="0081357D" w:rsidRPr="00C22698" w:rsidRDefault="003D717E" w:rsidP="00C22698">
      <w:pPr>
        <w:jc w:val="center"/>
        <w:rPr>
          <w:b/>
          <w:spacing w:val="-4"/>
          <w:sz w:val="18"/>
          <w:szCs w:val="18"/>
        </w:rPr>
      </w:pPr>
      <w:r w:rsidRPr="004A0940">
        <w:rPr>
          <w:b/>
          <w:spacing w:val="-4"/>
          <w:sz w:val="18"/>
          <w:szCs w:val="18"/>
        </w:rPr>
        <w:br w:type="page"/>
      </w:r>
    </w:p>
    <w:p w14:paraId="6B2BD7DA" w14:textId="77777777" w:rsidR="00C22698" w:rsidRPr="00373EF0" w:rsidRDefault="00C22698" w:rsidP="00985E65">
      <w:pPr>
        <w:pStyle w:val="TOC1"/>
        <w:spacing w:before="0" w:after="0"/>
        <w:jc w:val="center"/>
        <w:rPr>
          <w:rFonts w:ascii="Verdana" w:hAnsi="Verdana"/>
          <w:sz w:val="20"/>
          <w:szCs w:val="20"/>
          <w:lang w:val="es-ES"/>
        </w:rPr>
      </w:pPr>
      <w:bookmarkStart w:id="18" w:name="_Toc424834678"/>
      <w:bookmarkStart w:id="19" w:name="_Toc427932784"/>
      <w:bookmarkStart w:id="20" w:name="_Toc431584601"/>
      <w:bookmarkStart w:id="21" w:name="_Toc434850389"/>
      <w:r w:rsidRPr="00373EF0">
        <w:rPr>
          <w:rFonts w:ascii="Verdana" w:hAnsi="Verdana"/>
          <w:sz w:val="20"/>
          <w:szCs w:val="20"/>
          <w:lang w:val="es-ES"/>
        </w:rPr>
        <w:lastRenderedPageBreak/>
        <w:t>TABLA DE CONTENIDO</w:t>
      </w:r>
    </w:p>
    <w:p w14:paraId="0C04A38F" w14:textId="77777777" w:rsidR="00C22698" w:rsidRPr="00373EF0" w:rsidRDefault="00C22698" w:rsidP="00985E65">
      <w:pPr>
        <w:pStyle w:val="TOC1"/>
        <w:spacing w:before="0" w:after="0"/>
        <w:rPr>
          <w:rFonts w:ascii="Verdana" w:hAnsi="Verdana"/>
          <w:sz w:val="20"/>
          <w:szCs w:val="20"/>
          <w:lang w:val="es-ES"/>
        </w:rPr>
      </w:pPr>
    </w:p>
    <w:bookmarkStart w:id="22" w:name="_Toc480741954"/>
    <w:bookmarkStart w:id="23" w:name="_Toc480742197"/>
    <w:bookmarkStart w:id="24" w:name="_Toc488134417"/>
    <w:bookmarkStart w:id="25" w:name="_Toc489523877"/>
    <w:p w14:paraId="7B333A39" w14:textId="75CB64EB" w:rsidR="00373EF0" w:rsidRPr="00A4202B" w:rsidRDefault="0003043F"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r w:rsidRPr="00A4202B">
        <w:rPr>
          <w:rFonts w:ascii="Verdana" w:hAnsi="Verdana"/>
          <w:sz w:val="20"/>
          <w:szCs w:val="20"/>
        </w:rPr>
        <w:fldChar w:fldCharType="begin"/>
      </w:r>
      <w:r w:rsidRPr="00A4202B">
        <w:rPr>
          <w:rFonts w:ascii="Verdana" w:hAnsi="Verdana"/>
          <w:sz w:val="20"/>
          <w:szCs w:val="20"/>
        </w:rPr>
        <w:instrText xml:space="preserve"> TOC \o \h \z \u </w:instrText>
      </w:r>
      <w:r w:rsidRPr="00A4202B">
        <w:rPr>
          <w:rFonts w:ascii="Verdana" w:hAnsi="Verdana"/>
          <w:sz w:val="20"/>
          <w:szCs w:val="20"/>
        </w:rPr>
        <w:fldChar w:fldCharType="separate"/>
      </w:r>
      <w:r w:rsidR="00373EF0" w:rsidRPr="00A4202B">
        <w:rPr>
          <w:rStyle w:val="Hyperlink"/>
          <w:rFonts w:ascii="Verdana" w:hAnsi="Verdana"/>
          <w:noProof/>
          <w:color w:val="auto"/>
          <w:sz w:val="20"/>
          <w:szCs w:val="20"/>
        </w:rPr>
        <w:t xml:space="preserve">I </w:t>
      </w:r>
      <w:hyperlink w:anchor="_Toc498512797" w:history="1">
        <w:r w:rsidR="00373EF0" w:rsidRPr="00A4202B">
          <w:rPr>
            <w:rStyle w:val="Hyperlink"/>
            <w:rFonts w:ascii="Verdana" w:hAnsi="Verdana"/>
            <w:noProof/>
            <w:color w:val="auto"/>
            <w:spacing w:val="-4"/>
            <w:sz w:val="20"/>
            <w:szCs w:val="20"/>
          </w:rPr>
          <w:t>INTRODUCCIÓN DE LA CAUSA Y OBJETO DE LA CONTROVERSIA</w:t>
        </w:r>
        <w:r w:rsidR="00373EF0" w:rsidRPr="00A4202B">
          <w:rPr>
            <w:rFonts w:ascii="Verdana" w:hAnsi="Verdana"/>
            <w:b w:val="0"/>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_Toc498512797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4</w:t>
        </w:r>
        <w:r w:rsidR="00373EF0" w:rsidRPr="00A4202B">
          <w:rPr>
            <w:rFonts w:ascii="Verdana" w:hAnsi="Verdana"/>
            <w:noProof/>
            <w:webHidden/>
            <w:sz w:val="20"/>
            <w:szCs w:val="20"/>
          </w:rPr>
          <w:fldChar w:fldCharType="end"/>
        </w:r>
      </w:hyperlink>
    </w:p>
    <w:p w14:paraId="3C5152D6" w14:textId="77777777" w:rsidR="00A4202B" w:rsidRPr="00A4202B" w:rsidRDefault="00A4202B" w:rsidP="00A4202B">
      <w:pPr>
        <w:pStyle w:val="TOC1"/>
        <w:tabs>
          <w:tab w:val="right" w:leader="dot" w:pos="9736"/>
        </w:tabs>
        <w:spacing w:before="0" w:after="0"/>
        <w:rPr>
          <w:rStyle w:val="Hyperlink"/>
          <w:rFonts w:ascii="Verdana" w:hAnsi="Verdana"/>
          <w:noProof/>
          <w:color w:val="auto"/>
          <w:spacing w:val="-4"/>
          <w:sz w:val="20"/>
          <w:szCs w:val="20"/>
        </w:rPr>
      </w:pPr>
    </w:p>
    <w:p w14:paraId="77D704D2" w14:textId="140ECC42" w:rsidR="00373EF0" w:rsidRPr="00A4202B" w:rsidRDefault="00373EF0"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r w:rsidRPr="00A4202B">
        <w:rPr>
          <w:rStyle w:val="Hyperlink"/>
          <w:rFonts w:ascii="Verdana" w:hAnsi="Verdana"/>
          <w:noProof/>
          <w:color w:val="auto"/>
          <w:spacing w:val="-4"/>
          <w:sz w:val="20"/>
          <w:szCs w:val="20"/>
        </w:rPr>
        <w:t xml:space="preserve">II </w:t>
      </w:r>
      <w:hyperlink w:anchor="_Toc498512799" w:history="1">
        <w:r w:rsidRPr="00A4202B">
          <w:rPr>
            <w:rStyle w:val="Hyperlink"/>
            <w:rFonts w:ascii="Verdana" w:hAnsi="Verdana"/>
            <w:noProof/>
            <w:color w:val="auto"/>
            <w:spacing w:val="-4"/>
            <w:sz w:val="20"/>
            <w:szCs w:val="20"/>
          </w:rPr>
          <w:t>PROCEDIMIENTO ANTE LA CORTE</w:t>
        </w:r>
        <w:r w:rsidRPr="00A4202B">
          <w:rPr>
            <w:rFonts w:ascii="Verdana" w:hAnsi="Verdana"/>
            <w:b w:val="0"/>
            <w:noProof/>
            <w:webHidden/>
            <w:sz w:val="20"/>
            <w:szCs w:val="20"/>
          </w:rPr>
          <w:tab/>
        </w:r>
        <w:r w:rsidRPr="00A4202B">
          <w:rPr>
            <w:rFonts w:ascii="Verdana" w:hAnsi="Verdana"/>
            <w:noProof/>
            <w:webHidden/>
            <w:sz w:val="20"/>
            <w:szCs w:val="20"/>
          </w:rPr>
          <w:fldChar w:fldCharType="begin"/>
        </w:r>
        <w:r w:rsidRPr="00A4202B">
          <w:rPr>
            <w:rFonts w:ascii="Verdana" w:hAnsi="Verdana"/>
            <w:noProof/>
            <w:webHidden/>
            <w:sz w:val="20"/>
            <w:szCs w:val="20"/>
          </w:rPr>
          <w:instrText xml:space="preserve"> PAGEREF _Toc498512799 \h </w:instrText>
        </w:r>
        <w:r w:rsidRPr="00A4202B">
          <w:rPr>
            <w:rFonts w:ascii="Verdana" w:hAnsi="Verdana"/>
            <w:noProof/>
            <w:webHidden/>
            <w:sz w:val="20"/>
            <w:szCs w:val="20"/>
          </w:rPr>
        </w:r>
        <w:r w:rsidRPr="00A4202B">
          <w:rPr>
            <w:rFonts w:ascii="Verdana" w:hAnsi="Verdana"/>
            <w:noProof/>
            <w:webHidden/>
            <w:sz w:val="20"/>
            <w:szCs w:val="20"/>
          </w:rPr>
          <w:fldChar w:fldCharType="separate"/>
        </w:r>
        <w:r w:rsidR="00170284">
          <w:rPr>
            <w:rFonts w:ascii="Verdana" w:hAnsi="Verdana"/>
            <w:noProof/>
            <w:webHidden/>
            <w:sz w:val="20"/>
            <w:szCs w:val="20"/>
          </w:rPr>
          <w:t>6</w:t>
        </w:r>
        <w:r w:rsidRPr="00A4202B">
          <w:rPr>
            <w:rFonts w:ascii="Verdana" w:hAnsi="Verdana"/>
            <w:noProof/>
            <w:webHidden/>
            <w:sz w:val="20"/>
            <w:szCs w:val="20"/>
          </w:rPr>
          <w:fldChar w:fldCharType="end"/>
        </w:r>
      </w:hyperlink>
    </w:p>
    <w:p w14:paraId="2B35B1E0" w14:textId="77777777" w:rsidR="00A4202B" w:rsidRPr="00A4202B" w:rsidRDefault="00A4202B" w:rsidP="00A4202B">
      <w:pPr>
        <w:pStyle w:val="TOC1"/>
        <w:tabs>
          <w:tab w:val="right" w:leader="dot" w:pos="9736"/>
        </w:tabs>
        <w:spacing w:before="0" w:after="0"/>
        <w:rPr>
          <w:rStyle w:val="Hyperlink"/>
          <w:rFonts w:ascii="Verdana" w:hAnsi="Verdana"/>
          <w:noProof/>
          <w:snapToGrid w:val="0"/>
          <w:color w:val="auto"/>
          <w:spacing w:val="-4"/>
          <w:sz w:val="20"/>
          <w:szCs w:val="20"/>
        </w:rPr>
      </w:pPr>
    </w:p>
    <w:p w14:paraId="6661A992" w14:textId="561A657A" w:rsidR="00373EF0" w:rsidRPr="00A4202B" w:rsidRDefault="00373EF0"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r w:rsidRPr="00A4202B">
        <w:rPr>
          <w:rStyle w:val="Hyperlink"/>
          <w:rFonts w:ascii="Verdana" w:hAnsi="Verdana"/>
          <w:noProof/>
          <w:snapToGrid w:val="0"/>
          <w:color w:val="auto"/>
          <w:spacing w:val="-4"/>
          <w:sz w:val="20"/>
          <w:szCs w:val="20"/>
        </w:rPr>
        <w:t xml:space="preserve">III </w:t>
      </w:r>
      <w:hyperlink w:anchor="_Toc498512801" w:history="1">
        <w:r w:rsidRPr="00A4202B">
          <w:rPr>
            <w:rStyle w:val="Hyperlink"/>
            <w:rFonts w:ascii="Verdana" w:hAnsi="Verdana"/>
            <w:noProof/>
            <w:snapToGrid w:val="0"/>
            <w:color w:val="auto"/>
            <w:spacing w:val="-4"/>
            <w:sz w:val="20"/>
            <w:szCs w:val="20"/>
          </w:rPr>
          <w:t>COMPETENCIA</w:t>
        </w:r>
        <w:r w:rsidRPr="00A4202B">
          <w:rPr>
            <w:rFonts w:ascii="Verdana" w:hAnsi="Verdana"/>
            <w:b w:val="0"/>
            <w:noProof/>
            <w:webHidden/>
            <w:sz w:val="20"/>
            <w:szCs w:val="20"/>
          </w:rPr>
          <w:tab/>
        </w:r>
        <w:r w:rsidRPr="00A4202B">
          <w:rPr>
            <w:rFonts w:ascii="Verdana" w:hAnsi="Verdana"/>
            <w:noProof/>
            <w:webHidden/>
            <w:sz w:val="20"/>
            <w:szCs w:val="20"/>
          </w:rPr>
          <w:fldChar w:fldCharType="begin"/>
        </w:r>
        <w:r w:rsidRPr="00A4202B">
          <w:rPr>
            <w:rFonts w:ascii="Verdana" w:hAnsi="Verdana"/>
            <w:noProof/>
            <w:webHidden/>
            <w:sz w:val="20"/>
            <w:szCs w:val="20"/>
          </w:rPr>
          <w:instrText xml:space="preserve"> PAGEREF _Toc498512801 \h </w:instrText>
        </w:r>
        <w:r w:rsidRPr="00A4202B">
          <w:rPr>
            <w:rFonts w:ascii="Verdana" w:hAnsi="Verdana"/>
            <w:noProof/>
            <w:webHidden/>
            <w:sz w:val="20"/>
            <w:szCs w:val="20"/>
          </w:rPr>
        </w:r>
        <w:r w:rsidRPr="00A4202B">
          <w:rPr>
            <w:rFonts w:ascii="Verdana" w:hAnsi="Verdana"/>
            <w:noProof/>
            <w:webHidden/>
            <w:sz w:val="20"/>
            <w:szCs w:val="20"/>
          </w:rPr>
          <w:fldChar w:fldCharType="separate"/>
        </w:r>
        <w:r w:rsidR="00170284">
          <w:rPr>
            <w:rFonts w:ascii="Verdana" w:hAnsi="Verdana"/>
            <w:noProof/>
            <w:webHidden/>
            <w:sz w:val="20"/>
            <w:szCs w:val="20"/>
          </w:rPr>
          <w:t>7</w:t>
        </w:r>
        <w:r w:rsidRPr="00A4202B">
          <w:rPr>
            <w:rFonts w:ascii="Verdana" w:hAnsi="Verdana"/>
            <w:noProof/>
            <w:webHidden/>
            <w:sz w:val="20"/>
            <w:szCs w:val="20"/>
          </w:rPr>
          <w:fldChar w:fldCharType="end"/>
        </w:r>
      </w:hyperlink>
    </w:p>
    <w:p w14:paraId="284EB219" w14:textId="77777777" w:rsidR="00A4202B" w:rsidRPr="00A4202B" w:rsidRDefault="00A4202B" w:rsidP="00A4202B">
      <w:pPr>
        <w:pStyle w:val="TOC1"/>
        <w:tabs>
          <w:tab w:val="right" w:leader="dot" w:pos="9736"/>
        </w:tabs>
        <w:spacing w:before="0" w:after="0"/>
        <w:rPr>
          <w:rFonts w:ascii="Verdana" w:hAnsi="Verdana"/>
          <w:noProof/>
          <w:sz w:val="20"/>
          <w:szCs w:val="20"/>
        </w:rPr>
      </w:pPr>
    </w:p>
    <w:p w14:paraId="332B1D48" w14:textId="345A1662" w:rsidR="00373EF0" w:rsidRPr="00A4202B" w:rsidRDefault="007D5BA9"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hyperlink w:anchor="_Toc498512802" w:history="1">
        <w:r w:rsidR="00373EF0" w:rsidRPr="00A4202B">
          <w:rPr>
            <w:rStyle w:val="Hyperlink"/>
            <w:rFonts w:ascii="Verdana" w:hAnsi="Verdana"/>
            <w:noProof/>
            <w:color w:val="auto"/>
            <w:spacing w:val="-4"/>
            <w:sz w:val="20"/>
            <w:szCs w:val="20"/>
          </w:rPr>
          <w:t>IV</w:t>
        </w:r>
      </w:hyperlink>
      <w:r w:rsidR="00373EF0" w:rsidRPr="00A4202B">
        <w:rPr>
          <w:rStyle w:val="Hyperlink"/>
          <w:rFonts w:ascii="Verdana" w:hAnsi="Verdana"/>
          <w:noProof/>
          <w:color w:val="auto"/>
          <w:sz w:val="20"/>
          <w:szCs w:val="20"/>
        </w:rPr>
        <w:t xml:space="preserve"> </w:t>
      </w:r>
      <w:hyperlink w:anchor="_Toc498512803" w:history="1">
        <w:r w:rsidR="00373EF0" w:rsidRPr="00A4202B">
          <w:rPr>
            <w:rStyle w:val="Hyperlink"/>
            <w:rFonts w:ascii="Verdana" w:hAnsi="Verdana"/>
            <w:noProof/>
            <w:color w:val="auto"/>
            <w:spacing w:val="-4"/>
            <w:sz w:val="20"/>
            <w:szCs w:val="20"/>
          </w:rPr>
          <w:t>PRUEBA</w:t>
        </w:r>
        <w:r w:rsidR="00373EF0" w:rsidRPr="00A4202B">
          <w:rPr>
            <w:rFonts w:ascii="Verdana" w:hAnsi="Verdana"/>
            <w:b w:val="0"/>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_Toc498512803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7</w:t>
        </w:r>
        <w:r w:rsidR="00373EF0" w:rsidRPr="00A4202B">
          <w:rPr>
            <w:rFonts w:ascii="Verdana" w:hAnsi="Verdana"/>
            <w:noProof/>
            <w:webHidden/>
            <w:sz w:val="20"/>
            <w:szCs w:val="20"/>
          </w:rPr>
          <w:fldChar w:fldCharType="end"/>
        </w:r>
      </w:hyperlink>
    </w:p>
    <w:p w14:paraId="196671DC" w14:textId="77777777" w:rsidR="00A4202B" w:rsidRPr="00A4202B" w:rsidRDefault="00A4202B" w:rsidP="00A4202B">
      <w:pPr>
        <w:pStyle w:val="TOC2"/>
        <w:tabs>
          <w:tab w:val="left" w:pos="404"/>
          <w:tab w:val="right" w:leader="dot" w:pos="9736"/>
        </w:tabs>
        <w:ind w:left="284"/>
        <w:rPr>
          <w:rFonts w:ascii="Verdana" w:hAnsi="Verdana"/>
          <w:noProof/>
          <w:sz w:val="20"/>
          <w:szCs w:val="20"/>
        </w:rPr>
      </w:pPr>
    </w:p>
    <w:p w14:paraId="180F16BF" w14:textId="7DD5430A" w:rsidR="00373EF0" w:rsidRPr="00A4202B" w:rsidRDefault="007D5BA9" w:rsidP="00A4202B">
      <w:pPr>
        <w:pStyle w:val="TOC2"/>
        <w:tabs>
          <w:tab w:val="left" w:pos="404"/>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04" w:history="1">
        <w:r w:rsidR="00373EF0" w:rsidRPr="00A4202B">
          <w:rPr>
            <w:rStyle w:val="Hyperlink"/>
            <w:rFonts w:ascii="Verdana" w:hAnsi="Verdana"/>
            <w:i/>
            <w:noProof/>
            <w:color w:val="auto"/>
            <w:spacing w:val="-4"/>
            <w:sz w:val="20"/>
            <w:szCs w:val="20"/>
          </w:rPr>
          <w:t>A.Prueba documental, testimonial y pericia</w:t>
        </w:r>
        <w:r w:rsidR="00A4202B" w:rsidRPr="00A4202B">
          <w:rPr>
            <w:rStyle w:val="Hyperlink"/>
            <w:rFonts w:ascii="Verdana" w:hAnsi="Verdana"/>
            <w:i/>
            <w:noProof/>
            <w:color w:val="auto"/>
            <w:spacing w:val="-4"/>
            <w:sz w:val="20"/>
            <w:szCs w:val="20"/>
          </w:rPr>
          <w:t>l</w:t>
        </w:r>
        <w:r w:rsidR="00A4202B" w:rsidRPr="00A4202B">
          <w:rPr>
            <w:rStyle w:val="Hyperlink"/>
            <w:rFonts w:ascii="Verdana" w:hAnsi="Verdana"/>
            <w:b w:val="0"/>
            <w:noProof/>
            <w:color w:val="auto"/>
            <w:spacing w:val="-4"/>
            <w:sz w:val="20"/>
            <w:szCs w:val="20"/>
          </w:rPr>
          <w:t>…………………………………………………………………………….</w:t>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_Toc498512804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7</w:t>
        </w:r>
        <w:r w:rsidR="00373EF0" w:rsidRPr="00A4202B">
          <w:rPr>
            <w:rFonts w:ascii="Verdana" w:hAnsi="Verdana"/>
            <w:noProof/>
            <w:webHidden/>
            <w:sz w:val="20"/>
            <w:szCs w:val="20"/>
          </w:rPr>
          <w:fldChar w:fldCharType="end"/>
        </w:r>
      </w:hyperlink>
    </w:p>
    <w:p w14:paraId="13B2B499" w14:textId="41CC4355" w:rsidR="00A4202B" w:rsidRPr="00A4202B" w:rsidRDefault="00A4202B" w:rsidP="00A4202B">
      <w:pPr>
        <w:pStyle w:val="TOC2"/>
        <w:tabs>
          <w:tab w:val="left" w:pos="431"/>
          <w:tab w:val="right" w:leader="dot" w:pos="9736"/>
        </w:tabs>
        <w:ind w:left="284"/>
        <w:rPr>
          <w:rFonts w:ascii="Verdana" w:hAnsi="Verdana"/>
          <w:noProof/>
          <w:sz w:val="20"/>
          <w:szCs w:val="20"/>
        </w:rPr>
      </w:pPr>
    </w:p>
    <w:p w14:paraId="15E84AB9" w14:textId="1D6B8845" w:rsidR="00373EF0" w:rsidRPr="00A4202B" w:rsidRDefault="007D5BA9" w:rsidP="00A4202B">
      <w:pPr>
        <w:pStyle w:val="TOC2"/>
        <w:tabs>
          <w:tab w:val="left" w:pos="431"/>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05" w:history="1">
        <w:r w:rsidR="00373EF0" w:rsidRPr="00A4202B">
          <w:rPr>
            <w:rStyle w:val="Hyperlink"/>
            <w:rFonts w:ascii="Verdana" w:hAnsi="Verdana"/>
            <w:i/>
            <w:noProof/>
            <w:color w:val="auto"/>
            <w:spacing w:val="-4"/>
            <w:sz w:val="20"/>
            <w:szCs w:val="20"/>
            <w:lang w:val="es-ES"/>
          </w:rPr>
          <w:t>B. Admisión de la prueba</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_Toc498512805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7</w:t>
        </w:r>
        <w:r w:rsidR="00373EF0" w:rsidRPr="00A4202B">
          <w:rPr>
            <w:rFonts w:ascii="Verdana" w:hAnsi="Verdana"/>
            <w:noProof/>
            <w:webHidden/>
            <w:sz w:val="20"/>
            <w:szCs w:val="20"/>
          </w:rPr>
          <w:fldChar w:fldCharType="end"/>
        </w:r>
      </w:hyperlink>
    </w:p>
    <w:p w14:paraId="0B874A91" w14:textId="77777777" w:rsidR="00373EF0" w:rsidRPr="00A4202B" w:rsidRDefault="007D5BA9" w:rsidP="00A4202B">
      <w:pPr>
        <w:pStyle w:val="TOC3"/>
        <w:rPr>
          <w:rFonts w:ascii="Verdana" w:eastAsiaTheme="minorEastAsia" w:hAnsi="Verdana" w:cstheme="minorBidi"/>
          <w:noProof/>
          <w:sz w:val="20"/>
          <w:szCs w:val="20"/>
          <w:lang w:val="es-CR" w:eastAsia="es-CR"/>
        </w:rPr>
      </w:pPr>
      <w:hyperlink w:anchor="_Toc498512806" w:history="1">
        <w:r w:rsidR="00373EF0" w:rsidRPr="00A4202B">
          <w:rPr>
            <w:rStyle w:val="Hyperlink"/>
            <w:rFonts w:ascii="Verdana" w:hAnsi="Verdana"/>
            <w:i/>
            <w:noProof/>
            <w:color w:val="auto"/>
            <w:spacing w:val="-4"/>
            <w:sz w:val="20"/>
            <w:szCs w:val="20"/>
          </w:rPr>
          <w:t>B.1. Admisión de prueba documental</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_Toc498512806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7</w:t>
        </w:r>
        <w:r w:rsidR="00373EF0" w:rsidRPr="00A4202B">
          <w:rPr>
            <w:rFonts w:ascii="Verdana" w:hAnsi="Verdana"/>
            <w:b/>
            <w:noProof/>
            <w:webHidden/>
            <w:sz w:val="20"/>
            <w:szCs w:val="20"/>
          </w:rPr>
          <w:fldChar w:fldCharType="end"/>
        </w:r>
      </w:hyperlink>
    </w:p>
    <w:p w14:paraId="6044485B" w14:textId="77777777" w:rsidR="00373EF0" w:rsidRPr="00A4202B" w:rsidRDefault="007D5BA9" w:rsidP="00A4202B">
      <w:pPr>
        <w:pStyle w:val="TOC3"/>
        <w:rPr>
          <w:rFonts w:ascii="Verdana" w:eastAsiaTheme="minorEastAsia" w:hAnsi="Verdana" w:cstheme="minorBidi"/>
          <w:noProof/>
          <w:sz w:val="20"/>
          <w:szCs w:val="20"/>
          <w:lang w:val="es-CR" w:eastAsia="es-CR"/>
        </w:rPr>
      </w:pPr>
      <w:hyperlink w:anchor="_Toc498512807" w:history="1">
        <w:r w:rsidR="00373EF0" w:rsidRPr="00A4202B">
          <w:rPr>
            <w:rStyle w:val="Hyperlink"/>
            <w:rFonts w:ascii="Verdana" w:hAnsi="Verdana"/>
            <w:i/>
            <w:noProof/>
            <w:color w:val="auto"/>
            <w:spacing w:val="-4"/>
            <w:sz w:val="20"/>
            <w:szCs w:val="20"/>
          </w:rPr>
          <w:t>B.2. Admisión de la prueba testimonial y pericial</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_Toc498512807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8</w:t>
        </w:r>
        <w:r w:rsidR="00373EF0" w:rsidRPr="00A4202B">
          <w:rPr>
            <w:rFonts w:ascii="Verdana" w:hAnsi="Verdana"/>
            <w:b/>
            <w:noProof/>
            <w:webHidden/>
            <w:sz w:val="20"/>
            <w:szCs w:val="20"/>
          </w:rPr>
          <w:fldChar w:fldCharType="end"/>
        </w:r>
      </w:hyperlink>
    </w:p>
    <w:p w14:paraId="27655613" w14:textId="77777777" w:rsidR="00A4202B" w:rsidRPr="00A4202B" w:rsidRDefault="00A4202B" w:rsidP="00A4202B">
      <w:pPr>
        <w:pStyle w:val="TOC2"/>
        <w:tabs>
          <w:tab w:val="right" w:leader="dot" w:pos="9736"/>
        </w:tabs>
        <w:ind w:left="284"/>
        <w:rPr>
          <w:rFonts w:ascii="Verdana" w:hAnsi="Verdana"/>
          <w:noProof/>
          <w:sz w:val="20"/>
          <w:szCs w:val="20"/>
        </w:rPr>
      </w:pPr>
    </w:p>
    <w:p w14:paraId="3698C74A" w14:textId="77777777" w:rsidR="00373EF0" w:rsidRPr="00A4202B" w:rsidRDefault="007D5BA9" w:rsidP="00A4202B">
      <w:pPr>
        <w:pStyle w:val="TOC2"/>
        <w:tabs>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08" w:history="1">
        <w:r w:rsidR="00373EF0" w:rsidRPr="00A4202B">
          <w:rPr>
            <w:rStyle w:val="Hyperlink"/>
            <w:rFonts w:ascii="Verdana" w:hAnsi="Verdana"/>
            <w:i/>
            <w:noProof/>
            <w:color w:val="auto"/>
            <w:spacing w:val="-4"/>
            <w:sz w:val="20"/>
            <w:szCs w:val="20"/>
            <w:lang w:val="es-ES"/>
          </w:rPr>
          <w:t>C. Valoración de la prueba</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_Toc498512808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9</w:t>
        </w:r>
        <w:r w:rsidR="00373EF0" w:rsidRPr="00A4202B">
          <w:rPr>
            <w:rFonts w:ascii="Verdana" w:hAnsi="Verdana"/>
            <w:noProof/>
            <w:webHidden/>
            <w:sz w:val="20"/>
            <w:szCs w:val="20"/>
          </w:rPr>
          <w:fldChar w:fldCharType="end"/>
        </w:r>
      </w:hyperlink>
    </w:p>
    <w:p w14:paraId="69CFBB10" w14:textId="77777777" w:rsidR="00A4202B" w:rsidRPr="00A4202B" w:rsidRDefault="00A4202B" w:rsidP="00A4202B">
      <w:pPr>
        <w:pStyle w:val="TOC1"/>
        <w:tabs>
          <w:tab w:val="right" w:leader="dot" w:pos="9736"/>
        </w:tabs>
        <w:spacing w:before="0" w:after="0"/>
        <w:rPr>
          <w:rFonts w:ascii="Verdana" w:hAnsi="Verdana"/>
          <w:noProof/>
          <w:sz w:val="20"/>
          <w:szCs w:val="20"/>
        </w:rPr>
      </w:pPr>
    </w:p>
    <w:p w14:paraId="2345AF47" w14:textId="7EE28950" w:rsidR="00373EF0" w:rsidRPr="00A4202B" w:rsidRDefault="007D5BA9"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hyperlink w:anchor="_Toc498512809" w:history="1">
        <w:r w:rsidR="00373EF0" w:rsidRPr="00A4202B">
          <w:rPr>
            <w:rStyle w:val="Hyperlink"/>
            <w:rFonts w:ascii="Verdana" w:hAnsi="Verdana"/>
            <w:noProof/>
            <w:color w:val="auto"/>
            <w:spacing w:val="-4"/>
            <w:sz w:val="20"/>
            <w:szCs w:val="20"/>
            <w:lang w:val="es-ES"/>
          </w:rPr>
          <w:t>V</w:t>
        </w:r>
      </w:hyperlink>
      <w:r w:rsidR="00373EF0" w:rsidRPr="00A4202B">
        <w:rPr>
          <w:rStyle w:val="Hyperlink"/>
          <w:rFonts w:ascii="Verdana" w:hAnsi="Verdana"/>
          <w:noProof/>
          <w:color w:val="auto"/>
          <w:sz w:val="20"/>
          <w:szCs w:val="20"/>
        </w:rPr>
        <w:t xml:space="preserve"> </w:t>
      </w:r>
      <w:hyperlink w:anchor="_Toc498512810" w:history="1">
        <w:r w:rsidR="00373EF0" w:rsidRPr="00A4202B">
          <w:rPr>
            <w:rStyle w:val="Hyperlink"/>
            <w:rFonts w:ascii="Verdana" w:hAnsi="Verdana"/>
            <w:noProof/>
            <w:color w:val="auto"/>
            <w:spacing w:val="-4"/>
            <w:sz w:val="20"/>
            <w:szCs w:val="20"/>
            <w:lang w:val="es-ES"/>
          </w:rPr>
          <w:t>HECHOS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_Toc498512810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9</w:t>
        </w:r>
        <w:r w:rsidR="00373EF0" w:rsidRPr="00A4202B">
          <w:rPr>
            <w:rFonts w:ascii="Verdana" w:hAnsi="Verdana"/>
            <w:noProof/>
            <w:webHidden/>
            <w:sz w:val="20"/>
            <w:szCs w:val="20"/>
          </w:rPr>
          <w:fldChar w:fldCharType="end"/>
        </w:r>
      </w:hyperlink>
    </w:p>
    <w:p w14:paraId="2EEA6431" w14:textId="77777777" w:rsidR="00A4202B" w:rsidRPr="00A4202B" w:rsidRDefault="00A4202B" w:rsidP="00A4202B">
      <w:pPr>
        <w:pStyle w:val="TOC2"/>
        <w:tabs>
          <w:tab w:val="left" w:pos="412"/>
          <w:tab w:val="right" w:leader="dot" w:pos="9736"/>
        </w:tabs>
        <w:ind w:left="284"/>
        <w:rPr>
          <w:rFonts w:ascii="Verdana" w:hAnsi="Verdana"/>
          <w:noProof/>
          <w:sz w:val="20"/>
          <w:szCs w:val="20"/>
        </w:rPr>
      </w:pPr>
    </w:p>
    <w:p w14:paraId="4361F12A" w14:textId="4F643249" w:rsidR="00373EF0" w:rsidRPr="00A4202B" w:rsidRDefault="007D5BA9" w:rsidP="00A4202B">
      <w:pPr>
        <w:pStyle w:val="TOC2"/>
        <w:tabs>
          <w:tab w:val="left" w:pos="41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11" w:history="1">
        <w:r w:rsidR="00373EF0" w:rsidRPr="00A4202B">
          <w:rPr>
            <w:rStyle w:val="Hyperlink"/>
            <w:rFonts w:ascii="Verdana" w:hAnsi="Verdana"/>
            <w:i/>
            <w:noProof/>
            <w:color w:val="auto"/>
            <w:sz w:val="20"/>
            <w:szCs w:val="20"/>
          </w:rPr>
          <w:t>A.Ángel Pacheco León, su actividad política y su familia</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_Toc498512811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9</w:t>
        </w:r>
        <w:r w:rsidR="00373EF0" w:rsidRPr="00A4202B">
          <w:rPr>
            <w:rFonts w:ascii="Verdana" w:hAnsi="Verdana"/>
            <w:noProof/>
            <w:webHidden/>
            <w:sz w:val="20"/>
            <w:szCs w:val="20"/>
          </w:rPr>
          <w:fldChar w:fldCharType="end"/>
        </w:r>
      </w:hyperlink>
    </w:p>
    <w:p w14:paraId="51822C72" w14:textId="77777777" w:rsidR="00A4202B" w:rsidRPr="00A4202B" w:rsidRDefault="00A4202B" w:rsidP="00A4202B">
      <w:pPr>
        <w:pStyle w:val="TOC2"/>
        <w:tabs>
          <w:tab w:val="left" w:pos="402"/>
          <w:tab w:val="right" w:leader="dot" w:pos="9736"/>
        </w:tabs>
        <w:ind w:left="284"/>
        <w:rPr>
          <w:rFonts w:ascii="Verdana" w:hAnsi="Verdana"/>
          <w:noProof/>
          <w:sz w:val="20"/>
          <w:szCs w:val="20"/>
        </w:rPr>
      </w:pPr>
    </w:p>
    <w:p w14:paraId="1F6D9ED8" w14:textId="2A220F09" w:rsidR="00373EF0" w:rsidRPr="00A4202B" w:rsidRDefault="007D5BA9" w:rsidP="00A4202B">
      <w:pPr>
        <w:pStyle w:val="TOC2"/>
        <w:tabs>
          <w:tab w:val="left" w:pos="40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12" w:history="1">
        <w:r w:rsidR="00373EF0" w:rsidRPr="00A4202B">
          <w:rPr>
            <w:rStyle w:val="Hyperlink"/>
            <w:rFonts w:ascii="Verdana" w:hAnsi="Verdana"/>
            <w:i/>
            <w:noProof/>
            <w:color w:val="auto"/>
            <w:sz w:val="20"/>
            <w:szCs w:val="20"/>
          </w:rPr>
          <w:t>B.La muerte de Ángel Pacheco León y designación de su hermano José como diputado</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_Toc498512812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10</w:t>
        </w:r>
        <w:r w:rsidR="00373EF0" w:rsidRPr="00A4202B">
          <w:rPr>
            <w:rFonts w:ascii="Verdana" w:hAnsi="Verdana"/>
            <w:noProof/>
            <w:webHidden/>
            <w:sz w:val="20"/>
            <w:szCs w:val="20"/>
          </w:rPr>
          <w:fldChar w:fldCharType="end"/>
        </w:r>
      </w:hyperlink>
    </w:p>
    <w:p w14:paraId="15953D53" w14:textId="77777777" w:rsidR="00A4202B" w:rsidRPr="00A4202B" w:rsidRDefault="00A4202B" w:rsidP="00A4202B">
      <w:pPr>
        <w:pStyle w:val="TOC2"/>
        <w:tabs>
          <w:tab w:val="left" w:pos="393"/>
          <w:tab w:val="right" w:leader="dot" w:pos="9736"/>
        </w:tabs>
        <w:ind w:left="284"/>
        <w:rPr>
          <w:rFonts w:ascii="Verdana" w:hAnsi="Verdana"/>
          <w:noProof/>
          <w:sz w:val="20"/>
          <w:szCs w:val="20"/>
        </w:rPr>
      </w:pPr>
    </w:p>
    <w:p w14:paraId="4B737BFE" w14:textId="26DE59A8" w:rsidR="00373EF0" w:rsidRPr="00A4202B" w:rsidRDefault="007D5BA9" w:rsidP="00A4202B">
      <w:pPr>
        <w:pStyle w:val="TOC2"/>
        <w:tabs>
          <w:tab w:val="left" w:pos="393"/>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13" w:history="1">
        <w:r w:rsidR="00373EF0" w:rsidRPr="00A4202B">
          <w:rPr>
            <w:rStyle w:val="Hyperlink"/>
            <w:rFonts w:ascii="Verdana" w:hAnsi="Verdana"/>
            <w:i/>
            <w:noProof/>
            <w:color w:val="auto"/>
            <w:sz w:val="20"/>
            <w:szCs w:val="20"/>
          </w:rPr>
          <w:t>C.La investigación de los hechos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_Toc498512813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11</w:t>
        </w:r>
        <w:r w:rsidR="00373EF0" w:rsidRPr="00A4202B">
          <w:rPr>
            <w:rFonts w:ascii="Verdana" w:hAnsi="Verdana"/>
            <w:noProof/>
            <w:webHidden/>
            <w:sz w:val="20"/>
            <w:szCs w:val="20"/>
          </w:rPr>
          <w:fldChar w:fldCharType="end"/>
        </w:r>
      </w:hyperlink>
    </w:p>
    <w:p w14:paraId="2868899B" w14:textId="77777777" w:rsidR="00373EF0" w:rsidRPr="00A4202B" w:rsidRDefault="007D5BA9" w:rsidP="00A4202B">
      <w:pPr>
        <w:pStyle w:val="TOC3"/>
        <w:rPr>
          <w:rFonts w:ascii="Verdana" w:eastAsiaTheme="minorEastAsia" w:hAnsi="Verdana" w:cstheme="minorBidi"/>
          <w:noProof/>
          <w:sz w:val="20"/>
          <w:szCs w:val="20"/>
          <w:lang w:val="es-CR" w:eastAsia="es-CR"/>
        </w:rPr>
      </w:pPr>
      <w:hyperlink w:anchor="_Toc498512814" w:history="1">
        <w:r w:rsidR="00373EF0" w:rsidRPr="00A4202B">
          <w:rPr>
            <w:rStyle w:val="Hyperlink"/>
            <w:rFonts w:ascii="Verdana" w:hAnsi="Verdana"/>
            <w:i/>
            <w:noProof/>
            <w:color w:val="auto"/>
            <w:sz w:val="20"/>
            <w:szCs w:val="20"/>
          </w:rPr>
          <w:t>C.1. Autoridades intervinientes</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_Toc498512814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12</w:t>
        </w:r>
        <w:r w:rsidR="00373EF0" w:rsidRPr="00A4202B">
          <w:rPr>
            <w:rFonts w:ascii="Verdana" w:hAnsi="Verdana"/>
            <w:b/>
            <w:noProof/>
            <w:webHidden/>
            <w:sz w:val="20"/>
            <w:szCs w:val="20"/>
          </w:rPr>
          <w:fldChar w:fldCharType="end"/>
        </w:r>
      </w:hyperlink>
    </w:p>
    <w:p w14:paraId="4D73B9FA" w14:textId="77777777" w:rsidR="00373EF0" w:rsidRPr="00A4202B" w:rsidRDefault="007D5BA9" w:rsidP="00A4202B">
      <w:pPr>
        <w:pStyle w:val="TOC3"/>
        <w:rPr>
          <w:rFonts w:ascii="Verdana" w:eastAsiaTheme="minorEastAsia" w:hAnsi="Verdana" w:cstheme="minorBidi"/>
          <w:noProof/>
          <w:sz w:val="20"/>
          <w:szCs w:val="20"/>
          <w:lang w:val="es-CR" w:eastAsia="es-CR"/>
        </w:rPr>
      </w:pPr>
      <w:hyperlink w:anchor="_Toc498512815" w:history="1">
        <w:r w:rsidR="00373EF0" w:rsidRPr="00A4202B">
          <w:rPr>
            <w:rStyle w:val="Hyperlink"/>
            <w:rFonts w:ascii="Verdana" w:hAnsi="Verdana"/>
            <w:i/>
            <w:noProof/>
            <w:color w:val="auto"/>
            <w:sz w:val="20"/>
            <w:szCs w:val="20"/>
          </w:rPr>
          <w:t>C.2. La investigación de los hechos hasta 2005</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_Toc498512815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13</w:t>
        </w:r>
        <w:r w:rsidR="00373EF0" w:rsidRPr="00A4202B">
          <w:rPr>
            <w:rFonts w:ascii="Verdana" w:hAnsi="Verdana"/>
            <w:b/>
            <w:noProof/>
            <w:webHidden/>
            <w:sz w:val="20"/>
            <w:szCs w:val="20"/>
          </w:rPr>
          <w:fldChar w:fldCharType="end"/>
        </w:r>
      </w:hyperlink>
    </w:p>
    <w:p w14:paraId="6BB28E46" w14:textId="77777777" w:rsidR="00373EF0" w:rsidRPr="00A4202B" w:rsidRDefault="007D5BA9" w:rsidP="00A4202B">
      <w:pPr>
        <w:pStyle w:val="TOC4"/>
        <w:tabs>
          <w:tab w:val="right" w:leader="dot" w:pos="9736"/>
        </w:tabs>
        <w:ind w:left="851"/>
        <w:rPr>
          <w:rFonts w:ascii="Verdana" w:eastAsiaTheme="minorEastAsia" w:hAnsi="Verdana" w:cstheme="minorBidi"/>
          <w:noProof/>
          <w:sz w:val="20"/>
          <w:szCs w:val="20"/>
          <w:lang w:val="es-CR" w:eastAsia="es-CR"/>
        </w:rPr>
      </w:pPr>
      <w:hyperlink w:anchor="_Toc498512816" w:history="1">
        <w:r w:rsidR="00373EF0" w:rsidRPr="00A4202B">
          <w:rPr>
            <w:rStyle w:val="Hyperlink"/>
            <w:rFonts w:ascii="Verdana" w:hAnsi="Verdana"/>
            <w:i/>
            <w:noProof/>
            <w:color w:val="auto"/>
            <w:sz w:val="20"/>
            <w:szCs w:val="20"/>
          </w:rPr>
          <w:t>C.2.1 Diligencias y denuncia realizadas luego de la muerte del señor Pacheco (24 a 27 de noviembre de 2001)</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_Toc498512816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13</w:t>
        </w:r>
        <w:r w:rsidR="00373EF0" w:rsidRPr="00A4202B">
          <w:rPr>
            <w:rFonts w:ascii="Verdana" w:hAnsi="Verdana"/>
            <w:b/>
            <w:noProof/>
            <w:webHidden/>
            <w:sz w:val="20"/>
            <w:szCs w:val="20"/>
          </w:rPr>
          <w:fldChar w:fldCharType="end"/>
        </w:r>
      </w:hyperlink>
    </w:p>
    <w:p w14:paraId="3C090732" w14:textId="74E8C3B5" w:rsidR="00373EF0" w:rsidRPr="00A4202B" w:rsidRDefault="007D5BA9" w:rsidP="00A4202B">
      <w:pPr>
        <w:pStyle w:val="TOC4"/>
        <w:tabs>
          <w:tab w:val="right" w:leader="dot" w:pos="9736"/>
        </w:tabs>
        <w:ind w:left="851"/>
        <w:rPr>
          <w:rFonts w:ascii="Verdana" w:eastAsiaTheme="minorEastAsia" w:hAnsi="Verdana" w:cstheme="minorBidi"/>
          <w:noProof/>
          <w:sz w:val="20"/>
          <w:szCs w:val="20"/>
          <w:lang w:val="es-CR" w:eastAsia="es-CR"/>
        </w:rPr>
      </w:pPr>
      <w:hyperlink w:anchor="_Toc498512817" w:history="1">
        <w:r w:rsidR="00373EF0" w:rsidRPr="00A4202B">
          <w:rPr>
            <w:rStyle w:val="Hyperlink"/>
            <w:rFonts w:ascii="Verdana" w:hAnsi="Verdana"/>
            <w:i/>
            <w:noProof/>
            <w:color w:val="auto"/>
            <w:sz w:val="20"/>
            <w:szCs w:val="20"/>
          </w:rPr>
          <w:t>C.2.2. Indagación y proceso respecto a tres personas sospechosas (noviembre de 2001 a mayo de 2002)</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_Toc498512817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14</w:t>
        </w:r>
        <w:r w:rsidR="00373EF0" w:rsidRPr="00A4202B">
          <w:rPr>
            <w:rFonts w:ascii="Verdana" w:hAnsi="Verdana"/>
            <w:b/>
            <w:noProof/>
            <w:webHidden/>
            <w:sz w:val="20"/>
            <w:szCs w:val="20"/>
          </w:rPr>
          <w:fldChar w:fldCharType="end"/>
        </w:r>
      </w:hyperlink>
    </w:p>
    <w:p w14:paraId="4165D511" w14:textId="77777777" w:rsidR="00373EF0" w:rsidRPr="00A4202B" w:rsidRDefault="007D5BA9" w:rsidP="00A4202B">
      <w:pPr>
        <w:pStyle w:val="TOC4"/>
        <w:tabs>
          <w:tab w:val="right" w:leader="dot" w:pos="9736"/>
        </w:tabs>
        <w:ind w:left="851"/>
        <w:rPr>
          <w:rFonts w:ascii="Verdana" w:eastAsiaTheme="minorEastAsia" w:hAnsi="Verdana" w:cstheme="minorBidi"/>
          <w:noProof/>
          <w:sz w:val="20"/>
          <w:szCs w:val="20"/>
          <w:lang w:val="es-CR" w:eastAsia="es-CR"/>
        </w:rPr>
      </w:pPr>
      <w:hyperlink w:anchor="_Toc498512818" w:history="1">
        <w:r w:rsidR="00373EF0" w:rsidRPr="00A4202B">
          <w:rPr>
            <w:rStyle w:val="Hyperlink"/>
            <w:rFonts w:ascii="Verdana" w:hAnsi="Verdana"/>
            <w:i/>
            <w:noProof/>
            <w:color w:val="auto"/>
            <w:sz w:val="20"/>
            <w:szCs w:val="20"/>
          </w:rPr>
          <w:t>C.2.3. Declaraciones recibidas (entre noviembre de 2001 y enero de 2002)</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_Toc498512818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15</w:t>
        </w:r>
        <w:r w:rsidR="00373EF0" w:rsidRPr="00A4202B">
          <w:rPr>
            <w:rFonts w:ascii="Verdana" w:hAnsi="Verdana"/>
            <w:b/>
            <w:noProof/>
            <w:webHidden/>
            <w:sz w:val="20"/>
            <w:szCs w:val="20"/>
          </w:rPr>
          <w:fldChar w:fldCharType="end"/>
        </w:r>
      </w:hyperlink>
    </w:p>
    <w:p w14:paraId="7AABC716" w14:textId="77777777" w:rsidR="00373EF0" w:rsidRPr="00A4202B" w:rsidRDefault="007D5BA9" w:rsidP="00A4202B">
      <w:pPr>
        <w:pStyle w:val="TOC4"/>
        <w:tabs>
          <w:tab w:val="right" w:leader="dot" w:pos="9736"/>
        </w:tabs>
        <w:ind w:left="851"/>
        <w:rPr>
          <w:rFonts w:ascii="Verdana" w:eastAsiaTheme="minorEastAsia" w:hAnsi="Verdana" w:cstheme="minorBidi"/>
          <w:noProof/>
          <w:sz w:val="20"/>
          <w:szCs w:val="20"/>
          <w:lang w:val="es-CR" w:eastAsia="es-CR"/>
        </w:rPr>
      </w:pPr>
      <w:hyperlink w:anchor="_Toc498512819" w:history="1">
        <w:r w:rsidR="00373EF0" w:rsidRPr="00A4202B">
          <w:rPr>
            <w:rStyle w:val="Hyperlink"/>
            <w:rFonts w:ascii="Verdana" w:hAnsi="Verdana"/>
            <w:i/>
            <w:noProof/>
            <w:color w:val="auto"/>
            <w:sz w:val="20"/>
            <w:szCs w:val="20"/>
          </w:rPr>
          <w:t>C.2.4.Prueba pericial, allanamientos y otras diligencias (noviembre de 2001 a septiembre de 2005)</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_Toc498512819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16</w:t>
        </w:r>
        <w:r w:rsidR="00373EF0" w:rsidRPr="00A4202B">
          <w:rPr>
            <w:rFonts w:ascii="Verdana" w:hAnsi="Verdana"/>
            <w:b/>
            <w:noProof/>
            <w:webHidden/>
            <w:sz w:val="20"/>
            <w:szCs w:val="20"/>
          </w:rPr>
          <w:fldChar w:fldCharType="end"/>
        </w:r>
      </w:hyperlink>
    </w:p>
    <w:p w14:paraId="2B0195FF" w14:textId="77777777" w:rsidR="00373EF0" w:rsidRPr="00A4202B" w:rsidRDefault="007D5BA9" w:rsidP="00A4202B">
      <w:pPr>
        <w:pStyle w:val="TOC3"/>
        <w:rPr>
          <w:rFonts w:ascii="Verdana" w:eastAsiaTheme="minorEastAsia" w:hAnsi="Verdana" w:cstheme="minorBidi"/>
          <w:noProof/>
          <w:sz w:val="20"/>
          <w:szCs w:val="20"/>
          <w:lang w:val="es-CR" w:eastAsia="es-CR"/>
        </w:rPr>
      </w:pPr>
      <w:hyperlink w:anchor="_Toc498512820" w:history="1">
        <w:r w:rsidR="00373EF0" w:rsidRPr="00A4202B">
          <w:rPr>
            <w:rStyle w:val="Hyperlink"/>
            <w:rFonts w:ascii="Verdana" w:hAnsi="Verdana"/>
            <w:i/>
            <w:noProof/>
            <w:color w:val="auto"/>
            <w:sz w:val="20"/>
            <w:szCs w:val="20"/>
            <w:lang w:val="es-CR" w:eastAsia="es-MX"/>
          </w:rPr>
          <w:t>C.3. Actuaciones posteriores a 2005</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_Toc498512820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20</w:t>
        </w:r>
        <w:r w:rsidR="00373EF0" w:rsidRPr="00A4202B">
          <w:rPr>
            <w:rFonts w:ascii="Verdana" w:hAnsi="Verdana"/>
            <w:b/>
            <w:noProof/>
            <w:webHidden/>
            <w:sz w:val="20"/>
            <w:szCs w:val="20"/>
          </w:rPr>
          <w:fldChar w:fldCharType="end"/>
        </w:r>
      </w:hyperlink>
    </w:p>
    <w:p w14:paraId="5EAAD9D1" w14:textId="77777777" w:rsidR="00A4202B" w:rsidRPr="00A4202B" w:rsidRDefault="00A4202B" w:rsidP="00A4202B">
      <w:pPr>
        <w:pStyle w:val="TOC1"/>
        <w:tabs>
          <w:tab w:val="right" w:leader="dot" w:pos="9736"/>
        </w:tabs>
        <w:spacing w:before="0" w:after="0"/>
        <w:rPr>
          <w:rFonts w:ascii="Verdana" w:hAnsi="Verdana"/>
          <w:noProof/>
          <w:sz w:val="20"/>
          <w:szCs w:val="20"/>
        </w:rPr>
      </w:pPr>
    </w:p>
    <w:p w14:paraId="76E42CFA" w14:textId="77777777" w:rsidR="00373EF0" w:rsidRPr="00A4202B" w:rsidRDefault="007D5BA9"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hyperlink w:anchor="_Toc498512821" w:history="1">
        <w:r w:rsidR="00373EF0" w:rsidRPr="00A4202B">
          <w:rPr>
            <w:rStyle w:val="Hyperlink"/>
            <w:rFonts w:ascii="Verdana" w:hAnsi="Verdana" w:cs="Verdana"/>
            <w:noProof/>
            <w:snapToGrid w:val="0"/>
            <w:color w:val="auto"/>
            <w:sz w:val="20"/>
            <w:szCs w:val="20"/>
            <w:lang w:val="es-CR" w:eastAsia="es-ES"/>
          </w:rPr>
          <w:t>Vi FONDO</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_Toc498512821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22</w:t>
        </w:r>
        <w:r w:rsidR="00373EF0" w:rsidRPr="00A4202B">
          <w:rPr>
            <w:rFonts w:ascii="Verdana" w:hAnsi="Verdana"/>
            <w:noProof/>
            <w:webHidden/>
            <w:sz w:val="20"/>
            <w:szCs w:val="20"/>
          </w:rPr>
          <w:fldChar w:fldCharType="end"/>
        </w:r>
      </w:hyperlink>
    </w:p>
    <w:p w14:paraId="745942EC" w14:textId="77777777" w:rsidR="00A4202B" w:rsidRPr="00A4202B" w:rsidRDefault="00A4202B" w:rsidP="00A4202B">
      <w:pPr>
        <w:pStyle w:val="TOC1"/>
        <w:tabs>
          <w:tab w:val="right" w:leader="dot" w:pos="9736"/>
        </w:tabs>
        <w:spacing w:before="0" w:after="0"/>
        <w:rPr>
          <w:rFonts w:ascii="Verdana" w:hAnsi="Verdana"/>
          <w:noProof/>
          <w:sz w:val="20"/>
          <w:szCs w:val="20"/>
        </w:rPr>
      </w:pPr>
    </w:p>
    <w:p w14:paraId="2A9E6EC1" w14:textId="77777777" w:rsidR="00373EF0" w:rsidRPr="00A4202B" w:rsidRDefault="007D5BA9"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hyperlink w:anchor="_Toc498512822" w:history="1">
        <w:r w:rsidR="00373EF0" w:rsidRPr="00A4202B">
          <w:rPr>
            <w:rStyle w:val="Hyperlink"/>
            <w:rFonts w:ascii="Verdana" w:hAnsi="Verdana" w:cs="Verdana"/>
            <w:noProof/>
            <w:snapToGrid w:val="0"/>
            <w:color w:val="auto"/>
            <w:sz w:val="20"/>
            <w:szCs w:val="20"/>
            <w:lang w:val="es-CR" w:eastAsia="es-ES"/>
          </w:rPr>
          <w:t>Vi.1 derechos a las garantías judiciales y a la Protección judicial</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_Toc498512822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23</w:t>
        </w:r>
        <w:r w:rsidR="00373EF0" w:rsidRPr="00A4202B">
          <w:rPr>
            <w:rFonts w:ascii="Verdana" w:hAnsi="Verdana"/>
            <w:noProof/>
            <w:webHidden/>
            <w:sz w:val="20"/>
            <w:szCs w:val="20"/>
          </w:rPr>
          <w:fldChar w:fldCharType="end"/>
        </w:r>
      </w:hyperlink>
    </w:p>
    <w:p w14:paraId="5186EF30" w14:textId="77777777" w:rsidR="00A4202B" w:rsidRPr="00A4202B" w:rsidRDefault="00A4202B" w:rsidP="00A4202B">
      <w:pPr>
        <w:pStyle w:val="TOC2"/>
        <w:tabs>
          <w:tab w:val="left" w:pos="412"/>
          <w:tab w:val="right" w:leader="dot" w:pos="9736"/>
        </w:tabs>
        <w:ind w:left="284"/>
        <w:rPr>
          <w:rFonts w:ascii="Verdana" w:hAnsi="Verdana"/>
          <w:noProof/>
          <w:sz w:val="20"/>
          <w:szCs w:val="20"/>
        </w:rPr>
      </w:pPr>
    </w:p>
    <w:p w14:paraId="1B0BA63A" w14:textId="0178554A" w:rsidR="00373EF0" w:rsidRPr="00A4202B" w:rsidRDefault="007D5BA9" w:rsidP="00A4202B">
      <w:pPr>
        <w:pStyle w:val="TOC2"/>
        <w:tabs>
          <w:tab w:val="left" w:pos="41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23" w:history="1">
        <w:r w:rsidR="00373EF0" w:rsidRPr="00A4202B">
          <w:rPr>
            <w:rStyle w:val="Hyperlink"/>
            <w:rFonts w:ascii="Verdana" w:hAnsi="Verdana"/>
            <w:i/>
            <w:noProof/>
            <w:color w:val="auto"/>
            <w:sz w:val="20"/>
            <w:szCs w:val="20"/>
            <w:lang w:val="es-CR"/>
          </w:rPr>
          <w:t>A.Argumentos de la Comisión y de las partes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_Toc498512823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23</w:t>
        </w:r>
        <w:r w:rsidR="00373EF0" w:rsidRPr="00A4202B">
          <w:rPr>
            <w:rFonts w:ascii="Verdana" w:hAnsi="Verdana"/>
            <w:noProof/>
            <w:webHidden/>
            <w:sz w:val="20"/>
            <w:szCs w:val="20"/>
          </w:rPr>
          <w:fldChar w:fldCharType="end"/>
        </w:r>
      </w:hyperlink>
    </w:p>
    <w:p w14:paraId="14D6A3F2" w14:textId="77777777" w:rsidR="00A4202B" w:rsidRPr="00A4202B" w:rsidRDefault="00A4202B" w:rsidP="00A4202B">
      <w:pPr>
        <w:pStyle w:val="TOC2"/>
        <w:tabs>
          <w:tab w:val="left" w:pos="402"/>
          <w:tab w:val="right" w:leader="dot" w:pos="9736"/>
        </w:tabs>
        <w:ind w:left="284"/>
        <w:rPr>
          <w:rFonts w:ascii="Verdana" w:hAnsi="Verdana"/>
          <w:noProof/>
          <w:sz w:val="20"/>
          <w:szCs w:val="20"/>
        </w:rPr>
      </w:pPr>
    </w:p>
    <w:p w14:paraId="28F4B6D2" w14:textId="6C8E15BC" w:rsidR="00373EF0" w:rsidRPr="00A4202B" w:rsidRDefault="007D5BA9" w:rsidP="00A4202B">
      <w:pPr>
        <w:pStyle w:val="TOC2"/>
        <w:tabs>
          <w:tab w:val="left" w:pos="40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24" w:history="1">
        <w:r w:rsidR="00373EF0" w:rsidRPr="00A4202B">
          <w:rPr>
            <w:rStyle w:val="Hyperlink"/>
            <w:rFonts w:ascii="Verdana" w:hAnsi="Verdana"/>
            <w:i/>
            <w:noProof/>
            <w:color w:val="auto"/>
            <w:sz w:val="20"/>
            <w:szCs w:val="20"/>
            <w:lang w:val="es-CR"/>
          </w:rPr>
          <w:t>B.Consideraciones de la Corte</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_Toc498512824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25</w:t>
        </w:r>
        <w:r w:rsidR="00373EF0" w:rsidRPr="00A4202B">
          <w:rPr>
            <w:rFonts w:ascii="Verdana" w:hAnsi="Verdana"/>
            <w:noProof/>
            <w:webHidden/>
            <w:sz w:val="20"/>
            <w:szCs w:val="20"/>
          </w:rPr>
          <w:fldChar w:fldCharType="end"/>
        </w:r>
      </w:hyperlink>
    </w:p>
    <w:p w14:paraId="4F164F29" w14:textId="77777777" w:rsidR="00373EF0" w:rsidRPr="00A4202B" w:rsidRDefault="007D5BA9" w:rsidP="00A4202B">
      <w:pPr>
        <w:pStyle w:val="TOC3"/>
        <w:rPr>
          <w:rFonts w:ascii="Verdana" w:eastAsiaTheme="minorEastAsia" w:hAnsi="Verdana" w:cstheme="minorBidi"/>
          <w:noProof/>
          <w:sz w:val="20"/>
          <w:szCs w:val="20"/>
          <w:lang w:val="es-CR" w:eastAsia="es-CR"/>
        </w:rPr>
      </w:pPr>
      <w:hyperlink w:anchor="_Toc498512825" w:history="1">
        <w:r w:rsidR="00373EF0" w:rsidRPr="00A4202B">
          <w:rPr>
            <w:rStyle w:val="Hyperlink"/>
            <w:rFonts w:ascii="Verdana" w:hAnsi="Verdana"/>
            <w:i/>
            <w:noProof/>
            <w:color w:val="auto"/>
            <w:sz w:val="20"/>
            <w:szCs w:val="20"/>
          </w:rPr>
          <w:t>B.1. Debida diligencia en la investigación</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_Toc498512825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27</w:t>
        </w:r>
        <w:r w:rsidR="00373EF0" w:rsidRPr="00A4202B">
          <w:rPr>
            <w:rFonts w:ascii="Verdana" w:hAnsi="Verdana"/>
            <w:b/>
            <w:noProof/>
            <w:webHidden/>
            <w:sz w:val="20"/>
            <w:szCs w:val="20"/>
          </w:rPr>
          <w:fldChar w:fldCharType="end"/>
        </w:r>
      </w:hyperlink>
    </w:p>
    <w:p w14:paraId="25E7AC91" w14:textId="51F2DEC8" w:rsidR="00373EF0" w:rsidRPr="00A4202B" w:rsidRDefault="007D5BA9" w:rsidP="00A4202B">
      <w:pPr>
        <w:pStyle w:val="TOC4"/>
        <w:tabs>
          <w:tab w:val="right" w:leader="dot" w:pos="9736"/>
        </w:tabs>
        <w:ind w:left="851"/>
        <w:rPr>
          <w:rFonts w:ascii="Verdana" w:eastAsiaTheme="minorEastAsia" w:hAnsi="Verdana" w:cstheme="minorBidi"/>
          <w:noProof/>
          <w:sz w:val="20"/>
          <w:szCs w:val="20"/>
          <w:lang w:val="es-CR" w:eastAsia="es-CR"/>
        </w:rPr>
      </w:pPr>
      <w:hyperlink w:anchor="_Toc498512826" w:history="1">
        <w:r w:rsidR="00373EF0" w:rsidRPr="00A4202B">
          <w:rPr>
            <w:rStyle w:val="Hyperlink"/>
            <w:rFonts w:ascii="Verdana" w:hAnsi="Verdana"/>
            <w:i/>
            <w:noProof/>
            <w:color w:val="auto"/>
            <w:sz w:val="20"/>
            <w:szCs w:val="20"/>
            <w:lang w:val="es-CR" w:eastAsia="es-MX"/>
          </w:rPr>
          <w:t xml:space="preserve">B.1.1. Identificación de la víctima, tratamiento de </w:t>
        </w:r>
        <w:r w:rsidR="00D34FEC">
          <w:rPr>
            <w:rStyle w:val="Hyperlink"/>
            <w:rFonts w:ascii="Verdana" w:hAnsi="Verdana"/>
            <w:i/>
            <w:noProof/>
            <w:color w:val="auto"/>
            <w:sz w:val="20"/>
            <w:szCs w:val="20"/>
            <w:lang w:val="es-CR" w:eastAsia="es-MX"/>
          </w:rPr>
          <w:t>la escena del delito</w:t>
        </w:r>
        <w:r w:rsidR="00373EF0" w:rsidRPr="00A4202B">
          <w:rPr>
            <w:rStyle w:val="Hyperlink"/>
            <w:rFonts w:ascii="Verdana" w:hAnsi="Verdana"/>
            <w:i/>
            <w:noProof/>
            <w:color w:val="auto"/>
            <w:sz w:val="20"/>
            <w:szCs w:val="20"/>
            <w:lang w:val="es-CR" w:eastAsia="es-MX"/>
          </w:rPr>
          <w:t>, au</w:t>
        </w:r>
        <w:r w:rsidR="00432071">
          <w:rPr>
            <w:rStyle w:val="Hyperlink"/>
            <w:rFonts w:ascii="Verdana" w:hAnsi="Verdana"/>
            <w:i/>
            <w:noProof/>
            <w:color w:val="auto"/>
            <w:sz w:val="20"/>
            <w:szCs w:val="20"/>
            <w:lang w:val="es-CR" w:eastAsia="es-MX"/>
          </w:rPr>
          <w:t>topsia, recepción de declaraciones</w:t>
        </w:r>
        <w:r w:rsidR="00373EF0" w:rsidRPr="00A4202B">
          <w:rPr>
            <w:rStyle w:val="Hyperlink"/>
            <w:rFonts w:ascii="Verdana" w:hAnsi="Verdana"/>
            <w:i/>
            <w:noProof/>
            <w:color w:val="auto"/>
            <w:sz w:val="20"/>
            <w:szCs w:val="20"/>
            <w:lang w:val="es-CR" w:eastAsia="es-MX"/>
          </w:rPr>
          <w:t xml:space="preserve"> y otros medios de prueba</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_Toc498512826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27</w:t>
        </w:r>
        <w:r w:rsidR="00373EF0" w:rsidRPr="00A4202B">
          <w:rPr>
            <w:rFonts w:ascii="Verdana" w:hAnsi="Verdana"/>
            <w:b/>
            <w:noProof/>
            <w:webHidden/>
            <w:sz w:val="20"/>
            <w:szCs w:val="20"/>
          </w:rPr>
          <w:fldChar w:fldCharType="end"/>
        </w:r>
      </w:hyperlink>
    </w:p>
    <w:p w14:paraId="43D3F3E4" w14:textId="77777777" w:rsidR="00373EF0" w:rsidRPr="00A4202B" w:rsidRDefault="007D5BA9" w:rsidP="00A4202B">
      <w:pPr>
        <w:pStyle w:val="TOC4"/>
        <w:tabs>
          <w:tab w:val="right" w:leader="dot" w:pos="9736"/>
        </w:tabs>
        <w:ind w:left="851"/>
        <w:rPr>
          <w:rFonts w:ascii="Verdana" w:eastAsiaTheme="minorEastAsia" w:hAnsi="Verdana" w:cstheme="minorBidi"/>
          <w:noProof/>
          <w:sz w:val="20"/>
          <w:szCs w:val="20"/>
          <w:lang w:val="es-CR" w:eastAsia="es-CR"/>
        </w:rPr>
      </w:pPr>
      <w:hyperlink w:anchor="_Toc498512827" w:history="1">
        <w:r w:rsidR="00373EF0" w:rsidRPr="00A4202B">
          <w:rPr>
            <w:rStyle w:val="Hyperlink"/>
            <w:rFonts w:ascii="Verdana" w:hAnsi="Verdana"/>
            <w:i/>
            <w:noProof/>
            <w:color w:val="auto"/>
            <w:sz w:val="20"/>
            <w:szCs w:val="20"/>
            <w:lang w:val="es-CR" w:eastAsia="es-MX"/>
          </w:rPr>
          <w:t>B.1.2. Seguimiento de líneas lógicas de investigación</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_Toc498512827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29</w:t>
        </w:r>
        <w:r w:rsidR="00373EF0" w:rsidRPr="00A4202B">
          <w:rPr>
            <w:rFonts w:ascii="Verdana" w:hAnsi="Verdana"/>
            <w:b/>
            <w:noProof/>
            <w:webHidden/>
            <w:sz w:val="20"/>
            <w:szCs w:val="20"/>
          </w:rPr>
          <w:fldChar w:fldCharType="end"/>
        </w:r>
      </w:hyperlink>
    </w:p>
    <w:p w14:paraId="35405B07" w14:textId="77777777" w:rsidR="00373EF0" w:rsidRPr="00A4202B" w:rsidRDefault="007D5BA9" w:rsidP="00A4202B">
      <w:pPr>
        <w:pStyle w:val="TOC5"/>
        <w:tabs>
          <w:tab w:val="right" w:leader="dot" w:pos="9736"/>
        </w:tabs>
        <w:ind w:left="851"/>
        <w:rPr>
          <w:rFonts w:ascii="Verdana" w:eastAsiaTheme="minorEastAsia" w:hAnsi="Verdana" w:cstheme="minorBidi"/>
          <w:noProof/>
          <w:sz w:val="20"/>
          <w:szCs w:val="20"/>
          <w:lang w:val="es-CR" w:eastAsia="es-CR"/>
        </w:rPr>
      </w:pPr>
      <w:hyperlink w:anchor="_Toc498512828" w:history="1">
        <w:r w:rsidR="00373EF0" w:rsidRPr="00A4202B">
          <w:rPr>
            <w:rStyle w:val="Hyperlink"/>
            <w:rFonts w:ascii="Verdana" w:hAnsi="Verdana"/>
            <w:i/>
            <w:noProof/>
            <w:color w:val="auto"/>
            <w:sz w:val="20"/>
            <w:szCs w:val="20"/>
            <w:lang w:val="es-CR" w:eastAsia="es-MX"/>
          </w:rPr>
          <w:t>B.1.2.1. Indicios sobre la autoría del delito</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_Toc498512828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30</w:t>
        </w:r>
        <w:r w:rsidR="00373EF0" w:rsidRPr="00A4202B">
          <w:rPr>
            <w:rFonts w:ascii="Verdana" w:hAnsi="Verdana"/>
            <w:b/>
            <w:noProof/>
            <w:webHidden/>
            <w:sz w:val="20"/>
            <w:szCs w:val="20"/>
          </w:rPr>
          <w:fldChar w:fldCharType="end"/>
        </w:r>
      </w:hyperlink>
    </w:p>
    <w:p w14:paraId="00F0F649" w14:textId="77777777" w:rsidR="00373EF0" w:rsidRPr="00A4202B" w:rsidRDefault="007D5BA9" w:rsidP="00A4202B">
      <w:pPr>
        <w:pStyle w:val="TOC5"/>
        <w:tabs>
          <w:tab w:val="right" w:leader="dot" w:pos="9736"/>
        </w:tabs>
        <w:ind w:left="851"/>
        <w:rPr>
          <w:rFonts w:ascii="Verdana" w:eastAsiaTheme="minorEastAsia" w:hAnsi="Verdana" w:cstheme="minorBidi"/>
          <w:noProof/>
          <w:sz w:val="20"/>
          <w:szCs w:val="20"/>
          <w:lang w:val="es-CR" w:eastAsia="es-CR"/>
        </w:rPr>
      </w:pPr>
      <w:hyperlink w:anchor="_Toc498512829" w:history="1">
        <w:r w:rsidR="00373EF0" w:rsidRPr="00A4202B">
          <w:rPr>
            <w:rStyle w:val="Hyperlink"/>
            <w:rFonts w:ascii="Verdana" w:hAnsi="Verdana"/>
            <w:i/>
            <w:noProof/>
            <w:color w:val="auto"/>
            <w:sz w:val="20"/>
            <w:szCs w:val="20"/>
            <w:lang w:val="es-CR" w:eastAsia="es-MX"/>
          </w:rPr>
          <w:t>B.1.2.2. Indagación sobre los indicios indicados</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_Toc498512829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34</w:t>
        </w:r>
        <w:r w:rsidR="00373EF0" w:rsidRPr="00A4202B">
          <w:rPr>
            <w:rFonts w:ascii="Verdana" w:hAnsi="Verdana"/>
            <w:b/>
            <w:noProof/>
            <w:webHidden/>
            <w:sz w:val="20"/>
            <w:szCs w:val="20"/>
          </w:rPr>
          <w:fldChar w:fldCharType="end"/>
        </w:r>
      </w:hyperlink>
    </w:p>
    <w:p w14:paraId="372500B9" w14:textId="77777777" w:rsidR="00373EF0" w:rsidRPr="00A4202B" w:rsidRDefault="007D5BA9" w:rsidP="00A4202B">
      <w:pPr>
        <w:pStyle w:val="TOC3"/>
        <w:rPr>
          <w:rFonts w:ascii="Verdana" w:eastAsiaTheme="minorEastAsia" w:hAnsi="Verdana" w:cstheme="minorBidi"/>
          <w:noProof/>
          <w:sz w:val="20"/>
          <w:szCs w:val="20"/>
          <w:lang w:val="es-CR" w:eastAsia="es-CR"/>
        </w:rPr>
      </w:pPr>
      <w:hyperlink w:anchor="_Toc498512830" w:history="1">
        <w:r w:rsidR="00373EF0" w:rsidRPr="00A4202B">
          <w:rPr>
            <w:rStyle w:val="Hyperlink"/>
            <w:rFonts w:ascii="Verdana" w:hAnsi="Verdana"/>
            <w:i/>
            <w:noProof/>
            <w:color w:val="auto"/>
            <w:sz w:val="20"/>
            <w:szCs w:val="20"/>
            <w:lang w:val="es-CR"/>
          </w:rPr>
          <w:t>B.2. Plazo transcurrido en las actuaciones internas</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_Toc498512830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36</w:t>
        </w:r>
        <w:r w:rsidR="00373EF0" w:rsidRPr="00A4202B">
          <w:rPr>
            <w:rFonts w:ascii="Verdana" w:hAnsi="Verdana"/>
            <w:b/>
            <w:noProof/>
            <w:webHidden/>
            <w:sz w:val="20"/>
            <w:szCs w:val="20"/>
          </w:rPr>
          <w:fldChar w:fldCharType="end"/>
        </w:r>
      </w:hyperlink>
    </w:p>
    <w:p w14:paraId="21998783" w14:textId="77777777" w:rsidR="00373EF0" w:rsidRPr="00A4202B" w:rsidRDefault="007D5BA9" w:rsidP="00A4202B">
      <w:pPr>
        <w:pStyle w:val="TOC3"/>
        <w:rPr>
          <w:rFonts w:ascii="Verdana" w:eastAsiaTheme="minorEastAsia" w:hAnsi="Verdana" w:cstheme="minorBidi"/>
          <w:noProof/>
          <w:sz w:val="20"/>
          <w:szCs w:val="20"/>
          <w:lang w:val="es-CR" w:eastAsia="es-CR"/>
        </w:rPr>
      </w:pPr>
      <w:hyperlink w:anchor="_Toc498512831" w:history="1">
        <w:r w:rsidR="00373EF0" w:rsidRPr="00A4202B">
          <w:rPr>
            <w:rStyle w:val="Hyperlink"/>
            <w:rFonts w:ascii="Verdana" w:hAnsi="Verdana"/>
            <w:i/>
            <w:noProof/>
            <w:color w:val="auto"/>
            <w:sz w:val="20"/>
            <w:szCs w:val="20"/>
            <w:lang w:val="es-CR"/>
          </w:rPr>
          <w:t>B.3. Conclusión</w:t>
        </w:r>
        <w:r w:rsidR="00373EF0" w:rsidRPr="00A4202B">
          <w:rPr>
            <w:rFonts w:ascii="Verdana" w:hAnsi="Verdana"/>
            <w:noProof/>
            <w:webHidden/>
            <w:sz w:val="20"/>
            <w:szCs w:val="20"/>
          </w:rPr>
          <w:tab/>
        </w:r>
        <w:r w:rsidR="00373EF0" w:rsidRPr="00A4202B">
          <w:rPr>
            <w:rFonts w:ascii="Verdana" w:hAnsi="Verdana"/>
            <w:b/>
            <w:noProof/>
            <w:webHidden/>
            <w:sz w:val="20"/>
            <w:szCs w:val="20"/>
          </w:rPr>
          <w:fldChar w:fldCharType="begin"/>
        </w:r>
        <w:r w:rsidR="00373EF0" w:rsidRPr="00A4202B">
          <w:rPr>
            <w:rFonts w:ascii="Verdana" w:hAnsi="Verdana"/>
            <w:b/>
            <w:noProof/>
            <w:webHidden/>
            <w:sz w:val="20"/>
            <w:szCs w:val="20"/>
          </w:rPr>
          <w:instrText xml:space="preserve"> PAGEREF _Toc498512831 \h </w:instrText>
        </w:r>
        <w:r w:rsidR="00373EF0" w:rsidRPr="00A4202B">
          <w:rPr>
            <w:rFonts w:ascii="Verdana" w:hAnsi="Verdana"/>
            <w:b/>
            <w:noProof/>
            <w:webHidden/>
            <w:sz w:val="20"/>
            <w:szCs w:val="20"/>
          </w:rPr>
        </w:r>
        <w:r w:rsidR="00373EF0" w:rsidRPr="00A4202B">
          <w:rPr>
            <w:rFonts w:ascii="Verdana" w:hAnsi="Verdana"/>
            <w:b/>
            <w:noProof/>
            <w:webHidden/>
            <w:sz w:val="20"/>
            <w:szCs w:val="20"/>
          </w:rPr>
          <w:fldChar w:fldCharType="separate"/>
        </w:r>
        <w:r w:rsidR="00170284">
          <w:rPr>
            <w:rFonts w:ascii="Verdana" w:hAnsi="Verdana"/>
            <w:b/>
            <w:noProof/>
            <w:webHidden/>
            <w:sz w:val="20"/>
            <w:szCs w:val="20"/>
          </w:rPr>
          <w:t>38</w:t>
        </w:r>
        <w:r w:rsidR="00373EF0" w:rsidRPr="00A4202B">
          <w:rPr>
            <w:rFonts w:ascii="Verdana" w:hAnsi="Verdana"/>
            <w:b/>
            <w:noProof/>
            <w:webHidden/>
            <w:sz w:val="20"/>
            <w:szCs w:val="20"/>
          </w:rPr>
          <w:fldChar w:fldCharType="end"/>
        </w:r>
      </w:hyperlink>
    </w:p>
    <w:p w14:paraId="39924829" w14:textId="77777777" w:rsidR="00A4202B" w:rsidRPr="00A4202B" w:rsidRDefault="00A4202B" w:rsidP="00A4202B">
      <w:pPr>
        <w:pStyle w:val="TOC1"/>
        <w:tabs>
          <w:tab w:val="right" w:leader="dot" w:pos="9736"/>
        </w:tabs>
        <w:spacing w:before="0" w:after="0"/>
        <w:rPr>
          <w:rStyle w:val="Hyperlink"/>
          <w:rFonts w:ascii="Verdana" w:hAnsi="Verdana"/>
          <w:noProof/>
          <w:color w:val="auto"/>
          <w:sz w:val="20"/>
          <w:szCs w:val="20"/>
          <w:lang w:val="es-CR"/>
        </w:rPr>
      </w:pPr>
    </w:p>
    <w:p w14:paraId="3648F659" w14:textId="56618A4F" w:rsidR="00373EF0" w:rsidRPr="00A4202B" w:rsidRDefault="00373EF0"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r w:rsidRPr="00A4202B">
        <w:rPr>
          <w:rStyle w:val="Hyperlink"/>
          <w:rFonts w:ascii="Verdana" w:hAnsi="Verdana"/>
          <w:noProof/>
          <w:color w:val="auto"/>
          <w:sz w:val="20"/>
          <w:szCs w:val="20"/>
          <w:lang w:val="es-CR"/>
        </w:rPr>
        <w:t xml:space="preserve">VI.2 </w:t>
      </w:r>
      <w:hyperlink w:anchor="_Toc498512833" w:history="1">
        <w:r w:rsidRPr="00A4202B">
          <w:rPr>
            <w:rStyle w:val="Hyperlink"/>
            <w:rFonts w:ascii="Verdana" w:hAnsi="Verdana"/>
            <w:noProof/>
            <w:color w:val="auto"/>
            <w:sz w:val="20"/>
            <w:szCs w:val="20"/>
            <w:lang w:val="es-CR"/>
          </w:rPr>
          <w:t>DERECHO A LA VIDA Y DERECHOS POLÍTICOS</w:t>
        </w:r>
        <w:r w:rsidRPr="00A4202B">
          <w:rPr>
            <w:rFonts w:ascii="Verdana" w:hAnsi="Verdana"/>
            <w:noProof/>
            <w:webHidden/>
            <w:sz w:val="20"/>
            <w:szCs w:val="20"/>
          </w:rPr>
          <w:tab/>
        </w:r>
        <w:r w:rsidRPr="00A4202B">
          <w:rPr>
            <w:rFonts w:ascii="Verdana" w:hAnsi="Verdana"/>
            <w:noProof/>
            <w:webHidden/>
            <w:sz w:val="20"/>
            <w:szCs w:val="20"/>
          </w:rPr>
          <w:fldChar w:fldCharType="begin"/>
        </w:r>
        <w:r w:rsidRPr="00A4202B">
          <w:rPr>
            <w:rFonts w:ascii="Verdana" w:hAnsi="Verdana"/>
            <w:noProof/>
            <w:webHidden/>
            <w:sz w:val="20"/>
            <w:szCs w:val="20"/>
          </w:rPr>
          <w:instrText xml:space="preserve"> PAGEREF _Toc498512833 \h </w:instrText>
        </w:r>
        <w:r w:rsidRPr="00A4202B">
          <w:rPr>
            <w:rFonts w:ascii="Verdana" w:hAnsi="Verdana"/>
            <w:noProof/>
            <w:webHidden/>
            <w:sz w:val="20"/>
            <w:szCs w:val="20"/>
          </w:rPr>
        </w:r>
        <w:r w:rsidRPr="00A4202B">
          <w:rPr>
            <w:rFonts w:ascii="Verdana" w:hAnsi="Verdana"/>
            <w:noProof/>
            <w:webHidden/>
            <w:sz w:val="20"/>
            <w:szCs w:val="20"/>
          </w:rPr>
          <w:fldChar w:fldCharType="separate"/>
        </w:r>
        <w:r w:rsidR="00170284">
          <w:rPr>
            <w:rFonts w:ascii="Verdana" w:hAnsi="Verdana"/>
            <w:noProof/>
            <w:webHidden/>
            <w:sz w:val="20"/>
            <w:szCs w:val="20"/>
          </w:rPr>
          <w:t>39</w:t>
        </w:r>
        <w:r w:rsidRPr="00A4202B">
          <w:rPr>
            <w:rFonts w:ascii="Verdana" w:hAnsi="Verdana"/>
            <w:noProof/>
            <w:webHidden/>
            <w:sz w:val="20"/>
            <w:szCs w:val="20"/>
          </w:rPr>
          <w:fldChar w:fldCharType="end"/>
        </w:r>
      </w:hyperlink>
    </w:p>
    <w:p w14:paraId="01009017" w14:textId="77777777" w:rsidR="00A4202B" w:rsidRPr="00A4202B" w:rsidRDefault="00A4202B" w:rsidP="00A4202B">
      <w:pPr>
        <w:pStyle w:val="TOC2"/>
        <w:tabs>
          <w:tab w:val="left" w:pos="412"/>
          <w:tab w:val="right" w:leader="dot" w:pos="9736"/>
        </w:tabs>
        <w:ind w:left="284"/>
        <w:rPr>
          <w:rFonts w:ascii="Verdana" w:hAnsi="Verdana"/>
          <w:noProof/>
          <w:sz w:val="20"/>
          <w:szCs w:val="20"/>
        </w:rPr>
      </w:pPr>
    </w:p>
    <w:p w14:paraId="281F84E2" w14:textId="451584DD" w:rsidR="00373EF0" w:rsidRPr="00A4202B" w:rsidRDefault="007D5BA9" w:rsidP="00A4202B">
      <w:pPr>
        <w:pStyle w:val="TOC2"/>
        <w:tabs>
          <w:tab w:val="left" w:pos="41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34" w:history="1">
        <w:r w:rsidR="00373EF0" w:rsidRPr="00A4202B">
          <w:rPr>
            <w:rStyle w:val="Hyperlink"/>
            <w:rFonts w:ascii="Verdana" w:hAnsi="Verdana"/>
            <w:i/>
            <w:noProof/>
            <w:color w:val="auto"/>
            <w:sz w:val="20"/>
            <w:szCs w:val="20"/>
            <w:lang w:val="es-CR"/>
          </w:rPr>
          <w:t>A.Argumentos de la Comisión y de las partes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_Toc498512834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39</w:t>
        </w:r>
        <w:r w:rsidR="00373EF0" w:rsidRPr="00A4202B">
          <w:rPr>
            <w:rFonts w:ascii="Verdana" w:hAnsi="Verdana"/>
            <w:noProof/>
            <w:webHidden/>
            <w:sz w:val="20"/>
            <w:szCs w:val="20"/>
          </w:rPr>
          <w:fldChar w:fldCharType="end"/>
        </w:r>
      </w:hyperlink>
    </w:p>
    <w:p w14:paraId="06265746" w14:textId="77777777" w:rsidR="00A4202B" w:rsidRPr="00A4202B" w:rsidRDefault="00A4202B" w:rsidP="00A4202B">
      <w:pPr>
        <w:pStyle w:val="TOC2"/>
        <w:tabs>
          <w:tab w:val="left" w:pos="402"/>
          <w:tab w:val="right" w:leader="dot" w:pos="9736"/>
        </w:tabs>
        <w:ind w:left="284"/>
        <w:rPr>
          <w:rFonts w:ascii="Verdana" w:hAnsi="Verdana"/>
          <w:noProof/>
          <w:sz w:val="20"/>
          <w:szCs w:val="20"/>
        </w:rPr>
      </w:pPr>
    </w:p>
    <w:p w14:paraId="5C398FB1" w14:textId="653154F8" w:rsidR="00373EF0" w:rsidRPr="00A4202B" w:rsidRDefault="007D5BA9" w:rsidP="00A4202B">
      <w:pPr>
        <w:pStyle w:val="TOC2"/>
        <w:tabs>
          <w:tab w:val="left" w:pos="40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35" w:history="1">
        <w:r w:rsidR="00373EF0" w:rsidRPr="00A4202B">
          <w:rPr>
            <w:rStyle w:val="Hyperlink"/>
            <w:rFonts w:ascii="Verdana" w:hAnsi="Verdana" w:cs="Arial"/>
            <w:i/>
            <w:noProof/>
            <w:color w:val="auto"/>
            <w:sz w:val="20"/>
            <w:szCs w:val="20"/>
            <w:lang w:val="es-CR"/>
          </w:rPr>
          <w:t>B.Consideraciones de la Corte</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_Toc498512835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42</w:t>
        </w:r>
        <w:r w:rsidR="00373EF0" w:rsidRPr="00A4202B">
          <w:rPr>
            <w:rFonts w:ascii="Verdana" w:hAnsi="Verdana"/>
            <w:noProof/>
            <w:webHidden/>
            <w:sz w:val="20"/>
            <w:szCs w:val="20"/>
          </w:rPr>
          <w:fldChar w:fldCharType="end"/>
        </w:r>
      </w:hyperlink>
    </w:p>
    <w:p w14:paraId="04CF50A8" w14:textId="77777777" w:rsidR="00A4202B" w:rsidRPr="00A4202B" w:rsidRDefault="00A4202B" w:rsidP="00A4202B">
      <w:pPr>
        <w:pStyle w:val="TOC1"/>
        <w:tabs>
          <w:tab w:val="right" w:leader="dot" w:pos="9736"/>
        </w:tabs>
        <w:spacing w:before="0" w:after="0"/>
        <w:rPr>
          <w:rFonts w:ascii="Verdana" w:hAnsi="Verdana"/>
          <w:noProof/>
          <w:sz w:val="20"/>
          <w:szCs w:val="20"/>
        </w:rPr>
      </w:pPr>
    </w:p>
    <w:p w14:paraId="6B2A8950" w14:textId="00016404" w:rsidR="00373EF0" w:rsidRPr="00A4202B" w:rsidRDefault="007D5BA9"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hyperlink w:anchor="_Toc498512836" w:history="1">
        <w:r w:rsidR="00373EF0" w:rsidRPr="00A4202B">
          <w:rPr>
            <w:rStyle w:val="Hyperlink"/>
            <w:rFonts w:ascii="Verdana" w:hAnsi="Verdana"/>
            <w:noProof/>
            <w:color w:val="auto"/>
            <w:sz w:val="20"/>
            <w:szCs w:val="20"/>
          </w:rPr>
          <w:t>VI. 3</w:t>
        </w:r>
      </w:hyperlink>
      <w:r w:rsidR="00373EF0" w:rsidRPr="00A4202B">
        <w:rPr>
          <w:rStyle w:val="Hyperlink"/>
          <w:rFonts w:ascii="Verdana" w:hAnsi="Verdana"/>
          <w:noProof/>
          <w:color w:val="auto"/>
          <w:sz w:val="20"/>
          <w:szCs w:val="20"/>
        </w:rPr>
        <w:t xml:space="preserve"> </w:t>
      </w:r>
      <w:hyperlink w:anchor="_Toc498512837" w:history="1">
        <w:r w:rsidR="00373EF0" w:rsidRPr="00A4202B">
          <w:rPr>
            <w:rStyle w:val="Hyperlink"/>
            <w:rFonts w:ascii="Verdana" w:hAnsi="Verdana"/>
            <w:noProof/>
            <w:color w:val="auto"/>
            <w:sz w:val="20"/>
            <w:szCs w:val="20"/>
          </w:rPr>
          <w:t>DERECHO A LA INTEGRIDAD PERSONAL</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_Toc498512837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46</w:t>
        </w:r>
        <w:r w:rsidR="00373EF0" w:rsidRPr="00A4202B">
          <w:rPr>
            <w:rFonts w:ascii="Verdana" w:hAnsi="Verdana"/>
            <w:noProof/>
            <w:webHidden/>
            <w:sz w:val="20"/>
            <w:szCs w:val="20"/>
          </w:rPr>
          <w:fldChar w:fldCharType="end"/>
        </w:r>
      </w:hyperlink>
    </w:p>
    <w:p w14:paraId="4248BBB7" w14:textId="77777777" w:rsidR="00A4202B" w:rsidRPr="00A4202B" w:rsidRDefault="00A4202B" w:rsidP="00A4202B">
      <w:pPr>
        <w:pStyle w:val="TOC2"/>
        <w:tabs>
          <w:tab w:val="left" w:pos="412"/>
          <w:tab w:val="right" w:leader="dot" w:pos="9736"/>
        </w:tabs>
        <w:ind w:left="284"/>
        <w:rPr>
          <w:rFonts w:ascii="Verdana" w:hAnsi="Verdana"/>
          <w:noProof/>
          <w:sz w:val="20"/>
          <w:szCs w:val="20"/>
        </w:rPr>
      </w:pPr>
    </w:p>
    <w:p w14:paraId="59E2C2DD" w14:textId="360D70F7" w:rsidR="00373EF0" w:rsidRPr="00A4202B" w:rsidRDefault="007D5BA9" w:rsidP="00A4202B">
      <w:pPr>
        <w:pStyle w:val="TOC2"/>
        <w:tabs>
          <w:tab w:val="left" w:pos="41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38" w:history="1">
        <w:r w:rsidR="00373EF0" w:rsidRPr="00A4202B">
          <w:rPr>
            <w:rStyle w:val="Hyperlink"/>
            <w:rFonts w:ascii="Verdana" w:hAnsi="Verdana"/>
            <w:i/>
            <w:noProof/>
            <w:color w:val="auto"/>
            <w:sz w:val="20"/>
            <w:szCs w:val="20"/>
            <w:lang w:val="es-CR"/>
          </w:rPr>
          <w:t>A.Argumentos de la Comisión y de las partes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_Toc498512838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46</w:t>
        </w:r>
        <w:r w:rsidR="00373EF0" w:rsidRPr="00A4202B">
          <w:rPr>
            <w:rFonts w:ascii="Verdana" w:hAnsi="Verdana"/>
            <w:noProof/>
            <w:webHidden/>
            <w:sz w:val="20"/>
            <w:szCs w:val="20"/>
          </w:rPr>
          <w:fldChar w:fldCharType="end"/>
        </w:r>
      </w:hyperlink>
    </w:p>
    <w:p w14:paraId="7862F533" w14:textId="77777777" w:rsidR="00A4202B" w:rsidRPr="00A4202B" w:rsidRDefault="00A4202B" w:rsidP="00A4202B">
      <w:pPr>
        <w:pStyle w:val="TOC2"/>
        <w:tabs>
          <w:tab w:val="left" w:pos="402"/>
          <w:tab w:val="right" w:leader="dot" w:pos="9736"/>
        </w:tabs>
        <w:ind w:left="284"/>
        <w:rPr>
          <w:rFonts w:ascii="Verdana" w:hAnsi="Verdana"/>
          <w:noProof/>
          <w:sz w:val="20"/>
          <w:szCs w:val="20"/>
        </w:rPr>
      </w:pPr>
    </w:p>
    <w:p w14:paraId="6B5A7B6A" w14:textId="7B42891C" w:rsidR="00373EF0" w:rsidRPr="00A4202B" w:rsidRDefault="007D5BA9" w:rsidP="00A4202B">
      <w:pPr>
        <w:pStyle w:val="TOC2"/>
        <w:tabs>
          <w:tab w:val="left" w:pos="40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39" w:history="1">
        <w:r w:rsidR="00373EF0" w:rsidRPr="00A4202B">
          <w:rPr>
            <w:rStyle w:val="Hyperlink"/>
            <w:rFonts w:ascii="Verdana" w:hAnsi="Verdana"/>
            <w:i/>
            <w:noProof/>
            <w:color w:val="auto"/>
            <w:sz w:val="20"/>
            <w:szCs w:val="20"/>
            <w:lang w:val="es-CR"/>
          </w:rPr>
          <w:t>B.Consideraciones de la Corte</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_Toc498512839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48</w:t>
        </w:r>
        <w:r w:rsidR="00373EF0" w:rsidRPr="00A4202B">
          <w:rPr>
            <w:rFonts w:ascii="Verdana" w:hAnsi="Verdana"/>
            <w:noProof/>
            <w:webHidden/>
            <w:sz w:val="20"/>
            <w:szCs w:val="20"/>
          </w:rPr>
          <w:fldChar w:fldCharType="end"/>
        </w:r>
      </w:hyperlink>
    </w:p>
    <w:p w14:paraId="2329A0C4" w14:textId="77777777" w:rsidR="00A4202B" w:rsidRPr="00A4202B" w:rsidRDefault="00A4202B" w:rsidP="00A4202B">
      <w:pPr>
        <w:pStyle w:val="TOC1"/>
        <w:tabs>
          <w:tab w:val="right" w:leader="dot" w:pos="9736"/>
        </w:tabs>
        <w:spacing w:before="0" w:after="0"/>
        <w:rPr>
          <w:rFonts w:ascii="Verdana" w:hAnsi="Verdana"/>
          <w:noProof/>
          <w:sz w:val="20"/>
          <w:szCs w:val="20"/>
        </w:rPr>
      </w:pPr>
    </w:p>
    <w:p w14:paraId="16151272" w14:textId="2C4210F1" w:rsidR="00373EF0" w:rsidRPr="00A4202B" w:rsidRDefault="007D5BA9"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hyperlink w:anchor="_Toc498512840" w:history="1">
        <w:r w:rsidR="00373EF0" w:rsidRPr="00A4202B">
          <w:rPr>
            <w:rStyle w:val="Hyperlink"/>
            <w:rFonts w:ascii="Verdana" w:hAnsi="Verdana"/>
            <w:noProof/>
            <w:color w:val="auto"/>
            <w:sz w:val="20"/>
            <w:szCs w:val="20"/>
          </w:rPr>
          <w:t>VI.4</w:t>
        </w:r>
      </w:hyperlink>
      <w:r w:rsidR="00373EF0" w:rsidRPr="00A4202B">
        <w:rPr>
          <w:rStyle w:val="Hyperlink"/>
          <w:rFonts w:ascii="Verdana" w:hAnsi="Verdana"/>
          <w:noProof/>
          <w:color w:val="auto"/>
          <w:sz w:val="20"/>
          <w:szCs w:val="20"/>
        </w:rPr>
        <w:t xml:space="preserve"> </w:t>
      </w:r>
      <w:hyperlink w:anchor="_Toc498512841" w:history="1">
        <w:r w:rsidR="00373EF0" w:rsidRPr="00A4202B">
          <w:rPr>
            <w:rStyle w:val="Hyperlink"/>
            <w:rFonts w:ascii="Verdana" w:hAnsi="Verdana"/>
            <w:noProof/>
            <w:color w:val="auto"/>
            <w:sz w:val="20"/>
            <w:szCs w:val="20"/>
            <w:lang w:val="es-CR" w:eastAsia="es-MX"/>
          </w:rPr>
          <w:t>DEBER DE ADOPTAR DISPOSICIONES DE DERECHO INTERNO</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_Toc498512841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51</w:t>
        </w:r>
        <w:r w:rsidR="00373EF0" w:rsidRPr="00A4202B">
          <w:rPr>
            <w:rFonts w:ascii="Verdana" w:hAnsi="Verdana"/>
            <w:noProof/>
            <w:webHidden/>
            <w:sz w:val="20"/>
            <w:szCs w:val="20"/>
          </w:rPr>
          <w:fldChar w:fldCharType="end"/>
        </w:r>
      </w:hyperlink>
    </w:p>
    <w:p w14:paraId="5D689647" w14:textId="77777777" w:rsidR="00A4202B" w:rsidRPr="00A4202B" w:rsidRDefault="00A4202B" w:rsidP="00A4202B">
      <w:pPr>
        <w:pStyle w:val="TOC1"/>
        <w:tabs>
          <w:tab w:val="right" w:leader="dot" w:pos="9736"/>
        </w:tabs>
        <w:spacing w:before="0" w:after="0"/>
        <w:rPr>
          <w:rFonts w:ascii="Verdana" w:hAnsi="Verdana"/>
          <w:noProof/>
          <w:sz w:val="20"/>
          <w:szCs w:val="20"/>
        </w:rPr>
      </w:pPr>
    </w:p>
    <w:p w14:paraId="32FEAC94" w14:textId="2441A90D" w:rsidR="00373EF0" w:rsidRPr="00A4202B" w:rsidRDefault="007D5BA9"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hyperlink w:anchor="_Toc498512842" w:history="1">
        <w:r w:rsidR="00373EF0" w:rsidRPr="00A4202B">
          <w:rPr>
            <w:rStyle w:val="Hyperlink"/>
            <w:rFonts w:ascii="Verdana" w:hAnsi="Verdana"/>
            <w:noProof/>
            <w:color w:val="auto"/>
            <w:sz w:val="20"/>
            <w:szCs w:val="20"/>
            <w:lang w:val="es-CR"/>
          </w:rPr>
          <w:t>VII</w:t>
        </w:r>
      </w:hyperlink>
      <w:r w:rsidR="00373EF0" w:rsidRPr="00A4202B">
        <w:rPr>
          <w:rStyle w:val="Hyperlink"/>
          <w:rFonts w:ascii="Verdana" w:hAnsi="Verdana"/>
          <w:noProof/>
          <w:color w:val="auto"/>
          <w:sz w:val="20"/>
          <w:szCs w:val="20"/>
        </w:rPr>
        <w:t xml:space="preserve"> </w:t>
      </w:r>
      <w:hyperlink w:anchor="_Toc498512843" w:history="1">
        <w:r w:rsidR="00373EF0" w:rsidRPr="00A4202B">
          <w:rPr>
            <w:rStyle w:val="Hyperlink"/>
            <w:rFonts w:ascii="Verdana" w:hAnsi="Verdana"/>
            <w:noProof/>
            <w:color w:val="auto"/>
            <w:sz w:val="20"/>
            <w:szCs w:val="20"/>
            <w:lang w:val="es-CR"/>
          </w:rPr>
          <w:t>REPARACIONES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_Toc498512843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52</w:t>
        </w:r>
        <w:r w:rsidR="00373EF0" w:rsidRPr="00A4202B">
          <w:rPr>
            <w:rFonts w:ascii="Verdana" w:hAnsi="Verdana"/>
            <w:noProof/>
            <w:webHidden/>
            <w:sz w:val="20"/>
            <w:szCs w:val="20"/>
          </w:rPr>
          <w:fldChar w:fldCharType="end"/>
        </w:r>
      </w:hyperlink>
    </w:p>
    <w:p w14:paraId="614ED0B0" w14:textId="77777777" w:rsidR="00A4202B" w:rsidRPr="00A4202B" w:rsidRDefault="00A4202B" w:rsidP="00A4202B">
      <w:pPr>
        <w:pStyle w:val="TOC2"/>
        <w:tabs>
          <w:tab w:val="left" w:pos="412"/>
          <w:tab w:val="right" w:leader="dot" w:pos="9736"/>
        </w:tabs>
        <w:ind w:left="284"/>
        <w:rPr>
          <w:rFonts w:ascii="Verdana" w:hAnsi="Verdana"/>
          <w:noProof/>
          <w:sz w:val="20"/>
          <w:szCs w:val="20"/>
        </w:rPr>
      </w:pPr>
    </w:p>
    <w:p w14:paraId="6F2F8507" w14:textId="69BD7E42" w:rsidR="00373EF0" w:rsidRPr="00A4202B" w:rsidRDefault="007D5BA9" w:rsidP="00A4202B">
      <w:pPr>
        <w:pStyle w:val="TOC2"/>
        <w:tabs>
          <w:tab w:val="left" w:pos="41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44" w:history="1">
        <w:r w:rsidR="00373EF0" w:rsidRPr="00A4202B">
          <w:rPr>
            <w:rStyle w:val="Hyperlink"/>
            <w:rFonts w:ascii="Verdana" w:eastAsiaTheme="minorHAnsi" w:hAnsi="Verdana"/>
            <w:i/>
            <w:noProof/>
            <w:color w:val="auto"/>
            <w:sz w:val="20"/>
            <w:szCs w:val="20"/>
            <w:lang w:val="es-CR"/>
          </w:rPr>
          <w:t>A.</w:t>
        </w:r>
        <w:r w:rsidR="00373EF0" w:rsidRPr="00A4202B">
          <w:rPr>
            <w:rStyle w:val="Hyperlink"/>
            <w:rFonts w:ascii="Verdana" w:hAnsi="Verdana"/>
            <w:i/>
            <w:noProof/>
            <w:color w:val="auto"/>
            <w:sz w:val="20"/>
            <w:szCs w:val="20"/>
            <w:lang w:val="es-CR"/>
          </w:rPr>
          <w:t>Parte lesionada</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_Toc498512844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52</w:t>
        </w:r>
        <w:r w:rsidR="00373EF0" w:rsidRPr="00A4202B">
          <w:rPr>
            <w:rFonts w:ascii="Verdana" w:hAnsi="Verdana"/>
            <w:noProof/>
            <w:webHidden/>
            <w:sz w:val="20"/>
            <w:szCs w:val="20"/>
          </w:rPr>
          <w:fldChar w:fldCharType="end"/>
        </w:r>
      </w:hyperlink>
    </w:p>
    <w:p w14:paraId="38541B58" w14:textId="77777777" w:rsidR="00A4202B" w:rsidRPr="00A4202B" w:rsidRDefault="00A4202B" w:rsidP="00A4202B">
      <w:pPr>
        <w:pStyle w:val="TOC2"/>
        <w:tabs>
          <w:tab w:val="left" w:pos="402"/>
          <w:tab w:val="right" w:leader="dot" w:pos="9736"/>
        </w:tabs>
        <w:ind w:left="284"/>
        <w:rPr>
          <w:rFonts w:ascii="Verdana" w:hAnsi="Verdana"/>
          <w:noProof/>
          <w:sz w:val="20"/>
          <w:szCs w:val="20"/>
        </w:rPr>
      </w:pPr>
    </w:p>
    <w:p w14:paraId="0D0F4087" w14:textId="624B85CF" w:rsidR="00373EF0" w:rsidRPr="00A4202B" w:rsidRDefault="007D5BA9" w:rsidP="00A4202B">
      <w:pPr>
        <w:pStyle w:val="TOC2"/>
        <w:tabs>
          <w:tab w:val="left" w:pos="402"/>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45" w:history="1">
        <w:r w:rsidR="00373EF0" w:rsidRPr="00A4202B">
          <w:rPr>
            <w:rStyle w:val="Hyperlink"/>
            <w:rFonts w:ascii="Verdana" w:eastAsiaTheme="minorHAnsi" w:hAnsi="Verdana"/>
            <w:i/>
            <w:noProof/>
            <w:color w:val="auto"/>
            <w:sz w:val="20"/>
            <w:szCs w:val="20"/>
            <w:lang w:val="es-CR"/>
          </w:rPr>
          <w:t>B.</w:t>
        </w:r>
        <w:r w:rsidR="00373EF0" w:rsidRPr="00A4202B">
          <w:rPr>
            <w:rStyle w:val="Hyperlink"/>
            <w:rFonts w:ascii="Verdana" w:hAnsi="Verdana"/>
            <w:i/>
            <w:noProof/>
            <w:color w:val="auto"/>
            <w:sz w:val="20"/>
            <w:szCs w:val="20"/>
            <w:lang w:val="es-CR"/>
          </w:rPr>
          <w:t>Obligación de investigar</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_Toc498512845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53</w:t>
        </w:r>
        <w:r w:rsidR="00373EF0" w:rsidRPr="00A4202B">
          <w:rPr>
            <w:rFonts w:ascii="Verdana" w:hAnsi="Verdana"/>
            <w:noProof/>
            <w:webHidden/>
            <w:sz w:val="20"/>
            <w:szCs w:val="20"/>
          </w:rPr>
          <w:fldChar w:fldCharType="end"/>
        </w:r>
      </w:hyperlink>
    </w:p>
    <w:p w14:paraId="069F9A77" w14:textId="77777777" w:rsidR="00A4202B" w:rsidRPr="00A4202B" w:rsidRDefault="00A4202B" w:rsidP="00A4202B">
      <w:pPr>
        <w:pStyle w:val="TOC2"/>
        <w:tabs>
          <w:tab w:val="left" w:pos="393"/>
          <w:tab w:val="right" w:leader="dot" w:pos="9736"/>
        </w:tabs>
        <w:ind w:left="284"/>
        <w:rPr>
          <w:rFonts w:ascii="Verdana" w:hAnsi="Verdana"/>
          <w:noProof/>
          <w:sz w:val="20"/>
          <w:szCs w:val="20"/>
        </w:rPr>
      </w:pPr>
    </w:p>
    <w:p w14:paraId="1D2B2C93" w14:textId="06A35E74" w:rsidR="00373EF0" w:rsidRPr="00A4202B" w:rsidRDefault="007D5BA9" w:rsidP="00A4202B">
      <w:pPr>
        <w:pStyle w:val="TOC2"/>
        <w:tabs>
          <w:tab w:val="left" w:pos="393"/>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46" w:history="1">
        <w:r w:rsidR="00373EF0" w:rsidRPr="00A4202B">
          <w:rPr>
            <w:rStyle w:val="Hyperlink"/>
            <w:rFonts w:ascii="Verdana" w:eastAsiaTheme="minorHAnsi" w:hAnsi="Verdana"/>
            <w:i/>
            <w:noProof/>
            <w:color w:val="auto"/>
            <w:sz w:val="20"/>
            <w:szCs w:val="20"/>
            <w:lang w:val="es-CR"/>
          </w:rPr>
          <w:t>C.</w:t>
        </w:r>
        <w:r w:rsidR="00373EF0" w:rsidRPr="00A4202B">
          <w:rPr>
            <w:rStyle w:val="Hyperlink"/>
            <w:rFonts w:ascii="Verdana" w:hAnsi="Verdana"/>
            <w:i/>
            <w:noProof/>
            <w:color w:val="auto"/>
            <w:sz w:val="20"/>
            <w:szCs w:val="20"/>
            <w:lang w:val="es-CR"/>
          </w:rPr>
          <w:t>Medida de satisfacción</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_Toc498512846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54</w:t>
        </w:r>
        <w:r w:rsidR="00373EF0" w:rsidRPr="00A4202B">
          <w:rPr>
            <w:rFonts w:ascii="Verdana" w:hAnsi="Verdana"/>
            <w:noProof/>
            <w:webHidden/>
            <w:sz w:val="20"/>
            <w:szCs w:val="20"/>
          </w:rPr>
          <w:fldChar w:fldCharType="end"/>
        </w:r>
      </w:hyperlink>
    </w:p>
    <w:p w14:paraId="50FE927D" w14:textId="77777777" w:rsidR="00A4202B" w:rsidRPr="00A4202B" w:rsidRDefault="00A4202B" w:rsidP="00A4202B">
      <w:pPr>
        <w:pStyle w:val="TOC2"/>
        <w:tabs>
          <w:tab w:val="left" w:pos="417"/>
          <w:tab w:val="right" w:leader="dot" w:pos="9736"/>
        </w:tabs>
        <w:ind w:left="284"/>
        <w:rPr>
          <w:rFonts w:ascii="Verdana" w:hAnsi="Verdana"/>
          <w:noProof/>
          <w:sz w:val="20"/>
          <w:szCs w:val="20"/>
        </w:rPr>
      </w:pPr>
    </w:p>
    <w:p w14:paraId="1C59B95A" w14:textId="51AC8FD6" w:rsidR="00373EF0" w:rsidRPr="00A4202B" w:rsidRDefault="007D5BA9" w:rsidP="00A4202B">
      <w:pPr>
        <w:pStyle w:val="TOC2"/>
        <w:tabs>
          <w:tab w:val="left" w:pos="417"/>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47" w:history="1">
        <w:r w:rsidR="00373EF0" w:rsidRPr="00A4202B">
          <w:rPr>
            <w:rStyle w:val="Hyperlink"/>
            <w:rFonts w:ascii="Verdana" w:eastAsiaTheme="minorHAnsi" w:hAnsi="Verdana"/>
            <w:i/>
            <w:noProof/>
            <w:color w:val="auto"/>
            <w:sz w:val="20"/>
            <w:szCs w:val="20"/>
            <w:lang w:val="es-CR"/>
          </w:rPr>
          <w:t>D</w:t>
        </w:r>
        <w:r w:rsidR="00414095">
          <w:rPr>
            <w:rStyle w:val="Hyperlink"/>
            <w:rFonts w:ascii="Verdana" w:eastAsiaTheme="minorHAnsi" w:hAnsi="Verdana"/>
            <w:i/>
            <w:noProof/>
            <w:color w:val="auto"/>
            <w:sz w:val="20"/>
            <w:szCs w:val="20"/>
            <w:lang w:val="es-CR"/>
          </w:rPr>
          <w:t>.</w:t>
        </w:r>
        <w:r w:rsidR="00373EF0" w:rsidRPr="00A4202B">
          <w:rPr>
            <w:rStyle w:val="Hyperlink"/>
            <w:rFonts w:ascii="Verdana" w:hAnsi="Verdana"/>
            <w:i/>
            <w:noProof/>
            <w:color w:val="auto"/>
            <w:sz w:val="20"/>
            <w:szCs w:val="20"/>
            <w:lang w:val="es-CR"/>
          </w:rPr>
          <w:t>Medidas de no repetición</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_Toc498512847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55</w:t>
        </w:r>
        <w:r w:rsidR="00373EF0" w:rsidRPr="00A4202B">
          <w:rPr>
            <w:rFonts w:ascii="Verdana" w:hAnsi="Verdana"/>
            <w:noProof/>
            <w:webHidden/>
            <w:sz w:val="20"/>
            <w:szCs w:val="20"/>
          </w:rPr>
          <w:fldChar w:fldCharType="end"/>
        </w:r>
      </w:hyperlink>
    </w:p>
    <w:p w14:paraId="41F540BD" w14:textId="77777777" w:rsidR="00A4202B" w:rsidRPr="00A4202B" w:rsidRDefault="00A4202B" w:rsidP="00A4202B">
      <w:pPr>
        <w:pStyle w:val="TOC2"/>
        <w:tabs>
          <w:tab w:val="left" w:pos="386"/>
          <w:tab w:val="right" w:leader="dot" w:pos="9736"/>
        </w:tabs>
        <w:ind w:left="284"/>
        <w:rPr>
          <w:rFonts w:ascii="Verdana" w:hAnsi="Verdana"/>
          <w:noProof/>
          <w:sz w:val="20"/>
          <w:szCs w:val="20"/>
        </w:rPr>
      </w:pPr>
    </w:p>
    <w:p w14:paraId="39288325" w14:textId="6416DAC2" w:rsidR="00373EF0" w:rsidRPr="00A4202B" w:rsidRDefault="007D5BA9" w:rsidP="00A4202B">
      <w:pPr>
        <w:pStyle w:val="TOC2"/>
        <w:tabs>
          <w:tab w:val="left" w:pos="386"/>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48" w:history="1">
        <w:r w:rsidR="00373EF0" w:rsidRPr="00A4202B">
          <w:rPr>
            <w:rStyle w:val="Hyperlink"/>
            <w:rFonts w:ascii="Verdana" w:eastAsiaTheme="minorHAnsi" w:hAnsi="Verdana"/>
            <w:i/>
            <w:noProof/>
            <w:color w:val="auto"/>
            <w:sz w:val="20"/>
            <w:szCs w:val="20"/>
            <w:lang w:val="es-CR"/>
          </w:rPr>
          <w:t>E</w:t>
        </w:r>
        <w:r w:rsidR="00414095">
          <w:rPr>
            <w:rStyle w:val="Hyperlink"/>
            <w:rFonts w:ascii="Verdana" w:eastAsiaTheme="minorHAnsi" w:hAnsi="Verdana"/>
            <w:i/>
            <w:noProof/>
            <w:color w:val="auto"/>
            <w:sz w:val="20"/>
            <w:szCs w:val="20"/>
            <w:lang w:val="es-CR"/>
          </w:rPr>
          <w:t>.</w:t>
        </w:r>
        <w:r w:rsidR="00373EF0" w:rsidRPr="00A4202B">
          <w:rPr>
            <w:rStyle w:val="Hyperlink"/>
            <w:rFonts w:ascii="Verdana" w:hAnsi="Verdana"/>
            <w:i/>
            <w:noProof/>
            <w:color w:val="auto"/>
            <w:sz w:val="20"/>
            <w:szCs w:val="20"/>
            <w:lang w:val="es-CR"/>
          </w:rPr>
          <w:t>Otras medidas solicitadas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_Toc498512848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56</w:t>
        </w:r>
        <w:r w:rsidR="00373EF0" w:rsidRPr="00A4202B">
          <w:rPr>
            <w:rFonts w:ascii="Verdana" w:hAnsi="Verdana"/>
            <w:noProof/>
            <w:webHidden/>
            <w:sz w:val="20"/>
            <w:szCs w:val="20"/>
          </w:rPr>
          <w:fldChar w:fldCharType="end"/>
        </w:r>
      </w:hyperlink>
    </w:p>
    <w:p w14:paraId="61E66150" w14:textId="77777777" w:rsidR="00A4202B" w:rsidRPr="00A4202B" w:rsidRDefault="00A4202B" w:rsidP="00A4202B">
      <w:pPr>
        <w:pStyle w:val="TOC2"/>
        <w:tabs>
          <w:tab w:val="right" w:leader="dot" w:pos="9736"/>
        </w:tabs>
        <w:ind w:left="284"/>
        <w:rPr>
          <w:rFonts w:ascii="Verdana" w:hAnsi="Verdana"/>
          <w:noProof/>
          <w:sz w:val="20"/>
          <w:szCs w:val="20"/>
        </w:rPr>
      </w:pPr>
    </w:p>
    <w:p w14:paraId="623BE6ED" w14:textId="5D32C208" w:rsidR="00373EF0" w:rsidRPr="00A4202B" w:rsidRDefault="007D5BA9" w:rsidP="00A4202B">
      <w:pPr>
        <w:pStyle w:val="TOC2"/>
        <w:tabs>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49" w:history="1">
        <w:r w:rsidR="00373EF0" w:rsidRPr="00A4202B">
          <w:rPr>
            <w:rStyle w:val="Hyperlink"/>
            <w:rFonts w:ascii="Verdana" w:hAnsi="Verdana"/>
            <w:i/>
            <w:noProof/>
            <w:color w:val="auto"/>
            <w:sz w:val="20"/>
            <w:szCs w:val="20"/>
          </w:rPr>
          <w:t>F. Indemnizaciones compensatorias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_Toc498512849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56</w:t>
        </w:r>
        <w:r w:rsidR="00373EF0" w:rsidRPr="00A4202B">
          <w:rPr>
            <w:rFonts w:ascii="Verdana" w:hAnsi="Verdana"/>
            <w:noProof/>
            <w:webHidden/>
            <w:sz w:val="20"/>
            <w:szCs w:val="20"/>
          </w:rPr>
          <w:fldChar w:fldCharType="end"/>
        </w:r>
      </w:hyperlink>
    </w:p>
    <w:p w14:paraId="08DEA36E" w14:textId="77777777" w:rsidR="00A4202B" w:rsidRPr="00A4202B" w:rsidRDefault="00A4202B" w:rsidP="00A4202B">
      <w:pPr>
        <w:pStyle w:val="TOC2"/>
        <w:tabs>
          <w:tab w:val="right" w:leader="dot" w:pos="9736"/>
        </w:tabs>
        <w:ind w:left="284"/>
        <w:rPr>
          <w:rFonts w:ascii="Verdana" w:hAnsi="Verdana"/>
          <w:noProof/>
          <w:sz w:val="20"/>
          <w:szCs w:val="20"/>
        </w:rPr>
      </w:pPr>
    </w:p>
    <w:p w14:paraId="2F16ECB0" w14:textId="77777777" w:rsidR="00373EF0" w:rsidRPr="00A4202B" w:rsidRDefault="007D5BA9" w:rsidP="00A4202B">
      <w:pPr>
        <w:pStyle w:val="TOC2"/>
        <w:tabs>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50" w:history="1">
        <w:r w:rsidR="00373EF0" w:rsidRPr="00A4202B">
          <w:rPr>
            <w:rStyle w:val="Hyperlink"/>
            <w:rFonts w:ascii="Verdana" w:hAnsi="Verdana"/>
            <w:i/>
            <w:noProof/>
            <w:color w:val="auto"/>
            <w:spacing w:val="-4"/>
            <w:sz w:val="20"/>
            <w:szCs w:val="20"/>
            <w:lang w:val="es-ES_tradnl"/>
          </w:rPr>
          <w:t>G. Costas y Gastos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_Toc498512850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58</w:t>
        </w:r>
        <w:r w:rsidR="00373EF0" w:rsidRPr="00A4202B">
          <w:rPr>
            <w:rFonts w:ascii="Verdana" w:hAnsi="Verdana"/>
            <w:noProof/>
            <w:webHidden/>
            <w:sz w:val="20"/>
            <w:szCs w:val="20"/>
          </w:rPr>
          <w:fldChar w:fldCharType="end"/>
        </w:r>
      </w:hyperlink>
    </w:p>
    <w:p w14:paraId="7786851E" w14:textId="77777777" w:rsidR="00A4202B" w:rsidRPr="00A4202B" w:rsidRDefault="00A4202B" w:rsidP="00A4202B">
      <w:pPr>
        <w:pStyle w:val="TOC2"/>
        <w:tabs>
          <w:tab w:val="right" w:leader="dot" w:pos="9736"/>
        </w:tabs>
        <w:ind w:left="284"/>
        <w:rPr>
          <w:rFonts w:ascii="Verdana" w:hAnsi="Verdana"/>
          <w:noProof/>
          <w:sz w:val="20"/>
          <w:szCs w:val="20"/>
        </w:rPr>
      </w:pPr>
    </w:p>
    <w:p w14:paraId="1D82E692" w14:textId="77777777" w:rsidR="00373EF0" w:rsidRPr="00A4202B" w:rsidRDefault="007D5BA9" w:rsidP="00A4202B">
      <w:pPr>
        <w:pStyle w:val="TOC2"/>
        <w:tabs>
          <w:tab w:val="right" w:leader="dot" w:pos="9736"/>
        </w:tabs>
        <w:ind w:left="284"/>
        <w:rPr>
          <w:rFonts w:ascii="Verdana" w:eastAsiaTheme="minorEastAsia" w:hAnsi="Verdana" w:cstheme="minorBidi"/>
          <w:b w:val="0"/>
          <w:bCs w:val="0"/>
          <w:smallCaps w:val="0"/>
          <w:noProof/>
          <w:sz w:val="20"/>
          <w:szCs w:val="20"/>
          <w:lang w:val="es-CR" w:eastAsia="es-CR"/>
        </w:rPr>
      </w:pPr>
      <w:hyperlink w:anchor="_Toc498512851" w:history="1">
        <w:r w:rsidR="00373EF0" w:rsidRPr="00A4202B">
          <w:rPr>
            <w:rStyle w:val="Hyperlink"/>
            <w:rFonts w:ascii="Verdana" w:hAnsi="Verdana"/>
            <w:i/>
            <w:noProof/>
            <w:color w:val="auto"/>
            <w:spacing w:val="-4"/>
            <w:sz w:val="20"/>
            <w:szCs w:val="20"/>
            <w:lang w:val="es-ES_tradnl"/>
          </w:rPr>
          <w:t>H. Modalidad de cumplimiento de los pagos ordenados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_Toc498512851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59</w:t>
        </w:r>
        <w:r w:rsidR="00373EF0" w:rsidRPr="00A4202B">
          <w:rPr>
            <w:rFonts w:ascii="Verdana" w:hAnsi="Verdana"/>
            <w:noProof/>
            <w:webHidden/>
            <w:sz w:val="20"/>
            <w:szCs w:val="20"/>
          </w:rPr>
          <w:fldChar w:fldCharType="end"/>
        </w:r>
      </w:hyperlink>
    </w:p>
    <w:p w14:paraId="2E453811" w14:textId="77777777" w:rsidR="00A4202B" w:rsidRPr="00A4202B" w:rsidRDefault="00A4202B" w:rsidP="00A4202B">
      <w:pPr>
        <w:pStyle w:val="TOC1"/>
        <w:tabs>
          <w:tab w:val="right" w:leader="dot" w:pos="9736"/>
        </w:tabs>
        <w:spacing w:before="0" w:after="0"/>
        <w:rPr>
          <w:rFonts w:ascii="Verdana" w:hAnsi="Verdana"/>
          <w:noProof/>
          <w:sz w:val="20"/>
          <w:szCs w:val="20"/>
        </w:rPr>
      </w:pPr>
    </w:p>
    <w:p w14:paraId="01BE7952" w14:textId="7F4A92A8" w:rsidR="00373EF0" w:rsidRPr="00A4202B" w:rsidRDefault="007D5BA9" w:rsidP="00A4202B">
      <w:pPr>
        <w:pStyle w:val="TOC1"/>
        <w:tabs>
          <w:tab w:val="right" w:leader="dot" w:pos="9736"/>
        </w:tabs>
        <w:spacing w:before="0" w:after="0"/>
        <w:rPr>
          <w:rFonts w:ascii="Verdana" w:eastAsiaTheme="minorEastAsia" w:hAnsi="Verdana" w:cstheme="minorBidi"/>
          <w:b w:val="0"/>
          <w:bCs w:val="0"/>
          <w:caps w:val="0"/>
          <w:noProof/>
          <w:sz w:val="20"/>
          <w:szCs w:val="20"/>
          <w:u w:val="none"/>
          <w:lang w:val="es-CR" w:eastAsia="es-CR"/>
        </w:rPr>
      </w:pPr>
      <w:hyperlink w:anchor="_Toc498512852" w:history="1">
        <w:r w:rsidR="00373EF0" w:rsidRPr="00A4202B">
          <w:rPr>
            <w:rStyle w:val="Hyperlink"/>
            <w:rFonts w:ascii="Verdana" w:hAnsi="Verdana"/>
            <w:noProof/>
            <w:color w:val="auto"/>
            <w:sz w:val="20"/>
            <w:szCs w:val="20"/>
          </w:rPr>
          <w:t>VIII</w:t>
        </w:r>
      </w:hyperlink>
      <w:r w:rsidR="00373EF0" w:rsidRPr="00A4202B">
        <w:rPr>
          <w:rStyle w:val="Hyperlink"/>
          <w:rFonts w:ascii="Verdana" w:hAnsi="Verdana"/>
          <w:noProof/>
          <w:color w:val="auto"/>
          <w:sz w:val="20"/>
          <w:szCs w:val="20"/>
        </w:rPr>
        <w:t xml:space="preserve"> </w:t>
      </w:r>
      <w:hyperlink w:anchor="_Toc498512853" w:history="1">
        <w:r w:rsidR="00373EF0" w:rsidRPr="00A4202B">
          <w:rPr>
            <w:rStyle w:val="Hyperlink"/>
            <w:rFonts w:ascii="Verdana" w:hAnsi="Verdana"/>
            <w:noProof/>
            <w:color w:val="auto"/>
            <w:sz w:val="20"/>
            <w:szCs w:val="20"/>
          </w:rPr>
          <w:t>PUNTOS RESOLUTIVOS</w:t>
        </w:r>
        <w:r w:rsidR="00373EF0" w:rsidRPr="00A4202B">
          <w:rPr>
            <w:rFonts w:ascii="Verdana" w:hAnsi="Verdana"/>
            <w:noProof/>
            <w:webHidden/>
            <w:sz w:val="20"/>
            <w:szCs w:val="20"/>
          </w:rPr>
          <w:tab/>
        </w:r>
        <w:r w:rsidR="00373EF0" w:rsidRPr="00A4202B">
          <w:rPr>
            <w:rFonts w:ascii="Verdana" w:hAnsi="Verdana"/>
            <w:noProof/>
            <w:webHidden/>
            <w:sz w:val="20"/>
            <w:szCs w:val="20"/>
          </w:rPr>
          <w:fldChar w:fldCharType="begin"/>
        </w:r>
        <w:r w:rsidR="00373EF0" w:rsidRPr="00A4202B">
          <w:rPr>
            <w:rFonts w:ascii="Verdana" w:hAnsi="Verdana"/>
            <w:noProof/>
            <w:webHidden/>
            <w:sz w:val="20"/>
            <w:szCs w:val="20"/>
          </w:rPr>
          <w:instrText xml:space="preserve"> PAGEREF _Toc498512853 \h </w:instrText>
        </w:r>
        <w:r w:rsidR="00373EF0" w:rsidRPr="00A4202B">
          <w:rPr>
            <w:rFonts w:ascii="Verdana" w:hAnsi="Verdana"/>
            <w:noProof/>
            <w:webHidden/>
            <w:sz w:val="20"/>
            <w:szCs w:val="20"/>
          </w:rPr>
        </w:r>
        <w:r w:rsidR="00373EF0" w:rsidRPr="00A4202B">
          <w:rPr>
            <w:rFonts w:ascii="Verdana" w:hAnsi="Verdana"/>
            <w:noProof/>
            <w:webHidden/>
            <w:sz w:val="20"/>
            <w:szCs w:val="20"/>
          </w:rPr>
          <w:fldChar w:fldCharType="separate"/>
        </w:r>
        <w:r w:rsidR="00170284">
          <w:rPr>
            <w:rFonts w:ascii="Verdana" w:hAnsi="Verdana"/>
            <w:noProof/>
            <w:webHidden/>
            <w:sz w:val="20"/>
            <w:szCs w:val="20"/>
          </w:rPr>
          <w:t>60</w:t>
        </w:r>
        <w:r w:rsidR="00373EF0" w:rsidRPr="00A4202B">
          <w:rPr>
            <w:rFonts w:ascii="Verdana" w:hAnsi="Verdana"/>
            <w:noProof/>
            <w:webHidden/>
            <w:sz w:val="20"/>
            <w:szCs w:val="20"/>
          </w:rPr>
          <w:fldChar w:fldCharType="end"/>
        </w:r>
      </w:hyperlink>
    </w:p>
    <w:p w14:paraId="1D94FE97" w14:textId="77777777" w:rsidR="00373EF0" w:rsidRPr="00A4202B" w:rsidRDefault="00373EF0" w:rsidP="00A4202B">
      <w:pPr>
        <w:spacing w:line="276" w:lineRule="auto"/>
        <w:jc w:val="left"/>
        <w:rPr>
          <w:rStyle w:val="Hyperlink"/>
          <w:b/>
          <w:bCs/>
          <w:caps/>
          <w:noProof/>
          <w:szCs w:val="20"/>
        </w:rPr>
      </w:pPr>
      <w:r w:rsidRPr="00A4202B">
        <w:rPr>
          <w:rStyle w:val="Hyperlink"/>
          <w:noProof/>
          <w:color w:val="auto"/>
          <w:szCs w:val="20"/>
        </w:rPr>
        <w:br w:type="page"/>
      </w:r>
    </w:p>
    <w:p w14:paraId="7B3BCF46" w14:textId="0DA66D09" w:rsidR="006655EA" w:rsidRPr="00985E65" w:rsidRDefault="0003043F" w:rsidP="00A4202B">
      <w:pPr>
        <w:pStyle w:val="TOC1"/>
        <w:spacing w:before="0" w:after="0"/>
      </w:pPr>
      <w:r w:rsidRPr="00A4202B">
        <w:rPr>
          <w:rFonts w:ascii="Verdana" w:hAnsi="Verdana"/>
          <w:sz w:val="20"/>
          <w:szCs w:val="20"/>
        </w:rPr>
        <w:lastRenderedPageBreak/>
        <w:fldChar w:fldCharType="end"/>
      </w:r>
    </w:p>
    <w:p w14:paraId="75BAEA0D" w14:textId="02D5A83F" w:rsidR="003D717E" w:rsidRPr="0003043F" w:rsidRDefault="003D717E" w:rsidP="0003043F">
      <w:pPr>
        <w:pStyle w:val="TOC1"/>
        <w:spacing w:before="0" w:after="0"/>
        <w:jc w:val="center"/>
        <w:outlineLvl w:val="0"/>
        <w:rPr>
          <w:rFonts w:eastAsiaTheme="minorEastAsia" w:cstheme="minorBidi"/>
          <w:u w:val="none"/>
          <w:lang w:val="es-CR"/>
        </w:rPr>
      </w:pPr>
      <w:bookmarkStart w:id="26" w:name="_Toc498512796"/>
      <w:r w:rsidRPr="0003043F">
        <w:rPr>
          <w:u w:val="none"/>
        </w:rPr>
        <w:t>I</w:t>
      </w:r>
      <w:bookmarkEnd w:id="18"/>
      <w:bookmarkEnd w:id="19"/>
      <w:bookmarkEnd w:id="20"/>
      <w:bookmarkEnd w:id="21"/>
      <w:bookmarkEnd w:id="22"/>
      <w:bookmarkEnd w:id="23"/>
      <w:bookmarkEnd w:id="24"/>
      <w:bookmarkEnd w:id="25"/>
      <w:bookmarkEnd w:id="26"/>
    </w:p>
    <w:p w14:paraId="1EB1FE85" w14:textId="77777777" w:rsidR="003D717E" w:rsidRPr="004A0940" w:rsidRDefault="003D717E" w:rsidP="0003043F">
      <w:pPr>
        <w:pStyle w:val="Heading1"/>
        <w:rPr>
          <w:spacing w:val="-4"/>
        </w:rPr>
      </w:pPr>
      <w:bookmarkStart w:id="27" w:name="_Toc424833995"/>
      <w:bookmarkStart w:id="28" w:name="_Toc424834679"/>
      <w:bookmarkStart w:id="29" w:name="_Toc424834746"/>
      <w:bookmarkStart w:id="30" w:name="_Toc427234534"/>
      <w:bookmarkStart w:id="31" w:name="_Toc427342823"/>
      <w:bookmarkStart w:id="32" w:name="_Toc427663809"/>
      <w:bookmarkStart w:id="33" w:name="_Toc427932785"/>
      <w:bookmarkStart w:id="34" w:name="_Toc427943548"/>
      <w:bookmarkStart w:id="35" w:name="_Toc427943722"/>
      <w:bookmarkStart w:id="36" w:name="_Toc431584602"/>
      <w:bookmarkStart w:id="37" w:name="_Toc431584718"/>
      <w:bookmarkStart w:id="38" w:name="_Toc431585023"/>
      <w:bookmarkStart w:id="39" w:name="_Toc431646540"/>
      <w:bookmarkStart w:id="40" w:name="_Toc431834523"/>
      <w:bookmarkStart w:id="41" w:name="_Toc431834619"/>
      <w:bookmarkStart w:id="42" w:name="_Toc308537924"/>
      <w:bookmarkStart w:id="43" w:name="_Toc308538144"/>
      <w:bookmarkStart w:id="44" w:name="_Toc434849616"/>
      <w:bookmarkStart w:id="45" w:name="_Toc434849911"/>
      <w:bookmarkStart w:id="46" w:name="_Toc434850390"/>
      <w:bookmarkStart w:id="47" w:name="_Toc488134418"/>
      <w:bookmarkStart w:id="48" w:name="_Toc489523878"/>
      <w:bookmarkStart w:id="49" w:name="_Toc493512876"/>
      <w:bookmarkStart w:id="50" w:name="_Toc498512797"/>
      <w:r w:rsidRPr="004A0940">
        <w:rPr>
          <w:spacing w:val="-4"/>
        </w:rPr>
        <w:t>INTRODUCCIÓN DE LA CAUSA Y OBJETO DE LA CONTROVERSIA</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D7DE94B" w14:textId="77777777" w:rsidR="003D717E" w:rsidRPr="00C011CF" w:rsidRDefault="003D717E" w:rsidP="0003043F">
      <w:pPr>
        <w:pStyle w:val="NoSpacing"/>
        <w:tabs>
          <w:tab w:val="left" w:pos="567"/>
        </w:tabs>
        <w:outlineLvl w:val="0"/>
        <w:rPr>
          <w:spacing w:val="-4"/>
          <w:szCs w:val="20"/>
          <w:lang w:val="es-ES"/>
        </w:rPr>
      </w:pPr>
    </w:p>
    <w:p w14:paraId="3416F9FB" w14:textId="3FB12815" w:rsidR="00F63539" w:rsidRPr="0012201B" w:rsidRDefault="003D717E" w:rsidP="009B4223">
      <w:pPr>
        <w:pStyle w:val="PrrafodeSentencia"/>
        <w:numPr>
          <w:ilvl w:val="0"/>
          <w:numId w:val="59"/>
        </w:numPr>
        <w:tabs>
          <w:tab w:val="clear" w:pos="567"/>
          <w:tab w:val="left" w:pos="0"/>
        </w:tabs>
        <w:ind w:left="0" w:firstLine="0"/>
        <w:rPr>
          <w:i/>
          <w:szCs w:val="20"/>
          <w:lang w:val="es-ES"/>
        </w:rPr>
      </w:pPr>
      <w:bookmarkStart w:id="51" w:name="_Ref308343890"/>
      <w:bookmarkStart w:id="52" w:name="_Ref314691210"/>
      <w:bookmarkStart w:id="53" w:name="_Ref343554304"/>
      <w:r w:rsidRPr="00C011CF">
        <w:rPr>
          <w:i/>
          <w:szCs w:val="20"/>
        </w:rPr>
        <w:t xml:space="preserve">El caso sometido a la Corte. - </w:t>
      </w:r>
      <w:r w:rsidR="009850D6" w:rsidRPr="00C011CF">
        <w:rPr>
          <w:szCs w:val="20"/>
        </w:rPr>
        <w:t>El 13 de noviembre de 2015</w:t>
      </w:r>
      <w:r w:rsidRPr="00C011CF">
        <w:rPr>
          <w:szCs w:val="20"/>
        </w:rPr>
        <w:t xml:space="preserve">, de conformidad con lo dispuesto en los artículos 51 y 61 de la Convención Americana y 35 del Reglamento de la Corte, la Comisión Interamericana de Derechos Humanos (en adelante “la Comisión Interamericana” o “la Comisión”) sometió a la jurisdicción de la Corte Interamericana el caso </w:t>
      </w:r>
      <w:r w:rsidR="00E42760">
        <w:rPr>
          <w:i/>
          <w:szCs w:val="20"/>
        </w:rPr>
        <w:t>Á</w:t>
      </w:r>
      <w:r w:rsidR="009850D6" w:rsidRPr="00C011CF">
        <w:rPr>
          <w:i/>
          <w:szCs w:val="20"/>
        </w:rPr>
        <w:t xml:space="preserve">ngel Pacheco León </w:t>
      </w:r>
      <w:r w:rsidRPr="00C011CF">
        <w:rPr>
          <w:i/>
          <w:szCs w:val="20"/>
        </w:rPr>
        <w:t xml:space="preserve">y </w:t>
      </w:r>
      <w:r w:rsidR="009850D6" w:rsidRPr="00C011CF">
        <w:rPr>
          <w:i/>
          <w:szCs w:val="20"/>
        </w:rPr>
        <w:t xml:space="preserve">familia </w:t>
      </w:r>
      <w:r w:rsidRPr="00C011CF">
        <w:rPr>
          <w:i/>
          <w:iCs/>
          <w:szCs w:val="20"/>
        </w:rPr>
        <w:t>contra la República de Honduras</w:t>
      </w:r>
      <w:r w:rsidR="00A77DCC" w:rsidRPr="00C011CF">
        <w:rPr>
          <w:i/>
          <w:iCs/>
          <w:szCs w:val="20"/>
        </w:rPr>
        <w:t xml:space="preserve"> </w:t>
      </w:r>
      <w:r w:rsidR="00A77DCC" w:rsidRPr="00C011CF">
        <w:rPr>
          <w:szCs w:val="20"/>
        </w:rPr>
        <w:t xml:space="preserve">(en adelante “el Estado” </w:t>
      </w:r>
      <w:r w:rsidR="006373DD">
        <w:rPr>
          <w:szCs w:val="20"/>
        </w:rPr>
        <w:t>u</w:t>
      </w:r>
      <w:r w:rsidR="00A77DCC" w:rsidRPr="00C011CF">
        <w:rPr>
          <w:szCs w:val="20"/>
        </w:rPr>
        <w:t xml:space="preserve"> “Honduras”)</w:t>
      </w:r>
      <w:r w:rsidRPr="00C011CF">
        <w:rPr>
          <w:szCs w:val="20"/>
        </w:rPr>
        <w:t xml:space="preserve">. De acuerdo a la Comisión, el </w:t>
      </w:r>
      <w:r w:rsidR="00F165AE">
        <w:rPr>
          <w:szCs w:val="20"/>
        </w:rPr>
        <w:t>mismo</w:t>
      </w:r>
      <w:r w:rsidRPr="00C011CF">
        <w:rPr>
          <w:szCs w:val="20"/>
        </w:rPr>
        <w:t xml:space="preserve"> se relaciona con</w:t>
      </w:r>
      <w:r w:rsidR="009850D6" w:rsidRPr="00C011CF">
        <w:rPr>
          <w:szCs w:val="20"/>
        </w:rPr>
        <w:t xml:space="preserve"> el </w:t>
      </w:r>
      <w:r w:rsidR="001600D1">
        <w:rPr>
          <w:szCs w:val="20"/>
        </w:rPr>
        <w:t>homicidio</w:t>
      </w:r>
      <w:r w:rsidR="006373DD">
        <w:rPr>
          <w:rStyle w:val="FootnoteReference"/>
        </w:rPr>
        <w:footnoteReference w:id="1"/>
      </w:r>
      <w:r w:rsidR="009850D6" w:rsidRPr="00C011CF">
        <w:rPr>
          <w:szCs w:val="20"/>
        </w:rPr>
        <w:t xml:space="preserve"> de </w:t>
      </w:r>
      <w:r w:rsidR="00C503AC">
        <w:rPr>
          <w:szCs w:val="20"/>
        </w:rPr>
        <w:t>Á</w:t>
      </w:r>
      <w:r w:rsidR="009850D6" w:rsidRPr="00C011CF">
        <w:rPr>
          <w:szCs w:val="20"/>
        </w:rPr>
        <w:t>ngel Pacheco León</w:t>
      </w:r>
      <w:r w:rsidR="00BA4C34" w:rsidRPr="00C011CF">
        <w:rPr>
          <w:szCs w:val="20"/>
        </w:rPr>
        <w:t xml:space="preserve"> (en adelante también “</w:t>
      </w:r>
      <w:r w:rsidR="006435F8" w:rsidRPr="00C011CF">
        <w:rPr>
          <w:szCs w:val="20"/>
        </w:rPr>
        <w:t xml:space="preserve">señor </w:t>
      </w:r>
      <w:r w:rsidR="00C503AC">
        <w:rPr>
          <w:szCs w:val="20"/>
        </w:rPr>
        <w:t>Á</w:t>
      </w:r>
      <w:r w:rsidR="006435F8" w:rsidRPr="00C011CF">
        <w:rPr>
          <w:szCs w:val="20"/>
        </w:rPr>
        <w:t xml:space="preserve">ngel Pacheco”, </w:t>
      </w:r>
      <w:r w:rsidR="00923B1D">
        <w:rPr>
          <w:szCs w:val="20"/>
        </w:rPr>
        <w:t>“señor Pacheco” o</w:t>
      </w:r>
      <w:r w:rsidR="006373DD">
        <w:rPr>
          <w:szCs w:val="20"/>
        </w:rPr>
        <w:t xml:space="preserve"> </w:t>
      </w:r>
      <w:r w:rsidR="006435F8" w:rsidRPr="00C011CF">
        <w:rPr>
          <w:szCs w:val="20"/>
        </w:rPr>
        <w:t>“</w:t>
      </w:r>
      <w:r w:rsidR="00BA4C34" w:rsidRPr="00C011CF">
        <w:rPr>
          <w:szCs w:val="20"/>
        </w:rPr>
        <w:t>señor Pacheco León”)</w:t>
      </w:r>
      <w:r w:rsidR="009850D6" w:rsidRPr="00C011CF">
        <w:rPr>
          <w:szCs w:val="20"/>
        </w:rPr>
        <w:t xml:space="preserve"> el 23 de noviembre de 2001, </w:t>
      </w:r>
      <w:r w:rsidR="00D7607F" w:rsidRPr="00C011CF">
        <w:rPr>
          <w:szCs w:val="20"/>
        </w:rPr>
        <w:t xml:space="preserve">en </w:t>
      </w:r>
      <w:r w:rsidR="009850D6" w:rsidRPr="00C011CF">
        <w:rPr>
          <w:szCs w:val="20"/>
        </w:rPr>
        <w:t>el marco de su campaña a diputado al Congreso Nacional de Honduras</w:t>
      </w:r>
      <w:r w:rsidR="00AA1B14">
        <w:rPr>
          <w:szCs w:val="20"/>
        </w:rPr>
        <w:t>, y con</w:t>
      </w:r>
      <w:r w:rsidR="009850D6" w:rsidRPr="00C011CF">
        <w:rPr>
          <w:szCs w:val="20"/>
        </w:rPr>
        <w:t xml:space="preserve"> la situación de impunidad en que se encuentra </w:t>
      </w:r>
      <w:r w:rsidR="00AA1B14">
        <w:rPr>
          <w:szCs w:val="20"/>
        </w:rPr>
        <w:t>ese hecho</w:t>
      </w:r>
      <w:r w:rsidR="00BA4C34" w:rsidRPr="00C011CF">
        <w:rPr>
          <w:szCs w:val="20"/>
        </w:rPr>
        <w:t xml:space="preserve">. La Comisión determinó que el Estado incumplió su obligación de investigar </w:t>
      </w:r>
      <w:r w:rsidR="00FB0007">
        <w:rPr>
          <w:szCs w:val="20"/>
        </w:rPr>
        <w:t xml:space="preserve">dentro de un plazo razonable y </w:t>
      </w:r>
      <w:r w:rsidR="00BA4C34" w:rsidRPr="00C011CF">
        <w:rPr>
          <w:szCs w:val="20"/>
        </w:rPr>
        <w:t>con la debida diligencia, ya que se cometieron serias irregularidades</w:t>
      </w:r>
      <w:r w:rsidR="00AA1B14">
        <w:rPr>
          <w:szCs w:val="20"/>
        </w:rPr>
        <w:t xml:space="preserve"> y </w:t>
      </w:r>
      <w:r w:rsidR="00BA4C34" w:rsidRPr="00C011CF">
        <w:rPr>
          <w:szCs w:val="20"/>
        </w:rPr>
        <w:t>no se siguieron líneas lógicas de investigación</w:t>
      </w:r>
      <w:bookmarkStart w:id="54" w:name="_Ref343555492"/>
      <w:bookmarkEnd w:id="51"/>
      <w:bookmarkEnd w:id="52"/>
      <w:bookmarkEnd w:id="53"/>
      <w:r w:rsidR="00BA4C34" w:rsidRPr="00C011CF">
        <w:rPr>
          <w:szCs w:val="20"/>
        </w:rPr>
        <w:t>. En cuanto a la atribución de responsabilidad al Estado por la muerte del señor Pacheco León, la Comisión destacó la existencia de múltiples indicios de participación de agentes estatales</w:t>
      </w:r>
      <w:r w:rsidR="00AA1B14">
        <w:rPr>
          <w:szCs w:val="20"/>
        </w:rPr>
        <w:t xml:space="preserve"> y </w:t>
      </w:r>
      <w:r w:rsidR="00BA4C34" w:rsidRPr="00C011CF">
        <w:rPr>
          <w:szCs w:val="20"/>
        </w:rPr>
        <w:t>consideró que el Estado no puede valerse</w:t>
      </w:r>
      <w:r w:rsidR="00AA1B14">
        <w:rPr>
          <w:szCs w:val="20"/>
        </w:rPr>
        <w:t>, para desestimarlos,</w:t>
      </w:r>
      <w:r w:rsidR="00BA4C34" w:rsidRPr="00C011CF">
        <w:rPr>
          <w:szCs w:val="20"/>
        </w:rPr>
        <w:t xml:space="preserve"> del incumplimiento del deber de investigar</w:t>
      </w:r>
      <w:r w:rsidR="00AA1B14">
        <w:rPr>
          <w:szCs w:val="20"/>
        </w:rPr>
        <w:t>. Consideró que</w:t>
      </w:r>
      <w:r w:rsidR="00BA4C34" w:rsidRPr="00C011CF">
        <w:rPr>
          <w:szCs w:val="20"/>
        </w:rPr>
        <w:t xml:space="preserve"> los referidos indicios permiten determinar la responsabilidad del</w:t>
      </w:r>
      <w:r w:rsidR="0070705A">
        <w:rPr>
          <w:szCs w:val="20"/>
        </w:rPr>
        <w:t xml:space="preserve"> Estado por lo suced</w:t>
      </w:r>
      <w:r w:rsidR="002916AF" w:rsidRPr="00C011CF">
        <w:rPr>
          <w:szCs w:val="20"/>
        </w:rPr>
        <w:t>ido</w:t>
      </w:r>
      <w:r w:rsidR="00BA4C34" w:rsidRPr="00C011CF">
        <w:rPr>
          <w:szCs w:val="20"/>
        </w:rPr>
        <w:t xml:space="preserve">. </w:t>
      </w:r>
      <w:r w:rsidR="00AB3DBE">
        <w:t>Las personas afectadas por los hechos son:</w:t>
      </w:r>
      <w:r w:rsidR="00AB3DBE">
        <w:rPr>
          <w:b/>
          <w:bCs/>
          <w:sz w:val="16"/>
          <w:szCs w:val="16"/>
        </w:rPr>
        <w:t xml:space="preserve"> </w:t>
      </w:r>
      <w:r w:rsidR="00AB3DBE">
        <w:t xml:space="preserve">Ángel Pacheco León; </w:t>
      </w:r>
      <w:r w:rsidR="00AB3DBE">
        <w:rPr>
          <w:lang w:val="es-ES"/>
        </w:rPr>
        <w:t>su madre</w:t>
      </w:r>
      <w:r w:rsidR="00AB3DBE" w:rsidRPr="00B44D5C">
        <w:rPr>
          <w:lang w:val="es-ES"/>
        </w:rPr>
        <w:t>, Andrea Pacheco López; su com</w:t>
      </w:r>
      <w:r w:rsidR="00E42760" w:rsidRPr="00B44D5C">
        <w:rPr>
          <w:lang w:val="es-ES"/>
        </w:rPr>
        <w:t>p</w:t>
      </w:r>
      <w:r w:rsidR="00AB3DBE" w:rsidRPr="00B44D5C">
        <w:rPr>
          <w:lang w:val="es-ES"/>
        </w:rPr>
        <w:t>añera, Blanca Rosa Herrera Rodríguez; las hermanas y hermanos del primero, María Otilia</w:t>
      </w:r>
      <w:r w:rsidR="00E42760" w:rsidRPr="00B44D5C">
        <w:rPr>
          <w:lang w:val="es-ES"/>
        </w:rPr>
        <w:t xml:space="preserve"> Pacheco</w:t>
      </w:r>
      <w:r w:rsidR="00AB3DBE" w:rsidRPr="00B44D5C">
        <w:rPr>
          <w:lang w:val="es-ES"/>
        </w:rPr>
        <w:t>, Concepción</w:t>
      </w:r>
      <w:r w:rsidR="00E42760" w:rsidRPr="00B44D5C">
        <w:rPr>
          <w:lang w:val="es-ES"/>
        </w:rPr>
        <w:t xml:space="preserve"> Pacheco</w:t>
      </w:r>
      <w:r w:rsidR="00AB3DBE" w:rsidRPr="00B44D5C">
        <w:rPr>
          <w:lang w:val="es-ES"/>
        </w:rPr>
        <w:t>, José</w:t>
      </w:r>
      <w:r w:rsidR="00E42760" w:rsidRPr="00B44D5C">
        <w:rPr>
          <w:lang w:val="es-ES"/>
        </w:rPr>
        <w:t xml:space="preserve"> Pacheco</w:t>
      </w:r>
      <w:r w:rsidR="00AB3DBE" w:rsidRPr="00B44D5C">
        <w:rPr>
          <w:lang w:val="es-ES"/>
        </w:rPr>
        <w:t>, Blanca</w:t>
      </w:r>
      <w:r w:rsidR="00E42760" w:rsidRPr="00B44D5C">
        <w:rPr>
          <w:lang w:val="es-ES"/>
        </w:rPr>
        <w:t xml:space="preserve"> Pacheco</w:t>
      </w:r>
      <w:r w:rsidR="00AB3DBE" w:rsidRPr="00B44D5C">
        <w:rPr>
          <w:lang w:val="es-ES"/>
        </w:rPr>
        <w:t>, María</w:t>
      </w:r>
      <w:r w:rsidR="00556A2B" w:rsidRPr="00B44D5C">
        <w:rPr>
          <w:lang w:val="es-ES"/>
        </w:rPr>
        <w:t xml:space="preserve"> Regina</w:t>
      </w:r>
      <w:r w:rsidR="00E42760" w:rsidRPr="00B44D5C">
        <w:rPr>
          <w:lang w:val="es-ES"/>
        </w:rPr>
        <w:t xml:space="preserve"> Pacheco</w:t>
      </w:r>
      <w:r w:rsidR="00AB3DBE" w:rsidRPr="00B44D5C">
        <w:rPr>
          <w:lang w:val="es-ES"/>
        </w:rPr>
        <w:t>, Francisco</w:t>
      </w:r>
      <w:r w:rsidR="00E42760" w:rsidRPr="00B44D5C">
        <w:rPr>
          <w:lang w:val="es-ES"/>
        </w:rPr>
        <w:t xml:space="preserve"> Pacheco</w:t>
      </w:r>
      <w:r w:rsidR="00AB3DBE" w:rsidRPr="00B44D5C">
        <w:rPr>
          <w:lang w:val="es-ES"/>
        </w:rPr>
        <w:t>, Santos Norma</w:t>
      </w:r>
      <w:r w:rsidR="00E42760" w:rsidRPr="00B44D5C">
        <w:rPr>
          <w:lang w:val="es-ES"/>
        </w:rPr>
        <w:t xml:space="preserve"> Pacheco</w:t>
      </w:r>
      <w:r w:rsidR="00AB3DBE" w:rsidRPr="00B44D5C">
        <w:rPr>
          <w:lang w:val="es-ES"/>
        </w:rPr>
        <w:t xml:space="preserve">, </w:t>
      </w:r>
      <w:proofErr w:type="spellStart"/>
      <w:r w:rsidR="00AB3DBE" w:rsidRPr="00B44D5C">
        <w:rPr>
          <w:lang w:val="es-ES"/>
        </w:rPr>
        <w:t>Marleny</w:t>
      </w:r>
      <w:proofErr w:type="spellEnd"/>
      <w:r w:rsidR="00E42760" w:rsidRPr="00B44D5C">
        <w:rPr>
          <w:lang w:val="es-ES"/>
        </w:rPr>
        <w:t xml:space="preserve"> Pacheco Posadas</w:t>
      </w:r>
      <w:r w:rsidR="00AB3DBE" w:rsidRPr="00B44D5C">
        <w:rPr>
          <w:lang w:val="es-ES"/>
        </w:rPr>
        <w:t xml:space="preserve">, Elsa Yamileth </w:t>
      </w:r>
      <w:proofErr w:type="spellStart"/>
      <w:r w:rsidR="00AB3DBE" w:rsidRPr="00B44D5C">
        <w:rPr>
          <w:lang w:val="es-ES"/>
        </w:rPr>
        <w:t>Almendarez</w:t>
      </w:r>
      <w:proofErr w:type="spellEnd"/>
      <w:r w:rsidR="00E42760" w:rsidRPr="00B44D5C">
        <w:rPr>
          <w:lang w:val="es-ES"/>
        </w:rPr>
        <w:t xml:space="preserve"> Pacheco</w:t>
      </w:r>
      <w:r w:rsidR="00AB3DBE" w:rsidRPr="00B44D5C">
        <w:rPr>
          <w:lang w:val="es-ES"/>
        </w:rPr>
        <w:t xml:space="preserve">, Jaqueline L. </w:t>
      </w:r>
      <w:proofErr w:type="spellStart"/>
      <w:r w:rsidR="00AB3DBE" w:rsidRPr="00B44D5C">
        <w:rPr>
          <w:lang w:val="es-ES"/>
        </w:rPr>
        <w:t>Almendarez</w:t>
      </w:r>
      <w:proofErr w:type="spellEnd"/>
      <w:r w:rsidR="00E42760" w:rsidRPr="00B44D5C">
        <w:rPr>
          <w:lang w:val="es-ES"/>
        </w:rPr>
        <w:t xml:space="preserve"> Pacheco</w:t>
      </w:r>
      <w:r w:rsidR="00AB3DBE" w:rsidRPr="00B44D5C">
        <w:rPr>
          <w:lang w:val="es-ES"/>
        </w:rPr>
        <w:t>, y Jorge</w:t>
      </w:r>
      <w:r w:rsidR="00E42760" w:rsidRPr="00B44D5C">
        <w:rPr>
          <w:lang w:val="es-ES"/>
        </w:rPr>
        <w:t xml:space="preserve"> Pacheco</w:t>
      </w:r>
      <w:r w:rsidR="00AB3DBE" w:rsidRPr="00B44D5C">
        <w:rPr>
          <w:lang w:val="es-ES"/>
        </w:rPr>
        <w:t xml:space="preserve">, y los hijos y las hijas de Ángel Pacheco, </w:t>
      </w:r>
      <w:proofErr w:type="spellStart"/>
      <w:r w:rsidR="00AB3DBE" w:rsidRPr="00B44D5C">
        <w:rPr>
          <w:lang w:val="es-ES"/>
        </w:rPr>
        <w:t>Jimy</w:t>
      </w:r>
      <w:proofErr w:type="spellEnd"/>
      <w:r w:rsidR="00AB3DBE" w:rsidRPr="00B44D5C">
        <w:rPr>
          <w:lang w:val="es-ES"/>
        </w:rPr>
        <w:t xml:space="preserve"> Javier Pacheco Ortiz</w:t>
      </w:r>
      <w:r w:rsidR="00FB0007" w:rsidRPr="00B44D5C">
        <w:rPr>
          <w:rStyle w:val="FootnoteReference"/>
          <w:sz w:val="20"/>
          <w:szCs w:val="20"/>
          <w:lang w:val="es-ES"/>
        </w:rPr>
        <w:footnoteReference w:id="2"/>
      </w:r>
      <w:r w:rsidR="00C503AC" w:rsidRPr="00B44D5C">
        <w:rPr>
          <w:szCs w:val="20"/>
          <w:lang w:val="es-ES"/>
        </w:rPr>
        <w:t xml:space="preserve"> </w:t>
      </w:r>
      <w:r w:rsidR="00AB3DBE" w:rsidRPr="00B44D5C">
        <w:rPr>
          <w:lang w:val="es-ES"/>
        </w:rPr>
        <w:t>(en adelante  también “</w:t>
      </w:r>
      <w:proofErr w:type="spellStart"/>
      <w:r w:rsidR="00AB3DBE" w:rsidRPr="00B44D5C">
        <w:rPr>
          <w:lang w:val="es-ES"/>
        </w:rPr>
        <w:t>Jimy</w:t>
      </w:r>
      <w:proofErr w:type="spellEnd"/>
      <w:r w:rsidR="00AB3DBE" w:rsidRPr="00B44D5C">
        <w:rPr>
          <w:lang w:val="es-ES"/>
        </w:rPr>
        <w:t xml:space="preserve"> Pacheco” o “</w:t>
      </w:r>
      <w:proofErr w:type="spellStart"/>
      <w:r w:rsidR="00AB3DBE" w:rsidRPr="00B44D5C">
        <w:rPr>
          <w:lang w:val="es-ES"/>
        </w:rPr>
        <w:t>Jimy</w:t>
      </w:r>
      <w:proofErr w:type="spellEnd"/>
      <w:r w:rsidR="00AB3DBE" w:rsidRPr="00B44D5C">
        <w:rPr>
          <w:lang w:val="es-ES"/>
        </w:rPr>
        <w:t xml:space="preserve">”), Miguel Ángel Pacheco </w:t>
      </w:r>
      <w:proofErr w:type="spellStart"/>
      <w:r w:rsidR="00AB3DBE" w:rsidRPr="00B44D5C">
        <w:rPr>
          <w:lang w:val="es-ES"/>
        </w:rPr>
        <w:t>Devicente</w:t>
      </w:r>
      <w:proofErr w:type="spellEnd"/>
      <w:r w:rsidR="002E6DF2" w:rsidRPr="00B44D5C">
        <w:rPr>
          <w:rStyle w:val="FootnoteReference"/>
          <w:sz w:val="20"/>
          <w:szCs w:val="20"/>
          <w:lang w:val="es-ES"/>
        </w:rPr>
        <w:footnoteReference w:id="3"/>
      </w:r>
      <w:r w:rsidR="00FB0007" w:rsidRPr="00B44D5C">
        <w:rPr>
          <w:szCs w:val="20"/>
          <w:lang w:val="es-ES"/>
        </w:rPr>
        <w:t xml:space="preserve">, </w:t>
      </w:r>
      <w:r w:rsidR="00AB3DBE" w:rsidRPr="00B44D5C">
        <w:rPr>
          <w:lang w:val="es-ES"/>
        </w:rPr>
        <w:t xml:space="preserve">Cinthia </w:t>
      </w:r>
      <w:proofErr w:type="spellStart"/>
      <w:r w:rsidR="00AB3DBE" w:rsidRPr="00B44D5C">
        <w:rPr>
          <w:lang w:val="es-ES"/>
        </w:rPr>
        <w:t>Mirella</w:t>
      </w:r>
      <w:proofErr w:type="spellEnd"/>
      <w:r w:rsidR="00AB3DBE" w:rsidRPr="00B44D5C">
        <w:rPr>
          <w:lang w:val="es-ES"/>
        </w:rPr>
        <w:t xml:space="preserve"> Pacheco </w:t>
      </w:r>
      <w:proofErr w:type="spellStart"/>
      <w:r w:rsidR="00AB3DBE" w:rsidRPr="00B44D5C">
        <w:rPr>
          <w:lang w:val="es-ES"/>
        </w:rPr>
        <w:t>Devicente</w:t>
      </w:r>
      <w:proofErr w:type="spellEnd"/>
      <w:r w:rsidR="00AB3DBE" w:rsidRPr="00B44D5C">
        <w:rPr>
          <w:lang w:val="es-ES"/>
        </w:rPr>
        <w:t xml:space="preserve">, Tania Melissa Pacheco López, Juan Carlos Pacheco </w:t>
      </w:r>
      <w:proofErr w:type="spellStart"/>
      <w:r w:rsidR="00AB3DBE" w:rsidRPr="00B44D5C">
        <w:rPr>
          <w:lang w:val="es-ES"/>
        </w:rPr>
        <w:t>Euceda</w:t>
      </w:r>
      <w:proofErr w:type="spellEnd"/>
      <w:r w:rsidR="00AB3DBE" w:rsidRPr="00B44D5C">
        <w:rPr>
          <w:lang w:val="es-ES"/>
        </w:rPr>
        <w:t xml:space="preserve"> y Bianca </w:t>
      </w:r>
      <w:proofErr w:type="spellStart"/>
      <w:r w:rsidR="00AB3DBE" w:rsidRPr="00B44D5C">
        <w:rPr>
          <w:lang w:val="es-ES"/>
        </w:rPr>
        <w:t>Gisselle</w:t>
      </w:r>
      <w:proofErr w:type="spellEnd"/>
      <w:r w:rsidR="00AB3DBE" w:rsidRPr="00B44D5C">
        <w:rPr>
          <w:lang w:val="es-ES"/>
        </w:rPr>
        <w:t xml:space="preserve"> Pacheco Herrera</w:t>
      </w:r>
      <w:r w:rsidR="00AB3DBE">
        <w:rPr>
          <w:lang w:val="es-ES"/>
        </w:rPr>
        <w:t>.</w:t>
      </w:r>
      <w:r w:rsidR="00AB3DBE">
        <w:rPr>
          <w:sz w:val="16"/>
          <w:szCs w:val="16"/>
          <w:lang w:val="es-ES"/>
        </w:rPr>
        <w:t xml:space="preserve"> </w:t>
      </w:r>
      <w:r w:rsidR="00AB3DBE">
        <w:rPr>
          <w:lang w:val="es-ES"/>
        </w:rPr>
        <w:t>Según la Comisión lo anterior implicó afectaciones a los derechos a la vida y derechos políticos consagrados en los artículos 4 y 23 de la Convención, en perjuicio del s</w:t>
      </w:r>
      <w:r w:rsidR="00E42760">
        <w:rPr>
          <w:lang w:val="es-ES"/>
        </w:rPr>
        <w:t xml:space="preserve">eñor Pacheco León, así como </w:t>
      </w:r>
      <w:r w:rsidR="00AB3DBE">
        <w:rPr>
          <w:lang w:val="es-ES"/>
        </w:rPr>
        <w:t>violaciones a l</w:t>
      </w:r>
      <w:r w:rsidR="00E42760">
        <w:rPr>
          <w:lang w:val="es-ES"/>
        </w:rPr>
        <w:t xml:space="preserve">os derechos </w:t>
      </w:r>
      <w:r w:rsidR="00AB3DBE">
        <w:rPr>
          <w:lang w:val="es-ES"/>
        </w:rPr>
        <w:t xml:space="preserve">a </w:t>
      </w:r>
      <w:r w:rsidR="00E42760">
        <w:rPr>
          <w:lang w:val="es-ES"/>
        </w:rPr>
        <w:t xml:space="preserve">la </w:t>
      </w:r>
      <w:r w:rsidR="00AB3DBE">
        <w:rPr>
          <w:lang w:val="es-ES"/>
        </w:rPr>
        <w:t>integridad personal y a las garantías y protección judiciales</w:t>
      </w:r>
      <w:r w:rsidR="00E42760">
        <w:rPr>
          <w:lang w:val="es-ES"/>
        </w:rPr>
        <w:t>,</w:t>
      </w:r>
      <w:r w:rsidR="00AB3DBE">
        <w:rPr>
          <w:lang w:val="es-ES"/>
        </w:rPr>
        <w:t xml:space="preserve"> consagrados en los artículos 5, 8 y 25 de la Convención, en perjuicio de sus familiares.</w:t>
      </w:r>
    </w:p>
    <w:p w14:paraId="06C5B014" w14:textId="6517FF14" w:rsidR="003D717E" w:rsidRPr="004A0940" w:rsidRDefault="003D717E" w:rsidP="009B4223">
      <w:pPr>
        <w:pStyle w:val="NoSpacing"/>
        <w:tabs>
          <w:tab w:val="left" w:pos="0"/>
        </w:tabs>
        <w:rPr>
          <w:b/>
          <w:spacing w:val="-4"/>
          <w:lang w:val="es-ES"/>
        </w:rPr>
      </w:pPr>
    </w:p>
    <w:p w14:paraId="69009E9E" w14:textId="32A9E8BF" w:rsidR="003D717E" w:rsidRPr="00B44D5C" w:rsidRDefault="003D717E" w:rsidP="009B4223">
      <w:pPr>
        <w:pStyle w:val="PrrafodeSentencia"/>
        <w:tabs>
          <w:tab w:val="clear" w:pos="567"/>
          <w:tab w:val="left" w:pos="0"/>
        </w:tabs>
        <w:ind w:left="0" w:firstLine="0"/>
        <w:rPr>
          <w:b/>
        </w:rPr>
      </w:pPr>
      <w:bookmarkStart w:id="55" w:name="_Ref419215582"/>
      <w:r w:rsidRPr="00B44D5C">
        <w:rPr>
          <w:i/>
        </w:rPr>
        <w:t xml:space="preserve">Trámite ante la Comisión.- </w:t>
      </w:r>
      <w:r w:rsidRPr="00B44D5C">
        <w:t>El trámite ante la Comisión fue el siguiente:</w:t>
      </w:r>
      <w:bookmarkEnd w:id="55"/>
    </w:p>
    <w:p w14:paraId="57D20BCF" w14:textId="77777777" w:rsidR="003D717E" w:rsidRPr="00B44D5C" w:rsidRDefault="003D717E" w:rsidP="00906F3F">
      <w:pPr>
        <w:pStyle w:val="NoSpacing"/>
        <w:numPr>
          <w:ilvl w:val="0"/>
          <w:numId w:val="8"/>
        </w:numPr>
        <w:tabs>
          <w:tab w:val="left" w:pos="-142"/>
          <w:tab w:val="left" w:pos="709"/>
          <w:tab w:val="left" w:pos="1134"/>
        </w:tabs>
        <w:ind w:left="567" w:firstLine="0"/>
        <w:rPr>
          <w:spacing w:val="-4"/>
          <w:szCs w:val="20"/>
          <w:lang w:val="es-ES"/>
        </w:rPr>
      </w:pPr>
      <w:r w:rsidRPr="00B44D5C">
        <w:rPr>
          <w:i/>
          <w:spacing w:val="-4"/>
          <w:szCs w:val="20"/>
          <w:lang w:val="es-ES"/>
        </w:rPr>
        <w:t xml:space="preserve">Petición. – </w:t>
      </w:r>
      <w:r w:rsidR="00A54469" w:rsidRPr="00B44D5C">
        <w:rPr>
          <w:spacing w:val="-4"/>
          <w:szCs w:val="20"/>
          <w:lang w:val="es-ES"/>
        </w:rPr>
        <w:t xml:space="preserve">El 27 de agosto de 2004 </w:t>
      </w:r>
      <w:proofErr w:type="spellStart"/>
      <w:r w:rsidR="00A54469" w:rsidRPr="00B44D5C">
        <w:rPr>
          <w:spacing w:val="-4"/>
          <w:szCs w:val="20"/>
          <w:lang w:val="es-ES"/>
        </w:rPr>
        <w:t>Marleny</w:t>
      </w:r>
      <w:proofErr w:type="spellEnd"/>
      <w:r w:rsidR="00A54469" w:rsidRPr="00B44D5C">
        <w:rPr>
          <w:spacing w:val="-4"/>
          <w:szCs w:val="20"/>
          <w:lang w:val="es-ES"/>
        </w:rPr>
        <w:t xml:space="preserve"> Pacheco Posadas presentó la petición inicial</w:t>
      </w:r>
      <w:r w:rsidRPr="00B44D5C">
        <w:rPr>
          <w:spacing w:val="-4"/>
          <w:szCs w:val="20"/>
          <w:lang w:val="es-ES"/>
        </w:rPr>
        <w:t xml:space="preserve">. </w:t>
      </w:r>
    </w:p>
    <w:p w14:paraId="301BDA11" w14:textId="24F49450" w:rsidR="003D717E" w:rsidRPr="00B44D5C" w:rsidRDefault="003D717E" w:rsidP="00906F3F">
      <w:pPr>
        <w:pStyle w:val="NoSpacing"/>
        <w:numPr>
          <w:ilvl w:val="0"/>
          <w:numId w:val="8"/>
        </w:numPr>
        <w:tabs>
          <w:tab w:val="left" w:pos="-142"/>
          <w:tab w:val="left" w:pos="709"/>
          <w:tab w:val="left" w:pos="1134"/>
        </w:tabs>
        <w:ind w:left="567" w:firstLine="0"/>
        <w:rPr>
          <w:spacing w:val="-4"/>
          <w:szCs w:val="20"/>
          <w:lang w:val="es-ES"/>
        </w:rPr>
      </w:pPr>
      <w:r w:rsidRPr="00B44D5C">
        <w:rPr>
          <w:i/>
          <w:spacing w:val="-4"/>
          <w:szCs w:val="20"/>
          <w:lang w:val="es-ES"/>
        </w:rPr>
        <w:t xml:space="preserve">Informe de Admisibilidad. – </w:t>
      </w:r>
      <w:r w:rsidR="00A54469" w:rsidRPr="00B44D5C">
        <w:rPr>
          <w:spacing w:val="-4"/>
          <w:szCs w:val="20"/>
          <w:lang w:val="es-ES"/>
        </w:rPr>
        <w:t>El 26 de octubre de 2006</w:t>
      </w:r>
      <w:r w:rsidRPr="00B44D5C">
        <w:rPr>
          <w:spacing w:val="-4"/>
          <w:szCs w:val="20"/>
          <w:lang w:val="es-ES"/>
        </w:rPr>
        <w:t xml:space="preserve"> la Comisión aprobó el Informe de Admisibilidad No</w:t>
      </w:r>
      <w:r w:rsidR="00A77DCC" w:rsidRPr="00B44D5C">
        <w:rPr>
          <w:spacing w:val="-4"/>
          <w:szCs w:val="20"/>
          <w:lang w:val="es-ES"/>
        </w:rPr>
        <w:t>.</w:t>
      </w:r>
      <w:r w:rsidRPr="00B44D5C">
        <w:rPr>
          <w:spacing w:val="-4"/>
          <w:szCs w:val="20"/>
          <w:lang w:val="es-ES"/>
        </w:rPr>
        <w:t xml:space="preserve"> </w:t>
      </w:r>
      <w:bookmarkEnd w:id="0"/>
      <w:bookmarkEnd w:id="54"/>
      <w:r w:rsidR="00A54469" w:rsidRPr="00B44D5C">
        <w:rPr>
          <w:spacing w:val="-4"/>
          <w:szCs w:val="20"/>
          <w:lang w:val="es-ES"/>
        </w:rPr>
        <w:t>118/06</w:t>
      </w:r>
      <w:r w:rsidR="007F693F" w:rsidRPr="00B44D5C">
        <w:rPr>
          <w:spacing w:val="-4"/>
          <w:szCs w:val="20"/>
          <w:lang w:val="es-ES"/>
        </w:rPr>
        <w:t xml:space="preserve"> (en adelante “Informe de Admisibilidad”)</w:t>
      </w:r>
      <w:r w:rsidR="00F165AE" w:rsidRPr="00B44D5C">
        <w:rPr>
          <w:spacing w:val="-4"/>
          <w:szCs w:val="20"/>
          <w:lang w:val="es-ES"/>
        </w:rPr>
        <w:t xml:space="preserve">, en el que </w:t>
      </w:r>
      <w:r w:rsidR="004C3D00" w:rsidRPr="00B44D5C">
        <w:rPr>
          <w:spacing w:val="-4"/>
          <w:szCs w:val="20"/>
          <w:lang w:val="es-ES"/>
        </w:rPr>
        <w:t xml:space="preserve">hizo referencia a la </w:t>
      </w:r>
      <w:r w:rsidR="00F165AE" w:rsidRPr="00B44D5C">
        <w:rPr>
          <w:spacing w:val="-4"/>
          <w:szCs w:val="20"/>
          <w:lang w:val="es-ES"/>
        </w:rPr>
        <w:t>petición No. 848-04</w:t>
      </w:r>
      <w:r w:rsidR="004C3D00" w:rsidRPr="00B44D5C">
        <w:rPr>
          <w:spacing w:val="-4"/>
          <w:szCs w:val="20"/>
          <w:lang w:val="es-ES"/>
        </w:rPr>
        <w:t xml:space="preserve"> y declaró</w:t>
      </w:r>
      <w:r w:rsidR="00F165AE" w:rsidRPr="00B44D5C">
        <w:rPr>
          <w:spacing w:val="-4"/>
          <w:szCs w:val="20"/>
          <w:lang w:val="es-ES"/>
        </w:rPr>
        <w:t xml:space="preserve"> admisible</w:t>
      </w:r>
      <w:r w:rsidR="004C3D00" w:rsidRPr="00B44D5C">
        <w:rPr>
          <w:spacing w:val="-4"/>
          <w:szCs w:val="20"/>
          <w:lang w:val="es-ES"/>
        </w:rPr>
        <w:t xml:space="preserve"> el caso “en cuanto se refiere a presuntas violaciones de los derechos protegidos en los artículos 8, 25, y 1.1 de la Convención”. </w:t>
      </w:r>
      <w:r w:rsidRPr="00B44D5C">
        <w:rPr>
          <w:spacing w:val="-4"/>
          <w:szCs w:val="20"/>
          <w:lang w:val="es-ES"/>
        </w:rPr>
        <w:t xml:space="preserve"> </w:t>
      </w:r>
    </w:p>
    <w:p w14:paraId="37899E29" w14:textId="4B9F6EE6" w:rsidR="003D717E" w:rsidRPr="00B44D5C" w:rsidRDefault="003D717E" w:rsidP="00906F3F">
      <w:pPr>
        <w:pStyle w:val="NoSpacing"/>
        <w:numPr>
          <w:ilvl w:val="0"/>
          <w:numId w:val="8"/>
        </w:numPr>
        <w:tabs>
          <w:tab w:val="left" w:pos="-142"/>
          <w:tab w:val="left" w:pos="709"/>
          <w:tab w:val="left" w:pos="1134"/>
        </w:tabs>
        <w:ind w:left="567" w:firstLine="0"/>
        <w:rPr>
          <w:spacing w:val="-4"/>
          <w:szCs w:val="20"/>
          <w:lang w:val="es-ES"/>
        </w:rPr>
      </w:pPr>
      <w:r w:rsidRPr="00B44D5C">
        <w:rPr>
          <w:i/>
          <w:spacing w:val="-4"/>
          <w:szCs w:val="20"/>
          <w:lang w:val="es-ES"/>
        </w:rPr>
        <w:lastRenderedPageBreak/>
        <w:t xml:space="preserve">Informe de Fondo. – </w:t>
      </w:r>
      <w:r w:rsidR="00145B08" w:rsidRPr="00B44D5C">
        <w:rPr>
          <w:spacing w:val="-4"/>
          <w:szCs w:val="20"/>
          <w:lang w:val="es-ES"/>
        </w:rPr>
        <w:t>El 28 de julio de 2015</w:t>
      </w:r>
      <w:r w:rsidRPr="00B44D5C">
        <w:rPr>
          <w:spacing w:val="-4"/>
          <w:szCs w:val="20"/>
          <w:lang w:val="es-ES"/>
        </w:rPr>
        <w:t xml:space="preserve"> la Comisión aprobó el Informe de Fondo No</w:t>
      </w:r>
      <w:r w:rsidR="00A77DCC" w:rsidRPr="00B44D5C">
        <w:rPr>
          <w:spacing w:val="-4"/>
          <w:szCs w:val="20"/>
          <w:lang w:val="es-ES"/>
        </w:rPr>
        <w:t>.</w:t>
      </w:r>
      <w:r w:rsidR="00145B08" w:rsidRPr="00B44D5C">
        <w:rPr>
          <w:spacing w:val="-4"/>
          <w:szCs w:val="20"/>
          <w:lang w:val="es-ES"/>
        </w:rPr>
        <w:t xml:space="preserve"> 49/15 (en adelante también “Informe de Fondo” o </w:t>
      </w:r>
      <w:r w:rsidR="00D7607F" w:rsidRPr="00B44D5C">
        <w:rPr>
          <w:spacing w:val="-4"/>
          <w:szCs w:val="20"/>
          <w:lang w:val="es-ES"/>
        </w:rPr>
        <w:t>“</w:t>
      </w:r>
      <w:r w:rsidR="00145B08" w:rsidRPr="00B44D5C">
        <w:rPr>
          <w:spacing w:val="-4"/>
          <w:szCs w:val="20"/>
          <w:lang w:val="es-ES"/>
        </w:rPr>
        <w:t>Informe 49/15”)</w:t>
      </w:r>
      <w:r w:rsidRPr="00B44D5C">
        <w:rPr>
          <w:spacing w:val="-4"/>
          <w:szCs w:val="20"/>
          <w:lang w:val="es-ES"/>
        </w:rPr>
        <w:t xml:space="preserve">, en el cual llegó a una serie de conclusiones y formuló varias recomendaciones al Estado: </w:t>
      </w:r>
    </w:p>
    <w:p w14:paraId="35855885" w14:textId="77777777" w:rsidR="002916AF" w:rsidRPr="00B44D5C" w:rsidRDefault="003D717E" w:rsidP="00906F3F">
      <w:pPr>
        <w:pStyle w:val="NoSpacing"/>
        <w:numPr>
          <w:ilvl w:val="0"/>
          <w:numId w:val="4"/>
        </w:numPr>
        <w:tabs>
          <w:tab w:val="left" w:pos="-142"/>
        </w:tabs>
        <w:ind w:left="851" w:firstLine="0"/>
        <w:rPr>
          <w:spacing w:val="-4"/>
          <w:szCs w:val="20"/>
          <w:lang w:val="es-ES"/>
        </w:rPr>
      </w:pPr>
      <w:r w:rsidRPr="00B44D5C">
        <w:rPr>
          <w:i/>
          <w:spacing w:val="-4"/>
          <w:szCs w:val="20"/>
          <w:lang w:val="es-ES"/>
        </w:rPr>
        <w:t>Conclusiones.</w:t>
      </w:r>
      <w:r w:rsidR="0049336A" w:rsidRPr="00B44D5C">
        <w:rPr>
          <w:i/>
          <w:spacing w:val="-4"/>
          <w:szCs w:val="20"/>
          <w:lang w:val="es-ES"/>
        </w:rPr>
        <w:t xml:space="preserve"> -</w:t>
      </w:r>
      <w:r w:rsidRPr="00B44D5C">
        <w:rPr>
          <w:i/>
          <w:spacing w:val="-4"/>
          <w:szCs w:val="20"/>
          <w:lang w:val="es-ES"/>
        </w:rPr>
        <w:t xml:space="preserve"> </w:t>
      </w:r>
      <w:r w:rsidRPr="00B44D5C">
        <w:rPr>
          <w:spacing w:val="-4"/>
          <w:szCs w:val="20"/>
          <w:lang w:val="es-ES"/>
        </w:rPr>
        <w:t>La Comisión concluyó que el Estado es responsable por la violación de</w:t>
      </w:r>
      <w:r w:rsidR="002916AF" w:rsidRPr="00B44D5C">
        <w:rPr>
          <w:spacing w:val="-4"/>
          <w:szCs w:val="20"/>
          <w:lang w:val="es-ES"/>
        </w:rPr>
        <w:t>:</w:t>
      </w:r>
    </w:p>
    <w:p w14:paraId="57A1C70C" w14:textId="0F0F1CE3" w:rsidR="002916AF" w:rsidRPr="00B44D5C" w:rsidRDefault="002916AF" w:rsidP="000619A5">
      <w:pPr>
        <w:pStyle w:val="NoSpacing"/>
        <w:numPr>
          <w:ilvl w:val="0"/>
          <w:numId w:val="6"/>
        </w:numPr>
        <w:tabs>
          <w:tab w:val="left" w:pos="-142"/>
        </w:tabs>
        <w:ind w:left="993" w:firstLine="0"/>
        <w:rPr>
          <w:spacing w:val="-4"/>
          <w:szCs w:val="20"/>
          <w:lang w:val="es-ES"/>
        </w:rPr>
      </w:pPr>
      <w:r w:rsidRPr="00B44D5C">
        <w:rPr>
          <w:spacing w:val="-4"/>
          <w:szCs w:val="20"/>
          <w:lang w:val="es-ES"/>
        </w:rPr>
        <w:t xml:space="preserve">el </w:t>
      </w:r>
      <w:r w:rsidR="00A54469" w:rsidRPr="00B44D5C">
        <w:rPr>
          <w:spacing w:val="-4"/>
          <w:szCs w:val="20"/>
          <w:lang w:val="es-ES"/>
        </w:rPr>
        <w:t xml:space="preserve">derecho a la vida y derechos políticos, establecidos en los artículos 4 y 23 de la Convención </w:t>
      </w:r>
      <w:r w:rsidR="003D717E" w:rsidRPr="00B44D5C">
        <w:rPr>
          <w:spacing w:val="-4"/>
          <w:szCs w:val="20"/>
          <w:lang w:val="es-ES"/>
        </w:rPr>
        <w:t xml:space="preserve"> </w:t>
      </w:r>
      <w:r w:rsidRPr="00B44D5C">
        <w:rPr>
          <w:spacing w:val="-4"/>
          <w:szCs w:val="20"/>
          <w:lang w:val="es-ES"/>
        </w:rPr>
        <w:t>Americana</w:t>
      </w:r>
      <w:r w:rsidR="00B064BB" w:rsidRPr="00B44D5C">
        <w:rPr>
          <w:spacing w:val="-4"/>
          <w:szCs w:val="20"/>
          <w:lang w:val="es-ES"/>
        </w:rPr>
        <w:t>,</w:t>
      </w:r>
      <w:r w:rsidR="003D717E" w:rsidRPr="00B44D5C">
        <w:rPr>
          <w:spacing w:val="-4"/>
          <w:szCs w:val="20"/>
          <w:lang w:val="es-ES"/>
        </w:rPr>
        <w:t xml:space="preserve"> en relación </w:t>
      </w:r>
      <w:r w:rsidR="00B064BB" w:rsidRPr="00B44D5C">
        <w:rPr>
          <w:spacing w:val="-4"/>
          <w:szCs w:val="20"/>
          <w:lang w:val="es-ES"/>
        </w:rPr>
        <w:t>con e</w:t>
      </w:r>
      <w:r w:rsidR="003D717E" w:rsidRPr="00B44D5C">
        <w:rPr>
          <w:spacing w:val="-4"/>
          <w:szCs w:val="20"/>
          <w:lang w:val="es-ES"/>
        </w:rPr>
        <w:t>l artículo 1</w:t>
      </w:r>
      <w:r w:rsidR="00B064BB" w:rsidRPr="00B44D5C">
        <w:rPr>
          <w:spacing w:val="-4"/>
          <w:szCs w:val="20"/>
          <w:lang w:val="es-ES"/>
        </w:rPr>
        <w:t>.1</w:t>
      </w:r>
      <w:r w:rsidR="003D717E" w:rsidRPr="00B44D5C">
        <w:rPr>
          <w:spacing w:val="-4"/>
          <w:szCs w:val="20"/>
          <w:lang w:val="es-ES"/>
        </w:rPr>
        <w:t xml:space="preserve"> </w:t>
      </w:r>
      <w:r w:rsidRPr="00B44D5C">
        <w:rPr>
          <w:spacing w:val="-4"/>
          <w:szCs w:val="20"/>
          <w:lang w:val="es-ES"/>
        </w:rPr>
        <w:t>del mismo instrumento internacional</w:t>
      </w:r>
      <w:r w:rsidR="00B064BB" w:rsidRPr="00B44D5C">
        <w:rPr>
          <w:spacing w:val="-4"/>
          <w:szCs w:val="20"/>
          <w:lang w:val="es-ES"/>
        </w:rPr>
        <w:t>,</w:t>
      </w:r>
      <w:r w:rsidR="003D717E" w:rsidRPr="00B44D5C">
        <w:rPr>
          <w:spacing w:val="-4"/>
          <w:szCs w:val="20"/>
          <w:lang w:val="es-ES"/>
        </w:rPr>
        <w:t xml:space="preserve"> en perjuici</w:t>
      </w:r>
      <w:r w:rsidR="00E42760" w:rsidRPr="00B44D5C">
        <w:rPr>
          <w:spacing w:val="-4"/>
          <w:szCs w:val="20"/>
          <w:lang w:val="es-ES"/>
        </w:rPr>
        <w:t>o de Á</w:t>
      </w:r>
      <w:r w:rsidRPr="00B44D5C">
        <w:rPr>
          <w:spacing w:val="-4"/>
          <w:szCs w:val="20"/>
          <w:lang w:val="es-ES"/>
        </w:rPr>
        <w:t xml:space="preserve">ngel </w:t>
      </w:r>
      <w:proofErr w:type="spellStart"/>
      <w:r w:rsidRPr="00B44D5C">
        <w:rPr>
          <w:spacing w:val="-4"/>
          <w:szCs w:val="20"/>
          <w:lang w:val="es-ES"/>
        </w:rPr>
        <w:t>Pachecho</w:t>
      </w:r>
      <w:proofErr w:type="spellEnd"/>
      <w:r w:rsidRPr="00B44D5C">
        <w:rPr>
          <w:spacing w:val="-4"/>
          <w:szCs w:val="20"/>
          <w:lang w:val="es-ES"/>
        </w:rPr>
        <w:t xml:space="preserve"> León; y</w:t>
      </w:r>
    </w:p>
    <w:p w14:paraId="745E044D" w14:textId="0E23333F" w:rsidR="003D717E" w:rsidRPr="00B44D5C" w:rsidRDefault="002916AF" w:rsidP="000619A5">
      <w:pPr>
        <w:pStyle w:val="NoSpacing"/>
        <w:numPr>
          <w:ilvl w:val="0"/>
          <w:numId w:val="6"/>
        </w:numPr>
        <w:tabs>
          <w:tab w:val="left" w:pos="-142"/>
        </w:tabs>
        <w:ind w:left="993" w:firstLine="0"/>
        <w:rPr>
          <w:spacing w:val="-4"/>
          <w:szCs w:val="20"/>
          <w:lang w:val="es-ES"/>
        </w:rPr>
      </w:pPr>
      <w:r w:rsidRPr="00B44D5C">
        <w:rPr>
          <w:spacing w:val="-4"/>
          <w:szCs w:val="20"/>
          <w:lang w:val="es-ES"/>
        </w:rPr>
        <w:t xml:space="preserve">los derechos a la integridad personal, garantías judiciales y protección judicial, establecidos en los artículos 5, 8 y 25 de la </w:t>
      </w:r>
      <w:r w:rsidR="00D7607F" w:rsidRPr="00B44D5C">
        <w:rPr>
          <w:spacing w:val="-4"/>
          <w:szCs w:val="20"/>
          <w:lang w:val="es-ES"/>
        </w:rPr>
        <w:t>C</w:t>
      </w:r>
      <w:r w:rsidRPr="00B44D5C">
        <w:rPr>
          <w:spacing w:val="-4"/>
          <w:szCs w:val="20"/>
          <w:lang w:val="es-ES"/>
        </w:rPr>
        <w:t>onven</w:t>
      </w:r>
      <w:r w:rsidR="00D7607F" w:rsidRPr="00B44D5C">
        <w:rPr>
          <w:spacing w:val="-4"/>
          <w:szCs w:val="20"/>
          <w:lang w:val="es-ES"/>
        </w:rPr>
        <w:t>ci</w:t>
      </w:r>
      <w:r w:rsidRPr="00B44D5C">
        <w:rPr>
          <w:spacing w:val="-4"/>
          <w:szCs w:val="20"/>
          <w:lang w:val="es-ES"/>
        </w:rPr>
        <w:t xml:space="preserve">ón Americana, en relación con el artículo 1.1 del mismo instrumento internacional, en perjuicio de los </w:t>
      </w:r>
      <w:r w:rsidR="004C3D00" w:rsidRPr="00B44D5C">
        <w:rPr>
          <w:spacing w:val="-4"/>
          <w:szCs w:val="20"/>
          <w:lang w:val="es-ES"/>
        </w:rPr>
        <w:t xml:space="preserve">siguientes </w:t>
      </w:r>
      <w:r w:rsidR="00E42760" w:rsidRPr="00B44D5C">
        <w:rPr>
          <w:spacing w:val="-4"/>
          <w:szCs w:val="20"/>
          <w:lang w:val="es-ES"/>
        </w:rPr>
        <w:t>familiares de Á</w:t>
      </w:r>
      <w:r w:rsidRPr="00B44D5C">
        <w:rPr>
          <w:spacing w:val="-4"/>
          <w:szCs w:val="20"/>
          <w:lang w:val="es-ES"/>
        </w:rPr>
        <w:t>ngel Pacheco León</w:t>
      </w:r>
      <w:r w:rsidR="004C3D00" w:rsidRPr="00B44D5C">
        <w:rPr>
          <w:spacing w:val="-4"/>
          <w:szCs w:val="20"/>
          <w:lang w:val="es-ES"/>
        </w:rPr>
        <w:t>:</w:t>
      </w:r>
      <w:r w:rsidRPr="00B44D5C">
        <w:rPr>
          <w:spacing w:val="-4"/>
          <w:szCs w:val="20"/>
          <w:lang w:val="es-ES"/>
        </w:rPr>
        <w:t xml:space="preserve"> i) su madre</w:t>
      </w:r>
      <w:r w:rsidR="004C3D00" w:rsidRPr="00B44D5C">
        <w:rPr>
          <w:spacing w:val="-4"/>
          <w:szCs w:val="20"/>
          <w:lang w:val="es-ES"/>
        </w:rPr>
        <w:t>,</w:t>
      </w:r>
      <w:r w:rsidRPr="00B44D5C">
        <w:rPr>
          <w:spacing w:val="-4"/>
          <w:szCs w:val="20"/>
          <w:lang w:val="es-ES"/>
        </w:rPr>
        <w:t xml:space="preserve"> Andrea </w:t>
      </w:r>
      <w:r w:rsidR="00D7607F" w:rsidRPr="00B44D5C">
        <w:rPr>
          <w:spacing w:val="-4"/>
          <w:szCs w:val="20"/>
          <w:lang w:val="es-ES"/>
        </w:rPr>
        <w:t>P</w:t>
      </w:r>
      <w:r w:rsidRPr="00B44D5C">
        <w:rPr>
          <w:spacing w:val="-4"/>
          <w:szCs w:val="20"/>
          <w:lang w:val="es-ES"/>
        </w:rPr>
        <w:t>acheco</w:t>
      </w:r>
      <w:r w:rsidR="001A6E08" w:rsidRPr="00B44D5C">
        <w:rPr>
          <w:spacing w:val="-4"/>
          <w:szCs w:val="20"/>
          <w:lang w:val="es-ES"/>
        </w:rPr>
        <w:t xml:space="preserve"> López</w:t>
      </w:r>
      <w:r w:rsidRPr="00B44D5C">
        <w:rPr>
          <w:spacing w:val="-4"/>
          <w:szCs w:val="20"/>
          <w:lang w:val="es-ES"/>
        </w:rPr>
        <w:t xml:space="preserve">; ii) </w:t>
      </w:r>
      <w:r w:rsidR="00A862F3" w:rsidRPr="00B44D5C">
        <w:rPr>
          <w:spacing w:val="-4"/>
          <w:szCs w:val="20"/>
          <w:lang w:val="es-ES"/>
        </w:rPr>
        <w:t>su compañera</w:t>
      </w:r>
      <w:r w:rsidR="004C3D00" w:rsidRPr="00B44D5C">
        <w:rPr>
          <w:spacing w:val="-4"/>
          <w:szCs w:val="20"/>
          <w:lang w:val="es-ES"/>
        </w:rPr>
        <w:t>,</w:t>
      </w:r>
      <w:r w:rsidRPr="00B44D5C">
        <w:rPr>
          <w:spacing w:val="-4"/>
          <w:szCs w:val="20"/>
          <w:lang w:val="es-ES"/>
        </w:rPr>
        <w:t xml:space="preserve"> Blanca Rosa Herrera</w:t>
      </w:r>
      <w:r w:rsidR="001A6E08" w:rsidRPr="00B44D5C">
        <w:rPr>
          <w:spacing w:val="-4"/>
          <w:szCs w:val="20"/>
          <w:lang w:val="es-ES"/>
        </w:rPr>
        <w:t xml:space="preserve"> Rodríguez</w:t>
      </w:r>
      <w:r w:rsidRPr="00B44D5C">
        <w:rPr>
          <w:spacing w:val="-4"/>
          <w:szCs w:val="20"/>
          <w:lang w:val="es-ES"/>
        </w:rPr>
        <w:t>; iii) sus hermanas y hermanos</w:t>
      </w:r>
      <w:r w:rsidR="004C3D00" w:rsidRPr="00B44D5C">
        <w:rPr>
          <w:spacing w:val="-4"/>
          <w:szCs w:val="20"/>
          <w:lang w:val="es-ES"/>
        </w:rPr>
        <w:t>,</w:t>
      </w:r>
      <w:r w:rsidR="00E42760" w:rsidRPr="00B44D5C">
        <w:rPr>
          <w:spacing w:val="-4"/>
          <w:szCs w:val="20"/>
          <w:lang w:val="es-ES"/>
        </w:rPr>
        <w:t xml:space="preserve"> </w:t>
      </w:r>
      <w:r w:rsidR="001A6E08" w:rsidRPr="00B44D5C">
        <w:rPr>
          <w:spacing w:val="-4"/>
          <w:szCs w:val="20"/>
          <w:lang w:val="es-ES"/>
        </w:rPr>
        <w:t xml:space="preserve">María </w:t>
      </w:r>
      <w:r w:rsidR="00E42760" w:rsidRPr="00B44D5C">
        <w:rPr>
          <w:spacing w:val="-4"/>
          <w:szCs w:val="20"/>
          <w:lang w:val="es-ES"/>
        </w:rPr>
        <w:t>Otilia</w:t>
      </w:r>
      <w:r w:rsidR="001A6E08" w:rsidRPr="00B44D5C">
        <w:rPr>
          <w:spacing w:val="-4"/>
          <w:szCs w:val="20"/>
          <w:lang w:val="es-ES"/>
        </w:rPr>
        <w:t xml:space="preserve"> Pacheco</w:t>
      </w:r>
      <w:r w:rsidRPr="00B44D5C">
        <w:rPr>
          <w:spacing w:val="-4"/>
          <w:szCs w:val="20"/>
          <w:lang w:val="es-ES"/>
        </w:rPr>
        <w:t>, Concepción</w:t>
      </w:r>
      <w:r w:rsidR="001A6E08" w:rsidRPr="00B44D5C">
        <w:rPr>
          <w:spacing w:val="-4"/>
          <w:szCs w:val="20"/>
          <w:lang w:val="es-ES"/>
        </w:rPr>
        <w:t xml:space="preserve"> Pacheco</w:t>
      </w:r>
      <w:r w:rsidRPr="00B44D5C">
        <w:rPr>
          <w:spacing w:val="-4"/>
          <w:szCs w:val="20"/>
          <w:lang w:val="es-ES"/>
        </w:rPr>
        <w:t>, José</w:t>
      </w:r>
      <w:r w:rsidR="001A6E08" w:rsidRPr="00B44D5C">
        <w:rPr>
          <w:spacing w:val="-4"/>
          <w:szCs w:val="20"/>
          <w:lang w:val="es-ES"/>
        </w:rPr>
        <w:t xml:space="preserve"> Pacheco</w:t>
      </w:r>
      <w:r w:rsidRPr="00B44D5C">
        <w:rPr>
          <w:spacing w:val="-4"/>
          <w:szCs w:val="20"/>
          <w:lang w:val="es-ES"/>
        </w:rPr>
        <w:t>, Blanca</w:t>
      </w:r>
      <w:r w:rsidR="001A6E08" w:rsidRPr="00B44D5C">
        <w:rPr>
          <w:spacing w:val="-4"/>
          <w:szCs w:val="20"/>
          <w:lang w:val="es-ES"/>
        </w:rPr>
        <w:t xml:space="preserve"> Pacheco</w:t>
      </w:r>
      <w:r w:rsidRPr="00B44D5C">
        <w:rPr>
          <w:spacing w:val="-4"/>
          <w:szCs w:val="20"/>
          <w:lang w:val="es-ES"/>
        </w:rPr>
        <w:t>, María</w:t>
      </w:r>
      <w:r w:rsidR="001A6E08" w:rsidRPr="00B44D5C">
        <w:rPr>
          <w:spacing w:val="-4"/>
          <w:szCs w:val="20"/>
          <w:lang w:val="es-ES"/>
        </w:rPr>
        <w:t xml:space="preserve"> Regina Pacheco</w:t>
      </w:r>
      <w:r w:rsidRPr="00B44D5C">
        <w:rPr>
          <w:spacing w:val="-4"/>
          <w:szCs w:val="20"/>
          <w:lang w:val="es-ES"/>
        </w:rPr>
        <w:t>, Francisco</w:t>
      </w:r>
      <w:r w:rsidR="001A6E08" w:rsidRPr="00B44D5C">
        <w:rPr>
          <w:spacing w:val="-4"/>
          <w:szCs w:val="20"/>
          <w:lang w:val="es-ES"/>
        </w:rPr>
        <w:t xml:space="preserve"> Pacheco</w:t>
      </w:r>
      <w:r w:rsidRPr="00B44D5C">
        <w:rPr>
          <w:spacing w:val="-4"/>
          <w:szCs w:val="20"/>
          <w:lang w:val="es-ES"/>
        </w:rPr>
        <w:t xml:space="preserve">, </w:t>
      </w:r>
      <w:r w:rsidR="001A6E08" w:rsidRPr="00B44D5C">
        <w:rPr>
          <w:spacing w:val="-4"/>
          <w:szCs w:val="20"/>
          <w:lang w:val="es-ES"/>
        </w:rPr>
        <w:t xml:space="preserve">Santos </w:t>
      </w:r>
      <w:r w:rsidR="00D7607F" w:rsidRPr="00B44D5C">
        <w:rPr>
          <w:spacing w:val="-4"/>
          <w:szCs w:val="20"/>
          <w:lang w:val="es-ES"/>
        </w:rPr>
        <w:t>N</w:t>
      </w:r>
      <w:r w:rsidRPr="00B44D5C">
        <w:rPr>
          <w:spacing w:val="-4"/>
          <w:szCs w:val="20"/>
          <w:lang w:val="es-ES"/>
        </w:rPr>
        <w:t>orma</w:t>
      </w:r>
      <w:r w:rsidR="001A6E08" w:rsidRPr="00B44D5C">
        <w:rPr>
          <w:spacing w:val="-4"/>
          <w:szCs w:val="20"/>
          <w:lang w:val="es-ES"/>
        </w:rPr>
        <w:t xml:space="preserve"> Pacheco</w:t>
      </w:r>
      <w:r w:rsidRPr="00B44D5C">
        <w:rPr>
          <w:spacing w:val="-4"/>
          <w:szCs w:val="20"/>
          <w:lang w:val="es-ES"/>
        </w:rPr>
        <w:t xml:space="preserve">, </w:t>
      </w:r>
      <w:proofErr w:type="spellStart"/>
      <w:r w:rsidRPr="00B44D5C">
        <w:rPr>
          <w:spacing w:val="-4"/>
          <w:szCs w:val="20"/>
          <w:lang w:val="es-ES"/>
        </w:rPr>
        <w:t>Marleny</w:t>
      </w:r>
      <w:proofErr w:type="spellEnd"/>
      <w:r w:rsidR="001A6E08" w:rsidRPr="00B44D5C">
        <w:rPr>
          <w:spacing w:val="-4"/>
          <w:szCs w:val="20"/>
          <w:lang w:val="es-ES"/>
        </w:rPr>
        <w:t xml:space="preserve"> Pacheco Posadas</w:t>
      </w:r>
      <w:r w:rsidRPr="00B44D5C">
        <w:rPr>
          <w:spacing w:val="-4"/>
          <w:szCs w:val="20"/>
          <w:lang w:val="es-ES"/>
        </w:rPr>
        <w:t xml:space="preserve">, </w:t>
      </w:r>
      <w:r w:rsidR="001A6E08" w:rsidRPr="00B44D5C">
        <w:rPr>
          <w:spacing w:val="-4"/>
          <w:szCs w:val="20"/>
          <w:lang w:val="es-ES"/>
        </w:rPr>
        <w:t xml:space="preserve">Elsa </w:t>
      </w:r>
      <w:r w:rsidR="000643CE" w:rsidRPr="00B44D5C">
        <w:rPr>
          <w:spacing w:val="-4"/>
          <w:szCs w:val="20"/>
          <w:lang w:val="es-ES"/>
        </w:rPr>
        <w:t>Y</w:t>
      </w:r>
      <w:r w:rsidRPr="00B44D5C">
        <w:rPr>
          <w:spacing w:val="-4"/>
          <w:szCs w:val="20"/>
          <w:lang w:val="es-ES"/>
        </w:rPr>
        <w:t>amileth</w:t>
      </w:r>
      <w:r w:rsidR="001A6E08" w:rsidRPr="00B44D5C">
        <w:rPr>
          <w:spacing w:val="-4"/>
          <w:szCs w:val="20"/>
          <w:lang w:val="es-ES"/>
        </w:rPr>
        <w:t xml:space="preserve"> </w:t>
      </w:r>
      <w:proofErr w:type="spellStart"/>
      <w:r w:rsidR="001A6E08" w:rsidRPr="00B44D5C">
        <w:rPr>
          <w:spacing w:val="-4"/>
          <w:szCs w:val="20"/>
          <w:lang w:val="es-ES"/>
        </w:rPr>
        <w:t>Almendarez</w:t>
      </w:r>
      <w:proofErr w:type="spellEnd"/>
      <w:r w:rsidR="001A6E08" w:rsidRPr="00B44D5C">
        <w:rPr>
          <w:spacing w:val="-4"/>
          <w:szCs w:val="20"/>
          <w:lang w:val="es-ES"/>
        </w:rPr>
        <w:t xml:space="preserve"> Pacheco</w:t>
      </w:r>
      <w:r w:rsidRPr="00B44D5C">
        <w:rPr>
          <w:spacing w:val="-4"/>
          <w:szCs w:val="20"/>
          <w:lang w:val="es-ES"/>
        </w:rPr>
        <w:t>, Jaqueline</w:t>
      </w:r>
      <w:r w:rsidR="001A6E08" w:rsidRPr="00B44D5C">
        <w:rPr>
          <w:spacing w:val="-4"/>
          <w:szCs w:val="20"/>
          <w:lang w:val="es-ES"/>
        </w:rPr>
        <w:t xml:space="preserve"> L. </w:t>
      </w:r>
      <w:proofErr w:type="spellStart"/>
      <w:r w:rsidR="001A6E08" w:rsidRPr="00B44D5C">
        <w:rPr>
          <w:spacing w:val="-4"/>
          <w:szCs w:val="20"/>
          <w:lang w:val="es-ES"/>
        </w:rPr>
        <w:t>Almendarez</w:t>
      </w:r>
      <w:proofErr w:type="spellEnd"/>
      <w:r w:rsidR="001A6E08" w:rsidRPr="00B44D5C">
        <w:rPr>
          <w:spacing w:val="-4"/>
          <w:szCs w:val="20"/>
          <w:lang w:val="es-ES"/>
        </w:rPr>
        <w:t xml:space="preserve"> Pacheco</w:t>
      </w:r>
      <w:r w:rsidRPr="00B44D5C">
        <w:rPr>
          <w:spacing w:val="-4"/>
          <w:szCs w:val="20"/>
          <w:lang w:val="es-ES"/>
        </w:rPr>
        <w:t xml:space="preserve"> y Jorge</w:t>
      </w:r>
      <w:r w:rsidR="001A6E08" w:rsidRPr="00B44D5C">
        <w:rPr>
          <w:spacing w:val="-4"/>
          <w:szCs w:val="20"/>
          <w:lang w:val="es-ES"/>
        </w:rPr>
        <w:t xml:space="preserve"> Pacheco</w:t>
      </w:r>
      <w:r w:rsidRPr="00B44D5C">
        <w:rPr>
          <w:spacing w:val="-4"/>
          <w:szCs w:val="20"/>
          <w:lang w:val="es-ES"/>
        </w:rPr>
        <w:t xml:space="preserve">, </w:t>
      </w:r>
      <w:r w:rsidR="004C3D00" w:rsidRPr="00B44D5C">
        <w:rPr>
          <w:spacing w:val="-4"/>
          <w:szCs w:val="20"/>
          <w:lang w:val="es-ES"/>
        </w:rPr>
        <w:t>y</w:t>
      </w:r>
      <w:r w:rsidRPr="00B44D5C">
        <w:rPr>
          <w:spacing w:val="-4"/>
          <w:szCs w:val="20"/>
          <w:lang w:val="es-ES"/>
        </w:rPr>
        <w:t xml:space="preserve"> sus hijos e hijas</w:t>
      </w:r>
      <w:r w:rsidR="004C3D00" w:rsidRPr="00B44D5C">
        <w:rPr>
          <w:spacing w:val="-4"/>
          <w:szCs w:val="20"/>
          <w:lang w:val="es-ES"/>
        </w:rPr>
        <w:t>,</w:t>
      </w:r>
      <w:r w:rsidRPr="00B44D5C">
        <w:rPr>
          <w:spacing w:val="-4"/>
          <w:szCs w:val="20"/>
          <w:lang w:val="es-ES"/>
        </w:rPr>
        <w:t xml:space="preserve"> </w:t>
      </w:r>
      <w:proofErr w:type="spellStart"/>
      <w:r w:rsidRPr="00B44D5C">
        <w:rPr>
          <w:spacing w:val="-4"/>
          <w:szCs w:val="20"/>
          <w:lang w:val="es-ES"/>
        </w:rPr>
        <w:t>Jimy</w:t>
      </w:r>
      <w:proofErr w:type="spellEnd"/>
      <w:r w:rsidR="00D7607F" w:rsidRPr="00B44D5C">
        <w:rPr>
          <w:spacing w:val="-4"/>
          <w:szCs w:val="20"/>
          <w:lang w:val="es-ES"/>
        </w:rPr>
        <w:t xml:space="preserve"> </w:t>
      </w:r>
      <w:r w:rsidR="001A6E08" w:rsidRPr="00B44D5C">
        <w:rPr>
          <w:spacing w:val="-4"/>
          <w:szCs w:val="20"/>
          <w:lang w:val="es-ES"/>
        </w:rPr>
        <w:t xml:space="preserve">Javier </w:t>
      </w:r>
      <w:r w:rsidRPr="00B44D5C">
        <w:rPr>
          <w:spacing w:val="-4"/>
          <w:szCs w:val="20"/>
          <w:lang w:val="es-ES"/>
        </w:rPr>
        <w:t>Pacheco</w:t>
      </w:r>
      <w:r w:rsidR="001A6E08" w:rsidRPr="00B44D5C">
        <w:rPr>
          <w:spacing w:val="-4"/>
          <w:szCs w:val="20"/>
          <w:lang w:val="es-ES"/>
        </w:rPr>
        <w:t xml:space="preserve"> Ortiz</w:t>
      </w:r>
      <w:r w:rsidRPr="00B44D5C">
        <w:rPr>
          <w:spacing w:val="-4"/>
          <w:szCs w:val="20"/>
          <w:lang w:val="es-ES"/>
        </w:rPr>
        <w:t xml:space="preserve">, Miguel </w:t>
      </w:r>
      <w:r w:rsidR="00E42760" w:rsidRPr="00B44D5C">
        <w:rPr>
          <w:spacing w:val="-4"/>
          <w:szCs w:val="20"/>
          <w:lang w:val="es-ES"/>
        </w:rPr>
        <w:t>Á</w:t>
      </w:r>
      <w:r w:rsidRPr="00B44D5C">
        <w:rPr>
          <w:spacing w:val="-4"/>
          <w:szCs w:val="20"/>
          <w:lang w:val="es-ES"/>
        </w:rPr>
        <w:t>ngel Pacheco</w:t>
      </w:r>
      <w:r w:rsidR="001A6E08" w:rsidRPr="00B44D5C">
        <w:rPr>
          <w:spacing w:val="-4"/>
          <w:szCs w:val="20"/>
          <w:lang w:val="es-ES"/>
        </w:rPr>
        <w:t xml:space="preserve"> </w:t>
      </w:r>
      <w:proofErr w:type="spellStart"/>
      <w:r w:rsidR="001A6E08" w:rsidRPr="00B44D5C">
        <w:rPr>
          <w:spacing w:val="-4"/>
          <w:szCs w:val="20"/>
          <w:lang w:val="es-ES"/>
        </w:rPr>
        <w:t>Devicente</w:t>
      </w:r>
      <w:proofErr w:type="spellEnd"/>
      <w:r w:rsidR="00D7607F" w:rsidRPr="00B44D5C">
        <w:rPr>
          <w:spacing w:val="-4"/>
          <w:szCs w:val="20"/>
          <w:lang w:val="es-ES"/>
        </w:rPr>
        <w:t>,</w:t>
      </w:r>
      <w:r w:rsidRPr="00B44D5C">
        <w:rPr>
          <w:spacing w:val="-4"/>
          <w:szCs w:val="20"/>
          <w:lang w:val="es-ES"/>
        </w:rPr>
        <w:t xml:space="preserve"> Cinthia</w:t>
      </w:r>
      <w:r w:rsidR="001A6E08" w:rsidRPr="00B44D5C">
        <w:rPr>
          <w:spacing w:val="-4"/>
          <w:szCs w:val="20"/>
          <w:lang w:val="es-ES"/>
        </w:rPr>
        <w:t xml:space="preserve"> </w:t>
      </w:r>
      <w:proofErr w:type="spellStart"/>
      <w:r w:rsidR="001A6E08" w:rsidRPr="00B44D5C">
        <w:rPr>
          <w:spacing w:val="-4"/>
          <w:szCs w:val="20"/>
          <w:lang w:val="es-ES"/>
        </w:rPr>
        <w:t>Mirella</w:t>
      </w:r>
      <w:proofErr w:type="spellEnd"/>
      <w:r w:rsidRPr="00B44D5C">
        <w:rPr>
          <w:spacing w:val="-4"/>
          <w:szCs w:val="20"/>
          <w:lang w:val="es-ES"/>
        </w:rPr>
        <w:t xml:space="preserve"> Pacheco </w:t>
      </w:r>
      <w:proofErr w:type="spellStart"/>
      <w:r w:rsidRPr="00B44D5C">
        <w:rPr>
          <w:spacing w:val="-4"/>
          <w:szCs w:val="20"/>
          <w:lang w:val="es-ES"/>
        </w:rPr>
        <w:t>Devicente</w:t>
      </w:r>
      <w:proofErr w:type="spellEnd"/>
      <w:r w:rsidRPr="00B44D5C">
        <w:rPr>
          <w:spacing w:val="-4"/>
          <w:szCs w:val="20"/>
          <w:lang w:val="es-ES"/>
        </w:rPr>
        <w:t xml:space="preserve">, Tania </w:t>
      </w:r>
      <w:r w:rsidR="001A6E08" w:rsidRPr="00B44D5C">
        <w:rPr>
          <w:spacing w:val="-4"/>
          <w:szCs w:val="20"/>
          <w:lang w:val="es-ES"/>
        </w:rPr>
        <w:t xml:space="preserve">Melissa </w:t>
      </w:r>
      <w:r w:rsidRPr="00B44D5C">
        <w:rPr>
          <w:spacing w:val="-4"/>
          <w:szCs w:val="20"/>
          <w:lang w:val="es-ES"/>
        </w:rPr>
        <w:t xml:space="preserve">Pacheco López, Juan </w:t>
      </w:r>
      <w:r w:rsidR="001A6E08" w:rsidRPr="00B44D5C">
        <w:rPr>
          <w:spacing w:val="-4"/>
          <w:szCs w:val="20"/>
          <w:lang w:val="es-ES"/>
        </w:rPr>
        <w:t xml:space="preserve">Carlos </w:t>
      </w:r>
      <w:r w:rsidRPr="00B44D5C">
        <w:rPr>
          <w:spacing w:val="-4"/>
          <w:szCs w:val="20"/>
          <w:lang w:val="es-ES"/>
        </w:rPr>
        <w:t xml:space="preserve">Pacheco </w:t>
      </w:r>
      <w:proofErr w:type="spellStart"/>
      <w:r w:rsidRPr="00B44D5C">
        <w:rPr>
          <w:spacing w:val="-4"/>
          <w:szCs w:val="20"/>
          <w:lang w:val="es-ES"/>
        </w:rPr>
        <w:t>Euceda</w:t>
      </w:r>
      <w:proofErr w:type="spellEnd"/>
      <w:r w:rsidRPr="00B44D5C">
        <w:rPr>
          <w:spacing w:val="-4"/>
          <w:szCs w:val="20"/>
          <w:lang w:val="es-ES"/>
        </w:rPr>
        <w:t xml:space="preserve"> y Bianca</w:t>
      </w:r>
      <w:r w:rsidR="001A6E08" w:rsidRPr="00B44D5C">
        <w:rPr>
          <w:spacing w:val="-4"/>
          <w:szCs w:val="20"/>
          <w:lang w:val="es-ES"/>
        </w:rPr>
        <w:t xml:space="preserve"> </w:t>
      </w:r>
      <w:proofErr w:type="spellStart"/>
      <w:r w:rsidR="001A6E08" w:rsidRPr="00B44D5C">
        <w:rPr>
          <w:spacing w:val="-4"/>
          <w:szCs w:val="20"/>
          <w:lang w:val="es-ES"/>
        </w:rPr>
        <w:t>Gisselle</w:t>
      </w:r>
      <w:proofErr w:type="spellEnd"/>
      <w:r w:rsidRPr="00B44D5C">
        <w:rPr>
          <w:spacing w:val="-4"/>
          <w:szCs w:val="20"/>
          <w:lang w:val="es-ES"/>
        </w:rPr>
        <w:t xml:space="preserve"> Pacheco Herrera.</w:t>
      </w:r>
    </w:p>
    <w:p w14:paraId="55D80238" w14:textId="66159EC8" w:rsidR="003D717E" w:rsidRPr="00B44D5C" w:rsidRDefault="003D717E" w:rsidP="00906F3F">
      <w:pPr>
        <w:pStyle w:val="NoSpacing"/>
        <w:numPr>
          <w:ilvl w:val="0"/>
          <w:numId w:val="4"/>
        </w:numPr>
        <w:tabs>
          <w:tab w:val="left" w:pos="-142"/>
        </w:tabs>
        <w:ind w:left="851" w:firstLine="0"/>
        <w:rPr>
          <w:spacing w:val="-4"/>
          <w:szCs w:val="20"/>
          <w:lang w:val="es-ES"/>
        </w:rPr>
      </w:pPr>
      <w:r w:rsidRPr="00B44D5C">
        <w:rPr>
          <w:i/>
          <w:spacing w:val="-4"/>
          <w:szCs w:val="20"/>
          <w:lang w:val="es-ES"/>
        </w:rPr>
        <w:t xml:space="preserve">Recomendaciones. - </w:t>
      </w:r>
      <w:r w:rsidRPr="00B44D5C">
        <w:rPr>
          <w:spacing w:val="-4"/>
          <w:szCs w:val="20"/>
          <w:lang w:val="es-ES"/>
        </w:rPr>
        <w:t>En consecuencia, la Comisión hizo al Estado una serie de recomendaciones:</w:t>
      </w:r>
    </w:p>
    <w:p w14:paraId="66794E26" w14:textId="77777777" w:rsidR="00E42760" w:rsidRPr="00B44D5C" w:rsidRDefault="00E42760" w:rsidP="00E42760">
      <w:pPr>
        <w:pStyle w:val="NoSpacing"/>
        <w:tabs>
          <w:tab w:val="left" w:pos="-142"/>
        </w:tabs>
        <w:ind w:left="851"/>
        <w:rPr>
          <w:spacing w:val="-4"/>
          <w:szCs w:val="20"/>
          <w:lang w:val="es-ES"/>
        </w:rPr>
      </w:pPr>
    </w:p>
    <w:p w14:paraId="5ADA0F1C" w14:textId="4A8D1556" w:rsidR="003D717E" w:rsidRPr="00B44D5C" w:rsidRDefault="003D717E" w:rsidP="00E42760">
      <w:pPr>
        <w:pStyle w:val="NoSpacing"/>
        <w:numPr>
          <w:ilvl w:val="0"/>
          <w:numId w:val="7"/>
        </w:numPr>
        <w:tabs>
          <w:tab w:val="left" w:pos="-142"/>
          <w:tab w:val="left" w:pos="1843"/>
        </w:tabs>
        <w:ind w:left="1134" w:right="674" w:firstLine="0"/>
        <w:rPr>
          <w:spacing w:val="-4"/>
          <w:sz w:val="16"/>
          <w:szCs w:val="16"/>
          <w:lang w:val="es-ES"/>
        </w:rPr>
      </w:pPr>
      <w:r w:rsidRPr="00B44D5C">
        <w:rPr>
          <w:spacing w:val="-4"/>
          <w:sz w:val="16"/>
          <w:szCs w:val="16"/>
          <w:lang w:val="es-ES"/>
        </w:rPr>
        <w:t>R</w:t>
      </w:r>
      <w:r w:rsidR="002916AF" w:rsidRPr="00B44D5C">
        <w:rPr>
          <w:spacing w:val="-4"/>
          <w:sz w:val="16"/>
          <w:szCs w:val="16"/>
          <w:lang w:val="es-ES"/>
        </w:rPr>
        <w:t>eparar adecuadamente las violaciones de derechos humanos declaradas en el […] informe tanto en el aspec</w:t>
      </w:r>
      <w:r w:rsidR="00E42760" w:rsidRPr="00B44D5C">
        <w:rPr>
          <w:spacing w:val="-4"/>
          <w:sz w:val="16"/>
          <w:szCs w:val="16"/>
          <w:lang w:val="es-ES"/>
        </w:rPr>
        <w:t>to material y moral, del señor Á</w:t>
      </w:r>
      <w:r w:rsidR="002916AF" w:rsidRPr="00B44D5C">
        <w:rPr>
          <w:spacing w:val="-4"/>
          <w:sz w:val="16"/>
          <w:szCs w:val="16"/>
          <w:lang w:val="es-ES"/>
        </w:rPr>
        <w:t>ngel Pacheco León</w:t>
      </w:r>
      <w:r w:rsidRPr="00B44D5C">
        <w:rPr>
          <w:spacing w:val="-4"/>
          <w:sz w:val="16"/>
          <w:szCs w:val="16"/>
          <w:lang w:val="es-ES"/>
        </w:rPr>
        <w:t>.</w:t>
      </w:r>
    </w:p>
    <w:p w14:paraId="7A828D2B" w14:textId="28F8496E" w:rsidR="002916AF" w:rsidRPr="00B44D5C" w:rsidRDefault="002916AF" w:rsidP="00E42760">
      <w:pPr>
        <w:pStyle w:val="NoSpacing"/>
        <w:numPr>
          <w:ilvl w:val="0"/>
          <w:numId w:val="7"/>
        </w:numPr>
        <w:tabs>
          <w:tab w:val="left" w:pos="-142"/>
          <w:tab w:val="left" w:pos="1843"/>
        </w:tabs>
        <w:ind w:left="1134" w:right="674" w:firstLine="0"/>
        <w:rPr>
          <w:spacing w:val="-4"/>
          <w:sz w:val="16"/>
          <w:szCs w:val="16"/>
          <w:lang w:val="es-ES"/>
        </w:rPr>
      </w:pPr>
      <w:r w:rsidRPr="00B44D5C">
        <w:rPr>
          <w:spacing w:val="-4"/>
          <w:sz w:val="16"/>
          <w:szCs w:val="16"/>
          <w:lang w:val="es-ES"/>
        </w:rPr>
        <w:t xml:space="preserve">Desarrollar y completar una investigación judicial imparcial, completa y efectiva, de manera expedita, con el objeto de establecer las circunstancias </w:t>
      </w:r>
      <w:r w:rsidR="00E42760" w:rsidRPr="00B44D5C">
        <w:rPr>
          <w:spacing w:val="-4"/>
          <w:sz w:val="16"/>
          <w:szCs w:val="16"/>
          <w:lang w:val="es-ES"/>
        </w:rPr>
        <w:t>en que resultó muerto el señor Á</w:t>
      </w:r>
      <w:r w:rsidRPr="00B44D5C">
        <w:rPr>
          <w:spacing w:val="-4"/>
          <w:sz w:val="16"/>
          <w:szCs w:val="16"/>
          <w:lang w:val="es-ES"/>
        </w:rPr>
        <w:t>ngel Pacheco León, identificar a todas las personas que participaron material o intelectualmente en los diferentes niveles de decisión y ejecución, esclarecer las estructuras de poder que participaron en la comisión de las violaciones ocurridas, y aplicar las sanciones que correspondan. En el marco de este proceso, corresponde al Estado adoptar todas las medidas para proteger a testigos y otros actores del proceso, en caso de que sea necesario.</w:t>
      </w:r>
    </w:p>
    <w:p w14:paraId="7D6EAF51" w14:textId="77777777" w:rsidR="002916AF" w:rsidRPr="00B44D5C" w:rsidRDefault="0055712F" w:rsidP="00E42760">
      <w:pPr>
        <w:pStyle w:val="NoSpacing"/>
        <w:numPr>
          <w:ilvl w:val="0"/>
          <w:numId w:val="7"/>
        </w:numPr>
        <w:tabs>
          <w:tab w:val="left" w:pos="-142"/>
          <w:tab w:val="left" w:pos="1843"/>
        </w:tabs>
        <w:ind w:left="1134" w:right="674" w:firstLine="0"/>
        <w:rPr>
          <w:spacing w:val="-4"/>
          <w:sz w:val="16"/>
          <w:szCs w:val="16"/>
          <w:lang w:val="es-ES"/>
        </w:rPr>
      </w:pPr>
      <w:r w:rsidRPr="00B44D5C">
        <w:rPr>
          <w:spacing w:val="-4"/>
          <w:sz w:val="16"/>
          <w:szCs w:val="16"/>
          <w:lang w:val="es-ES"/>
        </w:rPr>
        <w:t>Adoptar las medidas administrativas, disciplinarias o penales correspondientes para investigar y, en su caso, sancionar las acciones u omisi</w:t>
      </w:r>
      <w:r w:rsidR="006435F8" w:rsidRPr="00B44D5C">
        <w:rPr>
          <w:spacing w:val="-4"/>
          <w:sz w:val="16"/>
          <w:szCs w:val="16"/>
          <w:lang w:val="es-ES"/>
        </w:rPr>
        <w:t>o</w:t>
      </w:r>
      <w:r w:rsidRPr="00B44D5C">
        <w:rPr>
          <w:spacing w:val="-4"/>
          <w:sz w:val="16"/>
          <w:szCs w:val="16"/>
          <w:lang w:val="es-ES"/>
        </w:rPr>
        <w:t>nes de los funcionarios estatales que contribuyeron a la denegación de justicia e impunidad en la que se encuentran los hechos.</w:t>
      </w:r>
    </w:p>
    <w:p w14:paraId="1A48AAA4" w14:textId="77777777" w:rsidR="0070705A" w:rsidRPr="00B44D5C" w:rsidRDefault="0055712F" w:rsidP="00E42760">
      <w:pPr>
        <w:pStyle w:val="NoSpacing"/>
        <w:numPr>
          <w:ilvl w:val="0"/>
          <w:numId w:val="7"/>
        </w:numPr>
        <w:tabs>
          <w:tab w:val="left" w:pos="-142"/>
          <w:tab w:val="left" w:pos="1843"/>
        </w:tabs>
        <w:ind w:left="1134" w:right="674" w:firstLine="0"/>
        <w:rPr>
          <w:spacing w:val="-4"/>
          <w:sz w:val="16"/>
          <w:szCs w:val="16"/>
          <w:lang w:val="es-ES"/>
        </w:rPr>
      </w:pPr>
      <w:r w:rsidRPr="00B44D5C">
        <w:rPr>
          <w:spacing w:val="-4"/>
          <w:sz w:val="16"/>
          <w:szCs w:val="16"/>
          <w:lang w:val="es-ES"/>
        </w:rPr>
        <w:t xml:space="preserve">Tomando en cuenta la información sobre denuncias de amenazas en perjuicio de José Pacheco León y su familia, adoptar las medidas necesarias para investigar las posibles fuentes de riesgo y su </w:t>
      </w:r>
      <w:proofErr w:type="spellStart"/>
      <w:r w:rsidRPr="00B44D5C">
        <w:rPr>
          <w:spacing w:val="-4"/>
          <w:sz w:val="16"/>
          <w:szCs w:val="16"/>
          <w:lang w:val="es-ES"/>
        </w:rPr>
        <w:t>vinculaclión</w:t>
      </w:r>
      <w:proofErr w:type="spellEnd"/>
      <w:r w:rsidRPr="00B44D5C">
        <w:rPr>
          <w:spacing w:val="-4"/>
          <w:sz w:val="16"/>
          <w:szCs w:val="16"/>
          <w:lang w:val="es-ES"/>
        </w:rPr>
        <w:t xml:space="preserve"> con el presente caso.</w:t>
      </w:r>
    </w:p>
    <w:p w14:paraId="56B7EC6F" w14:textId="77777777" w:rsidR="00E42760" w:rsidRPr="00B44D5C" w:rsidRDefault="003529C4" w:rsidP="00E42760">
      <w:pPr>
        <w:pStyle w:val="NoSpacing"/>
        <w:numPr>
          <w:ilvl w:val="0"/>
          <w:numId w:val="7"/>
        </w:numPr>
        <w:tabs>
          <w:tab w:val="left" w:pos="-142"/>
          <w:tab w:val="left" w:pos="1843"/>
        </w:tabs>
        <w:ind w:left="1134" w:right="674" w:firstLine="0"/>
        <w:rPr>
          <w:b/>
          <w:spacing w:val="-4"/>
          <w:sz w:val="16"/>
          <w:szCs w:val="16"/>
          <w:lang w:val="es-ES"/>
        </w:rPr>
      </w:pPr>
      <w:r w:rsidRPr="00B44D5C">
        <w:rPr>
          <w:spacing w:val="-4"/>
          <w:sz w:val="16"/>
          <w:szCs w:val="16"/>
          <w:lang w:val="es-ES"/>
        </w:rPr>
        <w:t>Adoptar las medidas necesarias para evitar la repetición de los hechos del presente caso, incluyendo la dotación a los cuerpos de seguridad del Estado y a las instituciones a cargo de las</w:t>
      </w:r>
      <w:r w:rsidR="001A271A" w:rsidRPr="00B44D5C">
        <w:rPr>
          <w:spacing w:val="-4"/>
          <w:sz w:val="16"/>
          <w:szCs w:val="16"/>
          <w:lang w:val="es-ES"/>
        </w:rPr>
        <w:t xml:space="preserve"> </w:t>
      </w:r>
      <w:r w:rsidR="0055712F" w:rsidRPr="00B44D5C">
        <w:rPr>
          <w:spacing w:val="-4"/>
          <w:sz w:val="16"/>
          <w:szCs w:val="16"/>
          <w:lang w:val="es-ES"/>
        </w:rPr>
        <w:t>investigaci</w:t>
      </w:r>
      <w:r w:rsidR="00D7607F" w:rsidRPr="00B44D5C">
        <w:rPr>
          <w:spacing w:val="-4"/>
          <w:sz w:val="16"/>
          <w:szCs w:val="16"/>
          <w:lang w:val="es-ES"/>
        </w:rPr>
        <w:t>o</w:t>
      </w:r>
      <w:r w:rsidR="001A271A" w:rsidRPr="00B44D5C">
        <w:rPr>
          <w:spacing w:val="-4"/>
          <w:sz w:val="16"/>
          <w:szCs w:val="16"/>
          <w:lang w:val="es-ES"/>
        </w:rPr>
        <w:t>nes</w:t>
      </w:r>
      <w:r w:rsidR="0055712F" w:rsidRPr="00B44D5C">
        <w:rPr>
          <w:spacing w:val="-4"/>
          <w:sz w:val="16"/>
          <w:szCs w:val="16"/>
          <w:lang w:val="es-ES"/>
        </w:rPr>
        <w:t>, de los recursos materiales necesarios para ejercer sus respectivas funciones</w:t>
      </w:r>
      <w:r w:rsidR="00D7607F" w:rsidRPr="00B44D5C">
        <w:rPr>
          <w:spacing w:val="-4"/>
          <w:sz w:val="16"/>
          <w:szCs w:val="16"/>
          <w:lang w:val="es-ES"/>
        </w:rPr>
        <w:t>.</w:t>
      </w:r>
      <w:r w:rsidR="0055712F" w:rsidRPr="00B44D5C">
        <w:rPr>
          <w:spacing w:val="-4"/>
          <w:sz w:val="16"/>
          <w:szCs w:val="16"/>
          <w:lang w:val="es-ES"/>
        </w:rPr>
        <w:t xml:space="preserve"> Asimismo, diseñar e implementar materiales de formación y cursos permanentes sobre derechos humanos para funcionarios policiales, fiscales y judiciales, específicamente sobre los aspectos técnicos de investigación en casos de muertes violentas, a la luz de los estándares establecidos en el […] informe. </w:t>
      </w:r>
    </w:p>
    <w:p w14:paraId="70C724ED" w14:textId="68F635FD" w:rsidR="0070705A" w:rsidRPr="00B44D5C" w:rsidRDefault="003529C4" w:rsidP="00E42760">
      <w:pPr>
        <w:pStyle w:val="NoSpacing"/>
        <w:tabs>
          <w:tab w:val="left" w:pos="-142"/>
          <w:tab w:val="left" w:pos="1843"/>
        </w:tabs>
        <w:ind w:left="1134"/>
        <w:rPr>
          <w:b/>
          <w:spacing w:val="-4"/>
          <w:szCs w:val="20"/>
          <w:lang w:val="es-ES"/>
        </w:rPr>
      </w:pPr>
      <w:r w:rsidRPr="00B44D5C">
        <w:rPr>
          <w:b/>
          <w:spacing w:val="-4"/>
          <w:szCs w:val="20"/>
          <w:lang w:val="es-ES"/>
        </w:rPr>
        <w:t xml:space="preserve"> </w:t>
      </w:r>
    </w:p>
    <w:p w14:paraId="22E07FA7" w14:textId="74A36B0E" w:rsidR="003D717E" w:rsidRPr="00E42760" w:rsidRDefault="009E167B" w:rsidP="00906F3F">
      <w:pPr>
        <w:pStyle w:val="NoSpacing"/>
        <w:tabs>
          <w:tab w:val="left" w:pos="-142"/>
          <w:tab w:val="left" w:pos="1134"/>
        </w:tabs>
        <w:ind w:left="567"/>
        <w:rPr>
          <w:b/>
          <w:spacing w:val="-4"/>
          <w:szCs w:val="20"/>
          <w:lang w:val="es-ES"/>
        </w:rPr>
      </w:pPr>
      <w:r w:rsidRPr="00B44D5C">
        <w:rPr>
          <w:i/>
          <w:spacing w:val="-4"/>
          <w:szCs w:val="20"/>
          <w:lang w:val="es-ES"/>
        </w:rPr>
        <w:t xml:space="preserve">d) </w:t>
      </w:r>
      <w:r w:rsidR="003D717E" w:rsidRPr="00B44D5C">
        <w:rPr>
          <w:i/>
          <w:spacing w:val="-4"/>
          <w:szCs w:val="20"/>
          <w:lang w:val="es-ES"/>
        </w:rPr>
        <w:t xml:space="preserve">Notificación del </w:t>
      </w:r>
      <w:r w:rsidR="001F61CC" w:rsidRPr="00B44D5C">
        <w:rPr>
          <w:i/>
          <w:spacing w:val="-4"/>
          <w:szCs w:val="20"/>
          <w:lang w:val="es-ES"/>
        </w:rPr>
        <w:t>I</w:t>
      </w:r>
      <w:r w:rsidR="003D717E" w:rsidRPr="00B44D5C">
        <w:rPr>
          <w:i/>
          <w:spacing w:val="-4"/>
          <w:szCs w:val="20"/>
          <w:lang w:val="es-ES"/>
        </w:rPr>
        <w:t xml:space="preserve">nforme de </w:t>
      </w:r>
      <w:r w:rsidR="001F61CC" w:rsidRPr="00B44D5C">
        <w:rPr>
          <w:i/>
          <w:spacing w:val="-4"/>
          <w:szCs w:val="20"/>
          <w:lang w:val="es-ES"/>
        </w:rPr>
        <w:t>F</w:t>
      </w:r>
      <w:r w:rsidR="003D717E" w:rsidRPr="00B44D5C">
        <w:rPr>
          <w:i/>
          <w:spacing w:val="-4"/>
          <w:szCs w:val="20"/>
          <w:lang w:val="es-ES"/>
        </w:rPr>
        <w:t xml:space="preserve">ondo. </w:t>
      </w:r>
      <w:r w:rsidR="0050379E" w:rsidRPr="00B44D5C">
        <w:rPr>
          <w:i/>
          <w:spacing w:val="-4"/>
          <w:szCs w:val="20"/>
          <w:lang w:val="es-ES"/>
        </w:rPr>
        <w:t>–</w:t>
      </w:r>
      <w:r w:rsidR="003D717E" w:rsidRPr="00B44D5C">
        <w:rPr>
          <w:i/>
          <w:spacing w:val="-4"/>
          <w:szCs w:val="20"/>
          <w:lang w:val="es-ES"/>
        </w:rPr>
        <w:t xml:space="preserve"> </w:t>
      </w:r>
      <w:r w:rsidR="003D717E" w:rsidRPr="00B44D5C">
        <w:rPr>
          <w:spacing w:val="-4"/>
          <w:szCs w:val="20"/>
          <w:lang w:val="es-ES"/>
        </w:rPr>
        <w:t>E</w:t>
      </w:r>
      <w:r w:rsidR="0050379E" w:rsidRPr="00B44D5C">
        <w:rPr>
          <w:spacing w:val="-4"/>
          <w:szCs w:val="20"/>
          <w:lang w:val="es-ES"/>
        </w:rPr>
        <w:t>n su escrito de sometimiento, la Comisión indicó que e</w:t>
      </w:r>
      <w:r w:rsidR="003D717E" w:rsidRPr="00B44D5C">
        <w:rPr>
          <w:spacing w:val="-4"/>
          <w:szCs w:val="20"/>
          <w:lang w:val="es-ES"/>
        </w:rPr>
        <w:t>l Informe de Fondo fue notificado al Est</w:t>
      </w:r>
      <w:r w:rsidR="0055712F" w:rsidRPr="00B44D5C">
        <w:rPr>
          <w:spacing w:val="-4"/>
          <w:szCs w:val="20"/>
          <w:lang w:val="es-ES"/>
        </w:rPr>
        <w:t>ado el 13 de agosto de 2015</w:t>
      </w:r>
      <w:r w:rsidR="003D717E" w:rsidRPr="00B44D5C">
        <w:rPr>
          <w:spacing w:val="-4"/>
          <w:szCs w:val="20"/>
          <w:lang w:val="es-ES"/>
        </w:rPr>
        <w:t xml:space="preserve"> y se le otorgó un plazo de dos meses </w:t>
      </w:r>
      <w:r w:rsidR="003D717E" w:rsidRPr="00B44D5C">
        <w:rPr>
          <w:spacing w:val="-4"/>
          <w:szCs w:val="20"/>
          <w:lang w:val="es-ES" w:eastAsia="es-CR"/>
        </w:rPr>
        <w:t>para informar sobre el cumplimiento de las recomendaciones.</w:t>
      </w:r>
      <w:r w:rsidR="003D717E" w:rsidRPr="00B44D5C">
        <w:rPr>
          <w:spacing w:val="-4"/>
          <w:szCs w:val="20"/>
          <w:lang w:val="es-ES"/>
        </w:rPr>
        <w:t xml:space="preserve"> </w:t>
      </w:r>
      <w:r w:rsidR="003D717E" w:rsidRPr="00B44D5C">
        <w:rPr>
          <w:bCs/>
          <w:spacing w:val="-4"/>
          <w:szCs w:val="20"/>
          <w:lang w:val="es-ES" w:eastAsia="es-CR"/>
        </w:rPr>
        <w:t>E</w:t>
      </w:r>
      <w:r w:rsidR="0055712F" w:rsidRPr="00B44D5C">
        <w:rPr>
          <w:spacing w:val="-4"/>
          <w:szCs w:val="20"/>
          <w:lang w:val="es-ES" w:eastAsia="es-CR"/>
        </w:rPr>
        <w:t>l Estado presentó una primera comunicación en la que expresó su interés de iniciar un diálogo con los representantes, y después solicitó una prórroga para presentar información sobre las recomendaciones</w:t>
      </w:r>
      <w:r w:rsidR="003D717E" w:rsidRPr="00B44D5C">
        <w:rPr>
          <w:spacing w:val="-4"/>
          <w:szCs w:val="20"/>
          <w:lang w:val="es-ES"/>
        </w:rPr>
        <w:t xml:space="preserve">. </w:t>
      </w:r>
      <w:r w:rsidR="00145B08" w:rsidRPr="00B44D5C">
        <w:rPr>
          <w:spacing w:val="-4"/>
          <w:szCs w:val="20"/>
          <w:lang w:val="es-ES"/>
        </w:rPr>
        <w:t xml:space="preserve">Ante la solicitud de los peticionarios de que se enviara el caso a la Corte, el Estado presentó un nuevo escrito en el que indicó que no incurrió en violación de ciertas disposiciones de la Convención. </w:t>
      </w:r>
      <w:r w:rsidR="0050379E" w:rsidRPr="00B44D5C">
        <w:rPr>
          <w:spacing w:val="-4"/>
          <w:szCs w:val="20"/>
          <w:lang w:val="es-ES"/>
        </w:rPr>
        <w:t>La Comisión consideró que e</w:t>
      </w:r>
      <w:r w:rsidR="00145B08" w:rsidRPr="00B44D5C">
        <w:rPr>
          <w:spacing w:val="-4"/>
          <w:szCs w:val="20"/>
          <w:lang w:val="es-ES"/>
        </w:rPr>
        <w:t>l Estado no presentó información concreta sobre avances en el cumplimiento de las recomendaciones ni solicitó una prórroga, con la renuncia reglamentarias respectiva, para tales efectos.</w:t>
      </w:r>
      <w:r w:rsidR="00145B08" w:rsidRPr="00E42760">
        <w:rPr>
          <w:spacing w:val="-4"/>
          <w:szCs w:val="20"/>
          <w:lang w:val="es-ES"/>
        </w:rPr>
        <w:t xml:space="preserve"> </w:t>
      </w:r>
    </w:p>
    <w:p w14:paraId="198DDE58" w14:textId="77777777" w:rsidR="003D717E" w:rsidRPr="004A0940" w:rsidRDefault="003D717E" w:rsidP="00906F3F">
      <w:pPr>
        <w:pStyle w:val="NoSpacing"/>
        <w:tabs>
          <w:tab w:val="left" w:pos="0"/>
        </w:tabs>
        <w:rPr>
          <w:b/>
          <w:spacing w:val="-4"/>
          <w:lang w:val="es-ES"/>
        </w:rPr>
      </w:pPr>
    </w:p>
    <w:p w14:paraId="7297A40B" w14:textId="7AAA6528" w:rsidR="003D717E" w:rsidRPr="00C011CF" w:rsidRDefault="003D717E" w:rsidP="00906F3F">
      <w:pPr>
        <w:pStyle w:val="PrrafodeSentencia"/>
        <w:tabs>
          <w:tab w:val="clear" w:pos="567"/>
          <w:tab w:val="left" w:pos="0"/>
        </w:tabs>
        <w:ind w:left="0" w:firstLine="0"/>
        <w:rPr>
          <w:b/>
          <w:szCs w:val="20"/>
          <w:lang w:val="es-ES_tradnl"/>
        </w:rPr>
      </w:pPr>
      <w:r w:rsidRPr="00C011CF">
        <w:rPr>
          <w:i/>
          <w:szCs w:val="20"/>
        </w:rPr>
        <w:lastRenderedPageBreak/>
        <w:t xml:space="preserve">Sometimiento a la Corte.- </w:t>
      </w:r>
      <w:r w:rsidR="00145B08" w:rsidRPr="00C011CF">
        <w:rPr>
          <w:szCs w:val="20"/>
        </w:rPr>
        <w:t>El 13 de noviembre de 2015</w:t>
      </w:r>
      <w:r w:rsidRPr="00C011CF">
        <w:rPr>
          <w:szCs w:val="20"/>
        </w:rPr>
        <w:t xml:space="preserve"> la Comisión sometió </w:t>
      </w:r>
      <w:r w:rsidR="00145B08" w:rsidRPr="00C011CF">
        <w:rPr>
          <w:szCs w:val="20"/>
        </w:rPr>
        <w:t>a la jurisdicción de la Co</w:t>
      </w:r>
      <w:r w:rsidR="001A271A">
        <w:rPr>
          <w:szCs w:val="20"/>
        </w:rPr>
        <w:t xml:space="preserve">rte la totalidad de los hechos </w:t>
      </w:r>
      <w:r w:rsidR="00145B08" w:rsidRPr="00C011CF">
        <w:rPr>
          <w:szCs w:val="20"/>
        </w:rPr>
        <w:t>y violaciones de derechos humanos descr</w:t>
      </w:r>
      <w:r w:rsidR="001A271A">
        <w:rPr>
          <w:szCs w:val="20"/>
        </w:rPr>
        <w:t xml:space="preserve">itos en el Informe </w:t>
      </w:r>
      <w:r w:rsidR="00145B08" w:rsidRPr="00C011CF">
        <w:rPr>
          <w:szCs w:val="20"/>
        </w:rPr>
        <w:t>49/15</w:t>
      </w:r>
      <w:r w:rsidR="00FB0007" w:rsidRPr="005D079B">
        <w:rPr>
          <w:rStyle w:val="FootnoteReference"/>
          <w:sz w:val="20"/>
          <w:szCs w:val="20"/>
        </w:rPr>
        <w:footnoteReference w:id="4"/>
      </w:r>
      <w:r w:rsidR="00145B08" w:rsidRPr="0095412C">
        <w:rPr>
          <w:szCs w:val="20"/>
        </w:rPr>
        <w:t>.</w:t>
      </w:r>
      <w:r w:rsidR="00145B08" w:rsidRPr="00C011CF">
        <w:rPr>
          <w:szCs w:val="20"/>
        </w:rPr>
        <w:t xml:space="preserve"> </w:t>
      </w:r>
    </w:p>
    <w:p w14:paraId="3E7D1E2D" w14:textId="77777777" w:rsidR="003D717E" w:rsidRPr="00C011CF" w:rsidRDefault="003D717E" w:rsidP="00906F3F">
      <w:pPr>
        <w:pStyle w:val="NoSpacing"/>
        <w:tabs>
          <w:tab w:val="left" w:pos="0"/>
        </w:tabs>
        <w:rPr>
          <w:b/>
          <w:spacing w:val="-4"/>
          <w:szCs w:val="20"/>
          <w:lang w:val="es-ES"/>
        </w:rPr>
      </w:pPr>
    </w:p>
    <w:p w14:paraId="60FB78A4" w14:textId="157A6D1C" w:rsidR="003D717E" w:rsidRPr="00C011CF" w:rsidRDefault="003D717E" w:rsidP="00906F3F">
      <w:pPr>
        <w:pStyle w:val="PrrafodeSentencia"/>
        <w:tabs>
          <w:tab w:val="clear" w:pos="567"/>
          <w:tab w:val="left" w:pos="0"/>
        </w:tabs>
        <w:ind w:left="0" w:firstLine="0"/>
        <w:rPr>
          <w:b/>
          <w:szCs w:val="20"/>
        </w:rPr>
      </w:pPr>
      <w:r w:rsidRPr="00C011CF">
        <w:rPr>
          <w:i/>
          <w:szCs w:val="20"/>
        </w:rPr>
        <w:t>Solicitudes d</w:t>
      </w:r>
      <w:r w:rsidR="0040198B" w:rsidRPr="00C011CF">
        <w:rPr>
          <w:i/>
          <w:szCs w:val="20"/>
        </w:rPr>
        <w:t>e la Comisión Interamericana.</w:t>
      </w:r>
      <w:r w:rsidR="00D7607F" w:rsidRPr="00C011CF">
        <w:rPr>
          <w:i/>
          <w:szCs w:val="20"/>
        </w:rPr>
        <w:t>-</w:t>
      </w:r>
      <w:r w:rsidR="000361E9">
        <w:rPr>
          <w:i/>
          <w:szCs w:val="20"/>
        </w:rPr>
        <w:t xml:space="preserve"> </w:t>
      </w:r>
      <w:r w:rsidR="003529C4">
        <w:rPr>
          <w:szCs w:val="20"/>
        </w:rPr>
        <w:t>L</w:t>
      </w:r>
      <w:r w:rsidRPr="00C011CF">
        <w:rPr>
          <w:szCs w:val="20"/>
        </w:rPr>
        <w:t>a Comisión solicitó a este Tribunal que concluyera y declarara la responsabilidad internacional de Honduras por las violaciones contenidas en su Informe de Fondo y que se ordenara al Estado, como medidas de reparación, las recomendaciones incluidas en dicho informe (</w:t>
      </w:r>
      <w:r w:rsidRPr="00727822">
        <w:rPr>
          <w:i/>
          <w:szCs w:val="20"/>
        </w:rPr>
        <w:t>supra</w:t>
      </w:r>
      <w:r w:rsidRPr="00C011CF">
        <w:rPr>
          <w:szCs w:val="20"/>
        </w:rPr>
        <w:t xml:space="preserve"> párr.</w:t>
      </w:r>
      <w:r w:rsidR="006B3D06" w:rsidRPr="00C011CF">
        <w:rPr>
          <w:szCs w:val="20"/>
        </w:rPr>
        <w:t xml:space="preserve"> </w:t>
      </w:r>
      <w:r w:rsidR="0062281D">
        <w:rPr>
          <w:szCs w:val="20"/>
        </w:rPr>
        <w:t>2</w:t>
      </w:r>
      <w:r w:rsidRPr="00C011CF">
        <w:rPr>
          <w:szCs w:val="20"/>
        </w:rPr>
        <w:t>).</w:t>
      </w:r>
    </w:p>
    <w:p w14:paraId="2A5012AE" w14:textId="77777777" w:rsidR="003D717E" w:rsidRPr="00C011CF" w:rsidRDefault="003D717E" w:rsidP="003D717E">
      <w:pPr>
        <w:pStyle w:val="NoSpacing"/>
        <w:tabs>
          <w:tab w:val="left" w:pos="567"/>
        </w:tabs>
        <w:rPr>
          <w:b/>
          <w:spacing w:val="-4"/>
          <w:szCs w:val="20"/>
          <w:lang w:val="es-ES"/>
        </w:rPr>
      </w:pPr>
    </w:p>
    <w:p w14:paraId="5CE974A7" w14:textId="77777777" w:rsidR="003D717E" w:rsidRPr="00C011CF" w:rsidRDefault="003D717E" w:rsidP="00D60E39">
      <w:pPr>
        <w:pStyle w:val="Heading1"/>
        <w:rPr>
          <w:spacing w:val="-4"/>
          <w:szCs w:val="20"/>
        </w:rPr>
      </w:pPr>
      <w:bookmarkStart w:id="56" w:name="_Toc424834680"/>
      <w:bookmarkStart w:id="57" w:name="_Toc427932786"/>
      <w:bookmarkStart w:id="58" w:name="_Toc431584603"/>
      <w:bookmarkStart w:id="59" w:name="_Toc434850391"/>
      <w:bookmarkStart w:id="60" w:name="_Toc480741956"/>
      <w:bookmarkStart w:id="61" w:name="_Toc480742199"/>
      <w:bookmarkStart w:id="62" w:name="_Toc488134419"/>
      <w:bookmarkStart w:id="63" w:name="_Toc489523879"/>
      <w:bookmarkStart w:id="64" w:name="_Toc493512877"/>
      <w:bookmarkStart w:id="65" w:name="_Toc498512798"/>
      <w:r w:rsidRPr="00C011CF">
        <w:rPr>
          <w:spacing w:val="-4"/>
          <w:szCs w:val="20"/>
        </w:rPr>
        <w:t>II</w:t>
      </w:r>
      <w:bookmarkEnd w:id="56"/>
      <w:bookmarkEnd w:id="57"/>
      <w:bookmarkEnd w:id="58"/>
      <w:bookmarkEnd w:id="59"/>
      <w:bookmarkEnd w:id="60"/>
      <w:bookmarkEnd w:id="61"/>
      <w:bookmarkEnd w:id="62"/>
      <w:bookmarkEnd w:id="63"/>
      <w:bookmarkEnd w:id="64"/>
      <w:bookmarkEnd w:id="65"/>
    </w:p>
    <w:p w14:paraId="032D0389" w14:textId="77777777" w:rsidR="003D717E" w:rsidRPr="00C011CF" w:rsidRDefault="003D717E" w:rsidP="00D60E39">
      <w:pPr>
        <w:pStyle w:val="Heading1"/>
        <w:rPr>
          <w:spacing w:val="-4"/>
          <w:szCs w:val="20"/>
        </w:rPr>
      </w:pPr>
      <w:bookmarkStart w:id="66" w:name="_Toc424833997"/>
      <w:bookmarkStart w:id="67" w:name="_Toc424834681"/>
      <w:bookmarkStart w:id="68" w:name="_Toc424834748"/>
      <w:bookmarkStart w:id="69" w:name="_Toc427342825"/>
      <w:bookmarkStart w:id="70" w:name="_Toc427663811"/>
      <w:bookmarkStart w:id="71" w:name="_Toc427932787"/>
      <w:bookmarkStart w:id="72" w:name="_Toc427943550"/>
      <w:bookmarkStart w:id="73" w:name="_Toc427943724"/>
      <w:bookmarkStart w:id="74" w:name="_Toc431584604"/>
      <w:bookmarkStart w:id="75" w:name="_Toc431584720"/>
      <w:bookmarkStart w:id="76" w:name="_Toc431585025"/>
      <w:bookmarkStart w:id="77" w:name="_Toc431646542"/>
      <w:bookmarkStart w:id="78" w:name="_Toc431834525"/>
      <w:bookmarkStart w:id="79" w:name="_Toc431834621"/>
      <w:bookmarkStart w:id="80" w:name="_Toc308537926"/>
      <w:bookmarkStart w:id="81" w:name="_Toc308538146"/>
      <w:bookmarkStart w:id="82" w:name="_Toc434849913"/>
      <w:bookmarkStart w:id="83" w:name="_Toc434850392"/>
      <w:bookmarkStart w:id="84" w:name="_Toc488134420"/>
      <w:bookmarkStart w:id="85" w:name="_Toc489523880"/>
      <w:bookmarkStart w:id="86" w:name="_Toc493512878"/>
      <w:bookmarkStart w:id="87" w:name="_Toc498512799"/>
      <w:r w:rsidRPr="00C011CF">
        <w:rPr>
          <w:spacing w:val="-4"/>
          <w:szCs w:val="20"/>
        </w:rPr>
        <w:t>PROCEDIMIENTO ANTE LA CORTE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0ED6294" w14:textId="77777777" w:rsidR="003D717E" w:rsidRPr="00C011CF" w:rsidRDefault="003D717E" w:rsidP="003D717E">
      <w:pPr>
        <w:rPr>
          <w:spacing w:val="-4"/>
          <w:szCs w:val="20"/>
        </w:rPr>
      </w:pPr>
    </w:p>
    <w:p w14:paraId="5DEBB05E" w14:textId="0552006E" w:rsidR="003D717E" w:rsidRPr="00C011CF" w:rsidRDefault="003D717E" w:rsidP="000619A5">
      <w:pPr>
        <w:pStyle w:val="PrrafodeSentencia"/>
        <w:tabs>
          <w:tab w:val="clear" w:pos="567"/>
          <w:tab w:val="left" w:pos="0"/>
        </w:tabs>
        <w:ind w:left="0" w:firstLine="0"/>
        <w:rPr>
          <w:szCs w:val="20"/>
        </w:rPr>
      </w:pPr>
      <w:bookmarkStart w:id="88" w:name="_Ref357172062"/>
      <w:bookmarkStart w:id="89" w:name="_Ref343555499"/>
      <w:r w:rsidRPr="00C011CF">
        <w:rPr>
          <w:i/>
          <w:szCs w:val="20"/>
        </w:rPr>
        <w:t xml:space="preserve">Notificación al Estado y a los representantes.- </w:t>
      </w:r>
      <w:r w:rsidRPr="00C011CF">
        <w:rPr>
          <w:szCs w:val="20"/>
        </w:rPr>
        <w:t>El sometimiento del caso fue notificado a los representantes de las p</w:t>
      </w:r>
      <w:r w:rsidR="00923B1D">
        <w:rPr>
          <w:szCs w:val="20"/>
        </w:rPr>
        <w:t>ersonas indicadas como</w:t>
      </w:r>
      <w:r w:rsidRPr="00C011CF">
        <w:rPr>
          <w:szCs w:val="20"/>
        </w:rPr>
        <w:t xml:space="preserve"> vícti</w:t>
      </w:r>
      <w:r w:rsidR="0040198B" w:rsidRPr="00C011CF">
        <w:rPr>
          <w:szCs w:val="20"/>
        </w:rPr>
        <w:t>mas</w:t>
      </w:r>
      <w:r w:rsidR="00FB0007">
        <w:rPr>
          <w:szCs w:val="20"/>
        </w:rPr>
        <w:t xml:space="preserve"> (en adelante “los representantes”)</w:t>
      </w:r>
      <w:r w:rsidR="0040198B" w:rsidRPr="00C011CF">
        <w:rPr>
          <w:szCs w:val="20"/>
        </w:rPr>
        <w:t xml:space="preserve"> y al Estado el 19</w:t>
      </w:r>
      <w:r w:rsidR="004B74B3" w:rsidRPr="00C011CF">
        <w:rPr>
          <w:szCs w:val="20"/>
        </w:rPr>
        <w:t xml:space="preserve"> </w:t>
      </w:r>
      <w:r w:rsidR="00D339AC" w:rsidRPr="00C011CF">
        <w:rPr>
          <w:szCs w:val="20"/>
        </w:rPr>
        <w:t>de enero</w:t>
      </w:r>
      <w:r w:rsidRPr="00C011CF">
        <w:rPr>
          <w:szCs w:val="20"/>
        </w:rPr>
        <w:t xml:space="preserve"> de 201</w:t>
      </w:r>
      <w:bookmarkEnd w:id="88"/>
      <w:r w:rsidR="00D339AC" w:rsidRPr="00C011CF">
        <w:rPr>
          <w:szCs w:val="20"/>
        </w:rPr>
        <w:t>6</w:t>
      </w:r>
      <w:r w:rsidRPr="00C011CF">
        <w:rPr>
          <w:szCs w:val="20"/>
        </w:rPr>
        <w:t xml:space="preserve">, respectivamente. </w:t>
      </w:r>
      <w:bookmarkEnd w:id="89"/>
    </w:p>
    <w:p w14:paraId="35D9E695" w14:textId="77777777" w:rsidR="003D717E" w:rsidRPr="004A0940" w:rsidRDefault="003D717E" w:rsidP="000619A5">
      <w:pPr>
        <w:pStyle w:val="PrrafodeSentencia"/>
        <w:numPr>
          <w:ilvl w:val="0"/>
          <w:numId w:val="0"/>
        </w:numPr>
        <w:tabs>
          <w:tab w:val="clear" w:pos="567"/>
          <w:tab w:val="left" w:pos="0"/>
        </w:tabs>
      </w:pPr>
    </w:p>
    <w:p w14:paraId="036FB335" w14:textId="675E9A9E" w:rsidR="003D717E" w:rsidRPr="00C011CF" w:rsidRDefault="003D717E" w:rsidP="000619A5">
      <w:pPr>
        <w:pStyle w:val="PrrafodeSentencia"/>
        <w:tabs>
          <w:tab w:val="clear" w:pos="567"/>
          <w:tab w:val="left" w:pos="0"/>
        </w:tabs>
        <w:ind w:left="0" w:firstLine="0"/>
        <w:rPr>
          <w:szCs w:val="20"/>
        </w:rPr>
      </w:pPr>
      <w:bookmarkStart w:id="90" w:name="_Ref308343867"/>
      <w:bookmarkStart w:id="91" w:name="_Ref357172044"/>
      <w:r w:rsidRPr="00C011CF">
        <w:rPr>
          <w:i/>
          <w:szCs w:val="20"/>
        </w:rPr>
        <w:t>Escrito de solicitudes, argumento</w:t>
      </w:r>
      <w:r w:rsidR="001A271A">
        <w:rPr>
          <w:i/>
          <w:szCs w:val="20"/>
        </w:rPr>
        <w:t>s</w:t>
      </w:r>
      <w:r w:rsidRPr="00C011CF">
        <w:rPr>
          <w:i/>
          <w:szCs w:val="20"/>
        </w:rPr>
        <w:t xml:space="preserve"> y pruebas.- </w:t>
      </w:r>
      <w:r w:rsidR="00D339AC" w:rsidRPr="00C011CF">
        <w:rPr>
          <w:szCs w:val="20"/>
        </w:rPr>
        <w:t>El 18 de marzo de 2016</w:t>
      </w:r>
      <w:r w:rsidRPr="00C011CF">
        <w:rPr>
          <w:szCs w:val="20"/>
        </w:rPr>
        <w:t xml:space="preserve"> el </w:t>
      </w:r>
      <w:r w:rsidR="00D339AC" w:rsidRPr="00C011CF">
        <w:rPr>
          <w:szCs w:val="20"/>
        </w:rPr>
        <w:t>Comité de Familiares de Detenidos y Desaparecidos en Honduras (COFADEH</w:t>
      </w:r>
      <w:r w:rsidRPr="00C011CF">
        <w:rPr>
          <w:szCs w:val="20"/>
        </w:rPr>
        <w:t>) (en adelante “</w:t>
      </w:r>
      <w:r w:rsidR="00797862" w:rsidRPr="00C011CF">
        <w:rPr>
          <w:szCs w:val="20"/>
        </w:rPr>
        <w:t>los representantes”)</w:t>
      </w:r>
      <w:r w:rsidR="00D16DD2">
        <w:rPr>
          <w:szCs w:val="20"/>
        </w:rPr>
        <w:t>,</w:t>
      </w:r>
      <w:r w:rsidR="00797862" w:rsidRPr="00C011CF">
        <w:rPr>
          <w:szCs w:val="20"/>
        </w:rPr>
        <w:t xml:space="preserve"> </w:t>
      </w:r>
      <w:r w:rsidR="00D339AC" w:rsidRPr="00C011CF">
        <w:rPr>
          <w:szCs w:val="20"/>
        </w:rPr>
        <w:t>con el apoyo de Abogados sin Fronteras Canadá (ASFC)</w:t>
      </w:r>
      <w:r w:rsidR="00D16DD2">
        <w:rPr>
          <w:szCs w:val="20"/>
        </w:rPr>
        <w:t>,</w:t>
      </w:r>
      <w:r w:rsidR="00D339AC" w:rsidRPr="00C011CF">
        <w:rPr>
          <w:szCs w:val="20"/>
        </w:rPr>
        <w:t xml:space="preserve"> </w:t>
      </w:r>
      <w:r w:rsidR="00797862" w:rsidRPr="00C011CF">
        <w:rPr>
          <w:szCs w:val="20"/>
        </w:rPr>
        <w:t>presentó</w:t>
      </w:r>
      <w:r w:rsidRPr="00C011CF">
        <w:rPr>
          <w:szCs w:val="20"/>
        </w:rPr>
        <w:t xml:space="preserve"> su escrito de solicitudes, argumentos y pruebas (en adelante “escrito de solicitudes y argumentos”), conforme a los artículos 25 y 40 del Reglamento de la Corte. Los representantes solicitaron a la Corte que declarara la responsabilidad internacional del Estado por la violación de los mismos artículos alegados por la Comisión</w:t>
      </w:r>
      <w:r w:rsidR="00B07DF7">
        <w:rPr>
          <w:szCs w:val="20"/>
        </w:rPr>
        <w:t xml:space="preserve"> </w:t>
      </w:r>
      <w:r w:rsidR="004732B3" w:rsidRPr="0034037F">
        <w:rPr>
          <w:szCs w:val="20"/>
        </w:rPr>
        <w:t xml:space="preserve">y además </w:t>
      </w:r>
      <w:r w:rsidR="00B07DF7" w:rsidRPr="0034037F">
        <w:rPr>
          <w:szCs w:val="20"/>
        </w:rPr>
        <w:t>el artículo 2 de la Convención Americana</w:t>
      </w:r>
      <w:r w:rsidR="003529C4" w:rsidRPr="0034037F">
        <w:rPr>
          <w:szCs w:val="20"/>
        </w:rPr>
        <w:t>,</w:t>
      </w:r>
      <w:r w:rsidR="003529C4">
        <w:rPr>
          <w:szCs w:val="20"/>
        </w:rPr>
        <w:t xml:space="preserve"> así como que</w:t>
      </w:r>
      <w:r w:rsidRPr="00C011CF">
        <w:rPr>
          <w:szCs w:val="20"/>
        </w:rPr>
        <w:t xml:space="preserve"> se ordenara a</w:t>
      </w:r>
      <w:r w:rsidR="003529C4">
        <w:rPr>
          <w:szCs w:val="20"/>
        </w:rPr>
        <w:t xml:space="preserve"> Honduras</w:t>
      </w:r>
      <w:r w:rsidRPr="00C011CF">
        <w:rPr>
          <w:szCs w:val="20"/>
        </w:rPr>
        <w:t xml:space="preserve"> adoptar diversas medidas de reparación y el reintegro de determinadas costas y gastos.</w:t>
      </w:r>
      <w:bookmarkEnd w:id="90"/>
      <w:r w:rsidRPr="00C011CF">
        <w:rPr>
          <w:szCs w:val="20"/>
        </w:rPr>
        <w:t xml:space="preserve"> </w:t>
      </w:r>
      <w:bookmarkEnd w:id="91"/>
    </w:p>
    <w:p w14:paraId="6F3A99E5" w14:textId="77777777" w:rsidR="003D717E" w:rsidRPr="00C011CF" w:rsidRDefault="003D717E" w:rsidP="000619A5">
      <w:pPr>
        <w:pStyle w:val="PrrafodeSentencia"/>
        <w:numPr>
          <w:ilvl w:val="0"/>
          <w:numId w:val="0"/>
        </w:numPr>
        <w:tabs>
          <w:tab w:val="clear" w:pos="567"/>
          <w:tab w:val="left" w:pos="0"/>
        </w:tabs>
        <w:rPr>
          <w:szCs w:val="20"/>
        </w:rPr>
      </w:pPr>
    </w:p>
    <w:p w14:paraId="362ED563" w14:textId="69EDD3F9" w:rsidR="000619A5" w:rsidRDefault="003D717E" w:rsidP="002D5A5C">
      <w:pPr>
        <w:pStyle w:val="PrrafodeSentencia"/>
        <w:tabs>
          <w:tab w:val="clear" w:pos="567"/>
          <w:tab w:val="left" w:pos="0"/>
        </w:tabs>
        <w:ind w:left="0" w:firstLine="0"/>
        <w:rPr>
          <w:i/>
          <w:szCs w:val="20"/>
        </w:rPr>
      </w:pPr>
      <w:bookmarkStart w:id="92" w:name="_Ref308343874"/>
      <w:r w:rsidRPr="00C011CF">
        <w:rPr>
          <w:i/>
          <w:szCs w:val="20"/>
        </w:rPr>
        <w:t xml:space="preserve">Escrito de contestación.- </w:t>
      </w:r>
      <w:r w:rsidR="004B74B3" w:rsidRPr="00C011CF">
        <w:rPr>
          <w:szCs w:val="20"/>
        </w:rPr>
        <w:t>El 5 de julio de 2016</w:t>
      </w:r>
      <w:r w:rsidRPr="00C011CF">
        <w:rPr>
          <w:szCs w:val="20"/>
        </w:rPr>
        <w:t xml:space="preserve"> el Estado presentó ante la Corte su escrito </w:t>
      </w:r>
      <w:r w:rsidR="007E29F9" w:rsidRPr="00C011CF">
        <w:rPr>
          <w:szCs w:val="20"/>
        </w:rPr>
        <w:t xml:space="preserve">de </w:t>
      </w:r>
      <w:r w:rsidRPr="00C011CF">
        <w:rPr>
          <w:szCs w:val="20"/>
        </w:rPr>
        <w:t>contestación al sometimiento del caso por parte de la Comisión y de observaciones al escrito de solicitudes y argumentos (en adelante “escrito de c</w:t>
      </w:r>
      <w:r w:rsidR="004B74B3" w:rsidRPr="00C011CF">
        <w:rPr>
          <w:szCs w:val="20"/>
        </w:rPr>
        <w:t>ontestación”)</w:t>
      </w:r>
      <w:r w:rsidR="00A66A3D" w:rsidRPr="00FF7949">
        <w:rPr>
          <w:rStyle w:val="FootnoteReference"/>
          <w:sz w:val="20"/>
          <w:szCs w:val="20"/>
        </w:rPr>
        <w:footnoteReference w:id="5"/>
      </w:r>
      <w:r w:rsidR="004B74B3" w:rsidRPr="00C011CF">
        <w:rPr>
          <w:szCs w:val="20"/>
        </w:rPr>
        <w:t>. En dicho escrito</w:t>
      </w:r>
      <w:r w:rsidRPr="00C011CF">
        <w:rPr>
          <w:szCs w:val="20"/>
        </w:rPr>
        <w:t xml:space="preserve"> el Estado</w:t>
      </w:r>
      <w:r w:rsidR="004B74B3" w:rsidRPr="00C011CF">
        <w:rPr>
          <w:szCs w:val="20"/>
        </w:rPr>
        <w:t xml:space="preserve"> </w:t>
      </w:r>
      <w:r w:rsidRPr="00C011CF">
        <w:rPr>
          <w:szCs w:val="20"/>
        </w:rPr>
        <w:t xml:space="preserve">describió los hechos y </w:t>
      </w:r>
      <w:r w:rsidR="00CC6315">
        <w:rPr>
          <w:szCs w:val="20"/>
        </w:rPr>
        <w:t>negó su responsabilidad</w:t>
      </w:r>
      <w:r w:rsidRPr="00C011CF">
        <w:rPr>
          <w:szCs w:val="20"/>
        </w:rPr>
        <w:t>.</w:t>
      </w:r>
      <w:bookmarkEnd w:id="92"/>
      <w:r w:rsidRPr="00C011CF">
        <w:rPr>
          <w:szCs w:val="20"/>
        </w:rPr>
        <w:t xml:space="preserve"> </w:t>
      </w:r>
    </w:p>
    <w:p w14:paraId="3DBCFFB8" w14:textId="77777777" w:rsidR="000619A5" w:rsidRPr="009A3203" w:rsidRDefault="000619A5" w:rsidP="002D5A5C"/>
    <w:p w14:paraId="16AB1DFF" w14:textId="7C8E01B5" w:rsidR="006A1930" w:rsidRDefault="003D717E" w:rsidP="002D5A5C">
      <w:pPr>
        <w:pStyle w:val="PrrafodeSentencia"/>
        <w:tabs>
          <w:tab w:val="clear" w:pos="567"/>
          <w:tab w:val="left" w:pos="0"/>
        </w:tabs>
        <w:ind w:left="0" w:firstLine="0"/>
        <w:rPr>
          <w:szCs w:val="20"/>
          <w:lang w:val="es-ES_tradnl"/>
        </w:rPr>
      </w:pPr>
      <w:bookmarkStart w:id="93" w:name="_Ref308536157"/>
      <w:bookmarkStart w:id="94" w:name="_Ref427771015"/>
      <w:r w:rsidRPr="006A1930">
        <w:rPr>
          <w:i/>
          <w:szCs w:val="20"/>
        </w:rPr>
        <w:t xml:space="preserve">Audiencia Pública.- </w:t>
      </w:r>
      <w:r w:rsidR="00691E6F" w:rsidRPr="006A1930">
        <w:rPr>
          <w:szCs w:val="20"/>
        </w:rPr>
        <w:t>El 15</w:t>
      </w:r>
      <w:r w:rsidRPr="006A1930">
        <w:rPr>
          <w:szCs w:val="20"/>
        </w:rPr>
        <w:t xml:space="preserve"> de </w:t>
      </w:r>
      <w:r w:rsidR="003E3148" w:rsidRPr="006A1930">
        <w:rPr>
          <w:szCs w:val="20"/>
        </w:rPr>
        <w:t xml:space="preserve">febrero de 2017 </w:t>
      </w:r>
      <w:r w:rsidRPr="006A1930">
        <w:rPr>
          <w:szCs w:val="20"/>
        </w:rPr>
        <w:t>el Presidente emitió una Resolución</w:t>
      </w:r>
      <w:bookmarkStart w:id="95" w:name="_Ref424783166"/>
      <w:r w:rsidRPr="00206546">
        <w:rPr>
          <w:rStyle w:val="FootnoteReference"/>
          <w:sz w:val="20"/>
          <w:szCs w:val="20"/>
        </w:rPr>
        <w:footnoteReference w:id="6"/>
      </w:r>
      <w:bookmarkEnd w:id="95"/>
      <w:r w:rsidRPr="006A1930">
        <w:rPr>
          <w:szCs w:val="20"/>
        </w:rPr>
        <w:t xml:space="preserve"> mediante la cual convocó al Estado,</w:t>
      </w:r>
      <w:r w:rsidR="001A271A" w:rsidRPr="006A1930">
        <w:rPr>
          <w:szCs w:val="20"/>
        </w:rPr>
        <w:t xml:space="preserve"> a </w:t>
      </w:r>
      <w:r w:rsidRPr="006A1930">
        <w:rPr>
          <w:szCs w:val="20"/>
        </w:rPr>
        <w:t xml:space="preserve">los representantes y a la Comisión a la celebración de una audiencia pública, para escuchar los alegatos </w:t>
      </w:r>
      <w:r w:rsidR="00CC6315">
        <w:rPr>
          <w:szCs w:val="20"/>
        </w:rPr>
        <w:t xml:space="preserve">y observaciones </w:t>
      </w:r>
      <w:r w:rsidRPr="006A1930">
        <w:rPr>
          <w:szCs w:val="20"/>
        </w:rPr>
        <w:t>finales orales de las partes</w:t>
      </w:r>
      <w:r w:rsidR="00CC6315">
        <w:rPr>
          <w:szCs w:val="20"/>
        </w:rPr>
        <w:t xml:space="preserve"> y </w:t>
      </w:r>
      <w:r w:rsidRPr="006A1930">
        <w:rPr>
          <w:szCs w:val="20"/>
        </w:rPr>
        <w:t>la Comisión</w:t>
      </w:r>
      <w:r w:rsidR="00CC6315">
        <w:rPr>
          <w:szCs w:val="20"/>
        </w:rPr>
        <w:t>, respectivamente,</w:t>
      </w:r>
      <w:r w:rsidRPr="006A1930">
        <w:rPr>
          <w:szCs w:val="20"/>
        </w:rPr>
        <w:t xml:space="preserve"> </w:t>
      </w:r>
      <w:r w:rsidR="00CC6315" w:rsidRPr="006A1930">
        <w:rPr>
          <w:szCs w:val="20"/>
        </w:rPr>
        <w:t>respecto de</w:t>
      </w:r>
      <w:r w:rsidR="00CC6315">
        <w:rPr>
          <w:szCs w:val="20"/>
        </w:rPr>
        <w:t>l</w:t>
      </w:r>
      <w:r w:rsidR="00CC6315" w:rsidRPr="006A1930">
        <w:rPr>
          <w:szCs w:val="20"/>
        </w:rPr>
        <w:t xml:space="preserve"> fondo y eventuales reparaciones y costas</w:t>
      </w:r>
      <w:r w:rsidR="00CC6315">
        <w:rPr>
          <w:szCs w:val="20"/>
        </w:rPr>
        <w:t xml:space="preserve"> del caso.</w:t>
      </w:r>
      <w:r w:rsidRPr="006A1930">
        <w:rPr>
          <w:szCs w:val="20"/>
        </w:rPr>
        <w:t xml:space="preserve"> </w:t>
      </w:r>
      <w:bookmarkStart w:id="96" w:name="_Ref334952616"/>
      <w:bookmarkStart w:id="97" w:name="_Ref343195762"/>
      <w:bookmarkStart w:id="98" w:name="_Ref340281601"/>
      <w:r w:rsidRPr="006A1930">
        <w:rPr>
          <w:bCs/>
          <w:szCs w:val="20"/>
        </w:rPr>
        <w:t xml:space="preserve">Asimismo, </w:t>
      </w:r>
      <w:r w:rsidRPr="006A1930">
        <w:rPr>
          <w:szCs w:val="20"/>
        </w:rPr>
        <w:t>ordenó recibir declaraciones rendidas ante fedatario público (</w:t>
      </w:r>
      <w:r w:rsidRPr="006A1930">
        <w:rPr>
          <w:i/>
          <w:szCs w:val="20"/>
        </w:rPr>
        <w:t>a</w:t>
      </w:r>
      <w:r w:rsidR="00B908A5">
        <w:rPr>
          <w:i/>
          <w:szCs w:val="20"/>
        </w:rPr>
        <w:t>f</w:t>
      </w:r>
      <w:r w:rsidRPr="006A1930">
        <w:rPr>
          <w:i/>
          <w:szCs w:val="20"/>
        </w:rPr>
        <w:t>fidávit</w:t>
      </w:r>
      <w:r w:rsidRPr="006A1930">
        <w:rPr>
          <w:szCs w:val="20"/>
        </w:rPr>
        <w:t xml:space="preserve">) </w:t>
      </w:r>
      <w:r w:rsidR="00AE06C9">
        <w:rPr>
          <w:szCs w:val="20"/>
        </w:rPr>
        <w:t>de</w:t>
      </w:r>
      <w:r w:rsidR="007C4756">
        <w:rPr>
          <w:szCs w:val="20"/>
        </w:rPr>
        <w:t xml:space="preserve"> </w:t>
      </w:r>
      <w:r w:rsidR="007C4756" w:rsidRPr="00C011CF">
        <w:rPr>
          <w:szCs w:val="20"/>
        </w:rPr>
        <w:t xml:space="preserve">Andrea Pacheco López, Blanca Rosa Herrera Rodríguez, </w:t>
      </w:r>
      <w:proofErr w:type="spellStart"/>
      <w:r w:rsidR="007C4756" w:rsidRPr="00C011CF">
        <w:rPr>
          <w:szCs w:val="20"/>
        </w:rPr>
        <w:t>Marleny</w:t>
      </w:r>
      <w:proofErr w:type="spellEnd"/>
      <w:r w:rsidR="007C4756" w:rsidRPr="00C011CF">
        <w:rPr>
          <w:szCs w:val="20"/>
        </w:rPr>
        <w:t xml:space="preserve"> Pacheco</w:t>
      </w:r>
      <w:r w:rsidRPr="006A1930">
        <w:rPr>
          <w:szCs w:val="20"/>
        </w:rPr>
        <w:t xml:space="preserve">, </w:t>
      </w:r>
      <w:r w:rsidR="004B74B3" w:rsidRPr="006A1930">
        <w:rPr>
          <w:szCs w:val="20"/>
        </w:rPr>
        <w:t>un testigo</w:t>
      </w:r>
      <w:r w:rsidRPr="006A1930">
        <w:rPr>
          <w:szCs w:val="20"/>
        </w:rPr>
        <w:t xml:space="preserve"> y </w:t>
      </w:r>
      <w:r w:rsidR="004B74B3" w:rsidRPr="006A1930">
        <w:rPr>
          <w:szCs w:val="20"/>
        </w:rPr>
        <w:t xml:space="preserve">tres </w:t>
      </w:r>
      <w:r w:rsidRPr="006A1930">
        <w:rPr>
          <w:szCs w:val="20"/>
        </w:rPr>
        <w:t xml:space="preserve">peritos, las cuales fueron presentadas por </w:t>
      </w:r>
      <w:r w:rsidR="003B54A6" w:rsidRPr="006A1930">
        <w:rPr>
          <w:szCs w:val="20"/>
        </w:rPr>
        <w:t xml:space="preserve">los representantes </w:t>
      </w:r>
      <w:r w:rsidR="0043736F" w:rsidRPr="006A1930">
        <w:rPr>
          <w:szCs w:val="20"/>
        </w:rPr>
        <w:t>el</w:t>
      </w:r>
      <w:r w:rsidR="00691E6F" w:rsidRPr="006A1930">
        <w:rPr>
          <w:szCs w:val="20"/>
        </w:rPr>
        <w:t xml:space="preserve"> 13</w:t>
      </w:r>
      <w:r w:rsidR="0040198B" w:rsidRPr="006A1930">
        <w:rPr>
          <w:szCs w:val="20"/>
        </w:rPr>
        <w:t xml:space="preserve"> de marzo </w:t>
      </w:r>
      <w:r w:rsidR="004B74B3" w:rsidRPr="006A1930">
        <w:rPr>
          <w:szCs w:val="20"/>
        </w:rPr>
        <w:t>de 2017</w:t>
      </w:r>
      <w:r w:rsidR="007E29F9" w:rsidRPr="006A1930">
        <w:rPr>
          <w:szCs w:val="20"/>
        </w:rPr>
        <w:t>.</w:t>
      </w:r>
      <w:r w:rsidRPr="006A1930">
        <w:rPr>
          <w:bCs/>
          <w:szCs w:val="20"/>
        </w:rPr>
        <w:t xml:space="preserve"> </w:t>
      </w:r>
      <w:r w:rsidRPr="006A1930">
        <w:rPr>
          <w:szCs w:val="20"/>
        </w:rPr>
        <w:t xml:space="preserve">Adicionalmente, mediante la referida </w:t>
      </w:r>
      <w:r w:rsidR="00CC6315">
        <w:rPr>
          <w:szCs w:val="20"/>
        </w:rPr>
        <w:t>R</w:t>
      </w:r>
      <w:r w:rsidRPr="006A1930">
        <w:rPr>
          <w:szCs w:val="20"/>
        </w:rPr>
        <w:t>esolución, convocó a declar</w:t>
      </w:r>
      <w:r w:rsidR="00C56ADF">
        <w:rPr>
          <w:szCs w:val="20"/>
        </w:rPr>
        <w:t xml:space="preserve">ar en la audiencia a </w:t>
      </w:r>
      <w:proofErr w:type="spellStart"/>
      <w:r w:rsidR="00C56ADF">
        <w:rPr>
          <w:szCs w:val="20"/>
        </w:rPr>
        <w:t>Jimy</w:t>
      </w:r>
      <w:proofErr w:type="spellEnd"/>
      <w:r w:rsidR="00C56ADF">
        <w:rPr>
          <w:szCs w:val="20"/>
        </w:rPr>
        <w:t xml:space="preserve"> Pacheco y a José Pacheco</w:t>
      </w:r>
      <w:r w:rsidR="00B908A5">
        <w:rPr>
          <w:szCs w:val="20"/>
        </w:rPr>
        <w:t>,</w:t>
      </w:r>
      <w:r w:rsidR="004B74B3" w:rsidRPr="006A1930">
        <w:rPr>
          <w:szCs w:val="20"/>
        </w:rPr>
        <w:t xml:space="preserve"> pr</w:t>
      </w:r>
      <w:r w:rsidR="00F01B0F">
        <w:rPr>
          <w:szCs w:val="20"/>
        </w:rPr>
        <w:t>o</w:t>
      </w:r>
      <w:r w:rsidR="00B908A5">
        <w:rPr>
          <w:szCs w:val="20"/>
        </w:rPr>
        <w:t>puesto</w:t>
      </w:r>
      <w:r w:rsidR="004B74B3" w:rsidRPr="006A1930">
        <w:rPr>
          <w:szCs w:val="20"/>
        </w:rPr>
        <w:t>s por los representantes</w:t>
      </w:r>
      <w:r w:rsidR="00CC6315">
        <w:rPr>
          <w:szCs w:val="20"/>
        </w:rPr>
        <w:t xml:space="preserve"> y</w:t>
      </w:r>
      <w:r w:rsidR="004B74B3" w:rsidRPr="006A1930">
        <w:rPr>
          <w:szCs w:val="20"/>
        </w:rPr>
        <w:t xml:space="preserve"> dos peritos, uno </w:t>
      </w:r>
      <w:r w:rsidRPr="006A1930">
        <w:rPr>
          <w:szCs w:val="20"/>
        </w:rPr>
        <w:t>propues</w:t>
      </w:r>
      <w:r w:rsidR="004B74B3" w:rsidRPr="006A1930">
        <w:rPr>
          <w:szCs w:val="20"/>
        </w:rPr>
        <w:t xml:space="preserve">to por los representantes y otro </w:t>
      </w:r>
      <w:r w:rsidR="004B74B3" w:rsidRPr="000552B3">
        <w:rPr>
          <w:szCs w:val="20"/>
        </w:rPr>
        <w:t>propuesto</w:t>
      </w:r>
      <w:r w:rsidRPr="000552B3">
        <w:rPr>
          <w:szCs w:val="20"/>
        </w:rPr>
        <w:t xml:space="preserve"> por la Comisión. La audiencia pública fue celebrada </w:t>
      </w:r>
      <w:r w:rsidR="0040198B" w:rsidRPr="000552B3">
        <w:rPr>
          <w:szCs w:val="20"/>
        </w:rPr>
        <w:t>el 23 de marzo de 2017 durante el 57</w:t>
      </w:r>
      <w:r w:rsidR="004B74B3" w:rsidRPr="000552B3">
        <w:rPr>
          <w:szCs w:val="20"/>
        </w:rPr>
        <w:t xml:space="preserve"> Período Extrao</w:t>
      </w:r>
      <w:r w:rsidRPr="000552B3">
        <w:rPr>
          <w:szCs w:val="20"/>
        </w:rPr>
        <w:t>rdinario de Sesiones de la Corte, llevado a cabo en la ciudad de</w:t>
      </w:r>
      <w:r w:rsidR="004B74B3" w:rsidRPr="000552B3">
        <w:rPr>
          <w:szCs w:val="20"/>
        </w:rPr>
        <w:t xml:space="preserve"> </w:t>
      </w:r>
      <w:proofErr w:type="spellStart"/>
      <w:r w:rsidR="004B74B3" w:rsidRPr="000552B3">
        <w:rPr>
          <w:szCs w:val="20"/>
        </w:rPr>
        <w:t>de</w:t>
      </w:r>
      <w:proofErr w:type="spellEnd"/>
      <w:r w:rsidR="004B74B3" w:rsidRPr="000552B3">
        <w:rPr>
          <w:szCs w:val="20"/>
        </w:rPr>
        <w:t xml:space="preserve"> Guatemala, Guatemala</w:t>
      </w:r>
      <w:r w:rsidRPr="00A862F3">
        <w:rPr>
          <w:szCs w:val="20"/>
          <w:vertAlign w:val="superscript"/>
        </w:rPr>
        <w:footnoteReference w:id="7"/>
      </w:r>
      <w:r w:rsidRPr="00A862F3">
        <w:rPr>
          <w:szCs w:val="20"/>
        </w:rPr>
        <w:t xml:space="preserve">. </w:t>
      </w:r>
      <w:bookmarkStart w:id="99" w:name="_Ref354147731"/>
      <w:bookmarkEnd w:id="93"/>
      <w:bookmarkEnd w:id="94"/>
      <w:bookmarkEnd w:id="96"/>
      <w:bookmarkEnd w:id="97"/>
      <w:bookmarkEnd w:id="98"/>
    </w:p>
    <w:p w14:paraId="3DAA858C" w14:textId="77777777" w:rsidR="00F33C1C" w:rsidRPr="00C011CF" w:rsidRDefault="00F33C1C" w:rsidP="00FC7165">
      <w:pPr>
        <w:pStyle w:val="PrrafodeSentencia"/>
        <w:numPr>
          <w:ilvl w:val="0"/>
          <w:numId w:val="0"/>
        </w:numPr>
        <w:rPr>
          <w:szCs w:val="20"/>
        </w:rPr>
      </w:pPr>
      <w:r w:rsidRPr="006A1930">
        <w:rPr>
          <w:szCs w:val="20"/>
          <w:lang w:val="es-ES_tradnl"/>
        </w:rPr>
        <w:lastRenderedPageBreak/>
        <w:t xml:space="preserve"> </w:t>
      </w:r>
    </w:p>
    <w:p w14:paraId="51D21164" w14:textId="335E8B85" w:rsidR="003D717E" w:rsidRDefault="003D717E" w:rsidP="000619A5">
      <w:pPr>
        <w:pStyle w:val="PrrafodeSentencia"/>
        <w:tabs>
          <w:tab w:val="clear" w:pos="567"/>
          <w:tab w:val="left" w:pos="-142"/>
        </w:tabs>
        <w:ind w:left="0" w:firstLine="0"/>
        <w:rPr>
          <w:szCs w:val="20"/>
        </w:rPr>
      </w:pPr>
      <w:r w:rsidRPr="003F7FFD">
        <w:rPr>
          <w:i/>
          <w:szCs w:val="20"/>
        </w:rPr>
        <w:t>Alegatos y observaciones finales escritos.</w:t>
      </w:r>
      <w:bookmarkStart w:id="100" w:name="_Ref374884810"/>
      <w:bookmarkStart w:id="101" w:name="_Ref367791100"/>
      <w:bookmarkEnd w:id="99"/>
      <w:r w:rsidRPr="003F7FFD">
        <w:rPr>
          <w:i/>
          <w:szCs w:val="20"/>
        </w:rPr>
        <w:t xml:space="preserve">- </w:t>
      </w:r>
      <w:r w:rsidR="001B0A1F" w:rsidRPr="003F7FFD">
        <w:rPr>
          <w:szCs w:val="20"/>
        </w:rPr>
        <w:t xml:space="preserve">El </w:t>
      </w:r>
      <w:r w:rsidR="006435F8" w:rsidRPr="003F7FFD">
        <w:rPr>
          <w:szCs w:val="20"/>
        </w:rPr>
        <w:t xml:space="preserve">24 </w:t>
      </w:r>
      <w:r w:rsidRPr="003F7FFD">
        <w:rPr>
          <w:szCs w:val="20"/>
        </w:rPr>
        <w:t xml:space="preserve">de </w:t>
      </w:r>
      <w:r w:rsidR="001B0A1F" w:rsidRPr="003F7FFD">
        <w:rPr>
          <w:szCs w:val="20"/>
        </w:rPr>
        <w:t>abril de 2017</w:t>
      </w:r>
      <w:r w:rsidRPr="003F7FFD">
        <w:rPr>
          <w:szCs w:val="20"/>
        </w:rPr>
        <w:t xml:space="preserve"> las partes y la Comisión presentaron sus alegatos y observaciones finales escritos, respectivamente. </w:t>
      </w:r>
      <w:r w:rsidRPr="003F7FFD">
        <w:rPr>
          <w:rFonts w:eastAsia="Times New Roman"/>
          <w:color w:val="000000"/>
          <w:szCs w:val="20"/>
        </w:rPr>
        <w:t>Junto con sus alegatos finales escritos</w:t>
      </w:r>
      <w:r w:rsidRPr="003F7FFD">
        <w:rPr>
          <w:szCs w:val="20"/>
        </w:rPr>
        <w:t xml:space="preserve"> </w:t>
      </w:r>
      <w:r w:rsidR="006435F8" w:rsidRPr="003F7FFD">
        <w:rPr>
          <w:szCs w:val="20"/>
        </w:rPr>
        <w:t xml:space="preserve">los representantes y el Estado </w:t>
      </w:r>
      <w:r w:rsidRPr="003F7FFD">
        <w:rPr>
          <w:szCs w:val="20"/>
        </w:rPr>
        <w:t>presentaron</w:t>
      </w:r>
      <w:r w:rsidR="006435F8" w:rsidRPr="003F7FFD">
        <w:rPr>
          <w:szCs w:val="20"/>
        </w:rPr>
        <w:t xml:space="preserve"> varios anexos. El 9 de mayo de 2017 la Secretaría de la Corte, siguiendo instrucciones del Presidente, solicitó a las partes y a la Comisión que presentaran las observaciones que estimaran pertinentes sobre la referida documentación</w:t>
      </w:r>
      <w:r w:rsidR="00D16DD2">
        <w:rPr>
          <w:szCs w:val="20"/>
        </w:rPr>
        <w:t>,</w:t>
      </w:r>
      <w:r w:rsidR="006435F8" w:rsidRPr="003F7FFD">
        <w:rPr>
          <w:szCs w:val="20"/>
        </w:rPr>
        <w:t xml:space="preserve"> a más tardar el 19 de mayo de 2017. En la última fecha los representantes y el Estado presentaron sus observacione</w:t>
      </w:r>
      <w:r w:rsidR="001A271A" w:rsidRPr="003F7FFD">
        <w:rPr>
          <w:szCs w:val="20"/>
        </w:rPr>
        <w:t>s. La Comisión solicitó una pró</w:t>
      </w:r>
      <w:r w:rsidR="006435F8" w:rsidRPr="003F7FFD">
        <w:rPr>
          <w:szCs w:val="20"/>
        </w:rPr>
        <w:t>rroga</w:t>
      </w:r>
      <w:r w:rsidR="00E85A3E">
        <w:rPr>
          <w:szCs w:val="20"/>
        </w:rPr>
        <w:t>,</w:t>
      </w:r>
      <w:r w:rsidR="006435F8" w:rsidRPr="003F7FFD">
        <w:rPr>
          <w:szCs w:val="20"/>
        </w:rPr>
        <w:t xml:space="preserve"> que fue con</w:t>
      </w:r>
      <w:r w:rsidR="000D4339">
        <w:rPr>
          <w:szCs w:val="20"/>
        </w:rPr>
        <w:t>cedida para que presentara a más</w:t>
      </w:r>
      <w:r w:rsidR="006435F8" w:rsidRPr="003F7FFD">
        <w:rPr>
          <w:szCs w:val="20"/>
        </w:rPr>
        <w:t xml:space="preserve"> tardar el 26 de mayo de 2017 sus observaciones</w:t>
      </w:r>
      <w:r w:rsidR="006435F8" w:rsidRPr="00A862F3">
        <w:rPr>
          <w:szCs w:val="20"/>
        </w:rPr>
        <w:t>, las cuales no fueron re</w:t>
      </w:r>
      <w:r w:rsidR="003F7FFD" w:rsidRPr="00A862F3">
        <w:rPr>
          <w:szCs w:val="20"/>
        </w:rPr>
        <w:t>mitidas.</w:t>
      </w:r>
    </w:p>
    <w:p w14:paraId="02F218C0" w14:textId="77777777" w:rsidR="005F59FE" w:rsidRPr="005F59FE" w:rsidRDefault="005F59FE" w:rsidP="000619A5">
      <w:pPr>
        <w:tabs>
          <w:tab w:val="left" w:pos="-142"/>
        </w:tabs>
        <w:rPr>
          <w:lang w:val="es-CR" w:eastAsia="es-MX"/>
        </w:rPr>
      </w:pPr>
    </w:p>
    <w:bookmarkEnd w:id="100"/>
    <w:bookmarkEnd w:id="101"/>
    <w:p w14:paraId="1CAC350D" w14:textId="505E63BF" w:rsidR="003E3148" w:rsidRDefault="00CE17C0" w:rsidP="000619A5">
      <w:pPr>
        <w:pStyle w:val="PrrafodeSentencia"/>
        <w:tabs>
          <w:tab w:val="clear" w:pos="567"/>
          <w:tab w:val="left" w:pos="-142"/>
        </w:tabs>
        <w:ind w:left="0" w:firstLine="0"/>
        <w:rPr>
          <w:szCs w:val="20"/>
        </w:rPr>
      </w:pPr>
      <w:r>
        <w:rPr>
          <w:i/>
          <w:szCs w:val="20"/>
        </w:rPr>
        <w:t>Deliberación del presente caso.</w:t>
      </w:r>
      <w:r w:rsidR="003D717E" w:rsidRPr="00C011CF">
        <w:rPr>
          <w:i/>
          <w:szCs w:val="20"/>
        </w:rPr>
        <w:t xml:space="preserve">- </w:t>
      </w:r>
      <w:r w:rsidR="003D717E" w:rsidRPr="00C011CF">
        <w:rPr>
          <w:szCs w:val="20"/>
        </w:rPr>
        <w:t xml:space="preserve">La Corte </w:t>
      </w:r>
      <w:r w:rsidR="00E85A3E" w:rsidRPr="00B44D5C">
        <w:rPr>
          <w:szCs w:val="20"/>
        </w:rPr>
        <w:t>deliberó</w:t>
      </w:r>
      <w:r w:rsidR="003D717E" w:rsidRPr="00C011CF">
        <w:rPr>
          <w:szCs w:val="20"/>
        </w:rPr>
        <w:t xml:space="preserve"> la presente Sentencia </w:t>
      </w:r>
      <w:r w:rsidR="009623B2" w:rsidRPr="002E5B29">
        <w:rPr>
          <w:szCs w:val="20"/>
        </w:rPr>
        <w:t>los días 13</w:t>
      </w:r>
      <w:r w:rsidR="00AE06C9">
        <w:rPr>
          <w:szCs w:val="20"/>
        </w:rPr>
        <w:t>, 14 y 15</w:t>
      </w:r>
      <w:r w:rsidR="00691E6F" w:rsidRPr="004B1879">
        <w:rPr>
          <w:b/>
          <w:szCs w:val="20"/>
        </w:rPr>
        <w:t xml:space="preserve"> </w:t>
      </w:r>
      <w:r w:rsidR="003D717E" w:rsidRPr="00C011CF">
        <w:rPr>
          <w:szCs w:val="20"/>
        </w:rPr>
        <w:t>de</w:t>
      </w:r>
      <w:r w:rsidR="009623B2">
        <w:rPr>
          <w:szCs w:val="20"/>
        </w:rPr>
        <w:t xml:space="preserve"> noviembre</w:t>
      </w:r>
      <w:r w:rsidR="00691E6F" w:rsidRPr="00C011CF">
        <w:rPr>
          <w:szCs w:val="20"/>
        </w:rPr>
        <w:t xml:space="preserve"> </w:t>
      </w:r>
      <w:r w:rsidR="00D37E37" w:rsidRPr="00C011CF">
        <w:rPr>
          <w:szCs w:val="20"/>
        </w:rPr>
        <w:t>de 2017</w:t>
      </w:r>
      <w:r w:rsidR="003D717E" w:rsidRPr="00C011CF">
        <w:rPr>
          <w:szCs w:val="20"/>
        </w:rPr>
        <w:t>.</w:t>
      </w:r>
    </w:p>
    <w:p w14:paraId="157BE927" w14:textId="77777777" w:rsidR="003D717E" w:rsidRPr="00C011CF" w:rsidRDefault="003D717E" w:rsidP="003D717E">
      <w:pPr>
        <w:pStyle w:val="NoSpacing"/>
        <w:tabs>
          <w:tab w:val="left" w:pos="567"/>
        </w:tabs>
        <w:rPr>
          <w:rStyle w:val="CommentReference"/>
          <w:spacing w:val="-4"/>
          <w:sz w:val="20"/>
          <w:szCs w:val="20"/>
        </w:rPr>
      </w:pPr>
    </w:p>
    <w:p w14:paraId="4DAC34D7" w14:textId="77777777" w:rsidR="003D717E" w:rsidRPr="00C011CF" w:rsidRDefault="003D717E" w:rsidP="003D717E">
      <w:pPr>
        <w:pStyle w:val="Heading1"/>
        <w:rPr>
          <w:snapToGrid w:val="0"/>
          <w:spacing w:val="-4"/>
          <w:szCs w:val="20"/>
        </w:rPr>
      </w:pPr>
      <w:bookmarkStart w:id="102" w:name="_Toc424834682"/>
      <w:bookmarkStart w:id="103" w:name="_Toc427932788"/>
      <w:bookmarkStart w:id="104" w:name="_Toc431584605"/>
      <w:bookmarkStart w:id="105" w:name="_Toc434850393"/>
      <w:bookmarkStart w:id="106" w:name="_Toc480741958"/>
      <w:bookmarkStart w:id="107" w:name="_Toc480742201"/>
      <w:bookmarkStart w:id="108" w:name="_Toc488134421"/>
      <w:bookmarkStart w:id="109" w:name="_Toc489523881"/>
      <w:bookmarkStart w:id="110" w:name="_Toc493512879"/>
      <w:bookmarkStart w:id="111" w:name="_Toc498512800"/>
      <w:r w:rsidRPr="00C011CF">
        <w:rPr>
          <w:snapToGrid w:val="0"/>
          <w:spacing w:val="-4"/>
          <w:szCs w:val="20"/>
        </w:rPr>
        <w:t>III</w:t>
      </w:r>
      <w:bookmarkEnd w:id="102"/>
      <w:bookmarkEnd w:id="103"/>
      <w:bookmarkEnd w:id="104"/>
      <w:bookmarkEnd w:id="105"/>
      <w:bookmarkEnd w:id="106"/>
      <w:bookmarkEnd w:id="107"/>
      <w:bookmarkEnd w:id="108"/>
      <w:bookmarkEnd w:id="109"/>
      <w:bookmarkEnd w:id="110"/>
      <w:bookmarkEnd w:id="111"/>
    </w:p>
    <w:p w14:paraId="6273F45F" w14:textId="77777777" w:rsidR="003D717E" w:rsidRPr="00C011CF" w:rsidRDefault="003D717E" w:rsidP="003D717E">
      <w:pPr>
        <w:pStyle w:val="Heading1"/>
        <w:rPr>
          <w:strike/>
          <w:snapToGrid w:val="0"/>
          <w:spacing w:val="-4"/>
          <w:szCs w:val="20"/>
        </w:rPr>
      </w:pPr>
      <w:bookmarkStart w:id="112" w:name="_Toc375062724"/>
      <w:bookmarkStart w:id="113" w:name="_Toc375140874"/>
      <w:bookmarkStart w:id="114" w:name="_Toc375504833"/>
      <w:bookmarkStart w:id="115" w:name="_Toc375560907"/>
      <w:bookmarkStart w:id="116" w:name="_Toc395213493"/>
      <w:bookmarkStart w:id="117" w:name="_Toc396514850"/>
      <w:bookmarkStart w:id="118" w:name="_Toc396515126"/>
      <w:bookmarkStart w:id="119" w:name="_Toc402039405"/>
      <w:bookmarkStart w:id="120" w:name="_Toc403670648"/>
      <w:bookmarkStart w:id="121" w:name="_Toc403671384"/>
      <w:bookmarkStart w:id="122" w:name="_Toc405774576"/>
      <w:bookmarkStart w:id="123" w:name="_Toc405857779"/>
      <w:bookmarkStart w:id="124" w:name="_Toc424833999"/>
      <w:bookmarkStart w:id="125" w:name="_Toc424834683"/>
      <w:bookmarkStart w:id="126" w:name="_Toc424834750"/>
      <w:bookmarkStart w:id="127" w:name="_Toc427234538"/>
      <w:bookmarkStart w:id="128" w:name="_Toc427342827"/>
      <w:bookmarkStart w:id="129" w:name="_Toc427663813"/>
      <w:bookmarkStart w:id="130" w:name="_Toc427932789"/>
      <w:bookmarkStart w:id="131" w:name="_Toc427943552"/>
      <w:bookmarkStart w:id="132" w:name="_Toc427943726"/>
      <w:bookmarkStart w:id="133" w:name="_Toc431584606"/>
      <w:bookmarkStart w:id="134" w:name="_Toc431584722"/>
      <w:bookmarkStart w:id="135" w:name="_Toc431585027"/>
      <w:bookmarkStart w:id="136" w:name="_Toc431646544"/>
      <w:bookmarkStart w:id="137" w:name="_Toc431834623"/>
      <w:bookmarkStart w:id="138" w:name="_Toc308537928"/>
      <w:bookmarkStart w:id="139" w:name="_Toc308538148"/>
      <w:bookmarkStart w:id="140" w:name="_Toc434849915"/>
      <w:bookmarkStart w:id="141" w:name="_Toc434850394"/>
      <w:bookmarkStart w:id="142" w:name="_Toc488134422"/>
      <w:bookmarkStart w:id="143" w:name="_Toc489523882"/>
      <w:bookmarkStart w:id="144" w:name="_Toc493512880"/>
      <w:bookmarkStart w:id="145" w:name="_Toc498512801"/>
      <w:r w:rsidRPr="00C011CF">
        <w:rPr>
          <w:snapToGrid w:val="0"/>
          <w:spacing w:val="-4"/>
          <w:szCs w:val="20"/>
        </w:rPr>
        <w:t>COMPETENCIA</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572B94E" w14:textId="77777777" w:rsidR="003D717E" w:rsidRPr="00C011CF" w:rsidRDefault="003D717E" w:rsidP="003D717E">
      <w:pPr>
        <w:pStyle w:val="NoSpacing"/>
        <w:tabs>
          <w:tab w:val="left" w:pos="567"/>
        </w:tabs>
        <w:rPr>
          <w:spacing w:val="-4"/>
          <w:szCs w:val="20"/>
        </w:rPr>
      </w:pPr>
    </w:p>
    <w:p w14:paraId="49CE528F" w14:textId="2FE0DFA0" w:rsidR="00710AEB" w:rsidRPr="002D5A5C" w:rsidRDefault="003D717E" w:rsidP="004732B3">
      <w:pPr>
        <w:pStyle w:val="PrrafodeSentencia"/>
        <w:tabs>
          <w:tab w:val="clear" w:pos="567"/>
        </w:tabs>
        <w:ind w:left="0" w:firstLine="0"/>
      </w:pPr>
      <w:r w:rsidRPr="00C011CF">
        <w:rPr>
          <w:szCs w:val="20"/>
        </w:rPr>
        <w:t>La Corte es competente para conocer del presente caso</w:t>
      </w:r>
      <w:r w:rsidR="00E0081C" w:rsidRPr="00C011CF">
        <w:rPr>
          <w:szCs w:val="20"/>
        </w:rPr>
        <w:t xml:space="preserve"> </w:t>
      </w:r>
      <w:r w:rsidRPr="00C011CF">
        <w:rPr>
          <w:szCs w:val="20"/>
        </w:rPr>
        <w:t>en los términos del artículo 62.3 de la Convención, ya que Honduras es Estado Parte de la Convención Americana desde el 8 de septiembre de 1977 y reconoció la competencia contenciosa de la Corte el 9 de septiembre de 1981.</w:t>
      </w:r>
      <w:bookmarkStart w:id="146" w:name="_Toc375560910"/>
      <w:bookmarkStart w:id="147" w:name="_Toc395213496"/>
      <w:bookmarkStart w:id="148" w:name="_Toc396514853"/>
      <w:bookmarkStart w:id="149" w:name="_Toc405857803"/>
    </w:p>
    <w:p w14:paraId="5B0998C3" w14:textId="391D69AE" w:rsidR="003D717E" w:rsidRPr="00C011CF" w:rsidRDefault="00AB194C" w:rsidP="003D717E">
      <w:pPr>
        <w:pStyle w:val="Heading1"/>
        <w:rPr>
          <w:spacing w:val="-4"/>
          <w:szCs w:val="20"/>
        </w:rPr>
      </w:pPr>
      <w:bookmarkStart w:id="150" w:name="_Toc424834684"/>
      <w:bookmarkStart w:id="151" w:name="_Toc427932790"/>
      <w:bookmarkStart w:id="152" w:name="_Toc431584607"/>
      <w:bookmarkStart w:id="153" w:name="_Toc434850395"/>
      <w:bookmarkStart w:id="154" w:name="_Toc480741960"/>
      <w:bookmarkStart w:id="155" w:name="_Toc480742203"/>
      <w:bookmarkStart w:id="156" w:name="_Toc488134423"/>
      <w:bookmarkStart w:id="157" w:name="_Toc489523883"/>
      <w:bookmarkStart w:id="158" w:name="_Toc493512881"/>
      <w:bookmarkStart w:id="159" w:name="_Toc498512802"/>
      <w:r>
        <w:rPr>
          <w:spacing w:val="-4"/>
          <w:szCs w:val="20"/>
        </w:rPr>
        <w:t>I</w:t>
      </w:r>
      <w:r w:rsidR="003D717E" w:rsidRPr="00C011CF">
        <w:rPr>
          <w:spacing w:val="-4"/>
          <w:szCs w:val="20"/>
        </w:rPr>
        <w:t>V</w:t>
      </w:r>
      <w:bookmarkEnd w:id="150"/>
      <w:bookmarkEnd w:id="151"/>
      <w:bookmarkEnd w:id="152"/>
      <w:bookmarkEnd w:id="153"/>
      <w:bookmarkEnd w:id="154"/>
      <w:bookmarkEnd w:id="155"/>
      <w:bookmarkEnd w:id="156"/>
      <w:bookmarkEnd w:id="157"/>
      <w:bookmarkEnd w:id="158"/>
      <w:bookmarkEnd w:id="159"/>
    </w:p>
    <w:p w14:paraId="1A36541F" w14:textId="77777777" w:rsidR="003D717E" w:rsidRPr="00C011CF" w:rsidRDefault="003D717E" w:rsidP="003D717E">
      <w:pPr>
        <w:pStyle w:val="Heading1"/>
        <w:rPr>
          <w:spacing w:val="-4"/>
          <w:szCs w:val="20"/>
        </w:rPr>
      </w:pPr>
      <w:bookmarkStart w:id="160" w:name="_Toc424834005"/>
      <w:bookmarkStart w:id="161" w:name="_Toc424834689"/>
      <w:bookmarkStart w:id="162" w:name="_Toc424834756"/>
      <w:bookmarkStart w:id="163" w:name="_Toc427234544"/>
      <w:bookmarkStart w:id="164" w:name="_Toc427342833"/>
      <w:bookmarkStart w:id="165" w:name="_Toc427663819"/>
      <w:bookmarkStart w:id="166" w:name="_Toc427932795"/>
      <w:bookmarkStart w:id="167" w:name="_Toc427943558"/>
      <w:bookmarkStart w:id="168" w:name="_Toc427943732"/>
      <w:bookmarkStart w:id="169" w:name="_Toc431584612"/>
      <w:bookmarkStart w:id="170" w:name="_Toc431584728"/>
      <w:bookmarkStart w:id="171" w:name="_Toc431585033"/>
      <w:bookmarkStart w:id="172" w:name="_Toc431646550"/>
      <w:bookmarkStart w:id="173" w:name="_Toc431834629"/>
      <w:bookmarkStart w:id="174" w:name="_Toc308537934"/>
      <w:bookmarkStart w:id="175" w:name="_Toc308538154"/>
      <w:bookmarkStart w:id="176" w:name="_Toc434849921"/>
      <w:bookmarkStart w:id="177" w:name="_Toc434850400"/>
      <w:bookmarkStart w:id="178" w:name="_Toc488134424"/>
      <w:bookmarkStart w:id="179" w:name="_Toc489523884"/>
      <w:bookmarkStart w:id="180" w:name="_Toc493512882"/>
      <w:bookmarkStart w:id="181" w:name="_Toc498512803"/>
      <w:r w:rsidRPr="00C011CF">
        <w:rPr>
          <w:spacing w:val="-4"/>
          <w:szCs w:val="20"/>
        </w:rPr>
        <w:t>PRUEBA</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3145F697" w14:textId="77777777" w:rsidR="003D717E" w:rsidRPr="00206546" w:rsidRDefault="003D717E" w:rsidP="003D717E">
      <w:pPr>
        <w:pStyle w:val="NoSpacing"/>
        <w:jc w:val="center"/>
        <w:rPr>
          <w:b/>
          <w:spacing w:val="-4"/>
          <w:szCs w:val="20"/>
          <w:lang w:eastAsia="es-MX"/>
        </w:rPr>
      </w:pPr>
    </w:p>
    <w:p w14:paraId="6411C3B6" w14:textId="77777777" w:rsidR="003D717E" w:rsidRDefault="003D717E" w:rsidP="00A1177F">
      <w:pPr>
        <w:pStyle w:val="Heading2"/>
        <w:numPr>
          <w:ilvl w:val="0"/>
          <w:numId w:val="37"/>
        </w:numPr>
        <w:tabs>
          <w:tab w:val="clear" w:pos="567"/>
          <w:tab w:val="clear" w:pos="993"/>
        </w:tabs>
        <w:ind w:left="284" w:firstLine="0"/>
        <w:rPr>
          <w:spacing w:val="-4"/>
          <w:szCs w:val="20"/>
        </w:rPr>
      </w:pPr>
      <w:bookmarkStart w:id="182" w:name="_Toc424834690"/>
      <w:bookmarkStart w:id="183" w:name="_Toc427932796"/>
      <w:bookmarkStart w:id="184" w:name="_Toc431584613"/>
      <w:bookmarkStart w:id="185" w:name="_Toc434850401"/>
      <w:bookmarkStart w:id="186" w:name="_Toc488134425"/>
      <w:bookmarkStart w:id="187" w:name="_Toc489523885"/>
      <w:bookmarkStart w:id="188" w:name="_Toc493512883"/>
      <w:bookmarkStart w:id="189" w:name="_Toc498512804"/>
      <w:r w:rsidRPr="00C011CF">
        <w:rPr>
          <w:spacing w:val="-4"/>
          <w:szCs w:val="20"/>
        </w:rPr>
        <w:t>Prueba documental, testimonial y pericial</w:t>
      </w:r>
      <w:bookmarkEnd w:id="146"/>
      <w:bookmarkEnd w:id="147"/>
      <w:bookmarkEnd w:id="148"/>
      <w:bookmarkEnd w:id="149"/>
      <w:bookmarkEnd w:id="182"/>
      <w:bookmarkEnd w:id="183"/>
      <w:bookmarkEnd w:id="184"/>
      <w:bookmarkEnd w:id="185"/>
      <w:bookmarkEnd w:id="186"/>
      <w:bookmarkEnd w:id="187"/>
      <w:bookmarkEnd w:id="188"/>
      <w:bookmarkEnd w:id="189"/>
    </w:p>
    <w:p w14:paraId="188E1A8D" w14:textId="77777777" w:rsidR="00FB0007" w:rsidRPr="00C438C1" w:rsidRDefault="00FB0007" w:rsidP="00C438C1">
      <w:pPr>
        <w:pStyle w:val="ListParagraph"/>
        <w:numPr>
          <w:ilvl w:val="0"/>
          <w:numId w:val="0"/>
        </w:numPr>
        <w:ind w:left="927"/>
      </w:pPr>
    </w:p>
    <w:p w14:paraId="1E9D4940" w14:textId="2B1AF3AF" w:rsidR="00ED3912" w:rsidRPr="00923C18" w:rsidRDefault="003D717E" w:rsidP="002D5A5C">
      <w:pPr>
        <w:pStyle w:val="PrrafodeSentencia"/>
        <w:tabs>
          <w:tab w:val="clear" w:pos="567"/>
          <w:tab w:val="left" w:pos="-142"/>
        </w:tabs>
        <w:ind w:left="0" w:firstLine="0"/>
        <w:rPr>
          <w:szCs w:val="20"/>
        </w:rPr>
      </w:pPr>
      <w:r w:rsidRPr="00C011CF">
        <w:rPr>
          <w:szCs w:val="20"/>
        </w:rPr>
        <w:t>Este Tribunal recibió diversos documentos presentados como prueba por la Comisión y las partes, adjuntos a sus escritos principales (</w:t>
      </w:r>
      <w:r w:rsidRPr="00727822">
        <w:rPr>
          <w:i/>
          <w:szCs w:val="20"/>
        </w:rPr>
        <w:t xml:space="preserve">supra </w:t>
      </w:r>
      <w:proofErr w:type="spellStart"/>
      <w:r w:rsidR="00C13A10" w:rsidRPr="00727822">
        <w:rPr>
          <w:szCs w:val="20"/>
        </w:rPr>
        <w:t>párrs</w:t>
      </w:r>
      <w:proofErr w:type="spellEnd"/>
      <w:r w:rsidR="00C13A10" w:rsidRPr="00C011CF">
        <w:rPr>
          <w:szCs w:val="20"/>
        </w:rPr>
        <w:t>.</w:t>
      </w:r>
      <w:r w:rsidR="00A46440" w:rsidRPr="00C011CF">
        <w:rPr>
          <w:szCs w:val="20"/>
        </w:rPr>
        <w:t xml:space="preserve"> </w:t>
      </w:r>
      <w:r w:rsidR="00276254">
        <w:rPr>
          <w:szCs w:val="20"/>
        </w:rPr>
        <w:t>3, 6 y 7</w:t>
      </w:r>
      <w:r w:rsidRPr="00C011CF">
        <w:rPr>
          <w:szCs w:val="20"/>
        </w:rPr>
        <w:t>). Además, la Corte recibió las declaraciones rendidas ante fedatario público (</w:t>
      </w:r>
      <w:r w:rsidR="007E0481" w:rsidRPr="00C011CF">
        <w:rPr>
          <w:i/>
          <w:szCs w:val="20"/>
        </w:rPr>
        <w:t>affidavit</w:t>
      </w:r>
      <w:r w:rsidRPr="00C011CF">
        <w:rPr>
          <w:szCs w:val="20"/>
        </w:rPr>
        <w:t xml:space="preserve">) por: </w:t>
      </w:r>
      <w:r w:rsidR="00A46440" w:rsidRPr="00C011CF">
        <w:rPr>
          <w:szCs w:val="20"/>
        </w:rPr>
        <w:t xml:space="preserve">Andrea Pacheco López, Blanca Rosa Herrera Rodríguez, </w:t>
      </w:r>
      <w:proofErr w:type="spellStart"/>
      <w:r w:rsidR="00A46440" w:rsidRPr="00C011CF">
        <w:rPr>
          <w:szCs w:val="20"/>
        </w:rPr>
        <w:t>Marleny</w:t>
      </w:r>
      <w:proofErr w:type="spellEnd"/>
      <w:r w:rsidR="00A46440" w:rsidRPr="00C011CF">
        <w:rPr>
          <w:szCs w:val="20"/>
        </w:rPr>
        <w:t xml:space="preserve"> Pacheco</w:t>
      </w:r>
      <w:r w:rsidR="00E85A3E">
        <w:rPr>
          <w:szCs w:val="20"/>
        </w:rPr>
        <w:t xml:space="preserve"> Posadas</w:t>
      </w:r>
      <w:r w:rsidR="00A46440" w:rsidRPr="00C011CF">
        <w:rPr>
          <w:szCs w:val="20"/>
        </w:rPr>
        <w:t>; del testigo Pedro Canales Torres</w:t>
      </w:r>
      <w:r w:rsidR="00E85A3E">
        <w:rPr>
          <w:szCs w:val="20"/>
        </w:rPr>
        <w:t>,</w:t>
      </w:r>
      <w:r w:rsidR="00A46440" w:rsidRPr="00C011CF">
        <w:rPr>
          <w:szCs w:val="20"/>
        </w:rPr>
        <w:t xml:space="preserve"> de l</w:t>
      </w:r>
      <w:r w:rsidR="00E85A3E">
        <w:rPr>
          <w:szCs w:val="20"/>
        </w:rPr>
        <w:t>os peritos Joaquín Mejía Rivera y</w:t>
      </w:r>
      <w:r w:rsidR="00A46440" w:rsidRPr="00C011CF">
        <w:rPr>
          <w:szCs w:val="20"/>
        </w:rPr>
        <w:t xml:space="preserve"> Daniel Herrera Salinas</w:t>
      </w:r>
      <w:r w:rsidR="00E85A3E">
        <w:rPr>
          <w:szCs w:val="20"/>
        </w:rPr>
        <w:t>,</w:t>
      </w:r>
      <w:r w:rsidR="00A46440" w:rsidRPr="00C011CF">
        <w:rPr>
          <w:szCs w:val="20"/>
        </w:rPr>
        <w:t xml:space="preserve"> y </w:t>
      </w:r>
      <w:r w:rsidR="00E85A3E">
        <w:rPr>
          <w:szCs w:val="20"/>
        </w:rPr>
        <w:t xml:space="preserve">de la perita </w:t>
      </w:r>
      <w:r w:rsidR="00A46440" w:rsidRPr="00C011CF">
        <w:rPr>
          <w:szCs w:val="20"/>
        </w:rPr>
        <w:t>Georgina Margarita Rodríguez Matute</w:t>
      </w:r>
      <w:r w:rsidRPr="00C011CF">
        <w:rPr>
          <w:rStyle w:val="FootnoteReference"/>
          <w:sz w:val="20"/>
          <w:szCs w:val="20"/>
        </w:rPr>
        <w:footnoteReference w:id="8"/>
      </w:r>
      <w:r w:rsidRPr="00C011CF">
        <w:rPr>
          <w:szCs w:val="20"/>
        </w:rPr>
        <w:t>.</w:t>
      </w:r>
      <w:r w:rsidRPr="00C011CF">
        <w:rPr>
          <w:rFonts w:eastAsia="Times New Roman"/>
          <w:szCs w:val="20"/>
          <w:lang w:eastAsia="es-CR"/>
        </w:rPr>
        <w:t xml:space="preserve"> En cuanto a la prueba rendida en audiencia pública, la Corte escuchó </w:t>
      </w:r>
      <w:r w:rsidR="00C56ADF">
        <w:rPr>
          <w:szCs w:val="20"/>
        </w:rPr>
        <w:t xml:space="preserve">las declaraciones de </w:t>
      </w:r>
      <w:r w:rsidR="00A46440" w:rsidRPr="00C011CF">
        <w:rPr>
          <w:szCs w:val="20"/>
        </w:rPr>
        <w:t xml:space="preserve">José Pacheco y </w:t>
      </w:r>
      <w:proofErr w:type="spellStart"/>
      <w:r w:rsidR="00A46440" w:rsidRPr="00C011CF">
        <w:rPr>
          <w:szCs w:val="20"/>
        </w:rPr>
        <w:t>Jimy</w:t>
      </w:r>
      <w:proofErr w:type="spellEnd"/>
      <w:r w:rsidR="00A46440" w:rsidRPr="00C011CF">
        <w:rPr>
          <w:szCs w:val="20"/>
        </w:rPr>
        <w:t xml:space="preserve"> Javier Pacheco</w:t>
      </w:r>
      <w:r w:rsidR="00E85A3E">
        <w:rPr>
          <w:szCs w:val="20"/>
        </w:rPr>
        <w:t xml:space="preserve"> Ortiz</w:t>
      </w:r>
      <w:r w:rsidRPr="00C011CF">
        <w:rPr>
          <w:szCs w:val="20"/>
        </w:rPr>
        <w:t>, y de los peritos</w:t>
      </w:r>
      <w:r w:rsidR="00A46440" w:rsidRPr="00C011CF">
        <w:rPr>
          <w:szCs w:val="20"/>
        </w:rPr>
        <w:t xml:space="preserve"> Alejandro </w:t>
      </w:r>
      <w:proofErr w:type="spellStart"/>
      <w:r w:rsidR="00A46440" w:rsidRPr="00C011CF">
        <w:rPr>
          <w:szCs w:val="20"/>
        </w:rPr>
        <w:t>Ramelli</w:t>
      </w:r>
      <w:proofErr w:type="spellEnd"/>
      <w:r w:rsidR="00A46440" w:rsidRPr="00C011CF">
        <w:rPr>
          <w:szCs w:val="20"/>
        </w:rPr>
        <w:t xml:space="preserve"> Arteaga</w:t>
      </w:r>
      <w:r w:rsidR="00BA2DDB" w:rsidRPr="00C011CF">
        <w:rPr>
          <w:szCs w:val="20"/>
        </w:rPr>
        <w:t xml:space="preserve"> y </w:t>
      </w:r>
      <w:r w:rsidR="00315286" w:rsidRPr="00C011CF">
        <w:rPr>
          <w:szCs w:val="20"/>
        </w:rPr>
        <w:t>Rodil Rivera Rodil</w:t>
      </w:r>
      <w:r w:rsidR="00C718CE">
        <w:rPr>
          <w:szCs w:val="20"/>
        </w:rPr>
        <w:t>.</w:t>
      </w:r>
      <w:r w:rsidR="00315286" w:rsidRPr="00C011CF">
        <w:rPr>
          <w:szCs w:val="20"/>
        </w:rPr>
        <w:t xml:space="preserve"> </w:t>
      </w:r>
    </w:p>
    <w:p w14:paraId="130FCE4E" w14:textId="77777777" w:rsidR="00ED3912" w:rsidRPr="00C011CF" w:rsidRDefault="00ED3912" w:rsidP="003D717E">
      <w:pPr>
        <w:pStyle w:val="NoSpacing"/>
        <w:tabs>
          <w:tab w:val="left" w:pos="567"/>
        </w:tabs>
        <w:rPr>
          <w:spacing w:val="-4"/>
          <w:szCs w:val="20"/>
          <w:lang w:val="es-CR"/>
        </w:rPr>
      </w:pPr>
    </w:p>
    <w:p w14:paraId="606A46B3" w14:textId="16F80852" w:rsidR="003D717E" w:rsidRPr="00C011CF" w:rsidRDefault="003D717E" w:rsidP="00A1177F">
      <w:pPr>
        <w:pStyle w:val="Heading2"/>
        <w:tabs>
          <w:tab w:val="clear" w:pos="567"/>
          <w:tab w:val="left" w:pos="142"/>
        </w:tabs>
        <w:ind w:left="284" w:firstLine="0"/>
        <w:rPr>
          <w:spacing w:val="-4"/>
          <w:szCs w:val="20"/>
          <w:lang w:val="es-ES"/>
        </w:rPr>
      </w:pPr>
      <w:bookmarkStart w:id="190" w:name="_Toc424834691"/>
      <w:bookmarkStart w:id="191" w:name="_Toc427932797"/>
      <w:bookmarkStart w:id="192" w:name="_Toc431584614"/>
      <w:bookmarkStart w:id="193" w:name="_Toc434850402"/>
      <w:bookmarkStart w:id="194" w:name="_Toc488134426"/>
      <w:bookmarkStart w:id="195" w:name="_Toc489523886"/>
      <w:bookmarkStart w:id="196" w:name="_Toc493512884"/>
      <w:bookmarkStart w:id="197" w:name="_Toc498512805"/>
      <w:r w:rsidRPr="00C011CF">
        <w:rPr>
          <w:spacing w:val="-4"/>
          <w:szCs w:val="20"/>
          <w:lang w:val="es-ES"/>
        </w:rPr>
        <w:t xml:space="preserve">B. </w:t>
      </w:r>
      <w:r w:rsidR="0028798A">
        <w:rPr>
          <w:spacing w:val="-4"/>
          <w:szCs w:val="20"/>
          <w:lang w:val="es-ES"/>
        </w:rPr>
        <w:tab/>
      </w:r>
      <w:r w:rsidRPr="00C011CF">
        <w:rPr>
          <w:spacing w:val="-4"/>
          <w:szCs w:val="20"/>
          <w:lang w:val="es-ES"/>
        </w:rPr>
        <w:t>Admisión de la prueba</w:t>
      </w:r>
      <w:bookmarkEnd w:id="190"/>
      <w:bookmarkEnd w:id="191"/>
      <w:bookmarkEnd w:id="192"/>
      <w:bookmarkEnd w:id="193"/>
      <w:bookmarkEnd w:id="194"/>
      <w:bookmarkEnd w:id="195"/>
      <w:bookmarkEnd w:id="196"/>
      <w:bookmarkEnd w:id="197"/>
    </w:p>
    <w:p w14:paraId="68271BFD" w14:textId="77777777" w:rsidR="003D717E" w:rsidRPr="00C011CF" w:rsidRDefault="003D717E" w:rsidP="003D717E">
      <w:pPr>
        <w:rPr>
          <w:spacing w:val="-4"/>
          <w:szCs w:val="20"/>
          <w:lang w:val="es-ES"/>
        </w:rPr>
      </w:pPr>
    </w:p>
    <w:p w14:paraId="3F69A661" w14:textId="77777777" w:rsidR="003D717E" w:rsidRPr="00C011CF" w:rsidRDefault="00D60E39" w:rsidP="00A1177F">
      <w:pPr>
        <w:pStyle w:val="Heading3"/>
        <w:ind w:left="567"/>
        <w:rPr>
          <w:b w:val="0"/>
          <w:i/>
          <w:spacing w:val="-4"/>
          <w:szCs w:val="20"/>
        </w:rPr>
      </w:pPr>
      <w:bookmarkStart w:id="198" w:name="_Toc424834692"/>
      <w:bookmarkStart w:id="199" w:name="_Toc431584615"/>
      <w:bookmarkStart w:id="200" w:name="_Toc434850403"/>
      <w:bookmarkStart w:id="201" w:name="_Toc488134427"/>
      <w:bookmarkStart w:id="202" w:name="_Toc489523887"/>
      <w:bookmarkStart w:id="203" w:name="_Toc493512885"/>
      <w:bookmarkStart w:id="204" w:name="_Toc498512806"/>
      <w:r w:rsidRPr="00C011CF">
        <w:rPr>
          <w:b w:val="0"/>
          <w:i/>
          <w:spacing w:val="-4"/>
          <w:szCs w:val="20"/>
        </w:rPr>
        <w:t>B.1.</w:t>
      </w:r>
      <w:r w:rsidR="003D717E" w:rsidRPr="00C011CF">
        <w:rPr>
          <w:b w:val="0"/>
          <w:i/>
          <w:spacing w:val="-4"/>
          <w:szCs w:val="20"/>
        </w:rPr>
        <w:t xml:space="preserve"> </w:t>
      </w:r>
      <w:r w:rsidR="003D717E" w:rsidRPr="00C011CF">
        <w:rPr>
          <w:b w:val="0"/>
          <w:i/>
          <w:spacing w:val="-4"/>
          <w:szCs w:val="20"/>
          <w:u w:val="single"/>
        </w:rPr>
        <w:t>Admisión de prueba documental</w:t>
      </w:r>
      <w:bookmarkEnd w:id="198"/>
      <w:bookmarkEnd w:id="199"/>
      <w:bookmarkEnd w:id="200"/>
      <w:bookmarkEnd w:id="201"/>
      <w:bookmarkEnd w:id="202"/>
      <w:bookmarkEnd w:id="203"/>
      <w:bookmarkEnd w:id="204"/>
    </w:p>
    <w:p w14:paraId="5320BF8A" w14:textId="77777777" w:rsidR="003D717E" w:rsidRPr="00C011CF" w:rsidRDefault="003D717E" w:rsidP="004D030C">
      <w:pPr>
        <w:rPr>
          <w:spacing w:val="-4"/>
          <w:szCs w:val="20"/>
        </w:rPr>
      </w:pPr>
    </w:p>
    <w:p w14:paraId="2A60E4FB" w14:textId="77777777" w:rsidR="003D717E" w:rsidRPr="00C011CF" w:rsidRDefault="003D717E" w:rsidP="00B571BB">
      <w:pPr>
        <w:pStyle w:val="PrrafodeSentencia"/>
        <w:tabs>
          <w:tab w:val="clear" w:pos="567"/>
          <w:tab w:val="left" w:pos="-142"/>
        </w:tabs>
        <w:ind w:left="0" w:firstLine="0"/>
        <w:rPr>
          <w:szCs w:val="20"/>
        </w:rPr>
      </w:pPr>
      <w:r w:rsidRPr="00C011CF">
        <w:rPr>
          <w:szCs w:val="20"/>
        </w:rPr>
        <w:t xml:space="preserve">En el presente caso, como en otros, este Tribunal admite aquellos documentos presentados oportunamente por las partes y la Comisión </w:t>
      </w:r>
      <w:r w:rsidR="00D7119F" w:rsidRPr="00206546">
        <w:rPr>
          <w:szCs w:val="20"/>
        </w:rPr>
        <w:t xml:space="preserve">cuya admisibilidad no fue </w:t>
      </w:r>
      <w:r w:rsidRPr="00206546">
        <w:rPr>
          <w:szCs w:val="20"/>
        </w:rPr>
        <w:t>controvertid</w:t>
      </w:r>
      <w:r w:rsidR="00D7119F" w:rsidRPr="00206546">
        <w:rPr>
          <w:szCs w:val="20"/>
        </w:rPr>
        <w:t>a</w:t>
      </w:r>
      <w:r w:rsidRPr="00206546">
        <w:rPr>
          <w:szCs w:val="20"/>
        </w:rPr>
        <w:t xml:space="preserve"> ni objetad</w:t>
      </w:r>
      <w:r w:rsidR="00D7119F" w:rsidRPr="00206546">
        <w:rPr>
          <w:szCs w:val="20"/>
        </w:rPr>
        <w:t>a</w:t>
      </w:r>
      <w:r w:rsidRPr="00206546">
        <w:rPr>
          <w:rStyle w:val="FootnoteReference"/>
          <w:sz w:val="20"/>
          <w:szCs w:val="20"/>
        </w:rPr>
        <w:footnoteReference w:id="9"/>
      </w:r>
      <w:r w:rsidRPr="00206546">
        <w:rPr>
          <w:szCs w:val="20"/>
        </w:rPr>
        <w:t>.</w:t>
      </w:r>
    </w:p>
    <w:p w14:paraId="623D2E79" w14:textId="77777777" w:rsidR="00C718CE" w:rsidRPr="00C718CE" w:rsidRDefault="00C718CE" w:rsidP="00B571BB">
      <w:pPr>
        <w:pStyle w:val="PrrafodeSentencia"/>
        <w:numPr>
          <w:ilvl w:val="0"/>
          <w:numId w:val="0"/>
        </w:numPr>
        <w:tabs>
          <w:tab w:val="clear" w:pos="567"/>
          <w:tab w:val="left" w:pos="-142"/>
        </w:tabs>
        <w:rPr>
          <w:szCs w:val="20"/>
        </w:rPr>
      </w:pPr>
    </w:p>
    <w:p w14:paraId="602CC81F" w14:textId="62AA1A88" w:rsidR="003D717E" w:rsidRDefault="00D16DD2" w:rsidP="00B571BB">
      <w:pPr>
        <w:pStyle w:val="PrrafodeSentencia"/>
        <w:tabs>
          <w:tab w:val="clear" w:pos="567"/>
          <w:tab w:val="left" w:pos="-142"/>
        </w:tabs>
        <w:ind w:left="0" w:firstLine="0"/>
        <w:rPr>
          <w:szCs w:val="20"/>
        </w:rPr>
      </w:pPr>
      <w:r>
        <w:rPr>
          <w:szCs w:val="20"/>
        </w:rPr>
        <w:t>La</w:t>
      </w:r>
      <w:r w:rsidR="003D717E" w:rsidRPr="00C718CE">
        <w:rPr>
          <w:szCs w:val="20"/>
        </w:rPr>
        <w:t xml:space="preserve"> prueba documental, d</w:t>
      </w:r>
      <w:r w:rsidR="00C13A10" w:rsidRPr="00C718CE">
        <w:rPr>
          <w:szCs w:val="20"/>
        </w:rPr>
        <w:t>e conformidad con el artículo 57.2</w:t>
      </w:r>
      <w:r w:rsidR="003D717E" w:rsidRPr="00C718CE">
        <w:rPr>
          <w:szCs w:val="20"/>
        </w:rPr>
        <w:t xml:space="preserve"> del Reglamento, debe ser presentada, en general, junto con los escritos de sometimiento del caso, de solicitudes y </w:t>
      </w:r>
      <w:r w:rsidR="003D717E" w:rsidRPr="00C718CE">
        <w:rPr>
          <w:szCs w:val="20"/>
        </w:rPr>
        <w:lastRenderedPageBreak/>
        <w:t xml:space="preserve">argumentos o de contestación, según corresponda. No </w:t>
      </w:r>
      <w:r w:rsidR="003D717E" w:rsidRPr="001A2D81">
        <w:rPr>
          <w:szCs w:val="20"/>
        </w:rPr>
        <w:t>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p>
    <w:p w14:paraId="31064A3E" w14:textId="77777777" w:rsidR="009C78CE" w:rsidRDefault="009C78CE" w:rsidP="00B571BB">
      <w:pPr>
        <w:tabs>
          <w:tab w:val="left" w:pos="-142"/>
        </w:tabs>
        <w:rPr>
          <w:lang w:val="es-CR" w:eastAsia="es-MX"/>
        </w:rPr>
      </w:pPr>
    </w:p>
    <w:p w14:paraId="595B0576" w14:textId="4119A376" w:rsidR="00B81B5C" w:rsidRPr="00AD3D4F" w:rsidRDefault="00C352BD" w:rsidP="00B571BB">
      <w:pPr>
        <w:pStyle w:val="PrrafodeSentencia"/>
        <w:tabs>
          <w:tab w:val="clear" w:pos="567"/>
          <w:tab w:val="left" w:pos="-142"/>
        </w:tabs>
        <w:ind w:left="0" w:firstLine="0"/>
      </w:pPr>
      <w:r w:rsidRPr="00AD3D4F">
        <w:t xml:space="preserve">El </w:t>
      </w:r>
      <w:r w:rsidR="009C78CE" w:rsidRPr="00AD3D4F">
        <w:t xml:space="preserve">Estado </w:t>
      </w:r>
      <w:r w:rsidR="00D16DD2">
        <w:t xml:space="preserve">presentó dos anexos </w:t>
      </w:r>
      <w:r w:rsidR="009C78CE" w:rsidRPr="00AD3D4F">
        <w:t>junto</w:t>
      </w:r>
      <w:r w:rsidR="009C28FC" w:rsidRPr="00AD3D4F">
        <w:t xml:space="preserve"> con</w:t>
      </w:r>
      <w:r w:rsidR="009C78CE" w:rsidRPr="00AD3D4F">
        <w:t xml:space="preserve"> </w:t>
      </w:r>
      <w:r w:rsidR="00D16DD2">
        <w:t>sus</w:t>
      </w:r>
      <w:r w:rsidR="009C78CE" w:rsidRPr="00AD3D4F">
        <w:t xml:space="preserve"> alegatos finales escritos</w:t>
      </w:r>
      <w:r w:rsidR="00C438C1" w:rsidRPr="00AD3D4F">
        <w:t>, a saber</w:t>
      </w:r>
      <w:r w:rsidR="007B1D19" w:rsidRPr="00AD3D4F">
        <w:t xml:space="preserve">: </w:t>
      </w:r>
      <w:r w:rsidR="006142AC" w:rsidRPr="00AD3D4F">
        <w:t>1</w:t>
      </w:r>
      <w:r w:rsidR="007B1D19" w:rsidRPr="00AD3D4F">
        <w:t xml:space="preserve">) </w:t>
      </w:r>
      <w:r w:rsidRPr="00AD3D4F">
        <w:t>la Ley Electoral y de las O</w:t>
      </w:r>
      <w:r w:rsidRPr="0034037F">
        <w:t>rganizaciones Políticas (Decreto No. 44-2004)</w:t>
      </w:r>
      <w:r w:rsidR="006142AC" w:rsidRPr="0034037F">
        <w:t xml:space="preserve"> y 2</w:t>
      </w:r>
      <w:r w:rsidR="007B1D19" w:rsidRPr="0034037F">
        <w:t xml:space="preserve">) </w:t>
      </w:r>
      <w:r w:rsidR="008C016A" w:rsidRPr="0034037F">
        <w:t>Ley Electoral y de los Ó</w:t>
      </w:r>
      <w:r w:rsidR="00956107" w:rsidRPr="0034037F">
        <w:t>rganos Políticos emitida</w:t>
      </w:r>
      <w:r w:rsidR="00DB19EC" w:rsidRPr="0034037F">
        <w:t xml:space="preserve"> el 20 de abril de 1981</w:t>
      </w:r>
      <w:r w:rsidRPr="0034037F">
        <w:t>.</w:t>
      </w:r>
      <w:r w:rsidR="007B1D19" w:rsidRPr="0034037F">
        <w:t xml:space="preserve"> Por su parte,</w:t>
      </w:r>
      <w:r w:rsidRPr="0034037F">
        <w:t xml:space="preserve"> l</w:t>
      </w:r>
      <w:r w:rsidR="007B1D19" w:rsidRPr="0034037F">
        <w:t>os representantes adjuntaron</w:t>
      </w:r>
      <w:r w:rsidR="00C503AC" w:rsidRPr="0034037F">
        <w:t xml:space="preserve"> </w:t>
      </w:r>
      <w:r w:rsidR="00C438C1" w:rsidRPr="0034037F">
        <w:t>los siguientes documentos como anexos</w:t>
      </w:r>
      <w:r w:rsidR="007B1D19" w:rsidRPr="0034037F">
        <w:t xml:space="preserve">: </w:t>
      </w:r>
      <w:r w:rsidR="00303BF0" w:rsidRPr="0034037F">
        <w:t>A</w:t>
      </w:r>
      <w:r w:rsidRPr="0034037F">
        <w:t xml:space="preserve">) </w:t>
      </w:r>
      <w:r w:rsidR="007B1D19" w:rsidRPr="0034037F">
        <w:t xml:space="preserve">la Ley Electoral y de las Organizaciones Políticas (Decreto No. 44-2004); </w:t>
      </w:r>
      <w:r w:rsidR="00DB19EC" w:rsidRPr="0034037F">
        <w:t xml:space="preserve">B) </w:t>
      </w:r>
      <w:r w:rsidR="00B363D0" w:rsidRPr="0034037F">
        <w:t>Conjunto de documentos denominados “Listado de Asesinatos por razones políticas”; dent</w:t>
      </w:r>
      <w:r w:rsidR="00956107" w:rsidRPr="0034037F">
        <w:t>ro de estos archivos se encuentran:</w:t>
      </w:r>
      <w:r w:rsidR="00B363D0" w:rsidRPr="0034037F">
        <w:t xml:space="preserve"> </w:t>
      </w:r>
      <w:r w:rsidR="00303BF0" w:rsidRPr="0034037F">
        <w:t>B.1</w:t>
      </w:r>
      <w:r w:rsidR="007B1D19" w:rsidRPr="0034037F">
        <w:t>)</w:t>
      </w:r>
      <w:r w:rsidR="00C438C1" w:rsidRPr="0034037F">
        <w:t xml:space="preserve"> un documento denominado:</w:t>
      </w:r>
      <w:r w:rsidR="007B1D19" w:rsidRPr="0034037F">
        <w:t xml:space="preserve"> </w:t>
      </w:r>
      <w:r w:rsidRPr="0034037F">
        <w:t>“</w:t>
      </w:r>
      <w:r w:rsidR="009C28FC" w:rsidRPr="0034037F">
        <w:t>L</w:t>
      </w:r>
      <w:r w:rsidRPr="0034037F">
        <w:t xml:space="preserve">istado de Asesinatos y razones políticas”, </w:t>
      </w:r>
      <w:r w:rsidR="00303BF0" w:rsidRPr="0034037F">
        <w:t>B.2</w:t>
      </w:r>
      <w:r w:rsidR="007B1D19" w:rsidRPr="0034037F">
        <w:t>)</w:t>
      </w:r>
      <w:r w:rsidR="00C438C1" w:rsidRPr="0034037F">
        <w:t xml:space="preserve"> otro documento denominado:</w:t>
      </w:r>
      <w:r w:rsidR="007B1D19" w:rsidRPr="0034037F">
        <w:t xml:space="preserve"> “</w:t>
      </w:r>
      <w:r w:rsidR="00B363D0" w:rsidRPr="0034037F">
        <w:t>Registro de Asesinatos por motivación política. Junio 2009 a Enero de 2011 en el Contexto del Golpe de Estado</w:t>
      </w:r>
      <w:r w:rsidR="007B1D19" w:rsidRPr="0034037F">
        <w:t>”,</w:t>
      </w:r>
      <w:r w:rsidR="00E16EF6" w:rsidRPr="00AD3D4F">
        <w:t xml:space="preserve"> B.3)</w:t>
      </w:r>
      <w:r w:rsidR="00C438C1" w:rsidRPr="00AD3D4F">
        <w:t xml:space="preserve"> un informe denominado </w:t>
      </w:r>
      <w:r w:rsidR="00E16EF6" w:rsidRPr="00AD3D4F">
        <w:rPr>
          <w:rFonts w:cs="Arial"/>
          <w:szCs w:val="20"/>
          <w:lang w:val="es-MX"/>
        </w:rPr>
        <w:t>“</w:t>
      </w:r>
      <w:r w:rsidR="00B363D0">
        <w:rPr>
          <w:rFonts w:cs="Arial"/>
          <w:szCs w:val="20"/>
          <w:lang w:val="es-MX"/>
        </w:rPr>
        <w:t xml:space="preserve">I </w:t>
      </w:r>
      <w:r w:rsidR="00E16EF6" w:rsidRPr="00AD3D4F">
        <w:rPr>
          <w:rFonts w:cs="Arial"/>
          <w:szCs w:val="20"/>
          <w:lang w:val="es-MX"/>
        </w:rPr>
        <w:t>Informe de la Conflictividad y Violencia Política en el Marco de las Elecciones Primarias del 2012”</w:t>
      </w:r>
      <w:r w:rsidR="00E16EF6" w:rsidRPr="00AD3D4F">
        <w:rPr>
          <w:rFonts w:cs="Arial"/>
          <w:szCs w:val="20"/>
        </w:rPr>
        <w:t xml:space="preserve">, </w:t>
      </w:r>
      <w:r w:rsidR="007B1D19" w:rsidRPr="00AD3D4F">
        <w:t xml:space="preserve">y </w:t>
      </w:r>
      <w:r w:rsidR="00303BF0" w:rsidRPr="00AD3D4F">
        <w:t>C</w:t>
      </w:r>
      <w:r w:rsidR="007B1D19" w:rsidRPr="00AD3D4F">
        <w:t>)</w:t>
      </w:r>
      <w:r w:rsidR="00C438C1" w:rsidRPr="00AD3D4F">
        <w:t xml:space="preserve"> documentos que denominaron</w:t>
      </w:r>
      <w:r w:rsidR="007B1D19" w:rsidRPr="00AD3D4F">
        <w:t xml:space="preserve"> </w:t>
      </w:r>
      <w:r w:rsidR="00C438C1" w:rsidRPr="00AD3D4F">
        <w:t>“</w:t>
      </w:r>
      <w:r w:rsidR="007B1D19" w:rsidRPr="00AD3D4F">
        <w:t>F</w:t>
      </w:r>
      <w:r w:rsidRPr="00AD3D4F">
        <w:t>acturas de gastos efectuados con posteriorida</w:t>
      </w:r>
      <w:r w:rsidR="00283839" w:rsidRPr="00AD3D4F">
        <w:t>d</w:t>
      </w:r>
      <w:r w:rsidRPr="00AD3D4F">
        <w:t xml:space="preserve"> al ESAP”.</w:t>
      </w:r>
    </w:p>
    <w:p w14:paraId="13ED7103" w14:textId="77777777" w:rsidR="00B81B5C" w:rsidRPr="00AD3D4F" w:rsidRDefault="00B81B5C" w:rsidP="00B571BB">
      <w:pPr>
        <w:tabs>
          <w:tab w:val="left" w:pos="-142"/>
        </w:tabs>
        <w:rPr>
          <w:lang w:val="es-CR" w:eastAsia="es-MX"/>
        </w:rPr>
      </w:pPr>
    </w:p>
    <w:p w14:paraId="17153E35" w14:textId="25269195" w:rsidR="0046361D" w:rsidRPr="00AD3D4F" w:rsidRDefault="00C438C1" w:rsidP="00B571BB">
      <w:pPr>
        <w:pStyle w:val="PrrafodeSentencia"/>
        <w:tabs>
          <w:tab w:val="clear" w:pos="567"/>
          <w:tab w:val="left" w:pos="-142"/>
        </w:tabs>
        <w:ind w:left="0" w:firstLine="0"/>
        <w:rPr>
          <w:rFonts w:cs="Arial"/>
          <w:szCs w:val="20"/>
          <w:lang w:val="es-MX"/>
        </w:rPr>
      </w:pPr>
      <w:r w:rsidRPr="00AD3D4F">
        <w:t>El</w:t>
      </w:r>
      <w:r w:rsidR="007B1D19" w:rsidRPr="00AD3D4F">
        <w:t xml:space="preserve"> Estado</w:t>
      </w:r>
      <w:r w:rsidR="00D16DD2">
        <w:t>,</w:t>
      </w:r>
      <w:r w:rsidR="00283839" w:rsidRPr="00AD3D4F">
        <w:t xml:space="preserve"> en sus observaciones a los anexos</w:t>
      </w:r>
      <w:r w:rsidR="006C5094" w:rsidRPr="00AD3D4F">
        <w:t xml:space="preserve"> presenta</w:t>
      </w:r>
      <w:r w:rsidR="009C28FC" w:rsidRPr="00AD3D4F">
        <w:t>dos por los representantes</w:t>
      </w:r>
      <w:r w:rsidR="00D16DD2">
        <w:t>,</w:t>
      </w:r>
      <w:r w:rsidR="007B1D19" w:rsidRPr="00AD3D4F">
        <w:t xml:space="preserve"> no se refirió</w:t>
      </w:r>
      <w:r w:rsidR="00283839" w:rsidRPr="00AD3D4F">
        <w:t xml:space="preserve"> a los anexos</w:t>
      </w:r>
      <w:r w:rsidR="003A58AA" w:rsidRPr="00AD3D4F">
        <w:t xml:space="preserve"> indicados en el párrafo anterior como</w:t>
      </w:r>
      <w:r w:rsidR="00283839" w:rsidRPr="00AD3D4F">
        <w:t xml:space="preserve"> A y C</w:t>
      </w:r>
      <w:r w:rsidR="007B1D19" w:rsidRPr="00AD3D4F">
        <w:t xml:space="preserve">. </w:t>
      </w:r>
      <w:r w:rsidRPr="00AD3D4F">
        <w:t xml:space="preserve">En </w:t>
      </w:r>
      <w:r w:rsidR="00C419B0" w:rsidRPr="00AD3D4F">
        <w:t>cuanto</w:t>
      </w:r>
      <w:r w:rsidRPr="00AD3D4F">
        <w:t xml:space="preserve"> </w:t>
      </w:r>
      <w:r w:rsidR="007B1D19" w:rsidRPr="00AD3D4F">
        <w:t xml:space="preserve">al </w:t>
      </w:r>
      <w:r w:rsidR="003A58AA" w:rsidRPr="00AD3D4F">
        <w:t>documento indicado como</w:t>
      </w:r>
      <w:r w:rsidR="007B1D19" w:rsidRPr="00AD3D4F">
        <w:t xml:space="preserve"> B</w:t>
      </w:r>
      <w:r w:rsidR="003A58AA" w:rsidRPr="00AD3D4F">
        <w:t>.</w:t>
      </w:r>
      <w:r w:rsidR="007B1D19" w:rsidRPr="00AD3D4F">
        <w:t xml:space="preserve">1, </w:t>
      </w:r>
      <w:r w:rsidR="003A58AA" w:rsidRPr="00AD3D4F">
        <w:t xml:space="preserve">que alude a hechos que presuntamente serían asesinatos por motivos políticos, Honduras </w:t>
      </w:r>
      <w:r w:rsidR="007B1D19" w:rsidRPr="00AD3D4F">
        <w:t xml:space="preserve">señaló que </w:t>
      </w:r>
      <w:r w:rsidR="00B81B5C" w:rsidRPr="00AD3D4F">
        <w:rPr>
          <w:rFonts w:cs="Arial"/>
          <w:szCs w:val="20"/>
          <w:lang w:val="es-MX"/>
        </w:rPr>
        <w:t>“</w:t>
      </w:r>
      <w:r w:rsidR="007B1D19" w:rsidRPr="00AD3D4F">
        <w:rPr>
          <w:rFonts w:cs="Arial"/>
          <w:szCs w:val="20"/>
          <w:lang w:val="es-MX"/>
        </w:rPr>
        <w:t xml:space="preserve">no se acredita </w:t>
      </w:r>
      <w:r w:rsidR="00B363D0">
        <w:rPr>
          <w:rFonts w:cs="Arial"/>
          <w:szCs w:val="20"/>
          <w:lang w:val="es-MX"/>
        </w:rPr>
        <w:t>[</w:t>
      </w:r>
      <w:r w:rsidR="007B1D19" w:rsidRPr="00AD3D4F">
        <w:rPr>
          <w:rFonts w:cs="Arial"/>
          <w:szCs w:val="20"/>
          <w:lang w:val="es-MX"/>
        </w:rPr>
        <w:t>que dichos</w:t>
      </w:r>
      <w:r w:rsidR="00B363D0">
        <w:rPr>
          <w:rFonts w:cs="Arial"/>
          <w:szCs w:val="20"/>
          <w:lang w:val="es-MX"/>
        </w:rPr>
        <w:t>]</w:t>
      </w:r>
      <w:r w:rsidR="007B1D19" w:rsidRPr="00AD3D4F">
        <w:rPr>
          <w:rFonts w:cs="Arial"/>
          <w:szCs w:val="20"/>
          <w:lang w:val="es-MX"/>
        </w:rPr>
        <w:t xml:space="preserve"> sucesos hubiesen sucedido por razones políticas y, mucho menos, que se trate de ejemplos de violencia política</w:t>
      </w:r>
      <w:r w:rsidR="00B81B5C" w:rsidRPr="00AD3D4F">
        <w:rPr>
          <w:rFonts w:cs="Arial"/>
          <w:szCs w:val="20"/>
          <w:lang w:val="es-MX"/>
        </w:rPr>
        <w:t>”</w:t>
      </w:r>
      <w:r w:rsidR="007B1D19" w:rsidRPr="00AD3D4F">
        <w:rPr>
          <w:rFonts w:cs="Arial"/>
          <w:szCs w:val="20"/>
          <w:lang w:val="es-MX"/>
        </w:rPr>
        <w:t xml:space="preserve">. </w:t>
      </w:r>
      <w:r w:rsidR="00B81B5C" w:rsidRPr="00AD3D4F">
        <w:rPr>
          <w:rFonts w:cs="Arial"/>
          <w:szCs w:val="20"/>
          <w:lang w:val="es-MX"/>
        </w:rPr>
        <w:t>Además, consideró</w:t>
      </w:r>
      <w:r w:rsidR="007B1D19" w:rsidRPr="00AD3D4F">
        <w:rPr>
          <w:rFonts w:cs="Arial"/>
          <w:szCs w:val="20"/>
          <w:lang w:val="es-MX"/>
        </w:rPr>
        <w:t xml:space="preserve"> que dichas alegaciones no deben ser admitidas en virtud de que los medios probatorios respectivos no son hechos debatidos en el proceso, no constituyen prueba alguna y no acreditan alguno de los extremos alegados en su momento por los representantes.</w:t>
      </w:r>
      <w:r w:rsidR="00B81B5C" w:rsidRPr="00AD3D4F">
        <w:rPr>
          <w:rFonts w:cs="Arial"/>
          <w:szCs w:val="20"/>
          <w:lang w:val="es-MX"/>
        </w:rPr>
        <w:t xml:space="preserve"> Respecto al</w:t>
      </w:r>
      <w:r w:rsidR="00283839" w:rsidRPr="00AD3D4F">
        <w:rPr>
          <w:rFonts w:cs="Arial"/>
          <w:szCs w:val="20"/>
        </w:rPr>
        <w:t xml:space="preserve"> </w:t>
      </w:r>
      <w:r w:rsidR="006C5094" w:rsidRPr="00AD3D4F">
        <w:rPr>
          <w:rFonts w:cs="Arial"/>
          <w:szCs w:val="20"/>
        </w:rPr>
        <w:t xml:space="preserve">anexo </w:t>
      </w:r>
      <w:r w:rsidR="00283839" w:rsidRPr="00AD3D4F">
        <w:rPr>
          <w:rFonts w:cs="Arial"/>
          <w:szCs w:val="20"/>
        </w:rPr>
        <w:t>B.2</w:t>
      </w:r>
      <w:r w:rsidR="003A58AA" w:rsidRPr="00AD3D4F">
        <w:rPr>
          <w:rFonts w:cs="Arial"/>
          <w:szCs w:val="20"/>
        </w:rPr>
        <w:t xml:space="preserve"> remitido por los representantes</w:t>
      </w:r>
      <w:r w:rsidR="00B81B5C" w:rsidRPr="00AD3D4F">
        <w:rPr>
          <w:rFonts w:cs="Arial"/>
          <w:szCs w:val="20"/>
        </w:rPr>
        <w:t xml:space="preserve">, </w:t>
      </w:r>
      <w:r w:rsidR="003A58AA" w:rsidRPr="00AD3D4F">
        <w:rPr>
          <w:rFonts w:cs="Arial"/>
          <w:szCs w:val="20"/>
        </w:rPr>
        <w:t xml:space="preserve">alusivo a asesinatos cometidos “en </w:t>
      </w:r>
      <w:r w:rsidR="003A58AA" w:rsidRPr="00AD3D4F">
        <w:t>el contexto del golpe de Estado”,</w:t>
      </w:r>
      <w:r w:rsidR="003A58AA" w:rsidRPr="00AD3D4F">
        <w:rPr>
          <w:rFonts w:cs="Arial"/>
          <w:szCs w:val="20"/>
        </w:rPr>
        <w:t xml:space="preserve"> </w:t>
      </w:r>
      <w:r w:rsidR="00B81B5C" w:rsidRPr="00AD3D4F">
        <w:rPr>
          <w:rFonts w:cs="Arial"/>
          <w:szCs w:val="20"/>
        </w:rPr>
        <w:t>el Estado consideró</w:t>
      </w:r>
      <w:r w:rsidR="00B81B5C" w:rsidRPr="00AD3D4F">
        <w:rPr>
          <w:rFonts w:cs="Arial"/>
          <w:szCs w:val="20"/>
          <w:lang w:val="es-MX"/>
        </w:rPr>
        <w:t xml:space="preserve"> que dicha prueba no tiene ninguna relación con el caso que se analiza, ya que</w:t>
      </w:r>
      <w:r w:rsidR="00B81B5C" w:rsidRPr="00AD3D4F">
        <w:rPr>
          <w:rFonts w:cs="Arial"/>
          <w:szCs w:val="20"/>
        </w:rPr>
        <w:t xml:space="preserve"> </w:t>
      </w:r>
      <w:r w:rsidR="00B81B5C" w:rsidRPr="00AD3D4F">
        <w:rPr>
          <w:rFonts w:cs="Arial"/>
          <w:szCs w:val="20"/>
          <w:lang w:val="es-MX"/>
        </w:rPr>
        <w:t xml:space="preserve">se refiere a un </w:t>
      </w:r>
      <w:r w:rsidR="007C4756">
        <w:rPr>
          <w:rFonts w:cs="Arial"/>
          <w:szCs w:val="20"/>
          <w:lang w:val="es-MX"/>
        </w:rPr>
        <w:t xml:space="preserve">período </w:t>
      </w:r>
      <w:r w:rsidR="00B81B5C" w:rsidRPr="00AD3D4F">
        <w:rPr>
          <w:rFonts w:cs="Arial"/>
          <w:szCs w:val="20"/>
          <w:lang w:val="es-MX"/>
        </w:rPr>
        <w:t>posterior.</w:t>
      </w:r>
      <w:r w:rsidR="00FA6198" w:rsidRPr="00AD3D4F">
        <w:rPr>
          <w:rFonts w:ascii="Arial" w:hAnsi="Arial" w:cs="Arial"/>
          <w:sz w:val="24"/>
          <w:szCs w:val="24"/>
        </w:rPr>
        <w:t xml:space="preserve"> </w:t>
      </w:r>
      <w:r w:rsidR="00FA6198" w:rsidRPr="00AD3D4F">
        <w:rPr>
          <w:rFonts w:cs="Arial"/>
          <w:szCs w:val="20"/>
          <w:lang w:val="es-MX"/>
        </w:rPr>
        <w:t xml:space="preserve">Respecto al </w:t>
      </w:r>
      <w:r w:rsidR="00E16EF6" w:rsidRPr="00AD3D4F">
        <w:rPr>
          <w:rFonts w:cs="Arial"/>
          <w:szCs w:val="20"/>
        </w:rPr>
        <w:t>anexo B.3</w:t>
      </w:r>
      <w:r w:rsidR="00AF65B2" w:rsidRPr="00AD3D4F">
        <w:rPr>
          <w:rFonts w:cs="Arial"/>
          <w:szCs w:val="20"/>
        </w:rPr>
        <w:t xml:space="preserve"> allegado por los representantes,</w:t>
      </w:r>
      <w:r w:rsidR="00E16EF6" w:rsidRPr="00AD3D4F">
        <w:rPr>
          <w:rFonts w:cs="Arial"/>
          <w:szCs w:val="20"/>
        </w:rPr>
        <w:t xml:space="preserve"> </w:t>
      </w:r>
      <w:r w:rsidR="00FA6198" w:rsidRPr="00AD3D4F">
        <w:rPr>
          <w:rFonts w:cs="Arial"/>
          <w:szCs w:val="20"/>
        </w:rPr>
        <w:t xml:space="preserve">el Estado consideró </w:t>
      </w:r>
      <w:r w:rsidR="00FA6198" w:rsidRPr="00AD3D4F">
        <w:rPr>
          <w:rFonts w:cs="Arial"/>
          <w:szCs w:val="20"/>
          <w:lang w:val="es-MX"/>
        </w:rPr>
        <w:t>que no debe ser admitido</w:t>
      </w:r>
      <w:r w:rsidR="00AF65B2" w:rsidRPr="00AD3D4F">
        <w:rPr>
          <w:rFonts w:cs="Arial"/>
          <w:szCs w:val="20"/>
          <w:lang w:val="es-MX"/>
        </w:rPr>
        <w:t>,</w:t>
      </w:r>
      <w:r w:rsidR="00FA6198" w:rsidRPr="00AD3D4F">
        <w:rPr>
          <w:rFonts w:cs="Arial"/>
          <w:szCs w:val="20"/>
          <w:lang w:val="es-MX"/>
        </w:rPr>
        <w:t xml:space="preserve"> ya que se refiere a un marco de conflicto en el año 2012</w:t>
      </w:r>
      <w:r w:rsidR="00AF65B2" w:rsidRPr="00AD3D4F">
        <w:rPr>
          <w:rFonts w:cs="Arial"/>
          <w:szCs w:val="20"/>
          <w:lang w:val="es-MX"/>
        </w:rPr>
        <w:t>, y ello es posterior al hecho que dio lugar a la muerte del señor Pacheco, ocurrido en noviembre de 2001</w:t>
      </w:r>
      <w:r w:rsidR="00750435" w:rsidRPr="00AD3D4F">
        <w:rPr>
          <w:rFonts w:cs="Arial"/>
          <w:szCs w:val="20"/>
          <w:lang w:val="es-MX"/>
        </w:rPr>
        <w:t>.</w:t>
      </w:r>
    </w:p>
    <w:p w14:paraId="250040FC" w14:textId="77777777" w:rsidR="0046361D" w:rsidRPr="0046361D" w:rsidRDefault="0046361D" w:rsidP="00B571BB">
      <w:pPr>
        <w:tabs>
          <w:tab w:val="left" w:pos="-142"/>
        </w:tabs>
        <w:rPr>
          <w:lang w:eastAsia="es-MX"/>
        </w:rPr>
      </w:pPr>
    </w:p>
    <w:p w14:paraId="15C9D333" w14:textId="77777777" w:rsidR="0046361D" w:rsidRPr="006C5094" w:rsidRDefault="0046361D" w:rsidP="00B571BB">
      <w:pPr>
        <w:pStyle w:val="PrrafodeSentencia"/>
        <w:tabs>
          <w:tab w:val="clear" w:pos="567"/>
          <w:tab w:val="left" w:pos="-142"/>
        </w:tabs>
        <w:ind w:left="0" w:firstLine="0"/>
        <w:rPr>
          <w:rFonts w:cs="Arial"/>
          <w:szCs w:val="20"/>
        </w:rPr>
      </w:pPr>
      <w:r w:rsidRPr="00B81B5C">
        <w:rPr>
          <w:rFonts w:cs="Arial"/>
          <w:szCs w:val="20"/>
        </w:rPr>
        <w:t xml:space="preserve">Por </w:t>
      </w:r>
      <w:r w:rsidR="00C503AC">
        <w:rPr>
          <w:rFonts w:cs="Arial"/>
          <w:szCs w:val="20"/>
        </w:rPr>
        <w:t xml:space="preserve">su </w:t>
      </w:r>
      <w:r w:rsidRPr="00B81B5C">
        <w:rPr>
          <w:rFonts w:cs="Arial"/>
          <w:szCs w:val="20"/>
        </w:rPr>
        <w:t>parte, en sus observaciones</w:t>
      </w:r>
      <w:r w:rsidR="006C5094">
        <w:rPr>
          <w:rFonts w:cs="Arial"/>
          <w:szCs w:val="20"/>
        </w:rPr>
        <w:t>, los representantes</w:t>
      </w:r>
      <w:r w:rsidRPr="00B81B5C">
        <w:rPr>
          <w:rFonts w:cs="Arial"/>
          <w:szCs w:val="20"/>
        </w:rPr>
        <w:t xml:space="preserve"> señalaron que el Estado </w:t>
      </w:r>
      <w:r>
        <w:rPr>
          <w:rFonts w:cs="Arial"/>
          <w:szCs w:val="20"/>
        </w:rPr>
        <w:t xml:space="preserve">no </w:t>
      </w:r>
      <w:proofErr w:type="spellStart"/>
      <w:r>
        <w:rPr>
          <w:rFonts w:cs="Arial"/>
          <w:szCs w:val="20"/>
        </w:rPr>
        <w:t>anexó</w:t>
      </w:r>
      <w:proofErr w:type="spellEnd"/>
      <w:r>
        <w:rPr>
          <w:rFonts w:cs="Arial"/>
          <w:szCs w:val="20"/>
        </w:rPr>
        <w:t xml:space="preserve"> a la Ley Electoral </w:t>
      </w:r>
      <w:r w:rsidRPr="00B81B5C">
        <w:rPr>
          <w:rFonts w:cs="Arial"/>
          <w:szCs w:val="20"/>
          <w:lang w:val="es-MX"/>
        </w:rPr>
        <w:t>las diversas reformas que ha tenido</w:t>
      </w:r>
      <w:r>
        <w:rPr>
          <w:rFonts w:cs="Arial"/>
          <w:szCs w:val="20"/>
        </w:rPr>
        <w:t xml:space="preserve"> dicha ley, por tanto, solicitaron</w:t>
      </w:r>
      <w:r w:rsidRPr="00B81B5C">
        <w:rPr>
          <w:rFonts w:cs="Arial"/>
          <w:szCs w:val="20"/>
          <w:lang w:val="es-MX"/>
        </w:rPr>
        <w:t xml:space="preserve"> </w:t>
      </w:r>
      <w:r w:rsidR="006C5094">
        <w:rPr>
          <w:rFonts w:cs="Arial"/>
          <w:szCs w:val="20"/>
          <w:lang w:val="es-MX"/>
        </w:rPr>
        <w:t xml:space="preserve">que la Corte la </w:t>
      </w:r>
      <w:r w:rsidRPr="00B81B5C">
        <w:rPr>
          <w:rFonts w:cs="Arial"/>
          <w:szCs w:val="20"/>
          <w:lang w:val="es-MX"/>
        </w:rPr>
        <w:t>de</w:t>
      </w:r>
      <w:r w:rsidR="006C5094">
        <w:rPr>
          <w:rFonts w:cs="Arial"/>
          <w:szCs w:val="20"/>
          <w:lang w:val="es-MX"/>
        </w:rPr>
        <w:t>sestime</w:t>
      </w:r>
      <w:r w:rsidR="00AF65B2">
        <w:rPr>
          <w:rFonts w:cs="Arial"/>
          <w:szCs w:val="20"/>
          <w:lang w:val="es-MX"/>
        </w:rPr>
        <w:t xml:space="preserve"> </w:t>
      </w:r>
      <w:r>
        <w:rPr>
          <w:rFonts w:cs="Arial"/>
          <w:szCs w:val="20"/>
        </w:rPr>
        <w:t xml:space="preserve">y que se considere </w:t>
      </w:r>
      <w:r w:rsidRPr="00B81B5C">
        <w:rPr>
          <w:rFonts w:cs="Arial"/>
          <w:szCs w:val="20"/>
          <w:lang w:val="es-MX"/>
        </w:rPr>
        <w:t>únicamente la Ley Electoral presentada por</w:t>
      </w:r>
      <w:r w:rsidRPr="00B81B5C">
        <w:rPr>
          <w:rFonts w:cs="Arial"/>
          <w:szCs w:val="20"/>
        </w:rPr>
        <w:t xml:space="preserve"> ellos</w:t>
      </w:r>
      <w:r>
        <w:rPr>
          <w:rFonts w:cs="Arial"/>
          <w:szCs w:val="20"/>
        </w:rPr>
        <w:t>. N</w:t>
      </w:r>
      <w:r w:rsidR="006C5094">
        <w:rPr>
          <w:rFonts w:cs="Arial"/>
          <w:szCs w:val="20"/>
        </w:rPr>
        <w:t xml:space="preserve">o se pronunciaron sobre el otro </w:t>
      </w:r>
      <w:r>
        <w:rPr>
          <w:rFonts w:cs="Arial"/>
          <w:szCs w:val="20"/>
        </w:rPr>
        <w:t>anexo remitido</w:t>
      </w:r>
      <w:r w:rsidR="006C5094">
        <w:rPr>
          <w:rFonts w:cs="Arial"/>
          <w:szCs w:val="20"/>
        </w:rPr>
        <w:t xml:space="preserve"> por el Estado.</w:t>
      </w:r>
    </w:p>
    <w:p w14:paraId="7AB80239" w14:textId="77777777" w:rsidR="00F951F1" w:rsidRDefault="00F951F1" w:rsidP="00B571BB">
      <w:pPr>
        <w:pStyle w:val="Estilo1"/>
        <w:tabs>
          <w:tab w:val="clear" w:pos="567"/>
          <w:tab w:val="clear" w:pos="16392"/>
          <w:tab w:val="left" w:pos="-142"/>
        </w:tabs>
        <w:spacing w:after="0"/>
        <w:ind w:right="29"/>
        <w:rPr>
          <w:lang w:val="es-CR"/>
        </w:rPr>
      </w:pPr>
    </w:p>
    <w:p w14:paraId="003A357A" w14:textId="22FC9997" w:rsidR="006C5094" w:rsidRPr="00AD3D4F" w:rsidRDefault="006C5094" w:rsidP="00B571BB">
      <w:pPr>
        <w:pStyle w:val="PrrafodeSentencia"/>
        <w:tabs>
          <w:tab w:val="clear" w:pos="567"/>
          <w:tab w:val="left" w:pos="-142"/>
        </w:tabs>
        <w:ind w:left="0" w:firstLine="0"/>
        <w:rPr>
          <w:rFonts w:cs="Arial"/>
        </w:rPr>
      </w:pPr>
      <w:r w:rsidRPr="00AD3D4F">
        <w:t>En lo que se refiere a los anexos del Estado</w:t>
      </w:r>
      <w:r w:rsidR="00AF65B2" w:rsidRPr="00AD3D4F">
        <w:t xml:space="preserve"> indicados en el párrafo </w:t>
      </w:r>
      <w:r w:rsidR="00B363D0">
        <w:t>15</w:t>
      </w:r>
      <w:r w:rsidR="00B363D0" w:rsidRPr="00AD3D4F">
        <w:t xml:space="preserve"> </w:t>
      </w:r>
      <w:r w:rsidR="00AF65B2" w:rsidRPr="00AD3D4F">
        <w:t>como</w:t>
      </w:r>
      <w:r w:rsidRPr="00AD3D4F">
        <w:t xml:space="preserve"> 1 y 2 y los anexos</w:t>
      </w:r>
      <w:r w:rsidR="00AF65B2" w:rsidRPr="00AD3D4F">
        <w:t xml:space="preserve"> de los representantes señalados en ese párrafo como</w:t>
      </w:r>
      <w:r w:rsidRPr="00AD3D4F">
        <w:t xml:space="preserve"> A, B1, B2 y B3, la </w:t>
      </w:r>
      <w:r w:rsidRPr="00AD3D4F">
        <w:rPr>
          <w:b/>
          <w:i/>
        </w:rPr>
        <w:t>Corte</w:t>
      </w:r>
      <w:r w:rsidRPr="00AD3D4F">
        <w:t xml:space="preserve"> considera que no </w:t>
      </w:r>
      <w:r w:rsidRPr="00AD3D4F">
        <w:rPr>
          <w:rFonts w:cs="Verdana"/>
          <w:lang w:eastAsia="es-CR"/>
        </w:rPr>
        <w:t>se relacionan con preguntas de los Jueces</w:t>
      </w:r>
      <w:r w:rsidRPr="00AD3D4F">
        <w:t xml:space="preserve"> ni fueron solicitados por el Tribunal como prueba para mejor resolver. Por ello, </w:t>
      </w:r>
      <w:r w:rsidR="001F5F50" w:rsidRPr="00AD3D4F">
        <w:t>se</w:t>
      </w:r>
      <w:r w:rsidRPr="00AD3D4F">
        <w:t xml:space="preserve"> inadmi</w:t>
      </w:r>
      <w:r w:rsidR="001F5F50" w:rsidRPr="00AD3D4F">
        <w:t>ten</w:t>
      </w:r>
      <w:r w:rsidRPr="00AD3D4F">
        <w:t xml:space="preserve"> en los términos del ya citado artículo 57.2 del Reglamento.</w:t>
      </w:r>
      <w:r w:rsidR="00C451D2" w:rsidRPr="00AD3D4F">
        <w:t xml:space="preserve"> </w:t>
      </w:r>
      <w:r w:rsidR="00F63539" w:rsidRPr="00493F83">
        <w:t xml:space="preserve">Por otra parte, este Tribunal admite la documentación presentada por los representantes, identificada en el anexo C, relacionada con los gastos posteriores a la presentación del </w:t>
      </w:r>
      <w:proofErr w:type="spellStart"/>
      <w:r w:rsidR="00F63539" w:rsidRPr="00493F83">
        <w:t>escr</w:t>
      </w:r>
      <w:proofErr w:type="spellEnd"/>
      <w:r w:rsidR="00F63539" w:rsidRPr="00493F83">
        <w:rPr>
          <w:lang w:val="es-ES_tradnl"/>
        </w:rPr>
        <w:t>i</w:t>
      </w:r>
      <w:r w:rsidR="00F63539" w:rsidRPr="00493F83">
        <w:t>to de solicitudes y argumentos (</w:t>
      </w:r>
      <w:r w:rsidR="00F63539" w:rsidRPr="00493F83">
        <w:rPr>
          <w:i/>
        </w:rPr>
        <w:t>infra</w:t>
      </w:r>
      <w:r w:rsidR="00F63539" w:rsidRPr="00493F83">
        <w:t xml:space="preserve"> párr.</w:t>
      </w:r>
      <w:r w:rsidR="009D4DE6">
        <w:t xml:space="preserve"> </w:t>
      </w:r>
      <w:r w:rsidR="00170668">
        <w:t>2</w:t>
      </w:r>
      <w:r w:rsidR="00EA3814">
        <w:t>20</w:t>
      </w:r>
      <w:r w:rsidR="00F63539" w:rsidRPr="00493F83">
        <w:t>)</w:t>
      </w:r>
      <w:r w:rsidRPr="00AD3D4F">
        <w:t>.</w:t>
      </w:r>
    </w:p>
    <w:p w14:paraId="54224B08" w14:textId="77777777" w:rsidR="003D717E" w:rsidRPr="00C011CF" w:rsidRDefault="003D717E" w:rsidP="003D717E">
      <w:pPr>
        <w:pStyle w:val="NoSpacing"/>
        <w:rPr>
          <w:iCs/>
          <w:spacing w:val="-4"/>
          <w:szCs w:val="20"/>
          <w:lang w:val="es-CR"/>
        </w:rPr>
      </w:pPr>
    </w:p>
    <w:p w14:paraId="42A55736" w14:textId="77777777" w:rsidR="003D717E" w:rsidRPr="00C011CF" w:rsidRDefault="00D60E39" w:rsidP="00A1177F">
      <w:pPr>
        <w:pStyle w:val="Heading3"/>
        <w:ind w:left="567"/>
        <w:rPr>
          <w:b w:val="0"/>
          <w:i/>
          <w:spacing w:val="-4"/>
          <w:szCs w:val="20"/>
        </w:rPr>
      </w:pPr>
      <w:bookmarkStart w:id="205" w:name="_Toc424834693"/>
      <w:bookmarkStart w:id="206" w:name="_Toc431584616"/>
      <w:bookmarkStart w:id="207" w:name="_Toc434850404"/>
      <w:bookmarkStart w:id="208" w:name="_Toc488134428"/>
      <w:bookmarkStart w:id="209" w:name="_Toc489523888"/>
      <w:bookmarkStart w:id="210" w:name="_Toc493512886"/>
      <w:bookmarkStart w:id="211" w:name="_Toc498512807"/>
      <w:r w:rsidRPr="00C011CF">
        <w:rPr>
          <w:b w:val="0"/>
          <w:i/>
          <w:spacing w:val="-4"/>
          <w:szCs w:val="20"/>
        </w:rPr>
        <w:t>B.2.</w:t>
      </w:r>
      <w:r w:rsidR="003D717E" w:rsidRPr="00C011CF">
        <w:rPr>
          <w:b w:val="0"/>
          <w:i/>
          <w:spacing w:val="-4"/>
          <w:szCs w:val="20"/>
        </w:rPr>
        <w:t xml:space="preserve"> </w:t>
      </w:r>
      <w:r w:rsidR="003D717E" w:rsidRPr="00C011CF">
        <w:rPr>
          <w:b w:val="0"/>
          <w:i/>
          <w:spacing w:val="-4"/>
          <w:szCs w:val="20"/>
          <w:u w:val="single"/>
        </w:rPr>
        <w:t>Admisión de la prueba testimonial y pericial</w:t>
      </w:r>
      <w:bookmarkEnd w:id="205"/>
      <w:bookmarkEnd w:id="206"/>
      <w:bookmarkEnd w:id="207"/>
      <w:bookmarkEnd w:id="208"/>
      <w:bookmarkEnd w:id="209"/>
      <w:bookmarkEnd w:id="210"/>
      <w:bookmarkEnd w:id="211"/>
    </w:p>
    <w:p w14:paraId="5C0F8AA8" w14:textId="77777777" w:rsidR="003D717E" w:rsidRPr="00C011CF" w:rsidRDefault="003D717E" w:rsidP="00AC3DC7">
      <w:pPr>
        <w:jc w:val="center"/>
        <w:rPr>
          <w:spacing w:val="-4"/>
          <w:szCs w:val="20"/>
          <w:lang w:val="es-ES"/>
        </w:rPr>
      </w:pPr>
    </w:p>
    <w:p w14:paraId="5B473947" w14:textId="33DC92D4" w:rsidR="003D717E" w:rsidRDefault="003D717E" w:rsidP="002D5A5C">
      <w:pPr>
        <w:pStyle w:val="PrrafodeSentencia"/>
        <w:tabs>
          <w:tab w:val="clear" w:pos="567"/>
          <w:tab w:val="left" w:pos="-142"/>
        </w:tabs>
        <w:ind w:left="0" w:firstLine="0"/>
        <w:rPr>
          <w:szCs w:val="20"/>
        </w:rPr>
      </w:pPr>
      <w:r w:rsidRPr="00C011CF">
        <w:rPr>
          <w:szCs w:val="20"/>
        </w:rPr>
        <w:t>Asimismo, la Corte admit</w:t>
      </w:r>
      <w:r w:rsidR="00C451D2">
        <w:rPr>
          <w:szCs w:val="20"/>
        </w:rPr>
        <w:t>e</w:t>
      </w:r>
      <w:r w:rsidRPr="00C011CF">
        <w:rPr>
          <w:szCs w:val="20"/>
        </w:rPr>
        <w:t xml:space="preserve"> las declaraciones de las p</w:t>
      </w:r>
      <w:r w:rsidR="00923B1D">
        <w:rPr>
          <w:szCs w:val="20"/>
        </w:rPr>
        <w:t>ersonas señaladas como</w:t>
      </w:r>
      <w:r w:rsidRPr="00C011CF">
        <w:rPr>
          <w:szCs w:val="20"/>
        </w:rPr>
        <w:t xml:space="preserve"> víctimas, </w:t>
      </w:r>
      <w:r w:rsidR="00011BBE" w:rsidRPr="00C011CF">
        <w:rPr>
          <w:szCs w:val="20"/>
        </w:rPr>
        <w:t>el testigo</w:t>
      </w:r>
      <w:r w:rsidRPr="00C011CF">
        <w:rPr>
          <w:szCs w:val="20"/>
        </w:rPr>
        <w:t xml:space="preserve"> y los dictámenes periciales rendidos en la audiencia pública y ante fedatario público, en lo que se ajusten al objeto que fue definido por la Presidencia en la Resolución</w:t>
      </w:r>
      <w:r w:rsidR="006C5094">
        <w:rPr>
          <w:szCs w:val="20"/>
        </w:rPr>
        <w:t xml:space="preserve"> de </w:t>
      </w:r>
      <w:r w:rsidR="001F5F50">
        <w:rPr>
          <w:szCs w:val="20"/>
        </w:rPr>
        <w:t>15 de febrero de 2017</w:t>
      </w:r>
      <w:r w:rsidRPr="00C011CF">
        <w:rPr>
          <w:szCs w:val="20"/>
        </w:rPr>
        <w:t>.</w:t>
      </w:r>
    </w:p>
    <w:p w14:paraId="566D485C" w14:textId="0FF63B6A" w:rsidR="009C78CE" w:rsidRDefault="009C78CE" w:rsidP="002913F6">
      <w:pPr>
        <w:tabs>
          <w:tab w:val="left" w:pos="1198"/>
        </w:tabs>
        <w:rPr>
          <w:lang w:val="es-CR" w:eastAsia="es-MX"/>
        </w:rPr>
      </w:pPr>
    </w:p>
    <w:p w14:paraId="74521684" w14:textId="77777777" w:rsidR="002913F6" w:rsidRDefault="002913F6" w:rsidP="002913F6">
      <w:pPr>
        <w:tabs>
          <w:tab w:val="left" w:pos="1198"/>
        </w:tabs>
        <w:rPr>
          <w:lang w:val="es-CR" w:eastAsia="es-MX"/>
        </w:rPr>
      </w:pPr>
    </w:p>
    <w:p w14:paraId="2A683744" w14:textId="77777777" w:rsidR="00071E1E" w:rsidRPr="009C78CE" w:rsidRDefault="00071E1E" w:rsidP="002913F6">
      <w:pPr>
        <w:tabs>
          <w:tab w:val="left" w:pos="1198"/>
        </w:tabs>
        <w:rPr>
          <w:lang w:val="es-CR" w:eastAsia="es-MX"/>
        </w:rPr>
      </w:pPr>
    </w:p>
    <w:p w14:paraId="397DDD05" w14:textId="77777777" w:rsidR="003D717E" w:rsidRPr="00C011CF" w:rsidRDefault="003D717E" w:rsidP="00A1177F">
      <w:pPr>
        <w:pStyle w:val="Heading2"/>
        <w:tabs>
          <w:tab w:val="clear" w:pos="567"/>
        </w:tabs>
        <w:ind w:left="284" w:firstLine="0"/>
        <w:rPr>
          <w:spacing w:val="-4"/>
          <w:szCs w:val="20"/>
          <w:lang w:val="es-ES"/>
        </w:rPr>
      </w:pPr>
      <w:bookmarkStart w:id="212" w:name="_Toc424834694"/>
      <w:bookmarkStart w:id="213" w:name="_Toc427932798"/>
      <w:bookmarkStart w:id="214" w:name="_Toc431584617"/>
      <w:bookmarkStart w:id="215" w:name="_Toc434850405"/>
      <w:bookmarkStart w:id="216" w:name="_Toc488134429"/>
      <w:bookmarkStart w:id="217" w:name="_Toc489523889"/>
      <w:bookmarkStart w:id="218" w:name="_Toc493512887"/>
      <w:bookmarkStart w:id="219" w:name="_Toc498512808"/>
      <w:r w:rsidRPr="00C011CF">
        <w:rPr>
          <w:spacing w:val="-4"/>
          <w:szCs w:val="20"/>
          <w:lang w:val="es-ES"/>
        </w:rPr>
        <w:lastRenderedPageBreak/>
        <w:t>C. Valoración de la prueba</w:t>
      </w:r>
      <w:bookmarkEnd w:id="212"/>
      <w:bookmarkEnd w:id="213"/>
      <w:bookmarkEnd w:id="214"/>
      <w:bookmarkEnd w:id="215"/>
      <w:bookmarkEnd w:id="216"/>
      <w:bookmarkEnd w:id="217"/>
      <w:bookmarkEnd w:id="218"/>
      <w:bookmarkEnd w:id="219"/>
    </w:p>
    <w:p w14:paraId="2C94DC5D" w14:textId="77777777" w:rsidR="003D717E" w:rsidRPr="00C011CF" w:rsidRDefault="003D717E" w:rsidP="003D717E">
      <w:pPr>
        <w:rPr>
          <w:spacing w:val="-4"/>
          <w:szCs w:val="20"/>
          <w:lang w:val="es-ES"/>
        </w:rPr>
      </w:pPr>
    </w:p>
    <w:p w14:paraId="65D6A391" w14:textId="53ABCC95" w:rsidR="006E4125" w:rsidRDefault="00011BBE" w:rsidP="002D5A5C">
      <w:pPr>
        <w:pStyle w:val="PrrafodeSentencia"/>
        <w:tabs>
          <w:tab w:val="clear" w:pos="567"/>
          <w:tab w:val="left" w:pos="-142"/>
        </w:tabs>
        <w:ind w:left="0" w:firstLine="0"/>
        <w:rPr>
          <w:szCs w:val="20"/>
        </w:rPr>
      </w:pPr>
      <w:r w:rsidRPr="00C011CF">
        <w:rPr>
          <w:szCs w:val="20"/>
        </w:rPr>
        <w:t xml:space="preserve">Con base en lo establecido en los artículos 46, 50, 51, 57 y 58 del Reglamento, así como en su jurisprudencia constante respecto de la prueba y su apreciación, la Corte examinará y valorará los elementos probatorios admitidos </w:t>
      </w:r>
      <w:r w:rsidRPr="00C011CF">
        <w:rPr>
          <w:szCs w:val="20"/>
          <w:lang w:val="es-ES_tradnl"/>
        </w:rPr>
        <w:t>al establecer los hechos del caso y pronunciarse sobre el fondo</w:t>
      </w:r>
      <w:r w:rsidRPr="00C011CF">
        <w:rPr>
          <w:szCs w:val="20"/>
        </w:rPr>
        <w:t>. Para ello se sujeta a los principios de la sana crítica, dentro del marco normativo correspondiente, teniendo en cuenta el conjunto del acervo probatorio y lo alegado en la causa</w:t>
      </w:r>
      <w:r w:rsidRPr="00C011CF">
        <w:rPr>
          <w:szCs w:val="20"/>
          <w:vertAlign w:val="superscript"/>
        </w:rPr>
        <w:footnoteReference w:id="10"/>
      </w:r>
      <w:r w:rsidRPr="00C011CF">
        <w:rPr>
          <w:szCs w:val="20"/>
        </w:rPr>
        <w:t xml:space="preserve">. </w:t>
      </w:r>
      <w:bookmarkStart w:id="220" w:name="_Ref402038884"/>
      <w:r w:rsidRPr="00C011CF">
        <w:rPr>
          <w:szCs w:val="20"/>
        </w:rPr>
        <w:t>Asimismo, conforme a su jurisprudencia</w:t>
      </w:r>
      <w:r w:rsidR="00D16DD2">
        <w:rPr>
          <w:szCs w:val="20"/>
        </w:rPr>
        <w:t>,</w:t>
      </w:r>
      <w:r w:rsidRPr="00C011CF">
        <w:rPr>
          <w:szCs w:val="20"/>
        </w:rPr>
        <w:t xml:space="preserve"> las declaraciones rendidas por las p</w:t>
      </w:r>
      <w:r w:rsidR="00923B1D">
        <w:rPr>
          <w:szCs w:val="20"/>
        </w:rPr>
        <w:t>ersonas indicadas como</w:t>
      </w:r>
      <w:r w:rsidRPr="00C011CF">
        <w:rPr>
          <w:szCs w:val="20"/>
        </w:rPr>
        <w:t xml:space="preserve"> víctimas serán valoradas dentro del conjunto de las pruebas del proceso, en la medida en que pueden proporcionar mayor información sobre las presuntas violaciones y sus consecuencias</w:t>
      </w:r>
      <w:r w:rsidRPr="00C011CF">
        <w:rPr>
          <w:szCs w:val="20"/>
          <w:vertAlign w:val="superscript"/>
        </w:rPr>
        <w:footnoteReference w:id="11"/>
      </w:r>
      <w:bookmarkEnd w:id="220"/>
      <w:r w:rsidR="00BE3730" w:rsidRPr="00C011CF">
        <w:rPr>
          <w:szCs w:val="20"/>
        </w:rPr>
        <w:t>.</w:t>
      </w:r>
    </w:p>
    <w:p w14:paraId="0344C310" w14:textId="77777777" w:rsidR="00315C9C" w:rsidRDefault="00315C9C" w:rsidP="00493F83"/>
    <w:p w14:paraId="64DC0B14" w14:textId="0B700811" w:rsidR="008A2AE0" w:rsidRPr="00AD3D4F" w:rsidRDefault="008A2AE0" w:rsidP="008A2AE0">
      <w:pPr>
        <w:pStyle w:val="Heading1"/>
        <w:rPr>
          <w:spacing w:val="-4"/>
          <w:szCs w:val="20"/>
          <w:lang w:val="es-ES"/>
        </w:rPr>
      </w:pPr>
      <w:bookmarkStart w:id="221" w:name="_Toc498512809"/>
      <w:r w:rsidRPr="00AD3D4F">
        <w:rPr>
          <w:spacing w:val="-4"/>
          <w:szCs w:val="20"/>
          <w:lang w:val="es-ES"/>
        </w:rPr>
        <w:t>V</w:t>
      </w:r>
      <w:bookmarkEnd w:id="221"/>
    </w:p>
    <w:p w14:paraId="68A1DEEC" w14:textId="77777777" w:rsidR="008A2AE0" w:rsidRPr="00AD3D4F" w:rsidRDefault="008A2AE0" w:rsidP="008A2AE0">
      <w:pPr>
        <w:pStyle w:val="Heading1"/>
        <w:rPr>
          <w:spacing w:val="-4"/>
          <w:szCs w:val="20"/>
          <w:lang w:val="es-ES"/>
        </w:rPr>
      </w:pPr>
      <w:bookmarkStart w:id="222" w:name="_Toc498512810"/>
      <w:r w:rsidRPr="00AD3D4F">
        <w:rPr>
          <w:spacing w:val="-4"/>
          <w:szCs w:val="20"/>
          <w:lang w:val="es-ES"/>
        </w:rPr>
        <w:t>HECHOS</w:t>
      </w:r>
      <w:bookmarkEnd w:id="222"/>
      <w:r w:rsidRPr="00AD3D4F">
        <w:rPr>
          <w:spacing w:val="-4"/>
          <w:szCs w:val="20"/>
          <w:lang w:val="es-ES"/>
        </w:rPr>
        <w:t xml:space="preserve"> </w:t>
      </w:r>
    </w:p>
    <w:p w14:paraId="608D0E94" w14:textId="77777777" w:rsidR="008A2AE0" w:rsidRPr="00AD3D4F" w:rsidRDefault="008A2AE0" w:rsidP="008A2AE0">
      <w:pPr>
        <w:tabs>
          <w:tab w:val="left" w:pos="-142"/>
        </w:tabs>
      </w:pPr>
    </w:p>
    <w:p w14:paraId="3998E99F" w14:textId="01030C42" w:rsidR="00FE6554" w:rsidRDefault="00FE6554" w:rsidP="00FE6554">
      <w:pPr>
        <w:pStyle w:val="PrrafodeSentencia"/>
        <w:tabs>
          <w:tab w:val="clear" w:pos="567"/>
        </w:tabs>
        <w:ind w:left="0" w:firstLine="0"/>
        <w:rPr>
          <w:b/>
        </w:rPr>
      </w:pPr>
      <w:r>
        <w:rPr>
          <w:lang w:val="es-MX"/>
        </w:rPr>
        <w:t>Pr</w:t>
      </w:r>
      <w:r w:rsidR="00DE6944">
        <w:rPr>
          <w:lang w:val="es-MX"/>
        </w:rPr>
        <w:t>imeramente</w:t>
      </w:r>
      <w:r>
        <w:rPr>
          <w:lang w:val="es-MX"/>
        </w:rPr>
        <w:t xml:space="preserve"> cabe señalar que l</w:t>
      </w:r>
      <w:r>
        <w:t>os representantes, en su escrito de solicitudes y argumentos, aludieron a las siguientes circunstancias de contexto: “[s]</w:t>
      </w:r>
      <w:proofErr w:type="spellStart"/>
      <w:r>
        <w:t>ituación</w:t>
      </w:r>
      <w:proofErr w:type="spellEnd"/>
      <w:r>
        <w:t xml:space="preserve"> general de derechos humanos de Honduras”; “[s]</w:t>
      </w:r>
      <w:proofErr w:type="spellStart"/>
      <w:r>
        <w:t>ituación</w:t>
      </w:r>
      <w:proofErr w:type="spellEnd"/>
      <w:r>
        <w:t xml:space="preserve"> de impunidad”; “[s]</w:t>
      </w:r>
      <w:proofErr w:type="spellStart"/>
      <w:r>
        <w:t>ituación</w:t>
      </w:r>
      <w:proofErr w:type="spellEnd"/>
      <w:r>
        <w:t xml:space="preserve"> del sistema de administración de justicia”; “[e]</w:t>
      </w:r>
      <w:proofErr w:type="spellStart"/>
      <w:r>
        <w:t>scena</w:t>
      </w:r>
      <w:proofErr w:type="spellEnd"/>
      <w:r>
        <w:t xml:space="preserve"> política de las elecciones presidencial[es] de 2001”; “[r]</w:t>
      </w:r>
      <w:proofErr w:type="spellStart"/>
      <w:r>
        <w:t>eformas</w:t>
      </w:r>
      <w:proofErr w:type="spellEnd"/>
      <w:r>
        <w:t xml:space="preserve"> constitucionales y electorales” de ese año; “[e]</w:t>
      </w:r>
      <w:proofErr w:type="spellStart"/>
      <w:r>
        <w:t>structura</w:t>
      </w:r>
      <w:proofErr w:type="spellEnd"/>
      <w:r>
        <w:t xml:space="preserve"> interna de los partidos”, y “[m]</w:t>
      </w:r>
      <w:proofErr w:type="spellStart"/>
      <w:r>
        <w:t>ovimientos</w:t>
      </w:r>
      <w:proofErr w:type="spellEnd"/>
      <w:r>
        <w:t xml:space="preserve">, corrientes o tendencias internas de los </w:t>
      </w:r>
      <w:r w:rsidRPr="00B908A5">
        <w:rPr>
          <w:szCs w:val="20"/>
        </w:rPr>
        <w:t>partidos políticos”.</w:t>
      </w:r>
    </w:p>
    <w:p w14:paraId="3A473A06" w14:textId="77777777" w:rsidR="00FE6554" w:rsidRDefault="00FE6554" w:rsidP="00FE6554">
      <w:pPr>
        <w:rPr>
          <w:szCs w:val="20"/>
          <w:lang w:eastAsia="es-MX"/>
        </w:rPr>
      </w:pPr>
    </w:p>
    <w:p w14:paraId="5989DA09" w14:textId="5CC61B83" w:rsidR="00FE6554" w:rsidRDefault="00FE6554" w:rsidP="00FE6554">
      <w:pPr>
        <w:pStyle w:val="PrrafodeSentencia"/>
        <w:numPr>
          <w:ilvl w:val="0"/>
          <w:numId w:val="48"/>
        </w:numPr>
        <w:tabs>
          <w:tab w:val="left" w:pos="-142"/>
        </w:tabs>
        <w:ind w:left="0" w:firstLine="0"/>
        <w:rPr>
          <w:szCs w:val="20"/>
        </w:rPr>
      </w:pPr>
      <w:r>
        <w:rPr>
          <w:szCs w:val="20"/>
        </w:rPr>
        <w:t>Debe advertirse que</w:t>
      </w:r>
      <w:r w:rsidR="00D16DD2">
        <w:rPr>
          <w:szCs w:val="20"/>
        </w:rPr>
        <w:t xml:space="preserve">, en el Informe de Fondo, </w:t>
      </w:r>
      <w:r>
        <w:rPr>
          <w:szCs w:val="20"/>
        </w:rPr>
        <w:t>la Comisión no efectuó determinaciones sobre el “contexto” en que sucedieron los hechos, por lo que dichos aspectos señalados por los representantes se encuentran fuera del marco fáctico. Además</w:t>
      </w:r>
      <w:r w:rsidRPr="00973461">
        <w:rPr>
          <w:szCs w:val="20"/>
        </w:rPr>
        <w:t xml:space="preserve">, este Tribunal considera que los hechos que integran el marco fáctico presentan elementos suficientes para la comprensión de las circunstancias del caso, por lo que es innecesario establecer, en forma adicional a ello, una situación de contexto. </w:t>
      </w:r>
    </w:p>
    <w:p w14:paraId="187E6DA7" w14:textId="77777777" w:rsidR="00FE6554" w:rsidRPr="00973461" w:rsidRDefault="00FE6554" w:rsidP="00FE6554">
      <w:pPr>
        <w:rPr>
          <w:lang w:val="es-CR" w:eastAsia="es-MX"/>
        </w:rPr>
      </w:pPr>
    </w:p>
    <w:p w14:paraId="4541661A" w14:textId="77777777" w:rsidR="00FE6554" w:rsidRDefault="00FE6554" w:rsidP="00FE6554">
      <w:pPr>
        <w:pStyle w:val="PrrafodeSentencia"/>
        <w:numPr>
          <w:ilvl w:val="0"/>
          <w:numId w:val="48"/>
        </w:numPr>
        <w:tabs>
          <w:tab w:val="left" w:pos="-142"/>
        </w:tabs>
        <w:ind w:left="0" w:firstLine="0"/>
        <w:rPr>
          <w:szCs w:val="20"/>
        </w:rPr>
      </w:pPr>
      <w:r>
        <w:rPr>
          <w:szCs w:val="20"/>
        </w:rPr>
        <w:t xml:space="preserve">De este modo, </w:t>
      </w:r>
      <w:r>
        <w:rPr>
          <w:rFonts w:eastAsiaTheme="minorHAnsi" w:cs="Verdana"/>
          <w:color w:val="000000"/>
          <w:szCs w:val="20"/>
        </w:rPr>
        <w:t>la Corte considerará únicamente las circunstancias relacionadas con aquellos hechos establecidos en el marco fáctico del presente caso</w:t>
      </w:r>
      <w:r w:rsidRPr="00B908A5">
        <w:rPr>
          <w:rStyle w:val="FootnoteReference"/>
          <w:rFonts w:eastAsiaTheme="minorHAnsi"/>
          <w:color w:val="000000"/>
          <w:sz w:val="20"/>
          <w:szCs w:val="20"/>
        </w:rPr>
        <w:footnoteReference w:id="12"/>
      </w:r>
      <w:r>
        <w:rPr>
          <w:rFonts w:eastAsiaTheme="minorHAnsi" w:cs="Verdana"/>
          <w:color w:val="000000"/>
          <w:szCs w:val="20"/>
        </w:rPr>
        <w:t xml:space="preserve">.  </w:t>
      </w:r>
    </w:p>
    <w:p w14:paraId="2CF1F708" w14:textId="77777777" w:rsidR="00FE6554" w:rsidRPr="00FE6554" w:rsidRDefault="00FE6554" w:rsidP="00AB194C">
      <w:pPr>
        <w:pStyle w:val="PrrafodeSentencia"/>
        <w:numPr>
          <w:ilvl w:val="0"/>
          <w:numId w:val="0"/>
        </w:numPr>
        <w:tabs>
          <w:tab w:val="clear" w:pos="567"/>
          <w:tab w:val="left" w:pos="-142"/>
        </w:tabs>
        <w:rPr>
          <w:szCs w:val="20"/>
        </w:rPr>
      </w:pPr>
    </w:p>
    <w:p w14:paraId="1E752866" w14:textId="12EB157C" w:rsidR="008A2AE0" w:rsidRPr="00AD3D4F" w:rsidRDefault="002961A0" w:rsidP="008A2AE0">
      <w:pPr>
        <w:pStyle w:val="PrrafodeSentencia"/>
        <w:tabs>
          <w:tab w:val="clear" w:pos="567"/>
          <w:tab w:val="left" w:pos="-142"/>
        </w:tabs>
        <w:ind w:left="0" w:firstLine="0"/>
        <w:rPr>
          <w:szCs w:val="20"/>
        </w:rPr>
      </w:pPr>
      <w:r>
        <w:rPr>
          <w:rFonts w:cs="Arial"/>
          <w:szCs w:val="20"/>
        </w:rPr>
        <w:t xml:space="preserve">Por otra parte, </w:t>
      </w:r>
      <w:r w:rsidR="00744288">
        <w:rPr>
          <w:rFonts w:cs="Arial"/>
          <w:szCs w:val="20"/>
        </w:rPr>
        <w:t xml:space="preserve">la </w:t>
      </w:r>
      <w:r w:rsidR="008A2AE0" w:rsidRPr="00AD3D4F">
        <w:rPr>
          <w:rFonts w:cs="Arial"/>
          <w:szCs w:val="20"/>
        </w:rPr>
        <w:t>mayor parte de los hechos presentados por la Comisión en su Informe de Fondo no fueron controvertidos por el Estado. Los hechos se exponen en el siguiente orden: A) Ángel Pacheco León, su actividad política y su familia</w:t>
      </w:r>
      <w:r w:rsidR="008A2AE0" w:rsidRPr="00AD3D4F">
        <w:rPr>
          <w:szCs w:val="20"/>
        </w:rPr>
        <w:t xml:space="preserve">; B) la muerte de </w:t>
      </w:r>
      <w:proofErr w:type="spellStart"/>
      <w:r w:rsidR="008A2AE0" w:rsidRPr="00AD3D4F">
        <w:rPr>
          <w:szCs w:val="20"/>
          <w:lang w:val="es-MX"/>
        </w:rPr>
        <w:t>Ánge</w:t>
      </w:r>
      <w:proofErr w:type="spellEnd"/>
      <w:r w:rsidR="008A2AE0" w:rsidRPr="00AD3D4F">
        <w:rPr>
          <w:rFonts w:cs="Arial"/>
          <w:szCs w:val="20"/>
        </w:rPr>
        <w:t xml:space="preserve">l </w:t>
      </w:r>
      <w:r w:rsidR="008A2AE0" w:rsidRPr="00AD3D4F">
        <w:rPr>
          <w:szCs w:val="20"/>
        </w:rPr>
        <w:t>Pacheco León y designación de su hermano José Pacheco como diputado, y C) Investigación de los hechos. Algunos hechos son referidos en los apartados que analizan las violaciones alegadas a los derechos a las garantías y protección judiciales y la integridad personal (</w:t>
      </w:r>
      <w:r w:rsidR="008A2AE0" w:rsidRPr="00AD3D4F">
        <w:rPr>
          <w:i/>
          <w:szCs w:val="20"/>
        </w:rPr>
        <w:t xml:space="preserve">infra, </w:t>
      </w:r>
      <w:r w:rsidR="008A2AE0" w:rsidRPr="00AD3D4F">
        <w:rPr>
          <w:szCs w:val="20"/>
        </w:rPr>
        <w:t>Capítulos</w:t>
      </w:r>
      <w:r w:rsidR="00715CD1">
        <w:rPr>
          <w:szCs w:val="20"/>
        </w:rPr>
        <w:t xml:space="preserve"> VI.1 y</w:t>
      </w:r>
      <w:r w:rsidR="008A2AE0" w:rsidRPr="00AD3D4F">
        <w:rPr>
          <w:szCs w:val="20"/>
        </w:rPr>
        <w:t xml:space="preserve"> </w:t>
      </w:r>
      <w:r w:rsidR="00715CD1">
        <w:rPr>
          <w:szCs w:val="20"/>
        </w:rPr>
        <w:t>VI.</w:t>
      </w:r>
      <w:r w:rsidR="00C30031">
        <w:rPr>
          <w:szCs w:val="20"/>
        </w:rPr>
        <w:t>3</w:t>
      </w:r>
      <w:r w:rsidR="008A2AE0" w:rsidRPr="00AD3D4F">
        <w:rPr>
          <w:szCs w:val="20"/>
        </w:rPr>
        <w:t xml:space="preserve">, párrafos </w:t>
      </w:r>
      <w:r w:rsidR="00EA3814">
        <w:rPr>
          <w:szCs w:val="20"/>
        </w:rPr>
        <w:t>101</w:t>
      </w:r>
      <w:r w:rsidR="00715CD1">
        <w:rPr>
          <w:szCs w:val="20"/>
        </w:rPr>
        <w:t xml:space="preserve"> a 10</w:t>
      </w:r>
      <w:r w:rsidR="00EA3814">
        <w:rPr>
          <w:szCs w:val="20"/>
        </w:rPr>
        <w:t>4</w:t>
      </w:r>
      <w:r w:rsidR="00715CD1">
        <w:rPr>
          <w:szCs w:val="20"/>
        </w:rPr>
        <w:t xml:space="preserve"> </w:t>
      </w:r>
      <w:r w:rsidR="008A2AE0" w:rsidRPr="00AD3D4F">
        <w:rPr>
          <w:szCs w:val="20"/>
        </w:rPr>
        <w:t xml:space="preserve">y </w:t>
      </w:r>
      <w:r w:rsidR="00715CD1">
        <w:rPr>
          <w:szCs w:val="20"/>
        </w:rPr>
        <w:t>1</w:t>
      </w:r>
      <w:r w:rsidR="00EA3814">
        <w:rPr>
          <w:szCs w:val="20"/>
        </w:rPr>
        <w:t>73</w:t>
      </w:r>
      <w:r w:rsidR="008A2AE0" w:rsidRPr="00AD3D4F">
        <w:rPr>
          <w:szCs w:val="20"/>
        </w:rPr>
        <w:t xml:space="preserve">). </w:t>
      </w:r>
    </w:p>
    <w:p w14:paraId="0F9B825C" w14:textId="77777777" w:rsidR="008A2AE0" w:rsidRPr="00C011CF" w:rsidRDefault="008A2AE0" w:rsidP="008A2AE0">
      <w:pPr>
        <w:rPr>
          <w:szCs w:val="20"/>
          <w:lang w:val="es-CR" w:eastAsia="es-MX"/>
        </w:rPr>
      </w:pPr>
    </w:p>
    <w:p w14:paraId="5BE4CAD4" w14:textId="77777777" w:rsidR="008A2AE0" w:rsidRPr="00206546" w:rsidRDefault="008A2AE0" w:rsidP="00A1177F">
      <w:pPr>
        <w:pStyle w:val="ListParagraph"/>
        <w:widowControl/>
        <w:numPr>
          <w:ilvl w:val="0"/>
          <w:numId w:val="13"/>
        </w:numPr>
        <w:autoSpaceDE/>
        <w:autoSpaceDN/>
        <w:adjustRightInd/>
        <w:spacing w:line="276" w:lineRule="auto"/>
        <w:ind w:left="284" w:right="0" w:firstLine="0"/>
        <w:contextualSpacing/>
        <w:outlineLvl w:val="1"/>
        <w:rPr>
          <w:b/>
        </w:rPr>
      </w:pPr>
      <w:bookmarkStart w:id="223" w:name="_Toc498512811"/>
      <w:r w:rsidRPr="00206546">
        <w:rPr>
          <w:b/>
          <w:i/>
        </w:rPr>
        <w:t>Ángel Pacheco León</w:t>
      </w:r>
      <w:r>
        <w:rPr>
          <w:b/>
          <w:i/>
        </w:rPr>
        <w:t>, su actividad política</w:t>
      </w:r>
      <w:r w:rsidRPr="00206546">
        <w:rPr>
          <w:b/>
          <w:i/>
        </w:rPr>
        <w:t xml:space="preserve"> y su familia</w:t>
      </w:r>
      <w:bookmarkEnd w:id="223"/>
    </w:p>
    <w:p w14:paraId="734604D3" w14:textId="77777777" w:rsidR="008A2AE0" w:rsidRPr="00C011CF" w:rsidRDefault="008A2AE0" w:rsidP="008A2AE0">
      <w:pPr>
        <w:tabs>
          <w:tab w:val="left" w:pos="2590"/>
        </w:tabs>
        <w:rPr>
          <w:szCs w:val="20"/>
          <w:lang w:val="es-CR" w:eastAsia="es-MX"/>
        </w:rPr>
      </w:pPr>
      <w:r w:rsidRPr="00C011CF">
        <w:rPr>
          <w:szCs w:val="20"/>
          <w:lang w:val="es-CR" w:eastAsia="es-MX"/>
        </w:rPr>
        <w:tab/>
      </w:r>
    </w:p>
    <w:p w14:paraId="523073F2" w14:textId="07434889" w:rsidR="009E425D" w:rsidRDefault="008A2AE0" w:rsidP="009E425D">
      <w:pPr>
        <w:pStyle w:val="PrrafodeSentencia"/>
        <w:tabs>
          <w:tab w:val="clear" w:pos="567"/>
          <w:tab w:val="left" w:pos="-284"/>
        </w:tabs>
        <w:ind w:left="0" w:firstLine="0"/>
        <w:rPr>
          <w:szCs w:val="20"/>
        </w:rPr>
      </w:pPr>
      <w:r>
        <w:rPr>
          <w:szCs w:val="20"/>
        </w:rPr>
        <w:t xml:space="preserve">Ángel Pacheco León </w:t>
      </w:r>
      <w:r w:rsidRPr="00206546">
        <w:rPr>
          <w:szCs w:val="20"/>
        </w:rPr>
        <w:t>nació el 23 de diciembre de 195</w:t>
      </w:r>
      <w:r w:rsidR="00BA6F47">
        <w:rPr>
          <w:szCs w:val="20"/>
        </w:rPr>
        <w:t>9</w:t>
      </w:r>
      <w:r w:rsidRPr="00206546">
        <w:rPr>
          <w:szCs w:val="20"/>
        </w:rPr>
        <w:t xml:space="preserve"> en el departamento de Valle, Honduras. </w:t>
      </w:r>
      <w:r w:rsidRPr="00206546">
        <w:rPr>
          <w:rFonts w:cs="Arial"/>
          <w:szCs w:val="20"/>
        </w:rPr>
        <w:t xml:space="preserve">Era perito mercantil y gerente propietario de la empresa </w:t>
      </w:r>
      <w:r>
        <w:rPr>
          <w:rFonts w:cs="Arial"/>
          <w:szCs w:val="20"/>
        </w:rPr>
        <w:t>“</w:t>
      </w:r>
      <w:r w:rsidRPr="00206546">
        <w:rPr>
          <w:rFonts w:cs="Arial"/>
          <w:szCs w:val="20"/>
        </w:rPr>
        <w:t xml:space="preserve">Industria Manufacturera </w:t>
      </w:r>
      <w:r w:rsidRPr="00206546">
        <w:rPr>
          <w:rFonts w:cs="Arial"/>
          <w:szCs w:val="20"/>
        </w:rPr>
        <w:lastRenderedPageBreak/>
        <w:t>Pacheco León</w:t>
      </w:r>
      <w:proofErr w:type="gramStart"/>
      <w:r>
        <w:rPr>
          <w:rFonts w:cs="Arial"/>
          <w:szCs w:val="20"/>
        </w:rPr>
        <w:t>”</w:t>
      </w:r>
      <w:r w:rsidR="00DE6944">
        <w:rPr>
          <w:rFonts w:cs="Arial"/>
          <w:szCs w:val="20"/>
        </w:rPr>
        <w:t>(</w:t>
      </w:r>
      <w:proofErr w:type="gramEnd"/>
      <w:r w:rsidR="00DE6944">
        <w:rPr>
          <w:rFonts w:cs="Arial"/>
          <w:szCs w:val="20"/>
        </w:rPr>
        <w:t>en adelante “IMPALE”</w:t>
      </w:r>
      <w:r w:rsidRPr="00206546">
        <w:rPr>
          <w:rFonts w:cs="Arial"/>
          <w:szCs w:val="20"/>
        </w:rPr>
        <w:t>)</w:t>
      </w:r>
      <w:r w:rsidRPr="00C011CF">
        <w:rPr>
          <w:rStyle w:val="FootnoteReference"/>
          <w:rFonts w:cs="Arial"/>
          <w:sz w:val="20"/>
          <w:szCs w:val="20"/>
        </w:rPr>
        <w:footnoteReference w:id="13"/>
      </w:r>
      <w:r w:rsidRPr="00206546">
        <w:rPr>
          <w:rFonts w:cs="Arial"/>
          <w:szCs w:val="20"/>
        </w:rPr>
        <w:t xml:space="preserve">. </w:t>
      </w:r>
      <w:r w:rsidRPr="00206546">
        <w:rPr>
          <w:szCs w:val="20"/>
        </w:rPr>
        <w:t>En 2001 se encontraba afiliado al Partido Nacional de Honduras</w:t>
      </w:r>
      <w:r w:rsidRPr="00C011CF">
        <w:rPr>
          <w:rStyle w:val="FootnoteReference"/>
          <w:sz w:val="20"/>
          <w:szCs w:val="20"/>
        </w:rPr>
        <w:footnoteReference w:id="14"/>
      </w:r>
      <w:r w:rsidRPr="00206546">
        <w:rPr>
          <w:szCs w:val="20"/>
        </w:rPr>
        <w:t xml:space="preserve"> y había </w:t>
      </w:r>
      <w:r w:rsidRPr="00B44D5C">
        <w:rPr>
          <w:szCs w:val="20"/>
        </w:rPr>
        <w:t>ganado</w:t>
      </w:r>
      <w:r w:rsidR="00B03AC2" w:rsidRPr="00B44D5C">
        <w:rPr>
          <w:szCs w:val="20"/>
        </w:rPr>
        <w:t>, en el departamento de Valle,</w:t>
      </w:r>
      <w:r w:rsidRPr="00B44D5C">
        <w:rPr>
          <w:szCs w:val="20"/>
        </w:rPr>
        <w:t xml:space="preserve"> sus elecciones</w:t>
      </w:r>
      <w:r w:rsidRPr="00206546">
        <w:rPr>
          <w:szCs w:val="20"/>
        </w:rPr>
        <w:t xml:space="preserve"> primarias para ser candidato a primer diputado para el período 2002</w:t>
      </w:r>
      <w:r>
        <w:rPr>
          <w:szCs w:val="20"/>
        </w:rPr>
        <w:t xml:space="preserve"> </w:t>
      </w:r>
      <w:r w:rsidRPr="00206546">
        <w:rPr>
          <w:szCs w:val="20"/>
        </w:rPr>
        <w:t>- 2006</w:t>
      </w:r>
      <w:r w:rsidRPr="00C011CF">
        <w:rPr>
          <w:rStyle w:val="FootnoteReference"/>
          <w:sz w:val="20"/>
          <w:szCs w:val="20"/>
        </w:rPr>
        <w:footnoteReference w:id="15"/>
      </w:r>
      <w:r w:rsidRPr="00206546">
        <w:rPr>
          <w:szCs w:val="20"/>
        </w:rPr>
        <w:t>. Las e</w:t>
      </w:r>
      <w:r>
        <w:rPr>
          <w:szCs w:val="20"/>
        </w:rPr>
        <w:t>lecciones generales se realizaro</w:t>
      </w:r>
      <w:r w:rsidRPr="00206546">
        <w:rPr>
          <w:szCs w:val="20"/>
        </w:rPr>
        <w:t>n el 25 de noviembre de ese año</w:t>
      </w:r>
      <w:r>
        <w:rPr>
          <w:szCs w:val="20"/>
        </w:rPr>
        <w:t>, después de la muerte del señor Pacheco.</w:t>
      </w:r>
    </w:p>
    <w:p w14:paraId="300699F8" w14:textId="77777777" w:rsidR="001B310B" w:rsidRPr="001B310B" w:rsidRDefault="001B310B" w:rsidP="001B310B">
      <w:pPr>
        <w:rPr>
          <w:lang w:val="es-CR" w:eastAsia="es-MX"/>
        </w:rPr>
      </w:pPr>
    </w:p>
    <w:p w14:paraId="2950363E" w14:textId="2FA41EE0" w:rsidR="00A61BFC" w:rsidRPr="009E425D" w:rsidRDefault="008A2AE0" w:rsidP="009E425D">
      <w:pPr>
        <w:pStyle w:val="PrrafodeSentencia"/>
        <w:tabs>
          <w:tab w:val="clear" w:pos="567"/>
          <w:tab w:val="left" w:pos="-284"/>
        </w:tabs>
        <w:ind w:left="0" w:firstLine="0"/>
        <w:rPr>
          <w:rFonts w:eastAsia="Times New Roman" w:cs="Cambria"/>
          <w:szCs w:val="20"/>
          <w:lang w:eastAsia="es-CR"/>
        </w:rPr>
      </w:pPr>
      <w:r w:rsidRPr="009E425D">
        <w:rPr>
          <w:szCs w:val="20"/>
        </w:rPr>
        <w:t>Los familiares del señor Pacheco son los siguientes: su compañera</w:t>
      </w:r>
      <w:r w:rsidRPr="00B36430">
        <w:rPr>
          <w:rStyle w:val="FootnoteReference"/>
          <w:sz w:val="20"/>
          <w:szCs w:val="20"/>
        </w:rPr>
        <w:footnoteReference w:id="16"/>
      </w:r>
      <w:r w:rsidRPr="009E425D">
        <w:rPr>
          <w:szCs w:val="20"/>
        </w:rPr>
        <w:t xml:space="preserve">, </w:t>
      </w:r>
      <w:r w:rsidR="00AB3DBE">
        <w:t xml:space="preserve">Blanca Rosa Herrera Rodríguez; sus hijas, Cinthia </w:t>
      </w:r>
      <w:proofErr w:type="spellStart"/>
      <w:r w:rsidR="009E425D">
        <w:t>Mirella</w:t>
      </w:r>
      <w:proofErr w:type="spellEnd"/>
      <w:r w:rsidR="009E425D">
        <w:t xml:space="preserve"> </w:t>
      </w:r>
      <w:r w:rsidR="00AB3DBE">
        <w:t xml:space="preserve">Pacheco </w:t>
      </w:r>
      <w:proofErr w:type="spellStart"/>
      <w:r w:rsidR="00AB3DBE">
        <w:t>Devicente</w:t>
      </w:r>
      <w:proofErr w:type="spellEnd"/>
      <w:r w:rsidR="00AB3DBE">
        <w:t xml:space="preserve">, Tania Melissa Pacheco López y Bianca </w:t>
      </w:r>
      <w:proofErr w:type="spellStart"/>
      <w:r w:rsidR="009E425D">
        <w:t>Gisselle</w:t>
      </w:r>
      <w:proofErr w:type="spellEnd"/>
      <w:r w:rsidR="009E425D">
        <w:t xml:space="preserve"> </w:t>
      </w:r>
      <w:r w:rsidR="00AB3DBE">
        <w:t xml:space="preserve">Pacheco Herrera; sus hijos, </w:t>
      </w:r>
      <w:proofErr w:type="spellStart"/>
      <w:r w:rsidR="00AB3DBE">
        <w:t>Jimy</w:t>
      </w:r>
      <w:proofErr w:type="spellEnd"/>
      <w:r w:rsidR="00AB3DBE">
        <w:t xml:space="preserve"> </w:t>
      </w:r>
      <w:r w:rsidR="00AB3DBE" w:rsidRPr="009E425D">
        <w:rPr>
          <w:lang w:val="es-ES"/>
        </w:rPr>
        <w:t xml:space="preserve">Javier </w:t>
      </w:r>
      <w:r w:rsidR="00AB3DBE">
        <w:t xml:space="preserve">Pacheco </w:t>
      </w:r>
      <w:r w:rsidR="00AB3DBE" w:rsidRPr="009E425D">
        <w:rPr>
          <w:lang w:val="es-ES"/>
        </w:rPr>
        <w:t>Ortiz</w:t>
      </w:r>
      <w:r w:rsidR="00AB3DBE">
        <w:t xml:space="preserve">, Miguel Ángel Pacheco </w:t>
      </w:r>
      <w:proofErr w:type="spellStart"/>
      <w:r w:rsidR="00AB3DBE">
        <w:t>Devicente</w:t>
      </w:r>
      <w:proofErr w:type="spellEnd"/>
      <w:r w:rsidR="00AB3DBE">
        <w:t xml:space="preserve"> y Juan Carlos Pacheco </w:t>
      </w:r>
      <w:proofErr w:type="spellStart"/>
      <w:r w:rsidR="00AB3DBE">
        <w:t>Euceda</w:t>
      </w:r>
      <w:proofErr w:type="spellEnd"/>
      <w:r w:rsidR="00AB3DBE">
        <w:t>; su madre, Andrea Pacheco López, y sus hermanas y hermanos: María Otilia</w:t>
      </w:r>
      <w:r w:rsidR="00A61BFC">
        <w:t xml:space="preserve"> Pacheco</w:t>
      </w:r>
      <w:r w:rsidR="00AB3DBE">
        <w:t>, Concepción</w:t>
      </w:r>
      <w:r w:rsidR="00A61BFC">
        <w:t xml:space="preserve"> Pacheco</w:t>
      </w:r>
      <w:r w:rsidR="00AB3DBE">
        <w:t>, Blanca</w:t>
      </w:r>
      <w:r w:rsidR="00A61BFC">
        <w:t xml:space="preserve"> Pacheco</w:t>
      </w:r>
      <w:r w:rsidR="00AB3DBE">
        <w:t>, María Regina</w:t>
      </w:r>
      <w:r w:rsidR="00A61BFC">
        <w:t xml:space="preserve"> Pacheco</w:t>
      </w:r>
      <w:r w:rsidR="00AB3DBE">
        <w:t>, Santos Norma</w:t>
      </w:r>
      <w:r w:rsidR="00A61BFC">
        <w:t xml:space="preserve"> Pacheco</w:t>
      </w:r>
      <w:r w:rsidR="00AB3DBE">
        <w:t xml:space="preserve">, </w:t>
      </w:r>
      <w:proofErr w:type="spellStart"/>
      <w:r w:rsidR="00AB3DBE">
        <w:t>Marleny</w:t>
      </w:r>
      <w:proofErr w:type="spellEnd"/>
      <w:r w:rsidR="00A61BFC">
        <w:t xml:space="preserve"> Pacheco Posadas</w:t>
      </w:r>
      <w:r w:rsidR="00AB3DBE">
        <w:t xml:space="preserve">, </w:t>
      </w:r>
      <w:r w:rsidR="00AB3DBE" w:rsidRPr="009E425D">
        <w:rPr>
          <w:lang w:val="es-ES"/>
        </w:rPr>
        <w:t xml:space="preserve">Elsa </w:t>
      </w:r>
      <w:r w:rsidR="00AB3DBE">
        <w:t xml:space="preserve">Yamileth </w:t>
      </w:r>
      <w:proofErr w:type="spellStart"/>
      <w:r w:rsidR="00AB3DBE" w:rsidRPr="009E425D">
        <w:rPr>
          <w:lang w:val="es-ES"/>
        </w:rPr>
        <w:t>Almendarez</w:t>
      </w:r>
      <w:proofErr w:type="spellEnd"/>
      <w:r w:rsidR="00A61BFC" w:rsidRPr="009E425D">
        <w:rPr>
          <w:lang w:val="es-ES"/>
        </w:rPr>
        <w:t xml:space="preserve"> Pacheco</w:t>
      </w:r>
      <w:r w:rsidR="00AB3DBE">
        <w:t xml:space="preserve">, Jaqueline </w:t>
      </w:r>
      <w:r w:rsidR="00AB3DBE" w:rsidRPr="009E425D">
        <w:rPr>
          <w:lang w:val="es-ES"/>
        </w:rPr>
        <w:t xml:space="preserve">L. </w:t>
      </w:r>
      <w:proofErr w:type="spellStart"/>
      <w:r w:rsidR="00AB3DBE" w:rsidRPr="009E425D">
        <w:rPr>
          <w:lang w:val="es-ES"/>
        </w:rPr>
        <w:t>Almendarez</w:t>
      </w:r>
      <w:proofErr w:type="spellEnd"/>
      <w:r w:rsidR="00A61BFC" w:rsidRPr="009E425D">
        <w:rPr>
          <w:lang w:val="es-ES"/>
        </w:rPr>
        <w:t xml:space="preserve"> Pacheco</w:t>
      </w:r>
      <w:r w:rsidR="00AB3DBE">
        <w:t>, José</w:t>
      </w:r>
      <w:r w:rsidR="00A61BFC">
        <w:t xml:space="preserve"> Pacheco</w:t>
      </w:r>
      <w:r w:rsidR="00AB3DBE">
        <w:t>, Francisco</w:t>
      </w:r>
      <w:r w:rsidR="00A61BFC">
        <w:t xml:space="preserve"> Pacheco</w:t>
      </w:r>
      <w:r w:rsidR="00AB3DBE">
        <w:t xml:space="preserve"> y Jorge</w:t>
      </w:r>
      <w:r w:rsidR="00A61BFC">
        <w:t xml:space="preserve"> Pacheco</w:t>
      </w:r>
      <w:r w:rsidR="00AB3DBE">
        <w:t xml:space="preserve"> (en adelante, en referencia a todas las personas nombradas a excepción del señor Pacheco, “los familiares</w:t>
      </w:r>
      <w:r w:rsidR="00D37CDB">
        <w:t>”</w:t>
      </w:r>
      <w:r w:rsidR="00A61BFC">
        <w:t>).</w:t>
      </w:r>
      <w:r w:rsidR="00A61BFC" w:rsidRPr="009E425D">
        <w:rPr>
          <w:highlight w:val="yellow"/>
        </w:rPr>
        <w:t xml:space="preserve"> </w:t>
      </w:r>
    </w:p>
    <w:p w14:paraId="1CD4E52A" w14:textId="77777777" w:rsidR="00C30031" w:rsidRPr="001432E3" w:rsidRDefault="00C30031" w:rsidP="008A2AE0">
      <w:pPr>
        <w:rPr>
          <w:lang w:val="es-CR" w:eastAsia="es-MX"/>
        </w:rPr>
      </w:pPr>
    </w:p>
    <w:p w14:paraId="2E1DBE12" w14:textId="77777777" w:rsidR="008A2AE0" w:rsidRDefault="008A2AE0" w:rsidP="00A1177F">
      <w:pPr>
        <w:pStyle w:val="Heading2"/>
        <w:numPr>
          <w:ilvl w:val="0"/>
          <w:numId w:val="13"/>
        </w:numPr>
        <w:tabs>
          <w:tab w:val="clear" w:pos="567"/>
          <w:tab w:val="clear" w:pos="993"/>
          <w:tab w:val="left" w:pos="142"/>
        </w:tabs>
        <w:ind w:left="284" w:firstLine="0"/>
        <w:rPr>
          <w:szCs w:val="20"/>
        </w:rPr>
      </w:pPr>
      <w:bookmarkStart w:id="224" w:name="_Toc498512812"/>
      <w:r w:rsidRPr="00206546">
        <w:rPr>
          <w:szCs w:val="20"/>
        </w:rPr>
        <w:t>La muerte de Ángel Pacheco León</w:t>
      </w:r>
      <w:r>
        <w:rPr>
          <w:szCs w:val="20"/>
        </w:rPr>
        <w:t xml:space="preserve"> y designación </w:t>
      </w:r>
      <w:r w:rsidRPr="00973461">
        <w:rPr>
          <w:szCs w:val="20"/>
        </w:rPr>
        <w:t>de su hermano José</w:t>
      </w:r>
      <w:r>
        <w:rPr>
          <w:szCs w:val="20"/>
        </w:rPr>
        <w:t xml:space="preserve"> como diputado</w:t>
      </w:r>
      <w:bookmarkEnd w:id="224"/>
      <w:r>
        <w:rPr>
          <w:szCs w:val="20"/>
        </w:rPr>
        <w:t xml:space="preserve"> </w:t>
      </w:r>
    </w:p>
    <w:p w14:paraId="46118D0F" w14:textId="77777777" w:rsidR="008A2AE0" w:rsidRPr="001B6310" w:rsidRDefault="008A2AE0" w:rsidP="008A2AE0">
      <w:pPr>
        <w:pStyle w:val="ListParagraph"/>
        <w:numPr>
          <w:ilvl w:val="0"/>
          <w:numId w:val="0"/>
        </w:numPr>
        <w:ind w:left="1080"/>
        <w:rPr>
          <w:lang w:eastAsia="es-MX"/>
        </w:rPr>
      </w:pPr>
    </w:p>
    <w:p w14:paraId="5D9F6028" w14:textId="53AAC9BD" w:rsidR="002E44FA" w:rsidRPr="00F54795" w:rsidRDefault="002E44FA" w:rsidP="002E44FA">
      <w:pPr>
        <w:pStyle w:val="PrrafodeSentencia"/>
        <w:tabs>
          <w:tab w:val="clear" w:pos="567"/>
        </w:tabs>
        <w:ind w:left="0" w:firstLine="0"/>
        <w:rPr>
          <w:bCs/>
        </w:rPr>
      </w:pPr>
      <w:r w:rsidRPr="002E44FA">
        <w:t xml:space="preserve">De acuerdo a las declaraciones de varios de sus familiares y otras personas, el señor Ángel Pacheco León fue objeto, previamente a su muerte, de actos de hostigamiento, agresiones </w:t>
      </w:r>
      <w:r w:rsidRPr="00F54795">
        <w:rPr>
          <w:bCs/>
        </w:rPr>
        <w:t>verbales</w:t>
      </w:r>
      <w:r w:rsidRPr="00F54795">
        <w:t xml:space="preserve">, amenazas </w:t>
      </w:r>
      <w:r w:rsidRPr="00F54795">
        <w:rPr>
          <w:bCs/>
        </w:rPr>
        <w:t>y otros actos intimidatorios</w:t>
      </w:r>
      <w:r w:rsidRPr="00F54795">
        <w:t xml:space="preserve"> de distintas personas, entre ellas, </w:t>
      </w:r>
      <w:r w:rsidRPr="00F54795">
        <w:rPr>
          <w:bCs/>
        </w:rPr>
        <w:t>integrantes</w:t>
      </w:r>
      <w:r w:rsidRPr="00F54795">
        <w:t xml:space="preserve"> del Partido Nacional, por los conflictos en el ámbito de ese partido. Francisco Pacheco manifestó que escuchó que querían asesin</w:t>
      </w:r>
      <w:r w:rsidRPr="00F54795">
        <w:rPr>
          <w:bCs/>
        </w:rPr>
        <w:t>ar a su hermano Ángel Pacheco León</w:t>
      </w:r>
      <w:r w:rsidRPr="00F54795">
        <w:rPr>
          <w:rStyle w:val="FootnoteReference"/>
          <w:sz w:val="20"/>
          <w:szCs w:val="20"/>
        </w:rPr>
        <w:footnoteReference w:id="17"/>
      </w:r>
      <w:r w:rsidRPr="00F54795">
        <w:t xml:space="preserve">. </w:t>
      </w:r>
      <w:r w:rsidR="009E704D">
        <w:t>D</w:t>
      </w:r>
      <w:r w:rsidRPr="00F54795">
        <w:rPr>
          <w:bCs/>
        </w:rPr>
        <w:t>eclaraciones correspondientes dadas en el marco de las actuaciones internas se detallan más adelante (</w:t>
      </w:r>
      <w:r w:rsidRPr="00F54795">
        <w:rPr>
          <w:bCs/>
          <w:i/>
          <w:iCs/>
        </w:rPr>
        <w:t xml:space="preserve">infra </w:t>
      </w:r>
      <w:r w:rsidRPr="00F54795">
        <w:rPr>
          <w:bCs/>
        </w:rPr>
        <w:t xml:space="preserve">párr. </w:t>
      </w:r>
      <w:r w:rsidR="009E704D">
        <w:rPr>
          <w:bCs/>
        </w:rPr>
        <w:t>101</w:t>
      </w:r>
      <w:r w:rsidRPr="00F54795">
        <w:rPr>
          <w:bCs/>
        </w:rPr>
        <w:t xml:space="preserve">). </w:t>
      </w:r>
    </w:p>
    <w:p w14:paraId="5889B9CC" w14:textId="77777777" w:rsidR="008A2AE0" w:rsidRPr="00722AC9" w:rsidRDefault="008A2AE0" w:rsidP="008A2AE0">
      <w:pPr>
        <w:rPr>
          <w:lang w:val="es-CR" w:eastAsia="es-MX"/>
        </w:rPr>
      </w:pPr>
    </w:p>
    <w:p w14:paraId="36A9A119" w14:textId="17E9AA0E" w:rsidR="008A2AE0" w:rsidRDefault="008A2AE0" w:rsidP="008A2AE0">
      <w:pPr>
        <w:pStyle w:val="PrrafodeSentencia"/>
        <w:tabs>
          <w:tab w:val="clear" w:pos="567"/>
          <w:tab w:val="left" w:pos="-142"/>
        </w:tabs>
        <w:ind w:left="0" w:firstLine="0"/>
        <w:rPr>
          <w:rFonts w:cs="Arial"/>
        </w:rPr>
      </w:pPr>
      <w:r w:rsidRPr="00C011CF">
        <w:rPr>
          <w:szCs w:val="20"/>
        </w:rPr>
        <w:t>El 23 de noviembre de 2001</w:t>
      </w:r>
      <w:r>
        <w:rPr>
          <w:szCs w:val="20"/>
        </w:rPr>
        <w:t>, en horas de la tarde</w:t>
      </w:r>
      <w:r w:rsidRPr="007B43FC">
        <w:t>, el se</w:t>
      </w:r>
      <w:r w:rsidRPr="0047364C">
        <w:rPr>
          <w:rFonts w:cs="Calibri"/>
        </w:rPr>
        <w:t>ñ</w:t>
      </w:r>
      <w:r w:rsidRPr="007B43FC">
        <w:t>or Pacheco</w:t>
      </w:r>
      <w:r w:rsidR="009B7018">
        <w:t xml:space="preserve">, </w:t>
      </w:r>
      <w:r w:rsidR="00A11BB3">
        <w:t xml:space="preserve">dos de </w:t>
      </w:r>
      <w:r w:rsidR="009B7018" w:rsidRPr="000874BF">
        <w:t>sus hijos</w:t>
      </w:r>
      <w:r w:rsidRPr="000874BF">
        <w:t xml:space="preserve"> </w:t>
      </w:r>
      <w:r w:rsidR="009B7018" w:rsidRPr="000874BF">
        <w:t>y JC</w:t>
      </w:r>
      <w:r w:rsidR="009B7018" w:rsidRPr="000874BF">
        <w:rPr>
          <w:rStyle w:val="FootnoteReference"/>
          <w:sz w:val="20"/>
          <w:szCs w:val="20"/>
        </w:rPr>
        <w:footnoteReference w:id="18"/>
      </w:r>
      <w:r w:rsidR="004732B3">
        <w:t>,</w:t>
      </w:r>
      <w:r w:rsidR="009B7018" w:rsidRPr="000874BF">
        <w:rPr>
          <w:szCs w:val="20"/>
        </w:rPr>
        <w:t xml:space="preserve"> </w:t>
      </w:r>
      <w:r w:rsidRPr="000874BF">
        <w:t>el guardaespaldas</w:t>
      </w:r>
      <w:r w:rsidRPr="007B43FC">
        <w:t>, salieron de una reuni</w:t>
      </w:r>
      <w:r w:rsidRPr="0047364C">
        <w:rPr>
          <w:rFonts w:cs="Calibri"/>
        </w:rPr>
        <w:t>ó</w:t>
      </w:r>
      <w:r w:rsidRPr="007B43FC">
        <w:t>n pol</w:t>
      </w:r>
      <w:r w:rsidRPr="0047364C">
        <w:rPr>
          <w:rFonts w:cs="Calibri"/>
        </w:rPr>
        <w:t>í</w:t>
      </w:r>
      <w:r w:rsidR="00A11BB3">
        <w:t xml:space="preserve">tica </w:t>
      </w:r>
      <w:r w:rsidRPr="007B43FC">
        <w:t>e</w:t>
      </w:r>
      <w:r w:rsidR="00A11BB3">
        <w:t>n</w:t>
      </w:r>
      <w:r w:rsidRPr="007B43FC">
        <w:t xml:space="preserve"> la Comunidad de </w:t>
      </w:r>
      <w:proofErr w:type="spellStart"/>
      <w:r w:rsidRPr="007B43FC">
        <w:t>Cubulero</w:t>
      </w:r>
      <w:proofErr w:type="spellEnd"/>
      <w:r w:rsidRPr="007B43FC">
        <w:t>, y observaron un veh</w:t>
      </w:r>
      <w:r w:rsidRPr="0047364C">
        <w:rPr>
          <w:rFonts w:cs="Calibri"/>
        </w:rPr>
        <w:t>í</w:t>
      </w:r>
      <w:r w:rsidRPr="007B43FC">
        <w:t xml:space="preserve">culo tipo </w:t>
      </w:r>
      <w:r w:rsidRPr="00C438C1">
        <w:rPr>
          <w:i/>
        </w:rPr>
        <w:t>pick up</w:t>
      </w:r>
      <w:r w:rsidRPr="007B43FC">
        <w:t xml:space="preserve">, color blanco estacionado enfrente. </w:t>
      </w:r>
      <w:proofErr w:type="spellStart"/>
      <w:r w:rsidRPr="007B43FC">
        <w:t>Jimy</w:t>
      </w:r>
      <w:proofErr w:type="spellEnd"/>
      <w:r>
        <w:t xml:space="preserve"> Pacheco declaró que</w:t>
      </w:r>
      <w:r w:rsidRPr="007B43FC">
        <w:t xml:space="preserve"> lo hab</w:t>
      </w:r>
      <w:r w:rsidRPr="0047364C">
        <w:rPr>
          <w:rFonts w:cs="Calibri"/>
        </w:rPr>
        <w:t>í</w:t>
      </w:r>
      <w:r w:rsidRPr="007B43FC">
        <w:t>a visto pasar antes por la calle principal y pens</w:t>
      </w:r>
      <w:r w:rsidRPr="0047364C">
        <w:rPr>
          <w:rFonts w:cs="Calibri"/>
        </w:rPr>
        <w:t>ó</w:t>
      </w:r>
      <w:r w:rsidRPr="007B43FC">
        <w:t xml:space="preserve"> que era raro verlo dos veces y que se estacionara a trescientos metros de ellos. Miguel </w:t>
      </w:r>
      <w:r w:rsidRPr="0047364C">
        <w:rPr>
          <w:rFonts w:cs="Calibri"/>
        </w:rPr>
        <w:t>Á</w:t>
      </w:r>
      <w:r w:rsidRPr="007B43FC">
        <w:t xml:space="preserve">ngel </w:t>
      </w:r>
      <w:r w:rsidR="00A11BB3">
        <w:t xml:space="preserve">Pacheco </w:t>
      </w:r>
      <w:proofErr w:type="spellStart"/>
      <w:r w:rsidR="00A11BB3">
        <w:t>Devicente</w:t>
      </w:r>
      <w:proofErr w:type="spellEnd"/>
      <w:r w:rsidR="00A11BB3">
        <w:t xml:space="preserve"> </w:t>
      </w:r>
      <w:r w:rsidRPr="007B43FC">
        <w:t>y el guardaespaldas fueron a verificar cu</w:t>
      </w:r>
      <w:r w:rsidRPr="0047364C">
        <w:rPr>
          <w:rFonts w:cs="Calibri"/>
        </w:rPr>
        <w:t>á</w:t>
      </w:r>
      <w:r w:rsidRPr="007B43FC">
        <w:t>ntas personas hab</w:t>
      </w:r>
      <w:r w:rsidRPr="0047364C">
        <w:rPr>
          <w:rFonts w:cs="Calibri"/>
        </w:rPr>
        <w:t>í</w:t>
      </w:r>
      <w:r w:rsidRPr="007B43FC">
        <w:t>a en el veh</w:t>
      </w:r>
      <w:r w:rsidRPr="0047364C">
        <w:rPr>
          <w:rFonts w:cs="Calibri"/>
        </w:rPr>
        <w:t>í</w:t>
      </w:r>
      <w:r w:rsidRPr="007B43FC">
        <w:t>culo y a preguntar al conductor cu</w:t>
      </w:r>
      <w:r w:rsidRPr="0047364C">
        <w:rPr>
          <w:rFonts w:cs="Calibri"/>
        </w:rPr>
        <w:t>á</w:t>
      </w:r>
      <w:r w:rsidRPr="007B43FC">
        <w:t>l era el motivo de su llegada a ese lugar</w:t>
      </w:r>
      <w:r w:rsidRPr="00C438C1">
        <w:rPr>
          <w:rStyle w:val="FootnoteReference"/>
          <w:sz w:val="20"/>
          <w:szCs w:val="20"/>
        </w:rPr>
        <w:footnoteReference w:id="19"/>
      </w:r>
      <w:r w:rsidRPr="007B43FC">
        <w:t xml:space="preserve">. </w:t>
      </w:r>
      <w:r w:rsidRPr="0047364C">
        <w:rPr>
          <w:rFonts w:cs="Arial"/>
        </w:rPr>
        <w:t>No lograron verificarlo, porque el veh</w:t>
      </w:r>
      <w:r w:rsidRPr="0047364C">
        <w:rPr>
          <w:rFonts w:cs="Calibri"/>
        </w:rPr>
        <w:t>í</w:t>
      </w:r>
      <w:r w:rsidRPr="0047364C">
        <w:rPr>
          <w:rFonts w:cs="Arial"/>
        </w:rPr>
        <w:t>culo se fue r</w:t>
      </w:r>
      <w:r w:rsidRPr="0047364C">
        <w:rPr>
          <w:rFonts w:cs="Calibri"/>
        </w:rPr>
        <w:t>á</w:t>
      </w:r>
      <w:r w:rsidRPr="0047364C">
        <w:rPr>
          <w:rFonts w:cs="Arial"/>
        </w:rPr>
        <w:t>pi</w:t>
      </w:r>
      <w:r>
        <w:rPr>
          <w:rFonts w:cs="Arial"/>
        </w:rPr>
        <w:t>damente</w:t>
      </w:r>
      <w:r w:rsidRPr="00C438C1">
        <w:rPr>
          <w:rStyle w:val="FootnoteReference"/>
          <w:sz w:val="20"/>
          <w:szCs w:val="20"/>
        </w:rPr>
        <w:footnoteReference w:id="20"/>
      </w:r>
      <w:r>
        <w:rPr>
          <w:rFonts w:cs="Arial"/>
        </w:rPr>
        <w:t xml:space="preserve">. </w:t>
      </w:r>
      <w:r w:rsidRPr="0047364C">
        <w:rPr>
          <w:rFonts w:cs="Arial"/>
        </w:rPr>
        <w:t xml:space="preserve">Luego </w:t>
      </w:r>
      <w:r>
        <w:rPr>
          <w:rFonts w:cs="Arial"/>
        </w:rPr>
        <w:t xml:space="preserve">se </w:t>
      </w:r>
      <w:r w:rsidRPr="0047364C">
        <w:rPr>
          <w:rFonts w:cs="Arial"/>
        </w:rPr>
        <w:t>traslad</w:t>
      </w:r>
      <w:r>
        <w:rPr>
          <w:rFonts w:cs="Calibri"/>
        </w:rPr>
        <w:t>aron</w:t>
      </w:r>
      <w:r w:rsidRPr="0047364C">
        <w:rPr>
          <w:rFonts w:cs="Arial"/>
        </w:rPr>
        <w:t xml:space="preserve"> </w:t>
      </w:r>
      <w:r w:rsidRPr="0047364C">
        <w:rPr>
          <w:rFonts w:cs="Arial"/>
        </w:rPr>
        <w:lastRenderedPageBreak/>
        <w:t>en dos autom</w:t>
      </w:r>
      <w:r w:rsidRPr="0047364C">
        <w:rPr>
          <w:rFonts w:cs="Calibri"/>
        </w:rPr>
        <w:t>ó</w:t>
      </w:r>
      <w:r w:rsidRPr="0047364C">
        <w:rPr>
          <w:rFonts w:cs="Arial"/>
        </w:rPr>
        <w:t>viles</w:t>
      </w:r>
      <w:r>
        <w:rPr>
          <w:rFonts w:cs="Arial"/>
        </w:rPr>
        <w:t xml:space="preserve"> a otro lugar</w:t>
      </w:r>
      <w:r w:rsidRPr="0047364C">
        <w:rPr>
          <w:rFonts w:cs="Arial"/>
        </w:rPr>
        <w:t xml:space="preserve">, para </w:t>
      </w:r>
      <w:r>
        <w:rPr>
          <w:rFonts w:cs="Arial"/>
        </w:rPr>
        <w:t xml:space="preserve">acudir a </w:t>
      </w:r>
      <w:r w:rsidRPr="0047364C">
        <w:rPr>
          <w:rFonts w:cs="Arial"/>
        </w:rPr>
        <w:t>una reuni</w:t>
      </w:r>
      <w:r w:rsidRPr="0047364C">
        <w:rPr>
          <w:rFonts w:cs="Calibri"/>
        </w:rPr>
        <w:t>ó</w:t>
      </w:r>
      <w:r w:rsidRPr="0047364C">
        <w:rPr>
          <w:rFonts w:cs="Arial"/>
        </w:rPr>
        <w:t>n</w:t>
      </w:r>
      <w:r>
        <w:rPr>
          <w:rFonts w:cs="Arial"/>
        </w:rPr>
        <w:t>,</w:t>
      </w:r>
      <w:r w:rsidRPr="0047364C">
        <w:rPr>
          <w:rFonts w:cs="Arial"/>
        </w:rPr>
        <w:t xml:space="preserve"> que finalmente no se concret</w:t>
      </w:r>
      <w:r w:rsidRPr="0047364C">
        <w:rPr>
          <w:rFonts w:cs="Calibri"/>
        </w:rPr>
        <w:t>ó</w:t>
      </w:r>
      <w:r w:rsidRPr="0047364C">
        <w:rPr>
          <w:rFonts w:cs="Arial"/>
        </w:rPr>
        <w:t>. Posteriormente, dejaron un veh</w:t>
      </w:r>
      <w:r w:rsidRPr="0047364C">
        <w:rPr>
          <w:rFonts w:cs="Calibri"/>
        </w:rPr>
        <w:t>í</w:t>
      </w:r>
      <w:r w:rsidRPr="0047364C">
        <w:rPr>
          <w:rFonts w:cs="Arial"/>
        </w:rPr>
        <w:t>culo frente a una ferreter</w:t>
      </w:r>
      <w:r w:rsidRPr="0047364C">
        <w:rPr>
          <w:rFonts w:cs="Calibri"/>
        </w:rPr>
        <w:t>í</w:t>
      </w:r>
      <w:r w:rsidRPr="0047364C">
        <w:rPr>
          <w:rFonts w:cs="Arial"/>
        </w:rPr>
        <w:t>a y se movilizaron en el otro</w:t>
      </w:r>
      <w:r w:rsidRPr="00C438C1">
        <w:rPr>
          <w:rStyle w:val="FootnoteReference"/>
          <w:sz w:val="20"/>
          <w:szCs w:val="20"/>
        </w:rPr>
        <w:footnoteReference w:id="21"/>
      </w:r>
      <w:r w:rsidRPr="0047364C">
        <w:rPr>
          <w:rFonts w:cs="Arial"/>
        </w:rPr>
        <w:t>.</w:t>
      </w:r>
    </w:p>
    <w:p w14:paraId="24961BB1" w14:textId="77777777" w:rsidR="008A2AE0" w:rsidRPr="00C438C1" w:rsidRDefault="008A2AE0" w:rsidP="008A2AE0">
      <w:pPr>
        <w:tabs>
          <w:tab w:val="left" w:pos="-142"/>
        </w:tabs>
      </w:pPr>
    </w:p>
    <w:p w14:paraId="4882DAE9" w14:textId="44BFFB80" w:rsidR="000F1D8E" w:rsidRPr="00E57477" w:rsidRDefault="008A2AE0" w:rsidP="00E57477">
      <w:pPr>
        <w:pStyle w:val="PrrafodeSentencia"/>
        <w:tabs>
          <w:tab w:val="clear" w:pos="567"/>
          <w:tab w:val="left" w:pos="-142"/>
        </w:tabs>
        <w:ind w:left="0" w:firstLine="0"/>
        <w:rPr>
          <w:rFonts w:cs="Arial"/>
          <w:b/>
          <w:color w:val="202423"/>
          <w:sz w:val="16"/>
          <w:szCs w:val="16"/>
        </w:rPr>
      </w:pPr>
      <w:r w:rsidRPr="002448B6">
        <w:rPr>
          <w:szCs w:val="20"/>
        </w:rPr>
        <w:t>El mismo día poco antes de la medianoche</w:t>
      </w:r>
      <w:r w:rsidR="00480D34">
        <w:rPr>
          <w:szCs w:val="20"/>
        </w:rPr>
        <w:t>,</w:t>
      </w:r>
      <w:r w:rsidRPr="002448B6">
        <w:rPr>
          <w:szCs w:val="20"/>
        </w:rPr>
        <w:t xml:space="preserve"> Ángel Pacheco León, acompañado por las personas referidas, regresó a su domicilio, qu</w:t>
      </w:r>
      <w:r w:rsidRPr="00DB0D15">
        <w:rPr>
          <w:szCs w:val="20"/>
        </w:rPr>
        <w:t>e también funcionaba como una sede del Partido Nacional de Honduras</w:t>
      </w:r>
      <w:r w:rsidRPr="00C011CF">
        <w:rPr>
          <w:rStyle w:val="FootnoteReference"/>
          <w:sz w:val="20"/>
          <w:szCs w:val="20"/>
        </w:rPr>
        <w:footnoteReference w:id="22"/>
      </w:r>
      <w:r w:rsidRPr="002448B6">
        <w:rPr>
          <w:szCs w:val="20"/>
        </w:rPr>
        <w:t xml:space="preserve">. </w:t>
      </w:r>
      <w:r w:rsidRPr="00DB0D15">
        <w:rPr>
          <w:szCs w:val="20"/>
        </w:rPr>
        <w:t xml:space="preserve">Miguel Ángel y el guardaespaldas del señor Pacheco salieron a buscar un automóvil que estaba estacionado a un par </w:t>
      </w:r>
      <w:r w:rsidRPr="00913B64">
        <w:rPr>
          <w:szCs w:val="20"/>
        </w:rPr>
        <w:t>de cuadras del domicilio, para cambiar</w:t>
      </w:r>
      <w:r w:rsidRPr="00F955F4">
        <w:rPr>
          <w:szCs w:val="20"/>
        </w:rPr>
        <w:t>lo de lugar</w:t>
      </w:r>
      <w:r w:rsidRPr="00C011CF">
        <w:rPr>
          <w:rStyle w:val="FootnoteReference"/>
          <w:sz w:val="20"/>
          <w:szCs w:val="20"/>
        </w:rPr>
        <w:footnoteReference w:id="23"/>
      </w:r>
      <w:r w:rsidRPr="002448B6">
        <w:rPr>
          <w:szCs w:val="20"/>
        </w:rPr>
        <w:t xml:space="preserve">. </w:t>
      </w:r>
      <w:r w:rsidRPr="000F1D8E">
        <w:rPr>
          <w:rFonts w:eastAsia="Calibri" w:cs="Calibri"/>
          <w:spacing w:val="0"/>
          <w:szCs w:val="20"/>
          <w:lang w:val="es-MX" w:eastAsia="en-US"/>
        </w:rPr>
        <w:t xml:space="preserve">Entonces, según declaró </w:t>
      </w:r>
      <w:proofErr w:type="spellStart"/>
      <w:r w:rsidRPr="000F1D8E">
        <w:rPr>
          <w:rFonts w:eastAsia="Calibri" w:cs="Calibri"/>
          <w:spacing w:val="0"/>
          <w:szCs w:val="20"/>
          <w:lang w:val="es-MX" w:eastAsia="en-US"/>
        </w:rPr>
        <w:t>Jimy</w:t>
      </w:r>
      <w:proofErr w:type="spellEnd"/>
      <w:r w:rsidRPr="000F1D8E">
        <w:rPr>
          <w:rFonts w:eastAsia="Calibri" w:cs="Calibri"/>
          <w:spacing w:val="0"/>
          <w:szCs w:val="20"/>
          <w:lang w:val="es-MX" w:eastAsia="en-US"/>
        </w:rPr>
        <w:t xml:space="preserve"> Pacheco, cuando él y su padre estaban ingresando al domicilio ocurrió lo siguiente: el señor Pacheco abrió la puerta de la residencia y entró. </w:t>
      </w:r>
      <w:proofErr w:type="spellStart"/>
      <w:r w:rsidRPr="000F1D8E">
        <w:rPr>
          <w:rFonts w:eastAsia="Calibri" w:cs="Calibri"/>
          <w:spacing w:val="0"/>
          <w:szCs w:val="20"/>
          <w:lang w:val="es-MX" w:eastAsia="en-US"/>
        </w:rPr>
        <w:t>Jimy</w:t>
      </w:r>
      <w:proofErr w:type="spellEnd"/>
      <w:r w:rsidRPr="000F1D8E">
        <w:rPr>
          <w:rFonts w:eastAsia="Calibri" w:cs="Calibri"/>
          <w:spacing w:val="0"/>
          <w:szCs w:val="20"/>
          <w:lang w:val="es-MX" w:eastAsia="en-US"/>
        </w:rPr>
        <w:t xml:space="preserve"> estaba entrando en la casa cuando escuchó un sonido, se dio vuelta y vio un hombre corriendo hacia ellos. </w:t>
      </w:r>
      <w:proofErr w:type="spellStart"/>
      <w:r w:rsidRPr="000F1D8E">
        <w:rPr>
          <w:rFonts w:eastAsia="Calibri" w:cs="Calibri"/>
          <w:spacing w:val="0"/>
          <w:szCs w:val="20"/>
          <w:lang w:val="es-MX" w:eastAsia="en-US"/>
        </w:rPr>
        <w:t>Jimy</w:t>
      </w:r>
      <w:proofErr w:type="spellEnd"/>
      <w:r w:rsidRPr="000F1D8E">
        <w:rPr>
          <w:rFonts w:eastAsia="Calibri" w:cs="Calibri"/>
          <w:spacing w:val="0"/>
          <w:szCs w:val="20"/>
          <w:lang w:val="es-MX" w:eastAsia="en-US"/>
        </w:rPr>
        <w:t xml:space="preserve"> corrió al interior y tiró la puerta pero no se cerró porque impactó en el hombre. </w:t>
      </w:r>
      <w:proofErr w:type="spellStart"/>
      <w:r w:rsidRPr="000F1D8E">
        <w:rPr>
          <w:rFonts w:eastAsia="Calibri" w:cs="Calibri"/>
          <w:spacing w:val="0"/>
          <w:szCs w:val="20"/>
          <w:lang w:val="es-MX" w:eastAsia="en-US"/>
        </w:rPr>
        <w:t>Jimy</w:t>
      </w:r>
      <w:proofErr w:type="spellEnd"/>
      <w:r w:rsidRPr="000F1D8E">
        <w:rPr>
          <w:rFonts w:eastAsia="Calibri" w:cs="Calibri"/>
          <w:spacing w:val="0"/>
          <w:szCs w:val="20"/>
          <w:lang w:val="es-MX" w:eastAsia="en-US"/>
        </w:rPr>
        <w:t xml:space="preserve"> forcejó para que él no entrara. Cuando el señor Pacheco dio la vuelta se dio cuenta lo que ocurría y ayudó a empujar para cerrar la puerta. El hombre introdujo la mano en la que llevaba un arma y disparó dos o tres tiros. Ángel Pacheco </w:t>
      </w:r>
      <w:r w:rsidR="008575F9" w:rsidRPr="000F1D8E">
        <w:rPr>
          <w:rFonts w:eastAsia="Calibri" w:cs="Calibri"/>
          <w:spacing w:val="0"/>
          <w:szCs w:val="20"/>
          <w:lang w:val="es-MX" w:eastAsia="en-US"/>
        </w:rPr>
        <w:t xml:space="preserve">León </w:t>
      </w:r>
      <w:r w:rsidRPr="000F1D8E">
        <w:rPr>
          <w:rFonts w:eastAsia="Calibri" w:cs="Calibri"/>
          <w:spacing w:val="0"/>
          <w:szCs w:val="20"/>
          <w:lang w:val="es-MX" w:eastAsia="en-US"/>
        </w:rPr>
        <w:t xml:space="preserve">cayó al suelo y el hombre le siguió disparando. El hombre apuntó a </w:t>
      </w:r>
      <w:proofErr w:type="spellStart"/>
      <w:r w:rsidRPr="000F1D8E">
        <w:rPr>
          <w:rFonts w:eastAsia="Calibri" w:cs="Calibri"/>
          <w:spacing w:val="0"/>
          <w:szCs w:val="20"/>
          <w:lang w:val="es-MX" w:eastAsia="en-US"/>
        </w:rPr>
        <w:t>Jimy</w:t>
      </w:r>
      <w:proofErr w:type="spellEnd"/>
      <w:r w:rsidRPr="000F1D8E">
        <w:rPr>
          <w:rFonts w:eastAsia="Calibri" w:cs="Calibri"/>
          <w:spacing w:val="0"/>
          <w:szCs w:val="20"/>
          <w:lang w:val="es-MX" w:eastAsia="en-US"/>
        </w:rPr>
        <w:t xml:space="preserve">, pero el arma ya no tenía municiones. Luego el agresor inmediatamente salió corriendo. </w:t>
      </w:r>
      <w:proofErr w:type="spellStart"/>
      <w:r w:rsidRPr="000F1D8E">
        <w:rPr>
          <w:rFonts w:eastAsia="Calibri" w:cs="Calibri"/>
          <w:spacing w:val="0"/>
          <w:szCs w:val="20"/>
          <w:lang w:val="es-MX" w:eastAsia="en-US"/>
        </w:rPr>
        <w:t>Jimy</w:t>
      </w:r>
      <w:proofErr w:type="spellEnd"/>
      <w:r w:rsidRPr="000F1D8E">
        <w:rPr>
          <w:rFonts w:eastAsia="Calibri" w:cs="Calibri"/>
          <w:spacing w:val="0"/>
          <w:szCs w:val="20"/>
          <w:lang w:val="es-MX" w:eastAsia="en-US"/>
        </w:rPr>
        <w:t xml:space="preserve"> salió y vio que el hombre se iba en un carro tipo </w:t>
      </w:r>
      <w:r w:rsidRPr="00033F68">
        <w:rPr>
          <w:rFonts w:eastAsia="Calibri" w:cs="Calibri"/>
          <w:i/>
          <w:spacing w:val="0"/>
          <w:szCs w:val="20"/>
          <w:lang w:val="es-MX" w:eastAsia="en-US"/>
        </w:rPr>
        <w:t>pick up</w:t>
      </w:r>
      <w:r w:rsidRPr="000F1D8E">
        <w:rPr>
          <w:rFonts w:eastAsia="Calibri" w:cs="Calibri"/>
          <w:spacing w:val="0"/>
          <w:szCs w:val="20"/>
          <w:lang w:val="es-MX" w:eastAsia="en-US"/>
        </w:rPr>
        <w:t>, color blanco, cabina sencilla</w:t>
      </w:r>
      <w:r w:rsidRPr="002D5A5C">
        <w:rPr>
          <w:rStyle w:val="FootnoteReference"/>
          <w:rFonts w:eastAsia="Calibri"/>
          <w:spacing w:val="0"/>
          <w:sz w:val="20"/>
          <w:szCs w:val="20"/>
          <w:lang w:val="es-MX" w:eastAsia="en-US"/>
        </w:rPr>
        <w:footnoteReference w:id="24"/>
      </w:r>
      <w:r w:rsidRPr="000F1D8E">
        <w:rPr>
          <w:rFonts w:eastAsia="Calibri" w:cs="Calibri"/>
          <w:spacing w:val="0"/>
          <w:szCs w:val="20"/>
          <w:lang w:val="es-MX" w:eastAsia="en-US"/>
        </w:rPr>
        <w:t>.</w:t>
      </w:r>
      <w:r w:rsidRPr="002448B6">
        <w:rPr>
          <w:szCs w:val="20"/>
        </w:rPr>
        <w:t xml:space="preserve"> </w:t>
      </w:r>
      <w:r w:rsidRPr="00DB0D15">
        <w:rPr>
          <w:szCs w:val="20"/>
        </w:rPr>
        <w:t xml:space="preserve">Los hijos y el guardaespaldas del señor Pacheco lo subieron a un automóvil y se </w:t>
      </w:r>
      <w:r w:rsidRPr="00913B64">
        <w:rPr>
          <w:szCs w:val="20"/>
        </w:rPr>
        <w:t>dirigieron hacia el Hospital San Lorenzo. Al</w:t>
      </w:r>
      <w:r w:rsidRPr="00F955F4">
        <w:rPr>
          <w:szCs w:val="20"/>
        </w:rPr>
        <w:t xml:space="preserve"> iniciar el trayecto vieron una patrulla de la policía y le indicaron a los policías que siguieran al automóvil del agresor. El señor Pacheco fue llevado al Hospital de San Lorenzo, pero cuando llegó ya había fallecido</w:t>
      </w:r>
      <w:r w:rsidRPr="00C011CF">
        <w:rPr>
          <w:rStyle w:val="FootnoteReference"/>
          <w:sz w:val="20"/>
          <w:szCs w:val="20"/>
        </w:rPr>
        <w:footnoteReference w:id="25"/>
      </w:r>
      <w:r w:rsidRPr="002448B6">
        <w:rPr>
          <w:szCs w:val="20"/>
        </w:rPr>
        <w:t xml:space="preserve">. </w:t>
      </w:r>
      <w:r w:rsidRPr="00DB0D15">
        <w:rPr>
          <w:szCs w:val="20"/>
        </w:rPr>
        <w:t>Luego el</w:t>
      </w:r>
      <w:r w:rsidRPr="00913B64">
        <w:rPr>
          <w:b/>
          <w:szCs w:val="20"/>
        </w:rPr>
        <w:t xml:space="preserve"> </w:t>
      </w:r>
      <w:r w:rsidRPr="00913B64">
        <w:rPr>
          <w:rFonts w:cs="Arial"/>
          <w:szCs w:val="20"/>
        </w:rPr>
        <w:t>cadá</w:t>
      </w:r>
      <w:r w:rsidRPr="00F955F4">
        <w:rPr>
          <w:rFonts w:cs="Arial"/>
          <w:szCs w:val="20"/>
        </w:rPr>
        <w:t xml:space="preserve">ver fue llevado a la morgue de la Dirección de Medicina Forense. </w:t>
      </w:r>
    </w:p>
    <w:p w14:paraId="001CD8C2" w14:textId="77777777" w:rsidR="008A2AE0" w:rsidRPr="002D5A5C" w:rsidRDefault="008A2AE0" w:rsidP="00E57477">
      <w:pPr>
        <w:pStyle w:val="PrrafodeSentencia"/>
        <w:numPr>
          <w:ilvl w:val="0"/>
          <w:numId w:val="0"/>
        </w:numPr>
        <w:tabs>
          <w:tab w:val="clear" w:pos="567"/>
          <w:tab w:val="left" w:pos="-142"/>
        </w:tabs>
      </w:pPr>
    </w:p>
    <w:p w14:paraId="6DB428D2" w14:textId="7E34CDFD" w:rsidR="008A2AE0" w:rsidRPr="00AD3D4F" w:rsidRDefault="008A2AE0" w:rsidP="008A2AE0">
      <w:pPr>
        <w:pStyle w:val="PrrafodeSentencia"/>
        <w:tabs>
          <w:tab w:val="clear" w:pos="567"/>
          <w:tab w:val="left" w:pos="-142"/>
        </w:tabs>
        <w:ind w:left="0" w:firstLine="0"/>
        <w:rPr>
          <w:lang w:eastAsia="es-CR"/>
        </w:rPr>
      </w:pPr>
      <w:r w:rsidRPr="00AD3D4F">
        <w:t xml:space="preserve">Las elecciones generales se realizaron el 25 de noviembre de </w:t>
      </w:r>
      <w:r w:rsidR="00AE457B">
        <w:t>2001</w:t>
      </w:r>
      <w:r w:rsidRPr="00AD3D4F">
        <w:t>. La candidatura de Ángel Pache</w:t>
      </w:r>
      <w:r w:rsidR="000D01F8">
        <w:t>c</w:t>
      </w:r>
      <w:r w:rsidRPr="00AD3D4F">
        <w:t xml:space="preserve">o León obtuvo una cantidad de votos que hubiera posibilitado que él fuera diputado. </w:t>
      </w:r>
      <w:r w:rsidRPr="00AD3D4F">
        <w:rPr>
          <w:rFonts w:cs="Cambria"/>
        </w:rPr>
        <w:t xml:space="preserve">Dado el </w:t>
      </w:r>
      <w:r w:rsidRPr="00AD3D4F">
        <w:rPr>
          <w:rFonts w:cs="Arial"/>
        </w:rPr>
        <w:t>fallecimiento del se</w:t>
      </w:r>
      <w:r w:rsidRPr="00AD3D4F">
        <w:t>ñ</w:t>
      </w:r>
      <w:r w:rsidRPr="00AD3D4F">
        <w:rPr>
          <w:rFonts w:cs="Arial"/>
        </w:rPr>
        <w:t>or Pacheco, correligionarios de su partido político exig</w:t>
      </w:r>
      <w:r w:rsidRPr="00AD3D4F">
        <w:t>ieron</w:t>
      </w:r>
      <w:r w:rsidRPr="00AD3D4F">
        <w:rPr>
          <w:rFonts w:cs="Arial"/>
        </w:rPr>
        <w:t xml:space="preserve"> que el sustituto fuera un</w:t>
      </w:r>
      <w:r>
        <w:rPr>
          <w:rFonts w:cs="Arial"/>
        </w:rPr>
        <w:t>o de sus</w:t>
      </w:r>
      <w:r w:rsidRPr="00AD3D4F">
        <w:rPr>
          <w:rFonts w:cs="Arial"/>
        </w:rPr>
        <w:t xml:space="preserve"> hijo</w:t>
      </w:r>
      <w:r>
        <w:rPr>
          <w:rFonts w:cs="Arial"/>
        </w:rPr>
        <w:t>s</w:t>
      </w:r>
      <w:r w:rsidRPr="00AD3D4F">
        <w:rPr>
          <w:rFonts w:cs="Arial"/>
        </w:rPr>
        <w:t xml:space="preserve">, su esposa o uno de sus hermanos. </w:t>
      </w:r>
      <w:r>
        <w:rPr>
          <w:rFonts w:cs="Arial"/>
        </w:rPr>
        <w:t>Autoridades del partido</w:t>
      </w:r>
      <w:r w:rsidRPr="00AD3D4F">
        <w:rPr>
          <w:rFonts w:cs="Arial"/>
        </w:rPr>
        <w:t xml:space="preserve"> </w:t>
      </w:r>
      <w:r>
        <w:rPr>
          <w:rFonts w:cs="Arial"/>
        </w:rPr>
        <w:t>decidieron</w:t>
      </w:r>
      <w:r w:rsidRPr="00AD3D4F">
        <w:rPr>
          <w:rFonts w:cs="Arial"/>
        </w:rPr>
        <w:t xml:space="preserve"> que su hermano Jos</w:t>
      </w:r>
      <w:r w:rsidRPr="00AD3D4F">
        <w:t>é</w:t>
      </w:r>
      <w:r w:rsidRPr="00AD3D4F">
        <w:rPr>
          <w:rFonts w:cs="Arial"/>
        </w:rPr>
        <w:t xml:space="preserve"> Pacheco sustituyera a Ángel Pacheco</w:t>
      </w:r>
      <w:r>
        <w:rPr>
          <w:rFonts w:cs="Arial"/>
        </w:rPr>
        <w:t>,</w:t>
      </w:r>
      <w:r w:rsidRPr="00AD3D4F">
        <w:rPr>
          <w:rFonts w:cs="Arial"/>
        </w:rPr>
        <w:t xml:space="preserve"> y el primero fue</w:t>
      </w:r>
      <w:r w:rsidRPr="00AD3D4F">
        <w:rPr>
          <w:rFonts w:eastAsia="Times New Roman" w:cs="Cambria"/>
          <w:lang w:eastAsia="es-CR"/>
        </w:rPr>
        <w:t xml:space="preserve"> designado diputado para el período </w:t>
      </w:r>
      <w:r>
        <w:rPr>
          <w:rFonts w:eastAsia="Times New Roman" w:cs="Cambria"/>
          <w:lang w:eastAsia="es-CR"/>
        </w:rPr>
        <w:t xml:space="preserve">del </w:t>
      </w:r>
      <w:r w:rsidRPr="00AD3D4F">
        <w:rPr>
          <w:rFonts w:eastAsia="Times New Roman" w:cs="Cambria"/>
          <w:lang w:eastAsia="es-CR"/>
        </w:rPr>
        <w:t>25 de enero de 2002 al 25 de enero de 2006</w:t>
      </w:r>
      <w:r w:rsidRPr="00AD3D4F">
        <w:rPr>
          <w:rStyle w:val="FootnoteReference"/>
          <w:rFonts w:eastAsia="Times New Roman" w:cs="Cambria"/>
          <w:sz w:val="20"/>
          <w:szCs w:val="20"/>
          <w:lang w:eastAsia="es-CR"/>
        </w:rPr>
        <w:footnoteReference w:id="26"/>
      </w:r>
      <w:r w:rsidRPr="00AD3D4F">
        <w:rPr>
          <w:rFonts w:eastAsia="Times New Roman" w:cs="Cambria"/>
          <w:lang w:eastAsia="es-CR"/>
        </w:rPr>
        <w:t>.</w:t>
      </w:r>
      <w:r w:rsidR="00973461">
        <w:rPr>
          <w:rFonts w:eastAsia="Times New Roman" w:cs="Cambria"/>
          <w:lang w:eastAsia="es-CR"/>
        </w:rPr>
        <w:t xml:space="preserve"> Con posterioridad a que José Pacheco asumiera como diputado, autoridades estatales recibieron información sobre actos intimidatorios contra él; ello se detalla más adelante, en el apartado relativo al examen de la alegada vulneración al derecho a la integridad personal (</w:t>
      </w:r>
      <w:r w:rsidR="00973461">
        <w:rPr>
          <w:rFonts w:eastAsia="Times New Roman" w:cs="Cambria"/>
          <w:i/>
          <w:lang w:eastAsia="es-CR"/>
        </w:rPr>
        <w:t>infra</w:t>
      </w:r>
      <w:r w:rsidR="00973461">
        <w:rPr>
          <w:rFonts w:eastAsia="Times New Roman" w:cs="Cambria"/>
          <w:lang w:eastAsia="es-CR"/>
        </w:rPr>
        <w:t xml:space="preserve"> párr. </w:t>
      </w:r>
      <w:r w:rsidR="00ED488C">
        <w:rPr>
          <w:rFonts w:eastAsia="Times New Roman" w:cs="Cambria"/>
          <w:lang w:eastAsia="es-CR"/>
        </w:rPr>
        <w:t>1</w:t>
      </w:r>
      <w:r w:rsidR="009E704D">
        <w:rPr>
          <w:rFonts w:eastAsia="Times New Roman" w:cs="Cambria"/>
          <w:lang w:eastAsia="es-CR"/>
        </w:rPr>
        <w:t>73</w:t>
      </w:r>
      <w:r w:rsidR="00973461">
        <w:rPr>
          <w:rFonts w:eastAsia="Times New Roman" w:cs="Cambria"/>
          <w:lang w:eastAsia="es-CR"/>
        </w:rPr>
        <w:t>).</w:t>
      </w:r>
    </w:p>
    <w:p w14:paraId="338EEFC9" w14:textId="77777777" w:rsidR="008A2AE0" w:rsidRPr="00C011CF" w:rsidRDefault="008A2AE0" w:rsidP="008A2AE0">
      <w:pPr>
        <w:rPr>
          <w:szCs w:val="20"/>
          <w:lang w:val="es-CR" w:eastAsia="es-CR"/>
        </w:rPr>
      </w:pPr>
    </w:p>
    <w:p w14:paraId="0D91BEAD" w14:textId="77777777" w:rsidR="008A2AE0" w:rsidRPr="00206546" w:rsidRDefault="008A2AE0" w:rsidP="00A1177F">
      <w:pPr>
        <w:pStyle w:val="ListParagraph"/>
        <w:widowControl/>
        <w:numPr>
          <w:ilvl w:val="0"/>
          <w:numId w:val="14"/>
        </w:numPr>
        <w:autoSpaceDE/>
        <w:autoSpaceDN/>
        <w:adjustRightInd/>
        <w:spacing w:line="276" w:lineRule="auto"/>
        <w:ind w:left="284" w:right="0" w:firstLine="0"/>
        <w:contextualSpacing/>
        <w:outlineLvl w:val="1"/>
        <w:rPr>
          <w:b/>
          <w:i/>
        </w:rPr>
      </w:pPr>
      <w:bookmarkStart w:id="225" w:name="_Toc498512813"/>
      <w:r w:rsidRPr="00206546">
        <w:rPr>
          <w:b/>
          <w:i/>
        </w:rPr>
        <w:t>La investigación de los hechos</w:t>
      </w:r>
      <w:bookmarkEnd w:id="225"/>
      <w:r>
        <w:rPr>
          <w:b/>
          <w:i/>
        </w:rPr>
        <w:t xml:space="preserve"> </w:t>
      </w:r>
    </w:p>
    <w:p w14:paraId="2B4C9F5B" w14:textId="77777777" w:rsidR="008A2AE0" w:rsidRPr="009A3203" w:rsidRDefault="008A2AE0" w:rsidP="008A2AE0"/>
    <w:p w14:paraId="358A3BDA" w14:textId="183A14F9" w:rsidR="008A2AE0" w:rsidRPr="00AD3D4F" w:rsidRDefault="008A2AE0" w:rsidP="008A2AE0">
      <w:pPr>
        <w:pStyle w:val="PrrafodeSentencia"/>
        <w:tabs>
          <w:tab w:val="clear" w:pos="567"/>
          <w:tab w:val="left" w:pos="-284"/>
        </w:tabs>
        <w:ind w:left="0" w:firstLine="0"/>
        <w:rPr>
          <w:b/>
          <w:i/>
        </w:rPr>
      </w:pPr>
      <w:r w:rsidRPr="00AD3D4F">
        <w:rPr>
          <w:szCs w:val="20"/>
          <w:lang w:eastAsia="es-CR"/>
        </w:rPr>
        <w:t>Las circunstancias referidas a la investigación de los hechos se exponen a continuación, en</w:t>
      </w:r>
      <w:r w:rsidRPr="00AD3D4F">
        <w:t xml:space="preserve"> los siguientes acápites: C.1) </w:t>
      </w:r>
      <w:r w:rsidR="00B03AC2">
        <w:t>“</w:t>
      </w:r>
      <w:r w:rsidRPr="00AD3D4F">
        <w:t>Autoridades intervinientes</w:t>
      </w:r>
      <w:r w:rsidR="00B03AC2">
        <w:t>”</w:t>
      </w:r>
      <w:r w:rsidRPr="00AD3D4F">
        <w:t xml:space="preserve">; C.2) </w:t>
      </w:r>
      <w:r w:rsidR="00B03AC2">
        <w:t>“</w:t>
      </w:r>
      <w:r w:rsidRPr="00AD3D4F">
        <w:t>Investigación de los hechos hasta 2005</w:t>
      </w:r>
      <w:r w:rsidR="00B03AC2">
        <w:t>”</w:t>
      </w:r>
      <w:r w:rsidRPr="00AD3D4F">
        <w:t xml:space="preserve">, y C.3) </w:t>
      </w:r>
      <w:r w:rsidR="00B03AC2">
        <w:t>“</w:t>
      </w:r>
      <w:r w:rsidRPr="00AD3D4F">
        <w:t>Actuaciones posteriores a 2005</w:t>
      </w:r>
      <w:r w:rsidR="00B03AC2">
        <w:t>”</w:t>
      </w:r>
      <w:r w:rsidRPr="00AD3D4F">
        <w:t xml:space="preserve">. El acápite C.2) se divide en los siguientes </w:t>
      </w:r>
      <w:r w:rsidRPr="00AD3D4F">
        <w:lastRenderedPageBreak/>
        <w:t xml:space="preserve">apartados: C.2.1. </w:t>
      </w:r>
      <w:r w:rsidR="00B03AC2">
        <w:t>“</w:t>
      </w:r>
      <w:r w:rsidRPr="00AD3D4F">
        <w:t>Diligencias y denuncia realizadas luego de la muerte del señor Pacheco (24 a 27 de noviembre de 2001)</w:t>
      </w:r>
      <w:r w:rsidR="00B03AC2">
        <w:t>”</w:t>
      </w:r>
      <w:r w:rsidRPr="00AD3D4F">
        <w:t xml:space="preserve">; C.2.2. </w:t>
      </w:r>
      <w:r w:rsidR="00B03AC2">
        <w:t>“</w:t>
      </w:r>
      <w:r w:rsidRPr="00AD3D4F">
        <w:t>Indagación y proceso respecto a tres personas sospechosas (noviembre de 2001 a mayo de 2002)</w:t>
      </w:r>
      <w:r w:rsidR="00B03AC2">
        <w:t>”</w:t>
      </w:r>
      <w:r w:rsidRPr="00AD3D4F">
        <w:t xml:space="preserve">; C.2.3. </w:t>
      </w:r>
      <w:r w:rsidR="00B03AC2">
        <w:t>“</w:t>
      </w:r>
      <w:r w:rsidRPr="00AD3D4F">
        <w:t>Declaraciones recibidas (</w:t>
      </w:r>
      <w:r w:rsidR="00B03AC2">
        <w:t>entre noviembre de 2001 y</w:t>
      </w:r>
      <w:r w:rsidRPr="00AD3D4F">
        <w:t xml:space="preserve"> enero de 2002</w:t>
      </w:r>
      <w:r w:rsidR="00B03AC2">
        <w:t>”</w:t>
      </w:r>
      <w:r w:rsidRPr="00AD3D4F">
        <w:rPr>
          <w:rStyle w:val="FootnoteReference"/>
          <w:sz w:val="20"/>
          <w:szCs w:val="20"/>
        </w:rPr>
        <w:footnoteReference w:id="27"/>
      </w:r>
      <w:r w:rsidRPr="00AD3D4F">
        <w:t xml:space="preserve">), y </w:t>
      </w:r>
      <w:r w:rsidR="00B03AC2">
        <w:t>C.2.4. “P</w:t>
      </w:r>
      <w:r w:rsidRPr="00AD3D4F">
        <w:t>rueba pericial, allanamientos y otras diligencias (noviembre de 2001 a septiembre de 2005)</w:t>
      </w:r>
      <w:r w:rsidR="00B03AC2">
        <w:t>”</w:t>
      </w:r>
      <w:r w:rsidRPr="00AD3D4F">
        <w:t xml:space="preserve">. Tal división se realiza a efectos de mayor claridad, aun cuando no guarde estricta correspondencia con un orden cronológico. </w:t>
      </w:r>
    </w:p>
    <w:p w14:paraId="097717E7" w14:textId="77777777" w:rsidR="00956107" w:rsidRDefault="00956107" w:rsidP="008A2AE0">
      <w:pPr>
        <w:pStyle w:val="ListParagraph"/>
        <w:numPr>
          <w:ilvl w:val="0"/>
          <w:numId w:val="0"/>
        </w:numPr>
        <w:ind w:left="851"/>
        <w:outlineLvl w:val="2"/>
        <w:rPr>
          <w:i/>
        </w:rPr>
      </w:pPr>
    </w:p>
    <w:p w14:paraId="584D305D" w14:textId="77777777" w:rsidR="008A2AE0" w:rsidRPr="00206546" w:rsidRDefault="008A2AE0" w:rsidP="00A1177F">
      <w:pPr>
        <w:pStyle w:val="ListParagraph"/>
        <w:numPr>
          <w:ilvl w:val="0"/>
          <w:numId w:val="0"/>
        </w:numPr>
        <w:ind w:left="567"/>
        <w:outlineLvl w:val="2"/>
        <w:rPr>
          <w:i/>
        </w:rPr>
      </w:pPr>
      <w:bookmarkStart w:id="226" w:name="_Toc498512814"/>
      <w:r w:rsidRPr="00206546">
        <w:rPr>
          <w:i/>
        </w:rPr>
        <w:t xml:space="preserve">C.1. </w:t>
      </w:r>
      <w:r w:rsidRPr="00206546">
        <w:rPr>
          <w:i/>
          <w:u w:val="single"/>
        </w:rPr>
        <w:t>Autoridades intervinientes</w:t>
      </w:r>
      <w:bookmarkEnd w:id="226"/>
    </w:p>
    <w:p w14:paraId="24454025" w14:textId="77777777" w:rsidR="008A2AE0" w:rsidRPr="00C011CF" w:rsidRDefault="008A2AE0" w:rsidP="008A2AE0">
      <w:pPr>
        <w:rPr>
          <w:szCs w:val="20"/>
          <w:lang w:val="es-CR" w:eastAsia="es-CR"/>
        </w:rPr>
      </w:pPr>
    </w:p>
    <w:p w14:paraId="0FBA958C" w14:textId="278FC605" w:rsidR="008A2AE0" w:rsidRPr="00444211" w:rsidRDefault="008A2AE0" w:rsidP="008A2AE0">
      <w:pPr>
        <w:pStyle w:val="PrrafodeSentencia"/>
        <w:tabs>
          <w:tab w:val="clear" w:pos="567"/>
          <w:tab w:val="left" w:pos="-284"/>
        </w:tabs>
        <w:ind w:left="0" w:firstLine="0"/>
        <w:rPr>
          <w:rFonts w:cs="Cambria"/>
          <w:szCs w:val="20"/>
        </w:rPr>
      </w:pPr>
      <w:r w:rsidRPr="00C011CF">
        <w:rPr>
          <w:szCs w:val="20"/>
        </w:rPr>
        <w:t>La investigación, conforme explicó el Estado, se inició en un Juzgado Penal, el Juzgado de Letras Seccional de Nacaome Departamento de Valle</w:t>
      </w:r>
      <w:r w:rsidRPr="00C011CF">
        <w:rPr>
          <w:rStyle w:val="FootnoteReference"/>
          <w:sz w:val="20"/>
          <w:szCs w:val="20"/>
        </w:rPr>
        <w:footnoteReference w:id="28"/>
      </w:r>
      <w:r>
        <w:rPr>
          <w:szCs w:val="20"/>
        </w:rPr>
        <w:t xml:space="preserve"> (en adelante también el “Juzgado”</w:t>
      </w:r>
      <w:r w:rsidR="0090557A">
        <w:rPr>
          <w:szCs w:val="20"/>
        </w:rPr>
        <w:t xml:space="preserve"> o el “Juzgado de Letras”</w:t>
      </w:r>
      <w:r>
        <w:rPr>
          <w:szCs w:val="20"/>
        </w:rPr>
        <w:t>)</w:t>
      </w:r>
      <w:r w:rsidRPr="00C011CF">
        <w:rPr>
          <w:szCs w:val="20"/>
        </w:rPr>
        <w:t>, al que correspondía el impulso procesal, por encontrarse en ese momento vigente un procedimiento de tipo inquisitivo</w:t>
      </w:r>
      <w:r w:rsidRPr="00C011CF">
        <w:rPr>
          <w:rStyle w:val="FootnoteReference"/>
          <w:sz w:val="20"/>
          <w:szCs w:val="20"/>
        </w:rPr>
        <w:footnoteReference w:id="29"/>
      </w:r>
      <w:r w:rsidRPr="00C011CF">
        <w:rPr>
          <w:szCs w:val="20"/>
        </w:rPr>
        <w:t>. La entidad encargada inicialmente de la investigación fue la Dirección General de Investigación Criminal</w:t>
      </w:r>
      <w:r>
        <w:rPr>
          <w:szCs w:val="20"/>
        </w:rPr>
        <w:t xml:space="preserve"> (en adelante “DGIC”),</w:t>
      </w:r>
      <w:r w:rsidRPr="00C011CF">
        <w:rPr>
          <w:szCs w:val="20"/>
        </w:rPr>
        <w:t xml:space="preserve"> Regional de Choluteca</w:t>
      </w:r>
      <w:r w:rsidRPr="00C011CF">
        <w:rPr>
          <w:rStyle w:val="FootnoteReference"/>
          <w:sz w:val="20"/>
          <w:szCs w:val="20"/>
        </w:rPr>
        <w:footnoteReference w:id="30"/>
      </w:r>
      <w:r w:rsidRPr="00C011CF">
        <w:rPr>
          <w:szCs w:val="20"/>
        </w:rPr>
        <w:t>.</w:t>
      </w:r>
      <w:r>
        <w:rPr>
          <w:szCs w:val="20"/>
        </w:rPr>
        <w:t xml:space="preserve"> </w:t>
      </w:r>
      <w:r w:rsidRPr="00C011CF">
        <w:rPr>
          <w:szCs w:val="20"/>
        </w:rPr>
        <w:t>El 28 de noviembre de 2003 el expediente de la investigación “fue remitido al Jefe Departamental de la DGIC de Nacaome”</w:t>
      </w:r>
      <w:r w:rsidRPr="00C011CF">
        <w:rPr>
          <w:rStyle w:val="FootnoteReference"/>
          <w:sz w:val="20"/>
          <w:szCs w:val="20"/>
        </w:rPr>
        <w:footnoteReference w:id="31"/>
      </w:r>
      <w:r w:rsidR="003F65E3">
        <w:rPr>
          <w:szCs w:val="20"/>
        </w:rPr>
        <w:t>, Valle</w:t>
      </w:r>
      <w:r w:rsidRPr="00C011CF">
        <w:rPr>
          <w:szCs w:val="20"/>
        </w:rPr>
        <w:t xml:space="preserve">. </w:t>
      </w:r>
      <w:r w:rsidRPr="00C011CF">
        <w:rPr>
          <w:rFonts w:cs="Cambria"/>
          <w:szCs w:val="20"/>
        </w:rPr>
        <w:t>El 18 de enero de 2005 la Fiscalía Local de Nacaome, Valle, presentó recusación ante el Juzgado, contra el “Juez titular” y la “Juez[a] Supernumeraria”</w:t>
      </w:r>
      <w:r w:rsidRPr="00C011CF">
        <w:rPr>
          <w:rStyle w:val="FootnoteReference"/>
          <w:rFonts w:cs="Arial"/>
          <w:sz w:val="20"/>
          <w:szCs w:val="20"/>
        </w:rPr>
        <w:footnoteReference w:id="32"/>
      </w:r>
      <w:r w:rsidRPr="00C011CF">
        <w:rPr>
          <w:rFonts w:cs="Arial"/>
          <w:szCs w:val="20"/>
        </w:rPr>
        <w:t xml:space="preserve">. En fecha que no consta “fue </w:t>
      </w:r>
      <w:r>
        <w:rPr>
          <w:rFonts w:cs="Arial"/>
          <w:szCs w:val="20"/>
        </w:rPr>
        <w:t>d</w:t>
      </w:r>
      <w:r w:rsidRPr="00C011CF">
        <w:rPr>
          <w:rFonts w:cs="Arial"/>
          <w:szCs w:val="20"/>
        </w:rPr>
        <w:t xml:space="preserve">eclarado </w:t>
      </w:r>
      <w:r>
        <w:rPr>
          <w:rFonts w:cs="Arial"/>
          <w:szCs w:val="20"/>
        </w:rPr>
        <w:t>[con]</w:t>
      </w:r>
      <w:r w:rsidRPr="00C011CF">
        <w:rPr>
          <w:rFonts w:cs="Arial"/>
          <w:szCs w:val="20"/>
        </w:rPr>
        <w:t xml:space="preserve"> lugar el incidente de recusación” y “las diligencias” fueron remitidas al Juzgado Segundo de Letras Departamental”. Por ello, también se cambió el Fiscal interviniente, asignándose el trámite a un Fiscal de Choluteca</w:t>
      </w:r>
      <w:r w:rsidRPr="00C011CF">
        <w:rPr>
          <w:rStyle w:val="FootnoteReference"/>
          <w:rFonts w:cs="Arial"/>
          <w:sz w:val="20"/>
          <w:szCs w:val="20"/>
        </w:rPr>
        <w:footnoteReference w:id="33"/>
      </w:r>
      <w:r w:rsidRPr="00C011CF">
        <w:rPr>
          <w:rFonts w:cs="Arial"/>
          <w:szCs w:val="20"/>
        </w:rPr>
        <w:t xml:space="preserve">. </w:t>
      </w:r>
      <w:r w:rsidRPr="00C011CF">
        <w:rPr>
          <w:rFonts w:cs="Cambria"/>
          <w:szCs w:val="20"/>
        </w:rPr>
        <w:t>El 6 de junio de 2014 el Fiscal del Ministerio Público Titular I de Choluteca solicitó que “las diligencias” se “remitan” a “la fiscalía de Nacaome”</w:t>
      </w:r>
      <w:r w:rsidRPr="00C011CF">
        <w:rPr>
          <w:rStyle w:val="FootnoteReference"/>
          <w:rFonts w:cs="Cambria"/>
          <w:sz w:val="20"/>
          <w:szCs w:val="20"/>
        </w:rPr>
        <w:footnoteReference w:id="34"/>
      </w:r>
      <w:r w:rsidRPr="00C011CF">
        <w:rPr>
          <w:rFonts w:cs="Cambria"/>
          <w:szCs w:val="20"/>
        </w:rPr>
        <w:t>.</w:t>
      </w:r>
      <w:r>
        <w:rPr>
          <w:rFonts w:cs="Cambria"/>
          <w:szCs w:val="20"/>
        </w:rPr>
        <w:t xml:space="preserve"> Por otra parte, a</w:t>
      </w:r>
      <w:r w:rsidRPr="00444211">
        <w:rPr>
          <w:rFonts w:cs="Cambria"/>
          <w:szCs w:val="20"/>
        </w:rPr>
        <w:t xml:space="preserve"> partir de una solicitud </w:t>
      </w:r>
      <w:r>
        <w:rPr>
          <w:rFonts w:cs="Cambria"/>
          <w:szCs w:val="20"/>
        </w:rPr>
        <w:t>de 6 de julio de 2004 de</w:t>
      </w:r>
      <w:r w:rsidRPr="00444211">
        <w:rPr>
          <w:rFonts w:cs="Cambria"/>
          <w:szCs w:val="20"/>
        </w:rPr>
        <w:t xml:space="preserve"> </w:t>
      </w:r>
      <w:proofErr w:type="spellStart"/>
      <w:r w:rsidRPr="00444211">
        <w:rPr>
          <w:rFonts w:cs="Cambria"/>
          <w:szCs w:val="20"/>
        </w:rPr>
        <w:t>Marleny</w:t>
      </w:r>
      <w:proofErr w:type="spellEnd"/>
      <w:r w:rsidR="00CD617C">
        <w:rPr>
          <w:rFonts w:cs="Cambria"/>
          <w:szCs w:val="20"/>
        </w:rPr>
        <w:t xml:space="preserve"> Pacheco Posadas</w:t>
      </w:r>
      <w:r w:rsidRPr="00444211">
        <w:rPr>
          <w:rFonts w:cs="Cambria"/>
          <w:szCs w:val="20"/>
        </w:rPr>
        <w:t xml:space="preserve">, </w:t>
      </w:r>
      <w:r w:rsidR="000D01F8">
        <w:rPr>
          <w:rFonts w:cs="Cambria"/>
          <w:szCs w:val="20"/>
        </w:rPr>
        <w:t xml:space="preserve">María </w:t>
      </w:r>
      <w:r w:rsidRPr="00444211">
        <w:rPr>
          <w:rFonts w:cs="Cambria"/>
          <w:szCs w:val="20"/>
        </w:rPr>
        <w:t xml:space="preserve">Regina </w:t>
      </w:r>
      <w:r w:rsidR="00CD617C">
        <w:rPr>
          <w:rFonts w:cs="Cambria"/>
          <w:szCs w:val="20"/>
        </w:rPr>
        <w:t xml:space="preserve">Pacheco </w:t>
      </w:r>
      <w:r w:rsidRPr="00444211">
        <w:rPr>
          <w:rFonts w:cs="Cambria"/>
          <w:szCs w:val="20"/>
        </w:rPr>
        <w:t>y José Pacheco, después de esa fecha tomó intervención la Fiscalía de Derechos Humanos</w:t>
      </w:r>
      <w:r w:rsidRPr="00C011CF">
        <w:rPr>
          <w:rStyle w:val="FootnoteReference"/>
          <w:rFonts w:cs="Cambria"/>
          <w:sz w:val="20"/>
          <w:szCs w:val="20"/>
        </w:rPr>
        <w:footnoteReference w:id="35"/>
      </w:r>
      <w:r w:rsidRPr="00444211">
        <w:rPr>
          <w:rFonts w:cs="Cambria"/>
          <w:szCs w:val="20"/>
        </w:rPr>
        <w:t xml:space="preserve">. </w:t>
      </w:r>
    </w:p>
    <w:p w14:paraId="0407E7FE" w14:textId="77777777" w:rsidR="008A2AE0" w:rsidRDefault="008A2AE0" w:rsidP="008A2AE0">
      <w:pPr>
        <w:pStyle w:val="ListParagraph"/>
        <w:numPr>
          <w:ilvl w:val="0"/>
          <w:numId w:val="0"/>
        </w:numPr>
      </w:pPr>
    </w:p>
    <w:p w14:paraId="0C36AAF6" w14:textId="77777777" w:rsidR="002913F6" w:rsidRDefault="002913F6" w:rsidP="008A2AE0">
      <w:pPr>
        <w:pStyle w:val="ListParagraph"/>
        <w:numPr>
          <w:ilvl w:val="0"/>
          <w:numId w:val="0"/>
        </w:numPr>
      </w:pPr>
    </w:p>
    <w:p w14:paraId="28494D26" w14:textId="77777777" w:rsidR="002913F6" w:rsidRDefault="002913F6" w:rsidP="008A2AE0">
      <w:pPr>
        <w:pStyle w:val="ListParagraph"/>
        <w:numPr>
          <w:ilvl w:val="0"/>
          <w:numId w:val="0"/>
        </w:numPr>
      </w:pPr>
    </w:p>
    <w:p w14:paraId="1F2183F9" w14:textId="77777777" w:rsidR="002913F6" w:rsidRPr="00206546" w:rsidRDefault="002913F6" w:rsidP="008A2AE0">
      <w:pPr>
        <w:pStyle w:val="ListParagraph"/>
        <w:numPr>
          <w:ilvl w:val="0"/>
          <w:numId w:val="0"/>
        </w:numPr>
      </w:pPr>
    </w:p>
    <w:p w14:paraId="3E5B9D5E" w14:textId="77777777" w:rsidR="008A2AE0" w:rsidRPr="00C438C1" w:rsidRDefault="008A2AE0" w:rsidP="00A1177F">
      <w:pPr>
        <w:pStyle w:val="ListParagraph"/>
        <w:numPr>
          <w:ilvl w:val="0"/>
          <w:numId w:val="0"/>
        </w:numPr>
        <w:ind w:left="567"/>
        <w:outlineLvl w:val="2"/>
        <w:rPr>
          <w:i/>
          <w:u w:val="single"/>
        </w:rPr>
      </w:pPr>
      <w:bookmarkStart w:id="227" w:name="_Toc498512815"/>
      <w:r w:rsidRPr="00206546">
        <w:rPr>
          <w:i/>
        </w:rPr>
        <w:lastRenderedPageBreak/>
        <w:t xml:space="preserve">C.2. </w:t>
      </w:r>
      <w:r w:rsidRPr="00C438C1">
        <w:rPr>
          <w:i/>
          <w:u w:val="single"/>
        </w:rPr>
        <w:t>La investigación de los hechos hasta 2005</w:t>
      </w:r>
      <w:bookmarkEnd w:id="227"/>
    </w:p>
    <w:p w14:paraId="5BB0EB6D" w14:textId="77777777" w:rsidR="008A2AE0" w:rsidRDefault="008A2AE0" w:rsidP="008A2AE0">
      <w:pPr>
        <w:pStyle w:val="ListParagraph"/>
        <w:numPr>
          <w:ilvl w:val="0"/>
          <w:numId w:val="0"/>
        </w:numPr>
        <w:ind w:left="851"/>
        <w:outlineLvl w:val="2"/>
        <w:rPr>
          <w:i/>
          <w:u w:val="single"/>
        </w:rPr>
      </w:pPr>
    </w:p>
    <w:p w14:paraId="2D448AFE" w14:textId="77777777" w:rsidR="008A2AE0" w:rsidRPr="0039219F" w:rsidRDefault="008A2AE0" w:rsidP="00A1177F">
      <w:pPr>
        <w:pStyle w:val="ListParagraph"/>
        <w:numPr>
          <w:ilvl w:val="0"/>
          <w:numId w:val="0"/>
        </w:numPr>
        <w:ind w:left="851"/>
        <w:outlineLvl w:val="3"/>
        <w:rPr>
          <w:i/>
        </w:rPr>
      </w:pPr>
      <w:bookmarkStart w:id="228" w:name="_Toc498512816"/>
      <w:r w:rsidRPr="00C438C1">
        <w:rPr>
          <w:i/>
        </w:rPr>
        <w:t xml:space="preserve">C.2.1 Diligencias </w:t>
      </w:r>
      <w:r>
        <w:rPr>
          <w:i/>
        </w:rPr>
        <w:t xml:space="preserve">y denuncia </w:t>
      </w:r>
      <w:r w:rsidRPr="00C438C1">
        <w:rPr>
          <w:i/>
        </w:rPr>
        <w:t xml:space="preserve">realizadas </w:t>
      </w:r>
      <w:r>
        <w:rPr>
          <w:i/>
        </w:rPr>
        <w:t>luego de la muerte del señor Pacheco (24 a 27 de noviembre de 2001)</w:t>
      </w:r>
      <w:bookmarkEnd w:id="228"/>
    </w:p>
    <w:p w14:paraId="3994F64F" w14:textId="77777777" w:rsidR="008A2AE0" w:rsidRPr="00C011CF" w:rsidRDefault="008A2AE0" w:rsidP="008A2AE0">
      <w:pPr>
        <w:rPr>
          <w:szCs w:val="20"/>
          <w:lang w:val="es-CR" w:eastAsia="es-MX"/>
        </w:rPr>
      </w:pPr>
    </w:p>
    <w:p w14:paraId="22BA0BD8" w14:textId="0AC40A7F" w:rsidR="008A2AE0" w:rsidRPr="00E84569" w:rsidRDefault="008A2AE0" w:rsidP="008A2AE0">
      <w:pPr>
        <w:pStyle w:val="PrrafodeSentencia"/>
        <w:tabs>
          <w:tab w:val="clear" w:pos="567"/>
          <w:tab w:val="left" w:pos="-142"/>
        </w:tabs>
        <w:ind w:left="0" w:firstLine="0"/>
        <w:rPr>
          <w:szCs w:val="20"/>
        </w:rPr>
      </w:pPr>
      <w:r w:rsidRPr="00206546">
        <w:rPr>
          <w:szCs w:val="20"/>
        </w:rPr>
        <w:t>El 24 de noviembre de 2001 “a las 12:40 de la madrugada</w:t>
      </w:r>
      <w:r>
        <w:rPr>
          <w:szCs w:val="20"/>
        </w:rPr>
        <w:t>” el Juzgado tuvo</w:t>
      </w:r>
      <w:r w:rsidRPr="00E84569">
        <w:rPr>
          <w:szCs w:val="20"/>
        </w:rPr>
        <w:t xml:space="preserve"> </w:t>
      </w:r>
      <w:r>
        <w:rPr>
          <w:szCs w:val="20"/>
        </w:rPr>
        <w:t>“</w:t>
      </w:r>
      <w:r w:rsidRPr="00E84569">
        <w:rPr>
          <w:szCs w:val="20"/>
        </w:rPr>
        <w:t xml:space="preserve">conocimiento que </w:t>
      </w:r>
      <w:proofErr w:type="spellStart"/>
      <w:r w:rsidRPr="00E84569">
        <w:rPr>
          <w:szCs w:val="20"/>
        </w:rPr>
        <w:t>el</w:t>
      </w:r>
      <w:proofErr w:type="spellEnd"/>
      <w:r w:rsidRPr="00E84569">
        <w:rPr>
          <w:szCs w:val="20"/>
        </w:rPr>
        <w:t xml:space="preserve"> [mismo] día […] a eso de las 12:00 de la</w:t>
      </w:r>
      <w:r>
        <w:rPr>
          <w:szCs w:val="20"/>
        </w:rPr>
        <w:t xml:space="preserve"> noche […] se verificó un </w:t>
      </w:r>
      <w:proofErr w:type="gramStart"/>
      <w:r>
        <w:rPr>
          <w:szCs w:val="20"/>
        </w:rPr>
        <w:t>hecho[</w:t>
      </w:r>
      <w:proofErr w:type="gramEnd"/>
      <w:r>
        <w:rPr>
          <w:szCs w:val="20"/>
        </w:rPr>
        <w:t>,</w:t>
      </w:r>
      <w:r w:rsidRPr="00E84569">
        <w:rPr>
          <w:szCs w:val="20"/>
        </w:rPr>
        <w:t>] en el cual perdió la vida el señor […] Pacheco”</w:t>
      </w:r>
      <w:r w:rsidRPr="00E84569">
        <w:rPr>
          <w:rStyle w:val="FootnoteReference"/>
          <w:sz w:val="20"/>
          <w:szCs w:val="20"/>
        </w:rPr>
        <w:footnoteReference w:id="36"/>
      </w:r>
      <w:r w:rsidRPr="00E84569">
        <w:rPr>
          <w:szCs w:val="20"/>
        </w:rPr>
        <w:t>.</w:t>
      </w:r>
      <w:r w:rsidR="00A20C95">
        <w:rPr>
          <w:szCs w:val="20"/>
        </w:rPr>
        <w:t xml:space="preserve"> </w:t>
      </w:r>
      <w:r w:rsidRPr="00E84569">
        <w:rPr>
          <w:szCs w:val="20"/>
        </w:rPr>
        <w:t xml:space="preserve">Además, antes de la 1:10 a.m., personal policial tomó conocimiento de los hechos. Lo anterior quedó asentado </w:t>
      </w:r>
      <w:r>
        <w:rPr>
          <w:szCs w:val="20"/>
        </w:rPr>
        <w:t xml:space="preserve">en el </w:t>
      </w:r>
      <w:r w:rsidRPr="00E84569">
        <w:rPr>
          <w:szCs w:val="20"/>
        </w:rPr>
        <w:t>“informe sobre reconocimiento de cadáver”, elaborado ese día por personal de la DGIC</w:t>
      </w:r>
      <w:r w:rsidRPr="00E84569">
        <w:rPr>
          <w:rStyle w:val="FootnoteReference"/>
          <w:sz w:val="20"/>
          <w:szCs w:val="20"/>
        </w:rPr>
        <w:footnoteReference w:id="37"/>
      </w:r>
      <w:r w:rsidRPr="00E84569">
        <w:rPr>
          <w:szCs w:val="20"/>
        </w:rPr>
        <w:t>.</w:t>
      </w:r>
    </w:p>
    <w:p w14:paraId="56651A76" w14:textId="77777777" w:rsidR="008A2AE0" w:rsidRPr="00E84569" w:rsidRDefault="008A2AE0" w:rsidP="008A2AE0">
      <w:pPr>
        <w:tabs>
          <w:tab w:val="left" w:pos="-142"/>
        </w:tabs>
        <w:rPr>
          <w:szCs w:val="20"/>
          <w:lang w:val="es-CR" w:eastAsia="es-MX"/>
        </w:rPr>
      </w:pPr>
    </w:p>
    <w:p w14:paraId="7FB4F528" w14:textId="1D9B8372" w:rsidR="008A2AE0" w:rsidRPr="00C011CF" w:rsidRDefault="008A2AE0" w:rsidP="008A2AE0">
      <w:pPr>
        <w:pStyle w:val="PrrafodeSentencia"/>
        <w:tabs>
          <w:tab w:val="clear" w:pos="567"/>
          <w:tab w:val="left" w:pos="-142"/>
        </w:tabs>
        <w:ind w:left="0" w:firstLine="0"/>
        <w:rPr>
          <w:szCs w:val="20"/>
        </w:rPr>
      </w:pPr>
      <w:r w:rsidRPr="00E84569">
        <w:rPr>
          <w:szCs w:val="20"/>
        </w:rPr>
        <w:t>El mismo 24 de noviembre</w:t>
      </w:r>
      <w:r w:rsidR="00AE457B">
        <w:rPr>
          <w:b/>
          <w:szCs w:val="20"/>
        </w:rPr>
        <w:t xml:space="preserve"> </w:t>
      </w:r>
      <w:r>
        <w:rPr>
          <w:szCs w:val="20"/>
        </w:rPr>
        <w:t>se hicieron las siguientes actuaciones:</w:t>
      </w:r>
      <w:r w:rsidRPr="00206546">
        <w:rPr>
          <w:szCs w:val="20"/>
        </w:rPr>
        <w:t xml:space="preserve"> </w:t>
      </w:r>
      <w:r>
        <w:rPr>
          <w:szCs w:val="20"/>
        </w:rPr>
        <w:t xml:space="preserve">a) una </w:t>
      </w:r>
      <w:r w:rsidRPr="00206546">
        <w:rPr>
          <w:szCs w:val="20"/>
        </w:rPr>
        <w:t>requisa de la escena del crimen, recolectándose muestras de sangre y diversos objetos</w:t>
      </w:r>
      <w:r w:rsidRPr="00C011CF">
        <w:rPr>
          <w:rStyle w:val="FootnoteReference"/>
          <w:sz w:val="20"/>
          <w:szCs w:val="20"/>
        </w:rPr>
        <w:footnoteReference w:id="38"/>
      </w:r>
      <w:r w:rsidR="00E84883">
        <w:rPr>
          <w:szCs w:val="20"/>
        </w:rPr>
        <w:t>; u</w:t>
      </w:r>
      <w:r w:rsidRPr="00206546">
        <w:rPr>
          <w:szCs w:val="20"/>
        </w:rPr>
        <w:t xml:space="preserve">n técnico de la DGIC indicó que fue llamado a las 8:00 </w:t>
      </w:r>
      <w:proofErr w:type="spellStart"/>
      <w:r w:rsidRPr="00206546">
        <w:rPr>
          <w:szCs w:val="20"/>
        </w:rPr>
        <w:t>hs</w:t>
      </w:r>
      <w:proofErr w:type="spellEnd"/>
      <w:r w:rsidRPr="00206546">
        <w:rPr>
          <w:szCs w:val="20"/>
        </w:rPr>
        <w:t>. para realizar la requisa, y que encontró que la escena del crimen estaba “contaminada y manipulada</w:t>
      </w:r>
      <w:r>
        <w:rPr>
          <w:szCs w:val="20"/>
        </w:rPr>
        <w:t>[,]</w:t>
      </w:r>
      <w:r w:rsidRPr="00206546">
        <w:rPr>
          <w:szCs w:val="20"/>
        </w:rPr>
        <w:t xml:space="preserve"> ya que en el lugar se observó […] marcas de calzado como manchas en las paredes cerca al lugar donde cayó la víctima por personas que supuestamente [la] auxiliaron”</w:t>
      </w:r>
      <w:r w:rsidRPr="00C011CF">
        <w:rPr>
          <w:rStyle w:val="FootnoteReference"/>
          <w:sz w:val="20"/>
          <w:szCs w:val="20"/>
        </w:rPr>
        <w:footnoteReference w:id="39"/>
      </w:r>
      <w:r>
        <w:rPr>
          <w:szCs w:val="20"/>
        </w:rPr>
        <w:t>;</w:t>
      </w:r>
      <w:r w:rsidRPr="00206546">
        <w:rPr>
          <w:szCs w:val="20"/>
        </w:rPr>
        <w:t xml:space="preserve"> </w:t>
      </w:r>
      <w:r>
        <w:rPr>
          <w:szCs w:val="20"/>
        </w:rPr>
        <w:t xml:space="preserve">b) </w:t>
      </w:r>
      <w:r w:rsidRPr="00206546">
        <w:rPr>
          <w:szCs w:val="20"/>
        </w:rPr>
        <w:t>se tomaron diversas fotografías que constan en</w:t>
      </w:r>
      <w:r>
        <w:rPr>
          <w:szCs w:val="20"/>
        </w:rPr>
        <w:t xml:space="preserve"> un “álbum fotográfico” d</w:t>
      </w:r>
      <w:r w:rsidRPr="00206546">
        <w:rPr>
          <w:szCs w:val="20"/>
        </w:rPr>
        <w:t>el mismo día</w:t>
      </w:r>
      <w:r w:rsidRPr="00C011CF">
        <w:rPr>
          <w:rStyle w:val="FootnoteReference"/>
          <w:sz w:val="20"/>
          <w:szCs w:val="20"/>
        </w:rPr>
        <w:footnoteReference w:id="40"/>
      </w:r>
      <w:r>
        <w:rPr>
          <w:szCs w:val="20"/>
        </w:rPr>
        <w:t xml:space="preserve">; c) </w:t>
      </w:r>
      <w:r w:rsidRPr="00206546">
        <w:rPr>
          <w:szCs w:val="20"/>
        </w:rPr>
        <w:t>se realizó un “diagrama de heridas” recibidas por el cuerpo del señor Pacheco</w:t>
      </w:r>
      <w:r w:rsidRPr="00C011CF">
        <w:rPr>
          <w:rStyle w:val="FootnoteReference"/>
          <w:sz w:val="20"/>
          <w:szCs w:val="20"/>
        </w:rPr>
        <w:footnoteReference w:id="41"/>
      </w:r>
      <w:r>
        <w:rPr>
          <w:szCs w:val="20"/>
        </w:rPr>
        <w:t>, y d)</w:t>
      </w:r>
      <w:r w:rsidRPr="00206546">
        <w:rPr>
          <w:szCs w:val="20"/>
        </w:rPr>
        <w:t xml:space="preserve"> el Juzgado solicitó los exámenes de la autopsia</w:t>
      </w:r>
      <w:r w:rsidRPr="00C011CF">
        <w:rPr>
          <w:rStyle w:val="FootnoteReference"/>
          <w:sz w:val="20"/>
          <w:szCs w:val="20"/>
        </w:rPr>
        <w:footnoteReference w:id="42"/>
      </w:r>
      <w:r>
        <w:rPr>
          <w:szCs w:val="20"/>
        </w:rPr>
        <w:t>,</w:t>
      </w:r>
      <w:r w:rsidRPr="00C011CF">
        <w:rPr>
          <w:b/>
          <w:szCs w:val="20"/>
        </w:rPr>
        <w:t xml:space="preserve"> </w:t>
      </w:r>
      <w:r w:rsidRPr="00206546">
        <w:rPr>
          <w:szCs w:val="20"/>
        </w:rPr>
        <w:t xml:space="preserve">que se realizaron el mismo 24 de noviembre a las 8:00 </w:t>
      </w:r>
      <w:proofErr w:type="spellStart"/>
      <w:r w:rsidRPr="00206546">
        <w:rPr>
          <w:szCs w:val="20"/>
        </w:rPr>
        <w:t>hs</w:t>
      </w:r>
      <w:proofErr w:type="spellEnd"/>
      <w:r w:rsidRPr="00206546">
        <w:rPr>
          <w:szCs w:val="20"/>
        </w:rPr>
        <w:t>., concluyendo que el señor Pacheco murió a causa de 10 heridas producidas por proyectiles de arma de fuego</w:t>
      </w:r>
      <w:r w:rsidRPr="00C011CF">
        <w:rPr>
          <w:rStyle w:val="FootnoteReference"/>
          <w:sz w:val="20"/>
          <w:szCs w:val="20"/>
        </w:rPr>
        <w:footnoteReference w:id="43"/>
      </w:r>
      <w:r>
        <w:rPr>
          <w:szCs w:val="20"/>
        </w:rPr>
        <w:t>.</w:t>
      </w:r>
    </w:p>
    <w:p w14:paraId="5C2E0CFF" w14:textId="77777777" w:rsidR="008A2AE0" w:rsidRPr="00C011CF" w:rsidRDefault="008A2AE0" w:rsidP="008A2AE0">
      <w:pPr>
        <w:pStyle w:val="PrrafodeSentencia"/>
        <w:numPr>
          <w:ilvl w:val="0"/>
          <w:numId w:val="0"/>
        </w:numPr>
        <w:tabs>
          <w:tab w:val="clear" w:pos="567"/>
          <w:tab w:val="left" w:pos="-142"/>
        </w:tabs>
        <w:rPr>
          <w:szCs w:val="20"/>
        </w:rPr>
      </w:pPr>
    </w:p>
    <w:p w14:paraId="0D3E82AC" w14:textId="3190BD5E" w:rsidR="00103FFC" w:rsidRPr="000874BF" w:rsidRDefault="008A2AE0" w:rsidP="008A2AE0">
      <w:pPr>
        <w:pStyle w:val="PrrafodeSentencia"/>
        <w:tabs>
          <w:tab w:val="clear" w:pos="567"/>
          <w:tab w:val="left" w:pos="-142"/>
        </w:tabs>
        <w:ind w:left="0" w:firstLine="0"/>
        <w:rPr>
          <w:b/>
          <w:szCs w:val="20"/>
        </w:rPr>
      </w:pPr>
      <w:r w:rsidRPr="00206546">
        <w:rPr>
          <w:szCs w:val="20"/>
        </w:rPr>
        <w:t>El 27 de noviembre de 2001 José Pacheco</w:t>
      </w:r>
      <w:r>
        <w:rPr>
          <w:szCs w:val="20"/>
        </w:rPr>
        <w:t>, acompañado por varios familiares</w:t>
      </w:r>
      <w:r w:rsidRPr="00003024">
        <w:rPr>
          <w:rStyle w:val="FootnoteReference"/>
          <w:sz w:val="20"/>
          <w:szCs w:val="20"/>
        </w:rPr>
        <w:footnoteReference w:id="44"/>
      </w:r>
      <w:r w:rsidRPr="00003024">
        <w:rPr>
          <w:szCs w:val="20"/>
        </w:rPr>
        <w:t>,</w:t>
      </w:r>
      <w:r w:rsidRPr="00206546">
        <w:rPr>
          <w:szCs w:val="20"/>
        </w:rPr>
        <w:t xml:space="preserve"> presentó ante el Coordinador Local del Ministerio Público de Nacaome una denuncia por la muerte de su hermano Ángel Pacheco, y solicitó el esclarecimiento de los hechos y la investigación de todas las personas responsables</w:t>
      </w:r>
      <w:r w:rsidRPr="00C011CF">
        <w:rPr>
          <w:rStyle w:val="FootnoteReference"/>
          <w:sz w:val="20"/>
          <w:szCs w:val="20"/>
        </w:rPr>
        <w:footnoteReference w:id="45"/>
      </w:r>
      <w:r w:rsidRPr="00206546">
        <w:rPr>
          <w:szCs w:val="20"/>
        </w:rPr>
        <w:t>.</w:t>
      </w:r>
    </w:p>
    <w:p w14:paraId="3BF39B79" w14:textId="77777777" w:rsidR="00E57477" w:rsidRPr="00C011CF" w:rsidRDefault="00E57477" w:rsidP="008A2AE0">
      <w:pPr>
        <w:rPr>
          <w:szCs w:val="20"/>
          <w:lang w:val="es-CR" w:eastAsia="es-MX"/>
        </w:rPr>
      </w:pPr>
    </w:p>
    <w:p w14:paraId="72958E29" w14:textId="77777777" w:rsidR="008A2AE0" w:rsidRPr="001D032B" w:rsidRDefault="008A2AE0" w:rsidP="00A1177F">
      <w:pPr>
        <w:pStyle w:val="Heading4"/>
        <w:ind w:left="851"/>
        <w:rPr>
          <w:i/>
          <w:szCs w:val="20"/>
        </w:rPr>
      </w:pPr>
      <w:bookmarkStart w:id="229" w:name="_Toc498512817"/>
      <w:r w:rsidRPr="0039219F">
        <w:rPr>
          <w:i/>
          <w:szCs w:val="20"/>
          <w:u w:val="none"/>
        </w:rPr>
        <w:t xml:space="preserve">C.2.2. Indagación y proceso respecto a tres personas sospechosas </w:t>
      </w:r>
      <w:r w:rsidRPr="002D5A5C">
        <w:rPr>
          <w:i/>
          <w:szCs w:val="20"/>
          <w:u w:val="none"/>
        </w:rPr>
        <w:t xml:space="preserve">(noviembre de 2001 </w:t>
      </w:r>
      <w:r>
        <w:rPr>
          <w:i/>
          <w:szCs w:val="20"/>
          <w:u w:val="none"/>
        </w:rPr>
        <w:t>a</w:t>
      </w:r>
      <w:r w:rsidRPr="002D5A5C">
        <w:rPr>
          <w:i/>
          <w:szCs w:val="20"/>
          <w:u w:val="none"/>
        </w:rPr>
        <w:t xml:space="preserve"> mayo de 200</w:t>
      </w:r>
      <w:r>
        <w:rPr>
          <w:i/>
          <w:szCs w:val="20"/>
          <w:u w:val="none"/>
        </w:rPr>
        <w:t>2</w:t>
      </w:r>
      <w:r w:rsidRPr="002D5A5C">
        <w:rPr>
          <w:i/>
          <w:szCs w:val="20"/>
          <w:u w:val="none"/>
        </w:rPr>
        <w:t>)</w:t>
      </w:r>
      <w:bookmarkEnd w:id="229"/>
    </w:p>
    <w:p w14:paraId="6E7BA37E" w14:textId="77777777" w:rsidR="008A2AE0" w:rsidRPr="00C011CF" w:rsidRDefault="008A2AE0" w:rsidP="008A2AE0">
      <w:pPr>
        <w:rPr>
          <w:szCs w:val="20"/>
          <w:lang w:val="es-CR" w:eastAsia="es-MX"/>
        </w:rPr>
      </w:pPr>
    </w:p>
    <w:p w14:paraId="2DC8BB52" w14:textId="77777777" w:rsidR="00B44D5C" w:rsidRDefault="008A2AE0" w:rsidP="00B44D5C">
      <w:pPr>
        <w:pStyle w:val="PrrafodeSentencia"/>
        <w:tabs>
          <w:tab w:val="clear" w:pos="567"/>
          <w:tab w:val="left" w:pos="-284"/>
        </w:tabs>
        <w:ind w:left="0" w:firstLine="0"/>
        <w:rPr>
          <w:szCs w:val="20"/>
        </w:rPr>
      </w:pPr>
      <w:r w:rsidRPr="00206546">
        <w:rPr>
          <w:szCs w:val="20"/>
        </w:rPr>
        <w:t>El 24 o 25 de noviembre de 2001 tres personas</w:t>
      </w:r>
      <w:r>
        <w:rPr>
          <w:szCs w:val="20"/>
        </w:rPr>
        <w:t>,</w:t>
      </w:r>
      <w:r w:rsidRPr="00206546">
        <w:rPr>
          <w:szCs w:val="20"/>
        </w:rPr>
        <w:t xml:space="preserve"> JM, </w:t>
      </w:r>
      <w:r w:rsidRPr="00E84569">
        <w:rPr>
          <w:szCs w:val="20"/>
        </w:rPr>
        <w:t>HE y FV</w:t>
      </w:r>
      <w:r w:rsidR="00CF3212">
        <w:rPr>
          <w:szCs w:val="20"/>
        </w:rPr>
        <w:t>,</w:t>
      </w:r>
      <w:r w:rsidRPr="00E84569">
        <w:rPr>
          <w:szCs w:val="20"/>
        </w:rPr>
        <w:t xml:space="preserve"> </w:t>
      </w:r>
      <w:r w:rsidRPr="00206546">
        <w:rPr>
          <w:szCs w:val="20"/>
        </w:rPr>
        <w:t xml:space="preserve">fueron detenidas como sospechosas de la muerte del </w:t>
      </w:r>
      <w:r>
        <w:rPr>
          <w:szCs w:val="20"/>
        </w:rPr>
        <w:t>señor Pacheco y e</w:t>
      </w:r>
      <w:r w:rsidR="00E84883">
        <w:rPr>
          <w:szCs w:val="20"/>
        </w:rPr>
        <w:t xml:space="preserve">l </w:t>
      </w:r>
      <w:r>
        <w:rPr>
          <w:szCs w:val="20"/>
        </w:rPr>
        <w:t xml:space="preserve">mismo día </w:t>
      </w:r>
      <w:r w:rsidR="00E84883">
        <w:rPr>
          <w:szCs w:val="20"/>
        </w:rPr>
        <w:t xml:space="preserve">de su detención </w:t>
      </w:r>
      <w:r>
        <w:rPr>
          <w:szCs w:val="20"/>
        </w:rPr>
        <w:t xml:space="preserve">rindieron </w:t>
      </w:r>
      <w:r w:rsidRPr="00206546">
        <w:rPr>
          <w:szCs w:val="20"/>
        </w:rPr>
        <w:t>declaración ante la DGIC</w:t>
      </w:r>
      <w:r w:rsidRPr="00C011CF">
        <w:rPr>
          <w:rStyle w:val="FootnoteReference"/>
          <w:sz w:val="20"/>
          <w:szCs w:val="20"/>
        </w:rPr>
        <w:footnoteReference w:id="46"/>
      </w:r>
      <w:r w:rsidRPr="00206546">
        <w:rPr>
          <w:szCs w:val="20"/>
        </w:rPr>
        <w:t>.</w:t>
      </w:r>
      <w:r w:rsidRPr="00C011CF">
        <w:rPr>
          <w:b/>
          <w:szCs w:val="20"/>
        </w:rPr>
        <w:t xml:space="preserve"> </w:t>
      </w:r>
      <w:r w:rsidRPr="00206546">
        <w:rPr>
          <w:szCs w:val="20"/>
        </w:rPr>
        <w:t>Se les decomisó como pruebas ropa y calzado que tenían manchas de sangre</w:t>
      </w:r>
      <w:r w:rsidRPr="00C011CF">
        <w:rPr>
          <w:rStyle w:val="FootnoteReference"/>
          <w:sz w:val="20"/>
          <w:szCs w:val="20"/>
        </w:rPr>
        <w:footnoteReference w:id="47"/>
      </w:r>
      <w:r w:rsidR="00103FFC">
        <w:rPr>
          <w:szCs w:val="20"/>
        </w:rPr>
        <w:t>. E</w:t>
      </w:r>
      <w:r w:rsidRPr="00206546">
        <w:rPr>
          <w:szCs w:val="20"/>
        </w:rPr>
        <w:t xml:space="preserve">l 27 de noviembre de 2001 se hizo una confrontación entre </w:t>
      </w:r>
      <w:proofErr w:type="spellStart"/>
      <w:r w:rsidRPr="00206546">
        <w:rPr>
          <w:szCs w:val="20"/>
        </w:rPr>
        <w:t>Jimy</w:t>
      </w:r>
      <w:proofErr w:type="spellEnd"/>
      <w:r w:rsidRPr="00206546">
        <w:rPr>
          <w:szCs w:val="20"/>
        </w:rPr>
        <w:t xml:space="preserve"> Pacheco y las tres personas detenidas</w:t>
      </w:r>
      <w:r w:rsidRPr="00C011CF">
        <w:rPr>
          <w:rStyle w:val="FootnoteReference"/>
          <w:sz w:val="20"/>
          <w:szCs w:val="20"/>
        </w:rPr>
        <w:footnoteReference w:id="48"/>
      </w:r>
      <w:r w:rsidRPr="00206546">
        <w:rPr>
          <w:szCs w:val="20"/>
        </w:rPr>
        <w:t>, pero ninguna de éstas fue reconocida</w:t>
      </w:r>
      <w:r>
        <w:rPr>
          <w:szCs w:val="20"/>
        </w:rPr>
        <w:t xml:space="preserve"> por aquél. Además señaló </w:t>
      </w:r>
      <w:r w:rsidRPr="00206546">
        <w:rPr>
          <w:szCs w:val="20"/>
        </w:rPr>
        <w:t xml:space="preserve">que el automóvil decomisado a HE y </w:t>
      </w:r>
      <w:r w:rsidRPr="000C6CAB">
        <w:rPr>
          <w:szCs w:val="20"/>
        </w:rPr>
        <w:t>FV</w:t>
      </w:r>
      <w:r w:rsidRPr="00206546">
        <w:rPr>
          <w:szCs w:val="20"/>
        </w:rPr>
        <w:t xml:space="preserve"> no era el mismo que vio el día de la muerte de su padre. </w:t>
      </w:r>
    </w:p>
    <w:p w14:paraId="5345D428" w14:textId="77777777" w:rsidR="00B44D5C" w:rsidRPr="00B44D5C" w:rsidRDefault="00B44D5C" w:rsidP="00B44D5C">
      <w:pPr>
        <w:rPr>
          <w:lang w:val="es-CR" w:eastAsia="es-MX"/>
        </w:rPr>
      </w:pPr>
    </w:p>
    <w:p w14:paraId="299C85C4" w14:textId="08C6F230" w:rsidR="008A2AE0" w:rsidRPr="00B44D5C" w:rsidRDefault="008A2AE0" w:rsidP="00B44D5C">
      <w:pPr>
        <w:pStyle w:val="PrrafodeSentencia"/>
        <w:tabs>
          <w:tab w:val="clear" w:pos="567"/>
          <w:tab w:val="left" w:pos="-284"/>
        </w:tabs>
        <w:ind w:left="0" w:firstLine="0"/>
        <w:rPr>
          <w:b/>
          <w:szCs w:val="20"/>
        </w:rPr>
      </w:pPr>
      <w:r w:rsidRPr="00B44D5C">
        <w:rPr>
          <w:szCs w:val="20"/>
        </w:rPr>
        <w:t>El 30 de noviembre de 2001 el Juzgado decretó la prisión preventiva de HE y FV, indicando que el tipo de sangre encontrada en su auto coincidía con la del señor Pacheco</w:t>
      </w:r>
      <w:r w:rsidRPr="00C011CF">
        <w:rPr>
          <w:rStyle w:val="FootnoteReference"/>
          <w:sz w:val="20"/>
          <w:szCs w:val="20"/>
        </w:rPr>
        <w:footnoteReference w:id="49"/>
      </w:r>
      <w:r w:rsidRPr="00B44D5C">
        <w:rPr>
          <w:szCs w:val="20"/>
        </w:rPr>
        <w:t>. En el mismo acto, dispuso la libertad de JM, por no “</w:t>
      </w:r>
      <w:proofErr w:type="spellStart"/>
      <w:proofErr w:type="gramStart"/>
      <w:r w:rsidRPr="00B44D5C">
        <w:rPr>
          <w:szCs w:val="20"/>
        </w:rPr>
        <w:t>hab</w:t>
      </w:r>
      <w:proofErr w:type="spellEnd"/>
      <w:r w:rsidRPr="00B44D5C">
        <w:rPr>
          <w:szCs w:val="20"/>
        </w:rPr>
        <w:t>[</w:t>
      </w:r>
      <w:proofErr w:type="spellStart"/>
      <w:proofErr w:type="gramEnd"/>
      <w:r w:rsidRPr="00B44D5C">
        <w:rPr>
          <w:szCs w:val="20"/>
        </w:rPr>
        <w:t>er</w:t>
      </w:r>
      <w:proofErr w:type="spellEnd"/>
      <w:r w:rsidRPr="00B44D5C">
        <w:rPr>
          <w:szCs w:val="20"/>
        </w:rPr>
        <w:t xml:space="preserve">] méritos </w:t>
      </w:r>
      <w:r w:rsidR="00CF3212" w:rsidRPr="00B44D5C">
        <w:rPr>
          <w:szCs w:val="20"/>
        </w:rPr>
        <w:t>s</w:t>
      </w:r>
      <w:r w:rsidRPr="00B44D5C">
        <w:rPr>
          <w:szCs w:val="20"/>
        </w:rPr>
        <w:t>uficientes” para justificar su privación de libertad</w:t>
      </w:r>
      <w:r w:rsidRPr="00C011CF">
        <w:rPr>
          <w:rStyle w:val="FootnoteReference"/>
          <w:sz w:val="20"/>
          <w:szCs w:val="20"/>
        </w:rPr>
        <w:footnoteReference w:id="50"/>
      </w:r>
      <w:r w:rsidRPr="00B44D5C">
        <w:rPr>
          <w:szCs w:val="20"/>
        </w:rPr>
        <w:t>. El 8 de enero del 2002 el mismo Juzgado revocó el auto de prisión preventiva</w:t>
      </w:r>
      <w:r w:rsidR="00585FD0" w:rsidRPr="00B44D5C">
        <w:rPr>
          <w:rStyle w:val="FootnoteReference"/>
          <w:sz w:val="20"/>
          <w:szCs w:val="20"/>
        </w:rPr>
        <w:footnoteReference w:id="51"/>
      </w:r>
      <w:r w:rsidRPr="00B44D5C">
        <w:rPr>
          <w:szCs w:val="20"/>
        </w:rPr>
        <w:t xml:space="preserve">. El 3 de </w:t>
      </w:r>
      <w:r w:rsidRPr="00B44D5C">
        <w:rPr>
          <w:szCs w:val="20"/>
        </w:rPr>
        <w:lastRenderedPageBreak/>
        <w:t xml:space="preserve">mayo de 2002 la Corte de Apelaciones de Choluteca confirmó la excarcelación de HE y FV, “por considerar que no existen indicios racionales de quién o </w:t>
      </w:r>
      <w:proofErr w:type="spellStart"/>
      <w:r w:rsidRPr="00B44D5C">
        <w:rPr>
          <w:szCs w:val="20"/>
        </w:rPr>
        <w:t>qui</w:t>
      </w:r>
      <w:proofErr w:type="spellEnd"/>
      <w:r w:rsidR="00D37329" w:rsidRPr="00B44D5C">
        <w:rPr>
          <w:szCs w:val="20"/>
        </w:rPr>
        <w:t>[</w:t>
      </w:r>
      <w:r w:rsidRPr="00B44D5C">
        <w:rPr>
          <w:szCs w:val="20"/>
        </w:rPr>
        <w:t>é</w:t>
      </w:r>
      <w:r w:rsidR="00D37329" w:rsidRPr="00B44D5C">
        <w:rPr>
          <w:szCs w:val="20"/>
        </w:rPr>
        <w:t>]</w:t>
      </w:r>
      <w:proofErr w:type="spellStart"/>
      <w:r w:rsidRPr="00B44D5C">
        <w:rPr>
          <w:szCs w:val="20"/>
        </w:rPr>
        <w:t>nes</w:t>
      </w:r>
      <w:proofErr w:type="spellEnd"/>
      <w:r w:rsidRPr="00B44D5C">
        <w:rPr>
          <w:szCs w:val="20"/>
        </w:rPr>
        <w:t xml:space="preserve"> </w:t>
      </w:r>
      <w:proofErr w:type="gramStart"/>
      <w:r w:rsidRPr="00B44D5C">
        <w:rPr>
          <w:szCs w:val="20"/>
        </w:rPr>
        <w:t>se</w:t>
      </w:r>
      <w:r w:rsidR="00D37329" w:rsidRPr="00B44D5C">
        <w:rPr>
          <w:szCs w:val="20"/>
        </w:rPr>
        <w:t>[</w:t>
      </w:r>
      <w:proofErr w:type="gramEnd"/>
      <w:r w:rsidRPr="00B44D5C">
        <w:rPr>
          <w:szCs w:val="20"/>
        </w:rPr>
        <w:t>rían</w:t>
      </w:r>
      <w:r w:rsidR="00D37329" w:rsidRPr="00B44D5C">
        <w:rPr>
          <w:szCs w:val="20"/>
        </w:rPr>
        <w:t>]</w:t>
      </w:r>
      <w:r w:rsidRPr="00B44D5C">
        <w:rPr>
          <w:szCs w:val="20"/>
        </w:rPr>
        <w:t xml:space="preserve"> autores del hecho que se investiga”</w:t>
      </w:r>
      <w:r w:rsidRPr="00B44D5C">
        <w:rPr>
          <w:rStyle w:val="FootnoteReference"/>
          <w:sz w:val="20"/>
          <w:szCs w:val="20"/>
        </w:rPr>
        <w:footnoteReference w:id="52"/>
      </w:r>
      <w:r w:rsidRPr="00B44D5C">
        <w:rPr>
          <w:szCs w:val="20"/>
        </w:rPr>
        <w:t>.</w:t>
      </w:r>
      <w:r w:rsidR="00003024" w:rsidRPr="00B44D5C">
        <w:rPr>
          <w:szCs w:val="20"/>
        </w:rPr>
        <w:t xml:space="preserve"> </w:t>
      </w:r>
    </w:p>
    <w:p w14:paraId="703708B8" w14:textId="77777777" w:rsidR="0003043F" w:rsidRPr="0003043F" w:rsidRDefault="0003043F" w:rsidP="0003043F">
      <w:pPr>
        <w:rPr>
          <w:lang w:val="es-CR" w:eastAsia="es-MX"/>
        </w:rPr>
      </w:pPr>
    </w:p>
    <w:p w14:paraId="74C483E5" w14:textId="77777777" w:rsidR="008A2AE0" w:rsidRPr="0039219F" w:rsidRDefault="008A2AE0" w:rsidP="00A1177F">
      <w:pPr>
        <w:pStyle w:val="ListParagraph"/>
        <w:numPr>
          <w:ilvl w:val="0"/>
          <w:numId w:val="0"/>
        </w:numPr>
        <w:ind w:left="851"/>
        <w:outlineLvl w:val="3"/>
        <w:rPr>
          <w:i/>
        </w:rPr>
      </w:pPr>
      <w:bookmarkStart w:id="230" w:name="_Toc498512818"/>
      <w:r w:rsidRPr="0039219F">
        <w:rPr>
          <w:i/>
        </w:rPr>
        <w:t>C.2.3. Declaraciones recibidas</w:t>
      </w:r>
      <w:r>
        <w:rPr>
          <w:i/>
        </w:rPr>
        <w:t xml:space="preserve"> </w:t>
      </w:r>
      <w:r w:rsidRPr="007E3DEC">
        <w:rPr>
          <w:i/>
        </w:rPr>
        <w:t>(entre noviembre de 2001 y enero de 2002)</w:t>
      </w:r>
      <w:bookmarkEnd w:id="230"/>
    </w:p>
    <w:p w14:paraId="3204E446" w14:textId="77777777" w:rsidR="008A2AE0" w:rsidRPr="00C011CF" w:rsidRDefault="008A2AE0" w:rsidP="008A2AE0">
      <w:pPr>
        <w:rPr>
          <w:szCs w:val="20"/>
          <w:lang w:val="es-CR" w:eastAsia="es-MX"/>
        </w:rPr>
      </w:pPr>
    </w:p>
    <w:p w14:paraId="00B6237B" w14:textId="77777777" w:rsidR="008A2AE0" w:rsidRPr="00A64B81" w:rsidRDefault="008A2AE0" w:rsidP="008A2AE0">
      <w:pPr>
        <w:pStyle w:val="PrrafodeSentencia"/>
        <w:tabs>
          <w:tab w:val="clear" w:pos="567"/>
        </w:tabs>
        <w:ind w:left="0" w:firstLine="0"/>
        <w:rPr>
          <w:b/>
        </w:rPr>
      </w:pPr>
      <w:r w:rsidRPr="00493F83">
        <w:t>En los días de noviembre de 2001 siguientes a la muerte del señor Pacheco, familiares y otras personas allegadas rindieron declaraciones sobre los hechos acaecidos luego de que él ganara las elecciones primarias y antes de su muerte, así como se recibieron declaraciones relacionadas con los posibles responsables. Entre las declaraciones se encuentran las siguientes</w:t>
      </w:r>
      <w:r w:rsidRPr="00E83AA1">
        <w:t>:</w:t>
      </w:r>
    </w:p>
    <w:p w14:paraId="667BD530" w14:textId="22129099" w:rsidR="008A2AE0" w:rsidRDefault="008A2AE0" w:rsidP="008A2AE0">
      <w:pPr>
        <w:pStyle w:val="PrrafodeSentencia"/>
        <w:numPr>
          <w:ilvl w:val="0"/>
          <w:numId w:val="0"/>
        </w:numPr>
        <w:tabs>
          <w:tab w:val="clear" w:pos="567"/>
        </w:tabs>
        <w:ind w:left="720" w:hanging="12"/>
      </w:pPr>
      <w:r>
        <w:t>a)</w:t>
      </w:r>
      <w:r>
        <w:tab/>
        <w:t>l</w:t>
      </w:r>
      <w:r w:rsidRPr="00C011CF">
        <w:t>o</w:t>
      </w:r>
      <w:r>
        <w:t xml:space="preserve">s días 24, 29 y 30 de noviembre, </w:t>
      </w:r>
      <w:r w:rsidRPr="00C011CF">
        <w:t>3, 4, 6, 7, 13 y 14 de diciembre de 2001, y 3, 10 y 11 de enero de 2002</w:t>
      </w:r>
      <w:r>
        <w:t>,</w:t>
      </w:r>
      <w:r w:rsidRPr="00C011CF">
        <w:t xml:space="preserve"> la DGIC recabó 3</w:t>
      </w:r>
      <w:r w:rsidR="00513E66">
        <w:t>6</w:t>
      </w:r>
      <w:r w:rsidRPr="00C011CF">
        <w:t xml:space="preserve"> declaraciones testimoniales</w:t>
      </w:r>
      <w:r w:rsidRPr="00C011CF">
        <w:rPr>
          <w:rStyle w:val="FootnoteReference"/>
          <w:sz w:val="20"/>
          <w:szCs w:val="20"/>
        </w:rPr>
        <w:footnoteReference w:id="53"/>
      </w:r>
      <w:r w:rsidRPr="00C011CF">
        <w:t>. Además, constan dos declaraciones recibidas por la DGIC sin fecha</w:t>
      </w:r>
      <w:r w:rsidRPr="00C011CF">
        <w:rPr>
          <w:rStyle w:val="FootnoteReference"/>
          <w:sz w:val="20"/>
          <w:szCs w:val="20"/>
        </w:rPr>
        <w:footnoteReference w:id="54"/>
      </w:r>
      <w:r>
        <w:t>.</w:t>
      </w:r>
      <w:r w:rsidRPr="00C011CF">
        <w:t xml:space="preserve"> </w:t>
      </w:r>
      <w:r>
        <w:t>Asimismo, l</w:t>
      </w:r>
      <w:r w:rsidRPr="00C011CF">
        <w:t xml:space="preserve">os días 28 y 29 de noviembre de 2001 se rindieron </w:t>
      </w:r>
      <w:r>
        <w:t xml:space="preserve">18 </w:t>
      </w:r>
      <w:r w:rsidRPr="00C011CF">
        <w:t>declaraciones testimoniales ante la Fiscalía 18</w:t>
      </w:r>
      <w:r w:rsidRPr="00C011CF">
        <w:rPr>
          <w:rStyle w:val="FootnoteReference"/>
          <w:sz w:val="20"/>
          <w:szCs w:val="20"/>
        </w:rPr>
        <w:footnoteReference w:id="55"/>
      </w:r>
      <w:r>
        <w:t xml:space="preserve">, y </w:t>
      </w:r>
      <w:r w:rsidRPr="008421E2">
        <w:t>los días 12 y 13 de diciembre de 2001 y 3, 4, 7 y 9 de enero de 2002 declararon 20 personas señalando conceptos favorables respecto de R</w:t>
      </w:r>
      <w:r w:rsidR="00AB3DBE">
        <w:t>P</w:t>
      </w:r>
      <w:r w:rsidRPr="008421E2">
        <w:t xml:space="preserve"> y dando cuenta de algunas actividades d</w:t>
      </w:r>
      <w:r>
        <w:t>e él</w:t>
      </w:r>
      <w:r w:rsidRPr="00C011CF">
        <w:rPr>
          <w:rStyle w:val="FootnoteReference"/>
          <w:sz w:val="20"/>
          <w:szCs w:val="20"/>
        </w:rPr>
        <w:footnoteReference w:id="56"/>
      </w:r>
      <w:r>
        <w:t>;</w:t>
      </w:r>
    </w:p>
    <w:p w14:paraId="37AE726C" w14:textId="3A465A59" w:rsidR="008A2AE0" w:rsidRPr="00E5714F" w:rsidRDefault="008A2AE0" w:rsidP="008A2AE0">
      <w:pPr>
        <w:pStyle w:val="ListParagraph"/>
        <w:numPr>
          <w:ilvl w:val="0"/>
          <w:numId w:val="0"/>
        </w:numPr>
        <w:ind w:left="720"/>
      </w:pPr>
      <w:r>
        <w:t xml:space="preserve">b) </w:t>
      </w:r>
      <w:r w:rsidR="00003024">
        <w:tab/>
      </w:r>
      <w:r>
        <w:t xml:space="preserve">respecto a las </w:t>
      </w:r>
      <w:r w:rsidRPr="00E5714F">
        <w:t>declaraciones de familiares del señor Pacheco</w:t>
      </w:r>
      <w:r>
        <w:t xml:space="preserve">, </w:t>
      </w:r>
      <w:r w:rsidRPr="00475A31">
        <w:t>el</w:t>
      </w:r>
      <w:r w:rsidRPr="007B7219">
        <w:t xml:space="preserve"> 27 de noviembre de 2001 </w:t>
      </w:r>
      <w:proofErr w:type="spellStart"/>
      <w:r w:rsidRPr="007B7219">
        <w:t>Jimy</w:t>
      </w:r>
      <w:proofErr w:type="spellEnd"/>
      <w:r w:rsidRPr="007B7219">
        <w:t xml:space="preserve"> Pacheco</w:t>
      </w:r>
      <w:r w:rsidRPr="003D1A32">
        <w:t xml:space="preserve"> y su hermano Miguel Ángel</w:t>
      </w:r>
      <w:r w:rsidR="00D645FB">
        <w:t xml:space="preserve"> Pacheco </w:t>
      </w:r>
      <w:proofErr w:type="spellStart"/>
      <w:r w:rsidR="00D645FB">
        <w:t>Devicente</w:t>
      </w:r>
      <w:proofErr w:type="spellEnd"/>
      <w:r w:rsidRPr="000324D6">
        <w:t xml:space="preserve"> declararon ante la DGIC</w:t>
      </w:r>
      <w:r w:rsidRPr="00C011CF">
        <w:rPr>
          <w:rStyle w:val="FootnoteReference"/>
          <w:sz w:val="20"/>
          <w:szCs w:val="20"/>
        </w:rPr>
        <w:footnoteReference w:id="57"/>
      </w:r>
      <w:r>
        <w:t>;</w:t>
      </w:r>
      <w:r>
        <w:rPr>
          <w:lang w:val="es-CR" w:eastAsia="es-MX"/>
        </w:rPr>
        <w:t xml:space="preserve"> </w:t>
      </w:r>
    </w:p>
    <w:p w14:paraId="3A687253" w14:textId="7EF27B69" w:rsidR="008A2AE0" w:rsidRPr="00E5714F" w:rsidRDefault="008A2AE0" w:rsidP="008A2AE0">
      <w:pPr>
        <w:pStyle w:val="PrrafodeSentencia"/>
        <w:numPr>
          <w:ilvl w:val="0"/>
          <w:numId w:val="0"/>
        </w:numPr>
        <w:tabs>
          <w:tab w:val="clear" w:pos="567"/>
          <w:tab w:val="left" w:pos="-142"/>
        </w:tabs>
        <w:ind w:left="720"/>
        <w:rPr>
          <w:szCs w:val="20"/>
        </w:rPr>
      </w:pPr>
      <w:r>
        <w:rPr>
          <w:szCs w:val="20"/>
        </w:rPr>
        <w:t>c)</w:t>
      </w:r>
      <w:r>
        <w:rPr>
          <w:szCs w:val="20"/>
        </w:rPr>
        <w:tab/>
        <w:t xml:space="preserve">respecto de </w:t>
      </w:r>
      <w:r w:rsidRPr="00E5714F">
        <w:rPr>
          <w:szCs w:val="20"/>
        </w:rPr>
        <w:t>personas presuntamente v</w:t>
      </w:r>
      <w:r>
        <w:rPr>
          <w:szCs w:val="20"/>
        </w:rPr>
        <w:t>inculadas al homicidio:</w:t>
      </w:r>
    </w:p>
    <w:p w14:paraId="53F6B2DE" w14:textId="77C5087B" w:rsidR="008A2AE0" w:rsidRPr="00422462" w:rsidRDefault="008A2AE0" w:rsidP="00493F83">
      <w:pPr>
        <w:pStyle w:val="ListParagraph"/>
        <w:numPr>
          <w:ilvl w:val="0"/>
          <w:numId w:val="0"/>
        </w:numPr>
        <w:ind w:left="720" w:firstLine="720"/>
      </w:pPr>
      <w:r>
        <w:t>i) e</w:t>
      </w:r>
      <w:r w:rsidRPr="00C011CF">
        <w:t xml:space="preserve">l 29 de noviembre de 2001 </w:t>
      </w:r>
      <w:r w:rsidRPr="00B44D5C">
        <w:t>RR declaró</w:t>
      </w:r>
      <w:r w:rsidRPr="00C011CF">
        <w:t xml:space="preserve"> ante la DGIC</w:t>
      </w:r>
      <w:r>
        <w:t>,</w:t>
      </w:r>
      <w:r w:rsidRPr="00C011CF">
        <w:t xml:space="preserve"> en carácter de “sospechoso”, qué había hecho el 23 de noviembre de 2001</w:t>
      </w:r>
      <w:r w:rsidR="00D645FB">
        <w:t>,</w:t>
      </w:r>
      <w:r w:rsidRPr="00C011CF">
        <w:t xml:space="preserve"> negando su</w:t>
      </w:r>
      <w:r>
        <w:t xml:space="preserve"> </w:t>
      </w:r>
      <w:r w:rsidRPr="00C011CF">
        <w:t>intervención en la muerte del señor Pacheco</w:t>
      </w:r>
      <w:r w:rsidRPr="00C011CF">
        <w:rPr>
          <w:rStyle w:val="FootnoteReference"/>
          <w:sz w:val="20"/>
          <w:szCs w:val="20"/>
        </w:rPr>
        <w:footnoteReference w:id="58"/>
      </w:r>
      <w:r>
        <w:t xml:space="preserve">; </w:t>
      </w:r>
    </w:p>
    <w:p w14:paraId="3A38CAE3" w14:textId="32934A37" w:rsidR="008A2AE0" w:rsidRPr="00C011CF" w:rsidRDefault="008A2AE0" w:rsidP="00514E34">
      <w:pPr>
        <w:pStyle w:val="PrrafodeSentencia"/>
        <w:numPr>
          <w:ilvl w:val="0"/>
          <w:numId w:val="0"/>
        </w:numPr>
        <w:tabs>
          <w:tab w:val="clear" w:pos="567"/>
          <w:tab w:val="left" w:pos="0"/>
        </w:tabs>
        <w:ind w:left="720" w:firstLine="720"/>
        <w:rPr>
          <w:szCs w:val="20"/>
        </w:rPr>
      </w:pPr>
      <w:r>
        <w:rPr>
          <w:szCs w:val="20"/>
          <w:lang w:val="es-MX"/>
        </w:rPr>
        <w:t xml:space="preserve">ii) </w:t>
      </w:r>
      <w:r>
        <w:rPr>
          <w:szCs w:val="20"/>
        </w:rPr>
        <w:t>e</w:t>
      </w:r>
      <w:r w:rsidRPr="00C011CF">
        <w:rPr>
          <w:szCs w:val="20"/>
        </w:rPr>
        <w:t>l 5 de diciembre de 2001 rindió declaración ante la Fiscalí</w:t>
      </w:r>
      <w:r w:rsidRPr="008924EC">
        <w:rPr>
          <w:szCs w:val="20"/>
        </w:rPr>
        <w:t xml:space="preserve">a </w:t>
      </w:r>
      <w:r w:rsidRPr="00B220C1">
        <w:rPr>
          <w:szCs w:val="20"/>
        </w:rPr>
        <w:t>JE,</w:t>
      </w:r>
      <w:r w:rsidRPr="00C011CF">
        <w:rPr>
          <w:szCs w:val="20"/>
        </w:rPr>
        <w:t xml:space="preserve"> </w:t>
      </w:r>
      <w:r w:rsidRPr="008924EC">
        <w:rPr>
          <w:szCs w:val="20"/>
        </w:rPr>
        <w:t xml:space="preserve">quien señaló qué había hecho el 23 de noviembre del mismo año </w:t>
      </w:r>
      <w:r>
        <w:rPr>
          <w:szCs w:val="20"/>
        </w:rPr>
        <w:t>y</w:t>
      </w:r>
      <w:r w:rsidRPr="008924EC">
        <w:rPr>
          <w:szCs w:val="20"/>
        </w:rPr>
        <w:t xml:space="preserve"> que de la muerte del señor</w:t>
      </w:r>
      <w:r w:rsidRPr="00C011CF">
        <w:rPr>
          <w:szCs w:val="20"/>
        </w:rPr>
        <w:t xml:space="preserve"> Pacheco sabía “lo que </w:t>
      </w:r>
      <w:proofErr w:type="gramStart"/>
      <w:r>
        <w:rPr>
          <w:szCs w:val="20"/>
        </w:rPr>
        <w:t>sal</w:t>
      </w:r>
      <w:r w:rsidRPr="00C011CF">
        <w:rPr>
          <w:szCs w:val="20"/>
        </w:rPr>
        <w:t>[</w:t>
      </w:r>
      <w:proofErr w:type="spellStart"/>
      <w:proofErr w:type="gramEnd"/>
      <w:r w:rsidRPr="00C011CF">
        <w:rPr>
          <w:szCs w:val="20"/>
        </w:rPr>
        <w:t>ía</w:t>
      </w:r>
      <w:proofErr w:type="spellEnd"/>
      <w:r w:rsidRPr="00C011CF">
        <w:rPr>
          <w:szCs w:val="20"/>
        </w:rPr>
        <w:t>] por las noticias”</w:t>
      </w:r>
      <w:r w:rsidRPr="00C011CF">
        <w:rPr>
          <w:rStyle w:val="FootnoteReference"/>
          <w:sz w:val="20"/>
          <w:szCs w:val="20"/>
        </w:rPr>
        <w:footnoteReference w:id="59"/>
      </w:r>
      <w:r>
        <w:rPr>
          <w:szCs w:val="20"/>
        </w:rPr>
        <w:t>, y</w:t>
      </w:r>
    </w:p>
    <w:p w14:paraId="477E7C85" w14:textId="606B652B" w:rsidR="008A2AE0" w:rsidRDefault="008A2AE0" w:rsidP="00300691">
      <w:pPr>
        <w:pStyle w:val="PrrafodeSentencia"/>
        <w:numPr>
          <w:ilvl w:val="0"/>
          <w:numId w:val="0"/>
        </w:numPr>
        <w:tabs>
          <w:tab w:val="clear" w:pos="567"/>
          <w:tab w:val="left" w:pos="0"/>
        </w:tabs>
        <w:ind w:left="720" w:firstLine="720"/>
        <w:rPr>
          <w:szCs w:val="20"/>
        </w:rPr>
      </w:pPr>
      <w:r>
        <w:rPr>
          <w:szCs w:val="20"/>
        </w:rPr>
        <w:t>iii) e</w:t>
      </w:r>
      <w:r w:rsidR="00AB3DBE">
        <w:rPr>
          <w:szCs w:val="20"/>
        </w:rPr>
        <w:t>l 11 de diciembre de 2001 RP</w:t>
      </w:r>
      <w:r w:rsidRPr="00206546">
        <w:rPr>
          <w:szCs w:val="20"/>
        </w:rPr>
        <w:t xml:space="preserve"> y BC rindieron declaración ante el Juez interviniente</w:t>
      </w:r>
      <w:r>
        <w:rPr>
          <w:szCs w:val="20"/>
        </w:rPr>
        <w:t>:</w:t>
      </w:r>
      <w:r w:rsidRPr="00206546">
        <w:rPr>
          <w:szCs w:val="20"/>
        </w:rPr>
        <w:t xml:space="preserve"> </w:t>
      </w:r>
      <w:r>
        <w:rPr>
          <w:szCs w:val="20"/>
        </w:rPr>
        <w:t>e</w:t>
      </w:r>
      <w:r w:rsidRPr="00206546">
        <w:rPr>
          <w:szCs w:val="20"/>
        </w:rPr>
        <w:t xml:space="preserve">l </w:t>
      </w:r>
      <w:r>
        <w:rPr>
          <w:szCs w:val="20"/>
        </w:rPr>
        <w:t>primero, entre otros</w:t>
      </w:r>
      <w:r w:rsidRPr="00206546">
        <w:rPr>
          <w:szCs w:val="20"/>
        </w:rPr>
        <w:t>, señaló que no tenía amistad ni e</w:t>
      </w:r>
      <w:r>
        <w:rPr>
          <w:szCs w:val="20"/>
        </w:rPr>
        <w:t>nemistad con el señor Pacheco, má</w:t>
      </w:r>
      <w:r w:rsidRPr="00206546">
        <w:rPr>
          <w:szCs w:val="20"/>
        </w:rPr>
        <w:t xml:space="preserve">s sí vínculo </w:t>
      </w:r>
      <w:r>
        <w:rPr>
          <w:szCs w:val="20"/>
        </w:rPr>
        <w:t>por la actividad política. Agregó</w:t>
      </w:r>
      <w:r w:rsidRPr="00206546">
        <w:rPr>
          <w:szCs w:val="20"/>
        </w:rPr>
        <w:t xml:space="preserve"> que no había mantenido discusiones </w:t>
      </w:r>
      <w:r w:rsidRPr="00206546">
        <w:rPr>
          <w:szCs w:val="20"/>
        </w:rPr>
        <w:lastRenderedPageBreak/>
        <w:t>con él, que se enteró de su muerte porque se lo informaron por teléfono y que no tuvo relación con el deceso del señor Pacheco</w:t>
      </w:r>
      <w:r w:rsidRPr="00C011CF">
        <w:rPr>
          <w:rStyle w:val="FootnoteReference"/>
          <w:sz w:val="20"/>
          <w:szCs w:val="20"/>
        </w:rPr>
        <w:footnoteReference w:id="60"/>
      </w:r>
      <w:r>
        <w:rPr>
          <w:szCs w:val="20"/>
        </w:rPr>
        <w:t>.</w:t>
      </w:r>
      <w:r w:rsidRPr="00206546">
        <w:rPr>
          <w:szCs w:val="20"/>
        </w:rPr>
        <w:t xml:space="preserve"> </w:t>
      </w:r>
      <w:r>
        <w:rPr>
          <w:szCs w:val="20"/>
        </w:rPr>
        <w:t>E</w:t>
      </w:r>
      <w:r w:rsidRPr="00206546">
        <w:rPr>
          <w:szCs w:val="20"/>
        </w:rPr>
        <w:t xml:space="preserve">l segundo expresó que al momento de la muerte del señor Pacheco se encontraba en su casa durmiendo, que se enteró del hecho por </w:t>
      </w:r>
      <w:r w:rsidR="00D645FB">
        <w:rPr>
          <w:szCs w:val="20"/>
        </w:rPr>
        <w:t>los medios de comunicación, y</w:t>
      </w:r>
      <w:r w:rsidRPr="00206546">
        <w:rPr>
          <w:szCs w:val="20"/>
        </w:rPr>
        <w:t xml:space="preserve"> que había mantenido “relaciones […] escasas” con él y “jamás […] discusiones acaloradas”</w:t>
      </w:r>
      <w:r w:rsidRPr="00C011CF">
        <w:rPr>
          <w:rStyle w:val="FootnoteReference"/>
          <w:sz w:val="20"/>
          <w:szCs w:val="20"/>
        </w:rPr>
        <w:footnoteReference w:id="61"/>
      </w:r>
      <w:r>
        <w:rPr>
          <w:szCs w:val="20"/>
        </w:rPr>
        <w:t xml:space="preserve">.  </w:t>
      </w:r>
      <w:r w:rsidRPr="00206546">
        <w:rPr>
          <w:szCs w:val="20"/>
        </w:rPr>
        <w:t xml:space="preserve"> </w:t>
      </w:r>
    </w:p>
    <w:p w14:paraId="7A62EB5A" w14:textId="77777777" w:rsidR="0003043F" w:rsidRPr="0003043F" w:rsidRDefault="0003043F" w:rsidP="0003043F">
      <w:pPr>
        <w:rPr>
          <w:lang w:val="es-CR" w:eastAsia="es-MX"/>
        </w:rPr>
      </w:pPr>
    </w:p>
    <w:p w14:paraId="5A7BD487" w14:textId="2D720CED" w:rsidR="008A2AE0" w:rsidRPr="002D5A5C" w:rsidRDefault="008A2AE0" w:rsidP="00A1177F">
      <w:pPr>
        <w:pStyle w:val="Heading4"/>
        <w:ind w:left="851"/>
        <w:rPr>
          <w:i/>
          <w:szCs w:val="20"/>
          <w:u w:val="none"/>
          <w:lang w:val="es-CR" w:eastAsia="es-MX"/>
        </w:rPr>
      </w:pPr>
      <w:bookmarkStart w:id="231" w:name="_Toc498512819"/>
      <w:r w:rsidRPr="0039219F">
        <w:rPr>
          <w:i/>
          <w:szCs w:val="20"/>
          <w:u w:val="none"/>
        </w:rPr>
        <w:t>C.2.4.</w:t>
      </w:r>
      <w:r w:rsidR="006B6E06">
        <w:rPr>
          <w:i/>
          <w:szCs w:val="20"/>
          <w:u w:val="none"/>
        </w:rPr>
        <w:t xml:space="preserve"> </w:t>
      </w:r>
      <w:r w:rsidRPr="0039219F">
        <w:rPr>
          <w:i/>
          <w:szCs w:val="20"/>
          <w:u w:val="none"/>
        </w:rPr>
        <w:t xml:space="preserve">Prueba pericial, allanamientos y otras </w:t>
      </w:r>
      <w:r w:rsidRPr="00903B35">
        <w:rPr>
          <w:i/>
          <w:szCs w:val="20"/>
          <w:u w:val="none"/>
        </w:rPr>
        <w:t>diligencias (noviembre</w:t>
      </w:r>
      <w:r w:rsidRPr="002D5A5C">
        <w:rPr>
          <w:i/>
          <w:szCs w:val="20"/>
          <w:u w:val="none"/>
        </w:rPr>
        <w:t xml:space="preserve"> de 2001 a septiembre de 2005)</w:t>
      </w:r>
      <w:bookmarkEnd w:id="231"/>
    </w:p>
    <w:p w14:paraId="5B95338E" w14:textId="77777777" w:rsidR="008A2AE0" w:rsidRPr="00C011CF" w:rsidRDefault="008A2AE0" w:rsidP="008A2AE0">
      <w:pPr>
        <w:pStyle w:val="PrrafodeSentencia"/>
        <w:numPr>
          <w:ilvl w:val="0"/>
          <w:numId w:val="0"/>
        </w:numPr>
        <w:rPr>
          <w:szCs w:val="20"/>
        </w:rPr>
      </w:pPr>
    </w:p>
    <w:p w14:paraId="05E7B9BD" w14:textId="3AAE8B2E" w:rsidR="008A2AE0" w:rsidRPr="00E7143F" w:rsidRDefault="008A2AE0" w:rsidP="008A2AE0">
      <w:pPr>
        <w:pStyle w:val="PrrafodeSentencia"/>
        <w:tabs>
          <w:tab w:val="clear" w:pos="567"/>
          <w:tab w:val="left" w:pos="-709"/>
        </w:tabs>
        <w:ind w:left="0" w:firstLine="0"/>
        <w:rPr>
          <w:szCs w:val="20"/>
        </w:rPr>
      </w:pPr>
      <w:r>
        <w:rPr>
          <w:b/>
          <w:szCs w:val="20"/>
        </w:rPr>
        <w:t xml:space="preserve"> </w:t>
      </w:r>
      <w:r w:rsidRPr="00493F83">
        <w:rPr>
          <w:szCs w:val="20"/>
        </w:rPr>
        <w:t xml:space="preserve">A continuación se señalan algunas de las actuaciones realizadas: </w:t>
      </w:r>
      <w:r w:rsidRPr="008B1E9B">
        <w:rPr>
          <w:szCs w:val="20"/>
        </w:rPr>
        <w:t xml:space="preserve">a) el 30 de noviembre de 2001 el Laboratorio </w:t>
      </w:r>
      <w:proofErr w:type="spellStart"/>
      <w:r w:rsidRPr="008B1E9B">
        <w:rPr>
          <w:szCs w:val="20"/>
        </w:rPr>
        <w:t>Criminalístico</w:t>
      </w:r>
      <w:proofErr w:type="spellEnd"/>
      <w:r w:rsidRPr="008B1E9B">
        <w:rPr>
          <w:szCs w:val="20"/>
        </w:rPr>
        <w:t xml:space="preserve"> y de Ciencias Forenses del Ministerio Público </w:t>
      </w:r>
      <w:r>
        <w:rPr>
          <w:szCs w:val="20"/>
        </w:rPr>
        <w:t xml:space="preserve">(en adelante también “Laboratorio”) </w:t>
      </w:r>
      <w:r w:rsidRPr="008B1E9B">
        <w:rPr>
          <w:szCs w:val="20"/>
        </w:rPr>
        <w:t xml:space="preserve">presentó un dictamen </w:t>
      </w:r>
      <w:r>
        <w:rPr>
          <w:szCs w:val="20"/>
        </w:rPr>
        <w:t xml:space="preserve">sobre </w:t>
      </w:r>
      <w:r w:rsidRPr="008B1E9B">
        <w:rPr>
          <w:szCs w:val="20"/>
        </w:rPr>
        <w:t>la presencia de sangre en diversos objetos</w:t>
      </w:r>
      <w:r w:rsidRPr="00C011CF">
        <w:rPr>
          <w:rStyle w:val="FootnoteReference"/>
          <w:sz w:val="20"/>
          <w:szCs w:val="20"/>
        </w:rPr>
        <w:footnoteReference w:id="62"/>
      </w:r>
      <w:r w:rsidRPr="008B1E9B">
        <w:rPr>
          <w:szCs w:val="20"/>
        </w:rPr>
        <w:t>, concluyendo que en algunos no había sangre, en otros “presuntivamente” sí, que en otros había sangre humana y, finalmente, que en algunos había sangre que coincidía con la del tipo del señor Pacheco</w:t>
      </w:r>
      <w:r w:rsidRPr="00C011CF">
        <w:rPr>
          <w:rStyle w:val="FootnoteReference"/>
          <w:sz w:val="20"/>
          <w:szCs w:val="20"/>
        </w:rPr>
        <w:footnoteReference w:id="63"/>
      </w:r>
      <w:r w:rsidR="00D645FB">
        <w:rPr>
          <w:szCs w:val="20"/>
        </w:rPr>
        <w:t>;</w:t>
      </w:r>
      <w:r w:rsidRPr="008B1E9B">
        <w:rPr>
          <w:szCs w:val="20"/>
        </w:rPr>
        <w:t xml:space="preserve"> </w:t>
      </w:r>
      <w:r w:rsidR="00D645FB">
        <w:rPr>
          <w:szCs w:val="20"/>
        </w:rPr>
        <w:t>e</w:t>
      </w:r>
      <w:r w:rsidRPr="008B1E9B">
        <w:rPr>
          <w:szCs w:val="20"/>
        </w:rPr>
        <w:t xml:space="preserve">l jefe del Laboratorio </w:t>
      </w:r>
      <w:r w:rsidRPr="008B1E9B">
        <w:rPr>
          <w:rFonts w:cs="Arial"/>
          <w:szCs w:val="20"/>
        </w:rPr>
        <w:t>indicó que se realizaron todos los análisis forenses solicitados a las evidencias</w:t>
      </w:r>
      <w:r w:rsidR="00003024">
        <w:rPr>
          <w:rFonts w:cs="Arial"/>
          <w:szCs w:val="20"/>
        </w:rPr>
        <w:t>.</w:t>
      </w:r>
      <w:r w:rsidR="00003024" w:rsidRPr="00003024">
        <w:rPr>
          <w:szCs w:val="20"/>
        </w:rPr>
        <w:t xml:space="preserve"> </w:t>
      </w:r>
      <w:r w:rsidR="00003024" w:rsidRPr="00206546">
        <w:rPr>
          <w:szCs w:val="20"/>
        </w:rPr>
        <w:t>El 13 de diciembre de 2001 el Laboratorio presentó un dictamen indicando que “no se detectó la presencia de sangre”</w:t>
      </w:r>
      <w:r w:rsidR="00003024" w:rsidRPr="00C011CF">
        <w:rPr>
          <w:rStyle w:val="FootnoteReference"/>
          <w:sz w:val="20"/>
          <w:szCs w:val="20"/>
        </w:rPr>
        <w:footnoteReference w:id="64"/>
      </w:r>
      <w:r>
        <w:rPr>
          <w:rFonts w:cs="Arial"/>
          <w:szCs w:val="20"/>
        </w:rPr>
        <w:t>; b)</w:t>
      </w:r>
      <w:r>
        <w:rPr>
          <w:szCs w:val="20"/>
        </w:rPr>
        <w:t xml:space="preserve"> en esa misma fecha, </w:t>
      </w:r>
      <w:r w:rsidRPr="008B1E9B">
        <w:rPr>
          <w:szCs w:val="20"/>
        </w:rPr>
        <w:t xml:space="preserve">agentes de la DGIC, en </w:t>
      </w:r>
      <w:r>
        <w:rPr>
          <w:szCs w:val="20"/>
        </w:rPr>
        <w:t>IMPALE</w:t>
      </w:r>
      <w:r w:rsidRPr="008B1E9B">
        <w:rPr>
          <w:szCs w:val="20"/>
        </w:rPr>
        <w:t xml:space="preserve"> “estando presente el [señor] José Pacheco”, decomisaron una “pistola” de “9mm”, 2 cargadores y 22 proyectiles, todo en “buen estado”</w:t>
      </w:r>
      <w:r w:rsidRPr="00C011CF">
        <w:rPr>
          <w:rStyle w:val="FootnoteReference"/>
          <w:sz w:val="20"/>
          <w:szCs w:val="20"/>
        </w:rPr>
        <w:footnoteReference w:id="65"/>
      </w:r>
      <w:r>
        <w:rPr>
          <w:szCs w:val="20"/>
        </w:rPr>
        <w:t>; c) e</w:t>
      </w:r>
      <w:r w:rsidRPr="008B1E9B">
        <w:rPr>
          <w:szCs w:val="20"/>
        </w:rPr>
        <w:t>l 4 de diciembre siguiente se solicitó a</w:t>
      </w:r>
      <w:r>
        <w:rPr>
          <w:szCs w:val="20"/>
        </w:rPr>
        <w:t>l</w:t>
      </w:r>
      <w:r w:rsidRPr="008B1E9B">
        <w:rPr>
          <w:szCs w:val="20"/>
        </w:rPr>
        <w:t xml:space="preserve"> </w:t>
      </w:r>
      <w:r>
        <w:rPr>
          <w:szCs w:val="20"/>
        </w:rPr>
        <w:t xml:space="preserve">Laboratorio </w:t>
      </w:r>
      <w:r w:rsidRPr="008B1E9B">
        <w:rPr>
          <w:szCs w:val="20"/>
        </w:rPr>
        <w:t>examinar, respectivamente, si el arma había sido disparada y el cotejo con casquillos y proyectiles remitidos antes, y determinar si las manchas que presentaba la pistola eran de sangre y compararla con la sangre del señor Pacheco</w:t>
      </w:r>
      <w:r w:rsidRPr="00C011CF">
        <w:rPr>
          <w:rStyle w:val="FootnoteReference"/>
          <w:sz w:val="20"/>
          <w:szCs w:val="20"/>
        </w:rPr>
        <w:footnoteReference w:id="66"/>
      </w:r>
      <w:r w:rsidR="00003024">
        <w:rPr>
          <w:szCs w:val="20"/>
        </w:rPr>
        <w:t>,</w:t>
      </w:r>
      <w:r w:rsidRPr="008B1E9B">
        <w:rPr>
          <w:szCs w:val="20"/>
        </w:rPr>
        <w:t xml:space="preserve"> </w:t>
      </w:r>
      <w:r>
        <w:rPr>
          <w:szCs w:val="20"/>
        </w:rPr>
        <w:t xml:space="preserve">y d) </w:t>
      </w:r>
      <w:r w:rsidRPr="00E7143F">
        <w:rPr>
          <w:szCs w:val="20"/>
        </w:rPr>
        <w:t>el 7 de diciembre de 2001 una trabajad</w:t>
      </w:r>
      <w:r>
        <w:rPr>
          <w:szCs w:val="20"/>
        </w:rPr>
        <w:t>ora del Ministerio de Seguridad</w:t>
      </w:r>
      <w:r w:rsidRPr="00E7143F">
        <w:rPr>
          <w:szCs w:val="20"/>
        </w:rPr>
        <w:t xml:space="preserve"> y un asesor mé</w:t>
      </w:r>
      <w:r w:rsidR="00003024">
        <w:rPr>
          <w:szCs w:val="20"/>
        </w:rPr>
        <w:t>dico forense del Poder Judicial</w:t>
      </w:r>
      <w:r w:rsidRPr="00E7143F">
        <w:rPr>
          <w:szCs w:val="20"/>
        </w:rPr>
        <w:t xml:space="preserve"> comparecieron ante el Juzgado </w:t>
      </w:r>
      <w:r>
        <w:rPr>
          <w:szCs w:val="20"/>
        </w:rPr>
        <w:t xml:space="preserve">e </w:t>
      </w:r>
      <w:r w:rsidRPr="00E7143F">
        <w:rPr>
          <w:szCs w:val="20"/>
        </w:rPr>
        <w:t xml:space="preserve">indicaron las pautas que debieron seguirse en la cadena de estudios hematológicos, </w:t>
      </w:r>
      <w:r>
        <w:rPr>
          <w:szCs w:val="20"/>
        </w:rPr>
        <w:t xml:space="preserve">así </w:t>
      </w:r>
      <w:r w:rsidRPr="00E7143F">
        <w:rPr>
          <w:szCs w:val="20"/>
        </w:rPr>
        <w:t>como los pasos para el embalaje de las evidencias sometidas</w:t>
      </w:r>
      <w:r w:rsidRPr="00C011CF">
        <w:rPr>
          <w:rStyle w:val="FootnoteReference"/>
          <w:sz w:val="20"/>
          <w:szCs w:val="20"/>
        </w:rPr>
        <w:footnoteReference w:id="67"/>
      </w:r>
      <w:r w:rsidRPr="00E7143F">
        <w:rPr>
          <w:szCs w:val="20"/>
        </w:rPr>
        <w:t xml:space="preserve">. </w:t>
      </w:r>
      <w:r w:rsidRPr="00E7143F">
        <w:rPr>
          <w:rFonts w:cs="Arial"/>
          <w:szCs w:val="20"/>
        </w:rPr>
        <w:t xml:space="preserve">Además, el mismo día se ordenó una pericia psicológica a </w:t>
      </w:r>
      <w:proofErr w:type="spellStart"/>
      <w:r w:rsidRPr="00E7143F">
        <w:rPr>
          <w:rFonts w:cs="Arial"/>
          <w:szCs w:val="20"/>
        </w:rPr>
        <w:t>Jimy</w:t>
      </w:r>
      <w:proofErr w:type="spellEnd"/>
      <w:r w:rsidRPr="00E7143F">
        <w:rPr>
          <w:rFonts w:cs="Arial"/>
          <w:szCs w:val="20"/>
        </w:rPr>
        <w:t xml:space="preserve"> Pacheco</w:t>
      </w:r>
      <w:r w:rsidRPr="00C011CF">
        <w:rPr>
          <w:rStyle w:val="FootnoteReference"/>
          <w:rFonts w:cs="Arial"/>
          <w:sz w:val="20"/>
          <w:szCs w:val="20"/>
        </w:rPr>
        <w:footnoteReference w:id="68"/>
      </w:r>
      <w:r w:rsidRPr="00E7143F">
        <w:rPr>
          <w:rFonts w:cs="Arial"/>
          <w:szCs w:val="20"/>
        </w:rPr>
        <w:t xml:space="preserve">. </w:t>
      </w:r>
    </w:p>
    <w:p w14:paraId="25CD3166" w14:textId="77777777" w:rsidR="008A2AE0" w:rsidRPr="00C011CF" w:rsidRDefault="008A2AE0" w:rsidP="008A2AE0">
      <w:pPr>
        <w:tabs>
          <w:tab w:val="left" w:pos="-709"/>
        </w:tabs>
        <w:rPr>
          <w:szCs w:val="20"/>
          <w:lang w:val="es-CR" w:eastAsia="es-MX"/>
        </w:rPr>
      </w:pPr>
    </w:p>
    <w:p w14:paraId="4BECD033" w14:textId="0D251152" w:rsidR="008A2AE0" w:rsidRPr="003F29E9" w:rsidRDefault="008A2AE0" w:rsidP="008A2AE0">
      <w:pPr>
        <w:pStyle w:val="PrrafodeSentencia"/>
        <w:tabs>
          <w:tab w:val="clear" w:pos="567"/>
          <w:tab w:val="left" w:pos="-709"/>
        </w:tabs>
        <w:ind w:left="0" w:firstLine="0"/>
        <w:rPr>
          <w:szCs w:val="20"/>
        </w:rPr>
      </w:pPr>
      <w:r w:rsidRPr="00206546">
        <w:rPr>
          <w:szCs w:val="20"/>
        </w:rPr>
        <w:t>El 20 de diciembre de 2001 l</w:t>
      </w:r>
      <w:r w:rsidR="00D645FB">
        <w:rPr>
          <w:szCs w:val="20"/>
        </w:rPr>
        <w:t>a</w:t>
      </w:r>
      <w:r w:rsidRPr="00206546">
        <w:rPr>
          <w:szCs w:val="20"/>
        </w:rPr>
        <w:t xml:space="preserve"> DGCI presentó un informe, en el que se indicó que se habían realizado las siguientes </w:t>
      </w:r>
      <w:r>
        <w:rPr>
          <w:szCs w:val="20"/>
        </w:rPr>
        <w:t>diligencias</w:t>
      </w:r>
      <w:r w:rsidRPr="00206546">
        <w:rPr>
          <w:szCs w:val="20"/>
        </w:rPr>
        <w:t xml:space="preserve">: i) reconocimiento del cadáver; ii) inspección ocular en el lugar de los hechos y recolección de evidencias que se enviaron a laboratorio; iii) decomiso de un arma que portaba el señor Pacheco, </w:t>
      </w:r>
      <w:r>
        <w:rPr>
          <w:szCs w:val="20"/>
        </w:rPr>
        <w:t xml:space="preserve">la cual fue </w:t>
      </w:r>
      <w:r w:rsidRPr="00206546">
        <w:rPr>
          <w:szCs w:val="20"/>
        </w:rPr>
        <w:t>remitida a laboratorios para ser analizada</w:t>
      </w:r>
      <w:r w:rsidR="00D645FB">
        <w:rPr>
          <w:szCs w:val="20"/>
        </w:rPr>
        <w:t>;</w:t>
      </w:r>
      <w:r>
        <w:rPr>
          <w:szCs w:val="20"/>
        </w:rPr>
        <w:t xml:space="preserve"> </w:t>
      </w:r>
      <w:r w:rsidR="00D645FB">
        <w:rPr>
          <w:szCs w:val="20"/>
        </w:rPr>
        <w:t>e</w:t>
      </w:r>
      <w:r w:rsidRPr="00493F83">
        <w:rPr>
          <w:szCs w:val="20"/>
        </w:rPr>
        <w:t>l 14 de enero de 2002 el Laboratorio presentó un dictamen sobre un arma de fuego y cargadores, señalando que los proyectiles correspondientes “</w:t>
      </w:r>
      <w:r w:rsidR="00477565">
        <w:rPr>
          <w:szCs w:val="20"/>
        </w:rPr>
        <w:t>[</w:t>
      </w:r>
      <w:r w:rsidRPr="00493F83">
        <w:rPr>
          <w:szCs w:val="20"/>
        </w:rPr>
        <w:t>f</w:t>
      </w:r>
      <w:r w:rsidR="00477565">
        <w:rPr>
          <w:szCs w:val="20"/>
        </w:rPr>
        <w:t>]</w:t>
      </w:r>
      <w:proofErr w:type="spellStart"/>
      <w:r w:rsidRPr="00493F83">
        <w:rPr>
          <w:szCs w:val="20"/>
        </w:rPr>
        <w:t>ueron</w:t>
      </w:r>
      <w:proofErr w:type="spellEnd"/>
      <w:r w:rsidRPr="00493F83">
        <w:rPr>
          <w:szCs w:val="20"/>
        </w:rPr>
        <w:t xml:space="preserve"> o pudieron haber sido percutidos y disparados […] por el arma”</w:t>
      </w:r>
      <w:r w:rsidRPr="00F63539">
        <w:rPr>
          <w:rStyle w:val="FootnoteReference"/>
          <w:sz w:val="20"/>
          <w:szCs w:val="20"/>
        </w:rPr>
        <w:footnoteReference w:id="69"/>
      </w:r>
      <w:r>
        <w:rPr>
          <w:szCs w:val="20"/>
        </w:rPr>
        <w:t>;</w:t>
      </w:r>
      <w:r w:rsidRPr="003F29E9">
        <w:rPr>
          <w:szCs w:val="20"/>
        </w:rPr>
        <w:t xml:space="preserve"> iv) levantamiento de un </w:t>
      </w:r>
      <w:r w:rsidR="00242392">
        <w:rPr>
          <w:szCs w:val="20"/>
        </w:rPr>
        <w:t>croquis de la escena del crimen;</w:t>
      </w:r>
      <w:r w:rsidRPr="003F29E9">
        <w:rPr>
          <w:szCs w:val="20"/>
        </w:rPr>
        <w:t xml:space="preserve"> v) entrevistas a “vecinos [del </w:t>
      </w:r>
      <w:r w:rsidRPr="003F29E9">
        <w:rPr>
          <w:szCs w:val="20"/>
        </w:rPr>
        <w:lastRenderedPageBreak/>
        <w:t>lugar donde] vivía el señor […] Pacheco”, de las cuales “no se ha[</w:t>
      </w:r>
      <w:proofErr w:type="spellStart"/>
      <w:r w:rsidRPr="003F29E9">
        <w:rPr>
          <w:szCs w:val="20"/>
        </w:rPr>
        <w:t>bía</w:t>
      </w:r>
      <w:proofErr w:type="spellEnd"/>
      <w:r w:rsidRPr="003F29E9">
        <w:rPr>
          <w:szCs w:val="20"/>
        </w:rPr>
        <w:t>] obtenido ningún resultado positivo para dar con los responsables”</w:t>
      </w:r>
      <w:r w:rsidRPr="00C011CF">
        <w:rPr>
          <w:rStyle w:val="FootnoteReference"/>
          <w:sz w:val="20"/>
          <w:szCs w:val="20"/>
        </w:rPr>
        <w:footnoteReference w:id="70"/>
      </w:r>
      <w:r w:rsidRPr="003F29E9">
        <w:rPr>
          <w:szCs w:val="20"/>
        </w:rPr>
        <w:t xml:space="preserve">; vi) entrevistas a testigos que indicaron dónde se encontraban </w:t>
      </w:r>
      <w:r w:rsidR="00477565" w:rsidRPr="0034037F">
        <w:rPr>
          <w:szCs w:val="20"/>
        </w:rPr>
        <w:t>los sospechosos antes y después</w:t>
      </w:r>
      <w:r w:rsidR="00477565" w:rsidRPr="003F29E9">
        <w:rPr>
          <w:szCs w:val="20"/>
        </w:rPr>
        <w:t xml:space="preserve"> </w:t>
      </w:r>
      <w:r w:rsidR="00477565">
        <w:rPr>
          <w:szCs w:val="20"/>
        </w:rPr>
        <w:t>d</w:t>
      </w:r>
      <w:r w:rsidRPr="003F29E9">
        <w:rPr>
          <w:szCs w:val="20"/>
        </w:rPr>
        <w:t xml:space="preserve">el momento de los hechos; vii) solicitud de “copia de las llamadas telefónicas hechas y recibidas </w:t>
      </w:r>
      <w:r w:rsidR="00477565">
        <w:rPr>
          <w:szCs w:val="20"/>
        </w:rPr>
        <w:t>[</w:t>
      </w:r>
      <w:r w:rsidRPr="003F29E9">
        <w:rPr>
          <w:szCs w:val="20"/>
        </w:rPr>
        <w:t>por el señor Pacheco] antes y después del hecho</w:t>
      </w:r>
      <w:r w:rsidR="00477565">
        <w:rPr>
          <w:szCs w:val="20"/>
        </w:rPr>
        <w:t>”</w:t>
      </w:r>
      <w:r w:rsidRPr="003F29E9">
        <w:rPr>
          <w:szCs w:val="20"/>
        </w:rPr>
        <w:t>, y viii) recepción de declaraciones de personas cercanas al señor Pacheco, de las que surge que él “en varias ocasiones fue amenazado de muerte por personas del mismo partido al cual pertenecía”, como R</w:t>
      </w:r>
      <w:r w:rsidR="00356170">
        <w:rPr>
          <w:szCs w:val="20"/>
        </w:rPr>
        <w:t>P</w:t>
      </w:r>
      <w:r w:rsidRPr="003F29E9">
        <w:rPr>
          <w:szCs w:val="20"/>
        </w:rPr>
        <w:t>, BC y SC. Además, el informe indica diligencias respecto a las personas que habían sido detenidas como sospechosas,</w:t>
      </w:r>
      <w:r w:rsidR="00D645FB">
        <w:rPr>
          <w:szCs w:val="20"/>
        </w:rPr>
        <w:t xml:space="preserve"> </w:t>
      </w:r>
      <w:r w:rsidRPr="003F29E9">
        <w:rPr>
          <w:szCs w:val="20"/>
        </w:rPr>
        <w:t>FV, HE y JM: i) detención, entrevistas y decomiso de evidencias (ropa y zapatos que mostraban manchas de sangre</w:t>
      </w:r>
      <w:r w:rsidR="00477565">
        <w:rPr>
          <w:szCs w:val="20"/>
        </w:rPr>
        <w:t>)</w:t>
      </w:r>
      <w:r w:rsidRPr="003F29E9">
        <w:rPr>
          <w:szCs w:val="20"/>
        </w:rPr>
        <w:t>; ii) análisis de laboratorio de tales evidencias, que arrojó que en “una de las evidencias […] aparece sangre humana compatible con la de[l señor Pacheco]”</w:t>
      </w:r>
      <w:r w:rsidRPr="00C011CF">
        <w:rPr>
          <w:rStyle w:val="FootnoteReference"/>
          <w:sz w:val="20"/>
          <w:szCs w:val="20"/>
        </w:rPr>
        <w:footnoteReference w:id="71"/>
      </w:r>
      <w:r w:rsidRPr="003F29E9">
        <w:rPr>
          <w:szCs w:val="20"/>
        </w:rPr>
        <w:t>; iii) solicitud de “patrón fotográfico” de los sospechosos, y iv) nueva entrevista a dos de ellos</w:t>
      </w:r>
      <w:r w:rsidRPr="00C011CF">
        <w:rPr>
          <w:rStyle w:val="FootnoteReference"/>
          <w:sz w:val="20"/>
          <w:szCs w:val="20"/>
        </w:rPr>
        <w:footnoteReference w:id="72"/>
      </w:r>
      <w:r w:rsidRPr="003F29E9">
        <w:rPr>
          <w:szCs w:val="20"/>
        </w:rPr>
        <w:t xml:space="preserve">. El informe concluyó que según testigos “que temen [que] se les tome declaración </w:t>
      </w:r>
      <w:r w:rsidR="00477565">
        <w:rPr>
          <w:szCs w:val="20"/>
        </w:rPr>
        <w:t>[…] por temor</w:t>
      </w:r>
      <w:r w:rsidRPr="003F29E9">
        <w:rPr>
          <w:szCs w:val="20"/>
        </w:rPr>
        <w:t xml:space="preserve"> a perder la vida”, “un grupo de personas […] </w:t>
      </w:r>
      <w:proofErr w:type="spellStart"/>
      <w:r w:rsidRPr="003F29E9">
        <w:rPr>
          <w:szCs w:val="20"/>
        </w:rPr>
        <w:t>planific</w:t>
      </w:r>
      <w:proofErr w:type="spellEnd"/>
      <w:r w:rsidRPr="003F29E9">
        <w:rPr>
          <w:szCs w:val="20"/>
        </w:rPr>
        <w:t>[</w:t>
      </w:r>
      <w:proofErr w:type="spellStart"/>
      <w:r w:rsidRPr="003F29E9">
        <w:rPr>
          <w:szCs w:val="20"/>
        </w:rPr>
        <w:t>ó</w:t>
      </w:r>
      <w:proofErr w:type="spellEnd"/>
      <w:r w:rsidRPr="003F29E9">
        <w:rPr>
          <w:szCs w:val="20"/>
        </w:rPr>
        <w:t>] la muerte del señor [Pacheco] un día antes del hecho, como [pueden] ser los señores: [BC] ([entonces d]</w:t>
      </w:r>
      <w:proofErr w:type="spellStart"/>
      <w:r w:rsidRPr="003F29E9">
        <w:rPr>
          <w:szCs w:val="20"/>
        </w:rPr>
        <w:t>iputado</w:t>
      </w:r>
      <w:proofErr w:type="spellEnd"/>
      <w:r w:rsidRPr="003F29E9">
        <w:rPr>
          <w:szCs w:val="20"/>
        </w:rPr>
        <w:t xml:space="preserve"> [s]</w:t>
      </w:r>
      <w:proofErr w:type="spellStart"/>
      <w:r w:rsidRPr="003F29E9">
        <w:rPr>
          <w:szCs w:val="20"/>
        </w:rPr>
        <w:t>uplente</w:t>
      </w:r>
      <w:proofErr w:type="spellEnd"/>
      <w:r w:rsidRPr="003F29E9">
        <w:rPr>
          <w:szCs w:val="20"/>
        </w:rPr>
        <w:t xml:space="preserve">), [MV] ([entonces] diputado […]), [HE] (detenido), y [SC]; </w:t>
      </w:r>
      <w:r w:rsidR="00477565">
        <w:rPr>
          <w:szCs w:val="20"/>
        </w:rPr>
        <w:t>[</w:t>
      </w:r>
      <w:r w:rsidRPr="003F29E9">
        <w:rPr>
          <w:szCs w:val="20"/>
        </w:rPr>
        <w:t>estas personas</w:t>
      </w:r>
      <w:r w:rsidR="00477565">
        <w:rPr>
          <w:szCs w:val="20"/>
        </w:rPr>
        <w:t>]</w:t>
      </w:r>
      <w:r w:rsidRPr="003F29E9">
        <w:rPr>
          <w:szCs w:val="20"/>
        </w:rPr>
        <w:t xml:space="preserve"> fueron vist</w:t>
      </w:r>
      <w:r w:rsidR="00D645FB">
        <w:rPr>
          <w:szCs w:val="20"/>
        </w:rPr>
        <w:t>a</w:t>
      </w:r>
      <w:r w:rsidRPr="003F29E9">
        <w:rPr>
          <w:szCs w:val="20"/>
        </w:rPr>
        <w:t xml:space="preserve">s en un restaurante cercano a Nacaome, Valle, donde [conversaron sobre] cómo asesinar a[l señor] Pacheco León. </w:t>
      </w:r>
      <w:r w:rsidR="00477565">
        <w:rPr>
          <w:szCs w:val="20"/>
        </w:rPr>
        <w:t>[</w:t>
      </w:r>
      <w:r w:rsidRPr="003F29E9">
        <w:rPr>
          <w:szCs w:val="20"/>
        </w:rPr>
        <w:t>Asimismo</w:t>
      </w:r>
      <w:r w:rsidR="00477565">
        <w:rPr>
          <w:szCs w:val="20"/>
        </w:rPr>
        <w:t>]</w:t>
      </w:r>
      <w:r w:rsidRPr="003F29E9">
        <w:rPr>
          <w:szCs w:val="20"/>
        </w:rPr>
        <w:t xml:space="preserve"> se menciona que en ese grupo se encontraba un </w:t>
      </w:r>
      <w:r w:rsidR="00477565">
        <w:rPr>
          <w:szCs w:val="20"/>
        </w:rPr>
        <w:t>[</w:t>
      </w:r>
      <w:r w:rsidRPr="003F29E9">
        <w:rPr>
          <w:szCs w:val="20"/>
        </w:rPr>
        <w:t>p</w:t>
      </w:r>
      <w:r w:rsidR="00477565">
        <w:rPr>
          <w:szCs w:val="20"/>
        </w:rPr>
        <w:t>]</w:t>
      </w:r>
      <w:proofErr w:type="spellStart"/>
      <w:r w:rsidRPr="003F29E9">
        <w:rPr>
          <w:szCs w:val="20"/>
        </w:rPr>
        <w:t>olicía</w:t>
      </w:r>
      <w:proofErr w:type="spellEnd"/>
      <w:r w:rsidRPr="003F29E9">
        <w:rPr>
          <w:szCs w:val="20"/>
        </w:rPr>
        <w:t xml:space="preserve"> </w:t>
      </w:r>
      <w:r w:rsidR="00477565">
        <w:rPr>
          <w:szCs w:val="20"/>
        </w:rPr>
        <w:t>[</w:t>
      </w:r>
      <w:r w:rsidRPr="003F29E9">
        <w:rPr>
          <w:szCs w:val="20"/>
        </w:rPr>
        <w:t>p</w:t>
      </w:r>
      <w:r w:rsidR="00477565">
        <w:rPr>
          <w:szCs w:val="20"/>
        </w:rPr>
        <w:t>]</w:t>
      </w:r>
      <w:proofErr w:type="spellStart"/>
      <w:r w:rsidRPr="003F29E9">
        <w:rPr>
          <w:szCs w:val="20"/>
        </w:rPr>
        <w:t>reventivo</w:t>
      </w:r>
      <w:proofErr w:type="spellEnd"/>
      <w:r w:rsidRPr="003F29E9">
        <w:rPr>
          <w:szCs w:val="20"/>
        </w:rPr>
        <w:t xml:space="preserve">, [del que en ese momento] se </w:t>
      </w:r>
      <w:proofErr w:type="spellStart"/>
      <w:proofErr w:type="gramStart"/>
      <w:r w:rsidRPr="003F29E9">
        <w:rPr>
          <w:szCs w:val="20"/>
        </w:rPr>
        <w:t>desconoc</w:t>
      </w:r>
      <w:proofErr w:type="spellEnd"/>
      <w:r w:rsidRPr="003F29E9">
        <w:rPr>
          <w:szCs w:val="20"/>
        </w:rPr>
        <w:t>[</w:t>
      </w:r>
      <w:proofErr w:type="spellStart"/>
      <w:proofErr w:type="gramEnd"/>
      <w:r w:rsidRPr="003F29E9">
        <w:rPr>
          <w:szCs w:val="20"/>
        </w:rPr>
        <w:t>ía</w:t>
      </w:r>
      <w:proofErr w:type="spellEnd"/>
      <w:r w:rsidRPr="003F29E9">
        <w:rPr>
          <w:szCs w:val="20"/>
        </w:rPr>
        <w:t>] el nombre”. En el Informe se pidió al coordinador regional del DGCI que hiciera las gestiones necesarias para brindar protección al testigo que hizo los señalamientos referidos</w:t>
      </w:r>
      <w:r w:rsidRPr="00C011CF">
        <w:rPr>
          <w:rStyle w:val="FootnoteReference"/>
          <w:sz w:val="20"/>
          <w:szCs w:val="20"/>
        </w:rPr>
        <w:footnoteReference w:id="73"/>
      </w:r>
      <w:r w:rsidRPr="003F29E9">
        <w:rPr>
          <w:szCs w:val="20"/>
        </w:rPr>
        <w:t xml:space="preserve">. </w:t>
      </w:r>
    </w:p>
    <w:p w14:paraId="56FC0C91" w14:textId="77777777" w:rsidR="008A2AE0" w:rsidRPr="00C011CF" w:rsidRDefault="008A2AE0" w:rsidP="008A2AE0">
      <w:pPr>
        <w:tabs>
          <w:tab w:val="left" w:pos="-709"/>
        </w:tabs>
        <w:rPr>
          <w:szCs w:val="20"/>
          <w:lang w:val="es-CR" w:eastAsia="es-MX"/>
        </w:rPr>
      </w:pPr>
    </w:p>
    <w:p w14:paraId="1E7B00ED" w14:textId="644A93E6" w:rsidR="008A2AE0" w:rsidRPr="00C011CF" w:rsidRDefault="008A2AE0" w:rsidP="008A2AE0">
      <w:pPr>
        <w:pStyle w:val="PrrafodeSentencia"/>
        <w:tabs>
          <w:tab w:val="clear" w:pos="567"/>
          <w:tab w:val="left" w:pos="-709"/>
        </w:tabs>
        <w:ind w:left="0" w:firstLine="0"/>
        <w:rPr>
          <w:b/>
          <w:szCs w:val="20"/>
        </w:rPr>
      </w:pPr>
      <w:r w:rsidRPr="00C011CF">
        <w:rPr>
          <w:szCs w:val="20"/>
        </w:rPr>
        <w:t>El 25 d</w:t>
      </w:r>
      <w:r>
        <w:rPr>
          <w:szCs w:val="20"/>
        </w:rPr>
        <w:t>e enero de 2002 la DGIC realizó, por orden del Juzgado</w:t>
      </w:r>
      <w:r w:rsidRPr="00C011CF">
        <w:rPr>
          <w:rStyle w:val="FootnoteReference"/>
          <w:sz w:val="20"/>
          <w:szCs w:val="20"/>
        </w:rPr>
        <w:footnoteReference w:id="74"/>
      </w:r>
      <w:r w:rsidRPr="00C011CF">
        <w:rPr>
          <w:szCs w:val="20"/>
        </w:rPr>
        <w:t>, tres allanamientos</w:t>
      </w:r>
      <w:r w:rsidRPr="00C011CF">
        <w:rPr>
          <w:rStyle w:val="FootnoteReference"/>
          <w:sz w:val="20"/>
          <w:szCs w:val="20"/>
        </w:rPr>
        <w:footnoteReference w:id="75"/>
      </w:r>
      <w:r w:rsidRPr="00C011CF">
        <w:rPr>
          <w:szCs w:val="20"/>
        </w:rPr>
        <w:t xml:space="preserve">: a) en la residencia de JE: entre lo que se encontró había una escopeta, un revólver, cartuchos y casquillos, todo de lo cual se hizo entrega al juez; b) en </w:t>
      </w:r>
      <w:r w:rsidR="00242392">
        <w:rPr>
          <w:szCs w:val="20"/>
        </w:rPr>
        <w:t xml:space="preserve">la </w:t>
      </w:r>
      <w:r w:rsidRPr="00C011CF">
        <w:rPr>
          <w:szCs w:val="20"/>
        </w:rPr>
        <w:t xml:space="preserve">casa de SC, encontrándose placas de la fuerza de seguridad pública y algunos papeles, y c) en </w:t>
      </w:r>
      <w:r w:rsidR="00242392">
        <w:rPr>
          <w:szCs w:val="20"/>
        </w:rPr>
        <w:t xml:space="preserve">la </w:t>
      </w:r>
      <w:r w:rsidRPr="00C011CF">
        <w:rPr>
          <w:szCs w:val="20"/>
        </w:rPr>
        <w:t xml:space="preserve">casa de </w:t>
      </w:r>
      <w:r w:rsidRPr="00074136">
        <w:rPr>
          <w:szCs w:val="20"/>
        </w:rPr>
        <w:t>WC,</w:t>
      </w:r>
      <w:r w:rsidRPr="00C011CF">
        <w:rPr>
          <w:szCs w:val="20"/>
        </w:rPr>
        <w:t xml:space="preserve"> donde se encontró una pistola</w:t>
      </w:r>
      <w:r w:rsidR="00A451AA" w:rsidRPr="00C011CF">
        <w:rPr>
          <w:rStyle w:val="FootnoteReference"/>
          <w:sz w:val="20"/>
          <w:szCs w:val="20"/>
        </w:rPr>
        <w:footnoteReference w:id="76"/>
      </w:r>
      <w:r w:rsidRPr="00C011CF">
        <w:rPr>
          <w:szCs w:val="20"/>
        </w:rPr>
        <w:t>, cargadores, cartuchos y un casquillo, lo que fue entregado al juez</w:t>
      </w:r>
      <w:r w:rsidRPr="00C011CF">
        <w:rPr>
          <w:rStyle w:val="FootnoteReference"/>
          <w:sz w:val="20"/>
          <w:szCs w:val="20"/>
        </w:rPr>
        <w:footnoteReference w:id="77"/>
      </w:r>
      <w:r w:rsidRPr="00C011CF">
        <w:rPr>
          <w:szCs w:val="20"/>
        </w:rPr>
        <w:t>. Posteriormente</w:t>
      </w:r>
      <w:r>
        <w:rPr>
          <w:szCs w:val="20"/>
        </w:rPr>
        <w:t>,</w:t>
      </w:r>
      <w:r w:rsidRPr="00C011CF">
        <w:rPr>
          <w:szCs w:val="20"/>
        </w:rPr>
        <w:t xml:space="preserve"> se </w:t>
      </w:r>
      <w:r w:rsidRPr="00C011CF">
        <w:rPr>
          <w:szCs w:val="20"/>
        </w:rPr>
        <w:lastRenderedPageBreak/>
        <w:t>indicó que los allanamientos tuvieron un “resultado infructuoso”</w:t>
      </w:r>
      <w:r>
        <w:rPr>
          <w:szCs w:val="20"/>
        </w:rPr>
        <w:t>,</w:t>
      </w:r>
      <w:r w:rsidRPr="00C011CF">
        <w:rPr>
          <w:szCs w:val="20"/>
        </w:rPr>
        <w:t xml:space="preserve"> ya que “se encontraron varias armas, pero los análisis balísticos fueron negativos”</w:t>
      </w:r>
      <w:r w:rsidRPr="00C011CF">
        <w:rPr>
          <w:rStyle w:val="FootnoteReference"/>
          <w:sz w:val="20"/>
          <w:szCs w:val="20"/>
        </w:rPr>
        <w:footnoteReference w:id="78"/>
      </w:r>
      <w:r w:rsidRPr="00C011CF">
        <w:rPr>
          <w:szCs w:val="20"/>
        </w:rPr>
        <w:t xml:space="preserve">. </w:t>
      </w:r>
    </w:p>
    <w:p w14:paraId="6FDF4D4D" w14:textId="77777777" w:rsidR="008A2AE0" w:rsidRPr="00C011CF" w:rsidRDefault="008A2AE0" w:rsidP="008A2AE0">
      <w:pPr>
        <w:pStyle w:val="PrrafodeSentencia"/>
        <w:numPr>
          <w:ilvl w:val="0"/>
          <w:numId w:val="0"/>
        </w:numPr>
        <w:tabs>
          <w:tab w:val="clear" w:pos="567"/>
          <w:tab w:val="left" w:pos="-709"/>
        </w:tabs>
        <w:rPr>
          <w:b/>
          <w:szCs w:val="20"/>
        </w:rPr>
      </w:pPr>
    </w:p>
    <w:p w14:paraId="64A56E91" w14:textId="77777777" w:rsidR="008A2AE0" w:rsidRPr="00C011CF" w:rsidRDefault="008A2AE0" w:rsidP="008A2AE0">
      <w:pPr>
        <w:pStyle w:val="PrrafodeSentencia"/>
        <w:tabs>
          <w:tab w:val="clear" w:pos="567"/>
          <w:tab w:val="left" w:pos="-709"/>
        </w:tabs>
        <w:ind w:left="0" w:firstLine="0"/>
        <w:rPr>
          <w:b/>
          <w:szCs w:val="20"/>
        </w:rPr>
      </w:pPr>
      <w:r w:rsidRPr="00C011CF">
        <w:rPr>
          <w:szCs w:val="20"/>
        </w:rPr>
        <w:t>El 5 de febrero de 2002, en respuesta a una solicitu</w:t>
      </w:r>
      <w:r>
        <w:rPr>
          <w:szCs w:val="20"/>
        </w:rPr>
        <w:t>d del Coordinador Regional del</w:t>
      </w:r>
      <w:r w:rsidRPr="00C011CF">
        <w:rPr>
          <w:szCs w:val="20"/>
        </w:rPr>
        <w:t xml:space="preserve"> DGIC de Choluteca, </w:t>
      </w:r>
      <w:proofErr w:type="spellStart"/>
      <w:r w:rsidRPr="00C011CF">
        <w:rPr>
          <w:szCs w:val="20"/>
        </w:rPr>
        <w:t>Hondutel</w:t>
      </w:r>
      <w:proofErr w:type="spellEnd"/>
      <w:r w:rsidRPr="00C011CF">
        <w:rPr>
          <w:szCs w:val="20"/>
        </w:rPr>
        <w:t>, Empresa Hondureña de Telecomunicaciones, informó a quiénes pertenecían determinados números telefónicos sobre los que se le consultó</w:t>
      </w:r>
      <w:r w:rsidRPr="00C011CF">
        <w:rPr>
          <w:rStyle w:val="FootnoteReference"/>
          <w:sz w:val="20"/>
          <w:szCs w:val="20"/>
        </w:rPr>
        <w:footnoteReference w:id="79"/>
      </w:r>
      <w:r w:rsidRPr="00C011CF">
        <w:rPr>
          <w:szCs w:val="20"/>
        </w:rPr>
        <w:t>, los que aparecían en “registros telefónicos” encontrados en los allanamientos del 25 de enero anterior</w:t>
      </w:r>
      <w:r w:rsidRPr="00C011CF">
        <w:rPr>
          <w:rStyle w:val="FootnoteReference"/>
          <w:sz w:val="20"/>
          <w:szCs w:val="20"/>
        </w:rPr>
        <w:footnoteReference w:id="80"/>
      </w:r>
      <w:r w:rsidRPr="00C011CF">
        <w:rPr>
          <w:szCs w:val="20"/>
        </w:rPr>
        <w:t xml:space="preserve">. </w:t>
      </w:r>
    </w:p>
    <w:p w14:paraId="398FAA96" w14:textId="77777777" w:rsidR="008A2AE0" w:rsidRPr="00C011CF" w:rsidRDefault="008A2AE0" w:rsidP="008A2AE0">
      <w:pPr>
        <w:tabs>
          <w:tab w:val="left" w:pos="-709"/>
        </w:tabs>
        <w:rPr>
          <w:szCs w:val="20"/>
          <w:lang w:val="es-CR" w:eastAsia="es-MX"/>
        </w:rPr>
      </w:pPr>
    </w:p>
    <w:p w14:paraId="57900446" w14:textId="725F1099" w:rsidR="008A2AE0" w:rsidRPr="00482821" w:rsidRDefault="008A2AE0" w:rsidP="008A2AE0">
      <w:pPr>
        <w:pStyle w:val="PrrafodeSentencia"/>
        <w:tabs>
          <w:tab w:val="clear" w:pos="567"/>
          <w:tab w:val="left" w:pos="-709"/>
        </w:tabs>
        <w:ind w:left="0" w:firstLine="0"/>
        <w:rPr>
          <w:szCs w:val="20"/>
        </w:rPr>
      </w:pPr>
      <w:r w:rsidRPr="00206546">
        <w:rPr>
          <w:szCs w:val="20"/>
        </w:rPr>
        <w:t>El 28 de noviembre de 2002 la DGIC emitió</w:t>
      </w:r>
      <w:r w:rsidR="000D01F8">
        <w:rPr>
          <w:szCs w:val="20"/>
        </w:rPr>
        <w:t xml:space="preserve"> un informe en que indicó que</w:t>
      </w:r>
      <w:r w:rsidRPr="00206546">
        <w:rPr>
          <w:szCs w:val="20"/>
        </w:rPr>
        <w:t xml:space="preserve"> si bien se evaluó la relación con el caso de BC, JE</w:t>
      </w:r>
      <w:r w:rsidRPr="00C011CF">
        <w:rPr>
          <w:rStyle w:val="FootnoteReference"/>
          <w:sz w:val="20"/>
          <w:szCs w:val="20"/>
        </w:rPr>
        <w:footnoteReference w:id="81"/>
      </w:r>
      <w:r w:rsidRPr="00206546">
        <w:rPr>
          <w:szCs w:val="20"/>
        </w:rPr>
        <w:t>,</w:t>
      </w:r>
      <w:r>
        <w:rPr>
          <w:szCs w:val="20"/>
        </w:rPr>
        <w:t xml:space="preserve"> </w:t>
      </w:r>
      <w:r w:rsidRPr="00206546">
        <w:rPr>
          <w:szCs w:val="20"/>
        </w:rPr>
        <w:t>WC</w:t>
      </w:r>
      <w:r w:rsidR="00B73D97">
        <w:rPr>
          <w:szCs w:val="20"/>
        </w:rPr>
        <w:t xml:space="preserve"> </w:t>
      </w:r>
      <w:r w:rsidRPr="00206546">
        <w:rPr>
          <w:szCs w:val="20"/>
        </w:rPr>
        <w:t>y SC, R</w:t>
      </w:r>
      <w:r w:rsidR="00356170">
        <w:rPr>
          <w:szCs w:val="20"/>
        </w:rPr>
        <w:t>P</w:t>
      </w:r>
      <w:r w:rsidRPr="00206546">
        <w:rPr>
          <w:szCs w:val="20"/>
        </w:rPr>
        <w:t xml:space="preserve"> y MV (este último segundo diputado del </w:t>
      </w:r>
      <w:r w:rsidRPr="00493F83">
        <w:rPr>
          <w:szCs w:val="20"/>
        </w:rPr>
        <w:t>Partido Liberal),</w:t>
      </w:r>
      <w:r w:rsidRPr="00206546">
        <w:rPr>
          <w:szCs w:val="20"/>
        </w:rPr>
        <w:t xml:space="preserve"> “no hay evidencia que los involucre con el </w:t>
      </w:r>
      <w:r w:rsidR="001600D1">
        <w:rPr>
          <w:szCs w:val="20"/>
        </w:rPr>
        <w:t>[homicidio]</w:t>
      </w:r>
      <w:r w:rsidRPr="001D60B2">
        <w:rPr>
          <w:szCs w:val="20"/>
        </w:rPr>
        <w:t xml:space="preserve">”. Además, el informe indica que </w:t>
      </w:r>
      <w:r>
        <w:rPr>
          <w:szCs w:val="20"/>
        </w:rPr>
        <w:t>SJ</w:t>
      </w:r>
      <w:r w:rsidRPr="001D60B2">
        <w:rPr>
          <w:szCs w:val="20"/>
        </w:rPr>
        <w:t>, coordinadora interina de la DGIC, manifestó que la persona que disparó al señor Pacheco habría sido un agente policial llamado SM, quien efectuaba trabajos para JE y que en época se encontraba asignado en el Cuartel General de Casamata</w:t>
      </w:r>
      <w:r w:rsidRPr="001D60B2">
        <w:rPr>
          <w:rStyle w:val="FootnoteReference"/>
          <w:sz w:val="20"/>
          <w:szCs w:val="20"/>
        </w:rPr>
        <w:footnoteReference w:id="82"/>
      </w:r>
      <w:r w:rsidRPr="001D60B2">
        <w:rPr>
          <w:szCs w:val="20"/>
        </w:rPr>
        <w:t xml:space="preserve">.  </w:t>
      </w:r>
    </w:p>
    <w:p w14:paraId="4B00CBB8" w14:textId="77777777" w:rsidR="008A2AE0" w:rsidRPr="00E1277D" w:rsidRDefault="008A2AE0" w:rsidP="008A2AE0">
      <w:pPr>
        <w:tabs>
          <w:tab w:val="left" w:pos="-709"/>
        </w:tabs>
        <w:rPr>
          <w:lang w:val="es-CR" w:eastAsia="es-MX"/>
        </w:rPr>
      </w:pPr>
    </w:p>
    <w:p w14:paraId="789426F6" w14:textId="2AD9F2B6" w:rsidR="008A2AE0" w:rsidRPr="00A92D28" w:rsidRDefault="008A2AE0" w:rsidP="00A92D28">
      <w:pPr>
        <w:pStyle w:val="PrrafodeSentencia"/>
        <w:tabs>
          <w:tab w:val="clear" w:pos="567"/>
          <w:tab w:val="left" w:pos="-709"/>
        </w:tabs>
        <w:ind w:left="0" w:firstLine="0"/>
        <w:rPr>
          <w:rFonts w:cs="Arial"/>
          <w:b/>
          <w:szCs w:val="20"/>
        </w:rPr>
      </w:pPr>
      <w:r w:rsidRPr="00206546">
        <w:rPr>
          <w:szCs w:val="20"/>
        </w:rPr>
        <w:t xml:space="preserve">El 11 de febrero de 2002 la </w:t>
      </w:r>
      <w:r w:rsidRPr="000111E3">
        <w:rPr>
          <w:szCs w:val="20"/>
        </w:rPr>
        <w:t>DGIC presentó un nuevo informe, en que indicó que “se manejan” como “sospechosos” de la “planificación y ejecución del señor Pacheco”, a los señores BC</w:t>
      </w:r>
      <w:r w:rsidR="00B73D97">
        <w:rPr>
          <w:szCs w:val="20"/>
        </w:rPr>
        <w:t>,</w:t>
      </w:r>
      <w:r w:rsidRPr="000111E3">
        <w:rPr>
          <w:szCs w:val="20"/>
        </w:rPr>
        <w:t xml:space="preserve"> JE</w:t>
      </w:r>
      <w:r w:rsidR="00B73D97">
        <w:rPr>
          <w:szCs w:val="20"/>
        </w:rPr>
        <w:t>,</w:t>
      </w:r>
      <w:r w:rsidRPr="000111E3">
        <w:rPr>
          <w:szCs w:val="20"/>
        </w:rPr>
        <w:t xml:space="preserve"> WC</w:t>
      </w:r>
      <w:r w:rsidRPr="000111E3">
        <w:rPr>
          <w:rStyle w:val="FootnoteReference"/>
          <w:sz w:val="20"/>
          <w:szCs w:val="20"/>
        </w:rPr>
        <w:footnoteReference w:id="83"/>
      </w:r>
      <w:r w:rsidRPr="000111E3">
        <w:rPr>
          <w:szCs w:val="20"/>
        </w:rPr>
        <w:t>, SC, R</w:t>
      </w:r>
      <w:r w:rsidR="00AC477C">
        <w:rPr>
          <w:szCs w:val="20"/>
        </w:rPr>
        <w:t>P</w:t>
      </w:r>
      <w:r w:rsidRPr="000111E3">
        <w:rPr>
          <w:szCs w:val="20"/>
        </w:rPr>
        <w:t xml:space="preserve"> y MV</w:t>
      </w:r>
      <w:r w:rsidRPr="000111E3">
        <w:rPr>
          <w:rStyle w:val="FootnoteReference"/>
          <w:sz w:val="20"/>
          <w:szCs w:val="20"/>
        </w:rPr>
        <w:footnoteReference w:id="84"/>
      </w:r>
      <w:r w:rsidRPr="000111E3">
        <w:rPr>
          <w:szCs w:val="20"/>
        </w:rPr>
        <w:t>.</w:t>
      </w:r>
      <w:r w:rsidRPr="000111E3">
        <w:rPr>
          <w:b/>
          <w:szCs w:val="20"/>
        </w:rPr>
        <w:t xml:space="preserve"> </w:t>
      </w:r>
      <w:r w:rsidRPr="000111E3">
        <w:rPr>
          <w:szCs w:val="20"/>
        </w:rPr>
        <w:t>El informe señaló que: a) se “solicitó al Registro Nacional de las Personas patrón fotográfico de cada</w:t>
      </w:r>
      <w:r w:rsidRPr="00206546">
        <w:rPr>
          <w:szCs w:val="20"/>
        </w:rPr>
        <w:t xml:space="preserve"> </w:t>
      </w:r>
      <w:r w:rsidRPr="00E21790">
        <w:rPr>
          <w:szCs w:val="20"/>
        </w:rPr>
        <w:t>uno de [los sospechosos]</w:t>
      </w:r>
      <w:r w:rsidRPr="00A92D28">
        <w:rPr>
          <w:szCs w:val="20"/>
        </w:rPr>
        <w:t xml:space="preserve"> para </w:t>
      </w:r>
      <w:proofErr w:type="spellStart"/>
      <w:r w:rsidRPr="00A92D28">
        <w:rPr>
          <w:szCs w:val="20"/>
        </w:rPr>
        <w:t>mostr</w:t>
      </w:r>
      <w:proofErr w:type="spellEnd"/>
      <w:r w:rsidRPr="00A92D28">
        <w:rPr>
          <w:szCs w:val="20"/>
        </w:rPr>
        <w:t>[á]</w:t>
      </w:r>
      <w:proofErr w:type="spellStart"/>
      <w:r w:rsidRPr="00A92D28">
        <w:rPr>
          <w:szCs w:val="20"/>
        </w:rPr>
        <w:t>rselos</w:t>
      </w:r>
      <w:proofErr w:type="spellEnd"/>
      <w:r w:rsidRPr="00A92D28">
        <w:rPr>
          <w:szCs w:val="20"/>
        </w:rPr>
        <w:t xml:space="preserve"> a algunos de los testigos, pero no se obtuvo ningún resultado positivo”; b) el 25 de enero de 2002 se realizaron allanamientos en las viviendas de los hermanos C y de </w:t>
      </w:r>
      <w:r w:rsidRPr="00727822">
        <w:rPr>
          <w:szCs w:val="20"/>
        </w:rPr>
        <w:t>JE (</w:t>
      </w:r>
      <w:r w:rsidRPr="00727822">
        <w:rPr>
          <w:i/>
          <w:szCs w:val="20"/>
        </w:rPr>
        <w:t>supra</w:t>
      </w:r>
      <w:r w:rsidRPr="00727822">
        <w:rPr>
          <w:szCs w:val="20"/>
        </w:rPr>
        <w:t xml:space="preserve"> párr. </w:t>
      </w:r>
      <w:r w:rsidR="00896F18" w:rsidRPr="00727822">
        <w:rPr>
          <w:szCs w:val="20"/>
        </w:rPr>
        <w:t>41</w:t>
      </w:r>
      <w:r w:rsidRPr="00727822">
        <w:rPr>
          <w:szCs w:val="20"/>
        </w:rPr>
        <w:t>); c) se contaba con testigos que conocen a los hermanos C y que habían declarado que podían</w:t>
      </w:r>
      <w:r w:rsidRPr="00A92D28">
        <w:rPr>
          <w:szCs w:val="20"/>
        </w:rPr>
        <w:t xml:space="preserve"> estar involucrados en el hecho, ya que con ellos el señor Pacheco había tenido problemas por la actividad política;</w:t>
      </w:r>
      <w:r w:rsidRPr="00A92D28">
        <w:rPr>
          <w:b/>
          <w:szCs w:val="20"/>
        </w:rPr>
        <w:t xml:space="preserve"> </w:t>
      </w:r>
      <w:r w:rsidRPr="00A92D28">
        <w:rPr>
          <w:szCs w:val="20"/>
        </w:rPr>
        <w:t>d) se había obtenido información de que una semana antes de la muerte del señor Pacheco, BC</w:t>
      </w:r>
      <w:r w:rsidR="00B73D97" w:rsidRPr="00A92D28">
        <w:rPr>
          <w:szCs w:val="20"/>
        </w:rPr>
        <w:t xml:space="preserve"> </w:t>
      </w:r>
      <w:r w:rsidRPr="00A92D28">
        <w:rPr>
          <w:szCs w:val="20"/>
        </w:rPr>
        <w:t>habría comprado un arma de 9 mm (o sea, del tipo que se utilizó en el hecho)</w:t>
      </w:r>
      <w:r w:rsidRPr="00C011CF">
        <w:rPr>
          <w:rStyle w:val="FootnoteReference"/>
          <w:sz w:val="20"/>
          <w:szCs w:val="20"/>
        </w:rPr>
        <w:footnoteReference w:id="85"/>
      </w:r>
      <w:r w:rsidRPr="00A92D28">
        <w:rPr>
          <w:szCs w:val="20"/>
        </w:rPr>
        <w:t xml:space="preserve">. </w:t>
      </w:r>
      <w:r w:rsidRPr="00A92D28">
        <w:rPr>
          <w:rFonts w:cs="Arial"/>
          <w:szCs w:val="20"/>
        </w:rPr>
        <w:t>El Informe concluyó que “[BC, JE, R</w:t>
      </w:r>
      <w:r w:rsidR="00AC477C">
        <w:rPr>
          <w:rFonts w:cs="Arial"/>
          <w:szCs w:val="20"/>
        </w:rPr>
        <w:t>P</w:t>
      </w:r>
      <w:r w:rsidRPr="00A92D28">
        <w:rPr>
          <w:rFonts w:cs="Arial"/>
          <w:szCs w:val="20"/>
        </w:rPr>
        <w:t xml:space="preserve"> y MV…] pudieran ser los responsables intelectuales del </w:t>
      </w:r>
      <w:r w:rsidR="001600D1" w:rsidRPr="00A92D28">
        <w:rPr>
          <w:rFonts w:cs="Arial"/>
          <w:szCs w:val="20"/>
        </w:rPr>
        <w:t>homicidio</w:t>
      </w:r>
      <w:r w:rsidRPr="00A92D28">
        <w:rPr>
          <w:rFonts w:cs="Arial"/>
          <w:szCs w:val="20"/>
        </w:rPr>
        <w:t xml:space="preserve"> del señor Pacheco, pero aún no existe evidencia alguna que los involucre en el hecho; por lo que [la DGIC] </w:t>
      </w:r>
      <w:proofErr w:type="spellStart"/>
      <w:proofErr w:type="gramStart"/>
      <w:r w:rsidRPr="00A92D28">
        <w:rPr>
          <w:rFonts w:cs="Arial"/>
          <w:szCs w:val="20"/>
        </w:rPr>
        <w:t>segui</w:t>
      </w:r>
      <w:proofErr w:type="spellEnd"/>
      <w:r w:rsidRPr="00A92D28">
        <w:rPr>
          <w:rFonts w:cs="Arial"/>
          <w:szCs w:val="20"/>
        </w:rPr>
        <w:t>[</w:t>
      </w:r>
      <w:proofErr w:type="gramEnd"/>
      <w:r w:rsidRPr="00A92D28">
        <w:rPr>
          <w:rFonts w:cs="Arial"/>
          <w:szCs w:val="20"/>
        </w:rPr>
        <w:t>ría] investigando”</w:t>
      </w:r>
      <w:r w:rsidRPr="00C011CF">
        <w:rPr>
          <w:rStyle w:val="FootnoteReference"/>
          <w:rFonts w:cs="Arial"/>
          <w:sz w:val="20"/>
          <w:szCs w:val="20"/>
        </w:rPr>
        <w:footnoteReference w:id="86"/>
      </w:r>
      <w:r w:rsidRPr="00A92D28">
        <w:rPr>
          <w:rFonts w:cs="Arial"/>
          <w:szCs w:val="20"/>
        </w:rPr>
        <w:t>.</w:t>
      </w:r>
    </w:p>
    <w:p w14:paraId="66A79264" w14:textId="77777777" w:rsidR="008A2AE0" w:rsidRPr="00C011CF" w:rsidRDefault="008A2AE0" w:rsidP="008A2AE0">
      <w:pPr>
        <w:tabs>
          <w:tab w:val="left" w:pos="-709"/>
        </w:tabs>
        <w:rPr>
          <w:szCs w:val="20"/>
          <w:lang w:val="es-CR" w:eastAsia="es-MX"/>
        </w:rPr>
      </w:pPr>
    </w:p>
    <w:p w14:paraId="45A7FD3D" w14:textId="13EBF1DD" w:rsidR="008A2AE0" w:rsidRPr="00C31D73" w:rsidRDefault="008A2AE0" w:rsidP="008A2AE0">
      <w:pPr>
        <w:pStyle w:val="PrrafodeSentencia"/>
        <w:tabs>
          <w:tab w:val="clear" w:pos="567"/>
          <w:tab w:val="left" w:pos="-709"/>
        </w:tabs>
        <w:ind w:left="0" w:firstLine="0"/>
        <w:rPr>
          <w:rFonts w:cs="Cambria"/>
          <w:b/>
          <w:sz w:val="16"/>
          <w:szCs w:val="16"/>
        </w:rPr>
      </w:pPr>
      <w:r w:rsidRPr="00C011CF">
        <w:rPr>
          <w:rFonts w:cs="Cambria"/>
          <w:szCs w:val="20"/>
        </w:rPr>
        <w:lastRenderedPageBreak/>
        <w:t>El 15 de julio de 2004 el Fiscal del Ministerio Público del departamento de Valle presentó un informe sobre e</w:t>
      </w:r>
      <w:r>
        <w:rPr>
          <w:rFonts w:cs="Cambria"/>
          <w:szCs w:val="20"/>
        </w:rPr>
        <w:t>l estado de la investigación, en el cual se</w:t>
      </w:r>
      <w:r w:rsidRPr="00C011CF">
        <w:rPr>
          <w:rFonts w:cs="Cambria"/>
          <w:szCs w:val="20"/>
        </w:rPr>
        <w:t xml:space="preserve"> indicó que “el dictamen de la autopsia […] al señor […] Pacheco no se encuen</w:t>
      </w:r>
      <w:r>
        <w:rPr>
          <w:rFonts w:cs="Cambria"/>
          <w:szCs w:val="20"/>
        </w:rPr>
        <w:t xml:space="preserve">tra en el expediente judicial”, y </w:t>
      </w:r>
      <w:r w:rsidRPr="00C011CF">
        <w:rPr>
          <w:rFonts w:cs="Cambria"/>
          <w:szCs w:val="20"/>
        </w:rPr>
        <w:t>que “la última diligencia fiscal es una solicitud de notificación por cédula” de 13 de febrero de 2002”</w:t>
      </w:r>
      <w:r w:rsidRPr="00C011CF">
        <w:rPr>
          <w:rStyle w:val="FootnoteReference"/>
          <w:rFonts w:cs="Cambria"/>
          <w:sz w:val="20"/>
          <w:szCs w:val="20"/>
        </w:rPr>
        <w:footnoteReference w:id="87"/>
      </w:r>
      <w:r w:rsidRPr="00C011CF">
        <w:rPr>
          <w:rFonts w:cs="Cambria"/>
          <w:szCs w:val="20"/>
        </w:rPr>
        <w:t xml:space="preserve">. </w:t>
      </w:r>
    </w:p>
    <w:p w14:paraId="58AAF11D" w14:textId="77777777" w:rsidR="008A2AE0" w:rsidRPr="00C011CF" w:rsidRDefault="008A2AE0" w:rsidP="008A2AE0">
      <w:pPr>
        <w:tabs>
          <w:tab w:val="left" w:pos="-709"/>
        </w:tabs>
        <w:rPr>
          <w:szCs w:val="20"/>
          <w:lang w:val="es-CR" w:eastAsia="es-MX"/>
        </w:rPr>
      </w:pPr>
    </w:p>
    <w:p w14:paraId="30F0CB37" w14:textId="2146C2D8" w:rsidR="008A2AE0" w:rsidRPr="00C011CF" w:rsidRDefault="008A2AE0" w:rsidP="008A2AE0">
      <w:pPr>
        <w:pStyle w:val="PrrafodeSentencia"/>
        <w:tabs>
          <w:tab w:val="clear" w:pos="567"/>
          <w:tab w:val="left" w:pos="-709"/>
        </w:tabs>
        <w:ind w:left="0" w:firstLine="0"/>
        <w:rPr>
          <w:szCs w:val="20"/>
        </w:rPr>
      </w:pPr>
      <w:r w:rsidRPr="00C011CF">
        <w:rPr>
          <w:szCs w:val="20"/>
        </w:rPr>
        <w:t xml:space="preserve">El 30 de septiembre de 2004 el señor </w:t>
      </w:r>
      <w:r>
        <w:rPr>
          <w:szCs w:val="20"/>
        </w:rPr>
        <w:t>SM</w:t>
      </w:r>
      <w:r w:rsidRPr="00C011CF">
        <w:rPr>
          <w:rStyle w:val="FootnoteReference"/>
          <w:sz w:val="20"/>
          <w:szCs w:val="20"/>
        </w:rPr>
        <w:footnoteReference w:id="88"/>
      </w:r>
      <w:r>
        <w:rPr>
          <w:szCs w:val="20"/>
        </w:rPr>
        <w:t xml:space="preserve"> rindió </w:t>
      </w:r>
      <w:r w:rsidRPr="00C011CF">
        <w:rPr>
          <w:szCs w:val="20"/>
        </w:rPr>
        <w:t>declaración ante la DGIC</w:t>
      </w:r>
      <w:r>
        <w:rPr>
          <w:szCs w:val="20"/>
        </w:rPr>
        <w:t>.</w:t>
      </w:r>
      <w:r w:rsidRPr="00C011CF">
        <w:rPr>
          <w:szCs w:val="20"/>
        </w:rPr>
        <w:t xml:space="preserve"> </w:t>
      </w:r>
      <w:r>
        <w:rPr>
          <w:szCs w:val="20"/>
        </w:rPr>
        <w:t>El 11 de octubre de 2004 la</w:t>
      </w:r>
      <w:r w:rsidRPr="00C011CF">
        <w:rPr>
          <w:szCs w:val="20"/>
        </w:rPr>
        <w:t xml:space="preserve"> DGIC emitió un documento </w:t>
      </w:r>
      <w:r>
        <w:rPr>
          <w:szCs w:val="20"/>
        </w:rPr>
        <w:t>que indica</w:t>
      </w:r>
      <w:r w:rsidRPr="00C011CF">
        <w:rPr>
          <w:szCs w:val="20"/>
        </w:rPr>
        <w:t xml:space="preserve"> que luego de que el expediente de la investigación se remitiera a la “oficina departamental de Valle” (</w:t>
      </w:r>
      <w:r w:rsidRPr="00727822">
        <w:rPr>
          <w:i/>
          <w:szCs w:val="20"/>
        </w:rPr>
        <w:t>supra</w:t>
      </w:r>
      <w:r w:rsidRPr="00C011CF">
        <w:rPr>
          <w:szCs w:val="20"/>
        </w:rPr>
        <w:t xml:space="preserve"> párr. </w:t>
      </w:r>
      <w:r w:rsidR="00CB7D28">
        <w:rPr>
          <w:szCs w:val="20"/>
        </w:rPr>
        <w:t>32</w:t>
      </w:r>
      <w:r w:rsidRPr="00C011CF">
        <w:rPr>
          <w:szCs w:val="20"/>
        </w:rPr>
        <w:t>), se habían realizado “las siguientes diligencias”: a) “[s]e ubicaron a todos los testigos que [habían] declara[do] en […] 2001</w:t>
      </w:r>
      <w:r>
        <w:rPr>
          <w:szCs w:val="20"/>
        </w:rPr>
        <w:t>[,]</w:t>
      </w:r>
      <w:r w:rsidRPr="00C011CF">
        <w:rPr>
          <w:szCs w:val="20"/>
        </w:rPr>
        <w:t xml:space="preserve"> constatando que n</w:t>
      </w:r>
      <w:r>
        <w:rPr>
          <w:szCs w:val="20"/>
        </w:rPr>
        <w:t>inguno tiene indicios nuevos”; b</w:t>
      </w:r>
      <w:r w:rsidRPr="00C011CF">
        <w:rPr>
          <w:szCs w:val="20"/>
        </w:rPr>
        <w:t>) “se [estaba] gestiona[</w:t>
      </w:r>
      <w:proofErr w:type="spellStart"/>
      <w:r w:rsidRPr="00C011CF">
        <w:rPr>
          <w:szCs w:val="20"/>
        </w:rPr>
        <w:t>ndo</w:t>
      </w:r>
      <w:proofErr w:type="spellEnd"/>
      <w:r w:rsidRPr="00C011CF">
        <w:rPr>
          <w:szCs w:val="20"/>
        </w:rPr>
        <w:t xml:space="preserve">] ante Medicina Forense realizar pruebas de ADN, ya que en un dictamen sobre las tres personas detenidas [el 24 o 25 de </w:t>
      </w:r>
      <w:r w:rsidR="007179E1" w:rsidRPr="00727822">
        <w:rPr>
          <w:szCs w:val="20"/>
        </w:rPr>
        <w:t>noviembre</w:t>
      </w:r>
      <w:r w:rsidRPr="00727822">
        <w:rPr>
          <w:szCs w:val="20"/>
        </w:rPr>
        <w:t xml:space="preserve"> de 200</w:t>
      </w:r>
      <w:r w:rsidR="007179E1" w:rsidRPr="00727822">
        <w:rPr>
          <w:szCs w:val="20"/>
        </w:rPr>
        <w:t>1</w:t>
      </w:r>
      <w:r w:rsidRPr="00727822">
        <w:rPr>
          <w:szCs w:val="20"/>
        </w:rPr>
        <w:t xml:space="preserve"> (</w:t>
      </w:r>
      <w:r w:rsidRPr="00727822">
        <w:rPr>
          <w:i/>
          <w:szCs w:val="20"/>
        </w:rPr>
        <w:t xml:space="preserve">supra </w:t>
      </w:r>
      <w:r w:rsidRPr="00727822">
        <w:rPr>
          <w:szCs w:val="20"/>
        </w:rPr>
        <w:t xml:space="preserve">párr. </w:t>
      </w:r>
      <w:r w:rsidR="007179E1" w:rsidRPr="00727822">
        <w:rPr>
          <w:szCs w:val="20"/>
        </w:rPr>
        <w:t>36</w:t>
      </w:r>
      <w:r w:rsidRPr="00727822">
        <w:rPr>
          <w:szCs w:val="20"/>
        </w:rPr>
        <w:t>)] se encontraron</w:t>
      </w:r>
      <w:r w:rsidRPr="00C011CF">
        <w:rPr>
          <w:szCs w:val="20"/>
        </w:rPr>
        <w:t xml:space="preserve"> manchas de sangre humana del tipo A positivo compatibles con el RH de[l señor Pacheco]”; c) se [… mantenían] constantes reuniones con […] Fiscales del Ministerio Público y con el señor José Pacheco”; d) “se ubicó una persona […] que brindó la información siguiente: [q]</w:t>
      </w:r>
      <w:proofErr w:type="spellStart"/>
      <w:r w:rsidRPr="00C011CF">
        <w:rPr>
          <w:szCs w:val="20"/>
        </w:rPr>
        <w:t>ue</w:t>
      </w:r>
      <w:proofErr w:type="spellEnd"/>
      <w:r w:rsidRPr="00C011CF">
        <w:rPr>
          <w:szCs w:val="20"/>
        </w:rPr>
        <w:t xml:space="preserve"> probablemente quien </w:t>
      </w:r>
      <w:proofErr w:type="spellStart"/>
      <w:r w:rsidRPr="00C011CF">
        <w:rPr>
          <w:szCs w:val="20"/>
        </w:rPr>
        <w:t>hab</w:t>
      </w:r>
      <w:proofErr w:type="spellEnd"/>
      <w:r w:rsidRPr="00C011CF">
        <w:rPr>
          <w:szCs w:val="20"/>
        </w:rPr>
        <w:t>[í]a asesinado al [señor] Pacheco Le[</w:t>
      </w:r>
      <w:proofErr w:type="spellStart"/>
      <w:r w:rsidRPr="00C011CF">
        <w:rPr>
          <w:szCs w:val="20"/>
        </w:rPr>
        <w:t>ó</w:t>
      </w:r>
      <w:proofErr w:type="spellEnd"/>
      <w:r w:rsidRPr="00C011CF">
        <w:rPr>
          <w:szCs w:val="20"/>
        </w:rPr>
        <w:t xml:space="preserve">]n, fue el señor: </w:t>
      </w:r>
      <w:r>
        <w:rPr>
          <w:szCs w:val="20"/>
        </w:rPr>
        <w:t>EC</w:t>
      </w:r>
      <w:r w:rsidRPr="00C011CF">
        <w:rPr>
          <w:szCs w:val="20"/>
        </w:rPr>
        <w:t xml:space="preserve">, el cual no se ha podido localizar porque no tiene residencia fija ya que pasa de hotel en hotel en Tegucigalpa y la Costa Norte”, y e) “se </w:t>
      </w:r>
      <w:proofErr w:type="spellStart"/>
      <w:r w:rsidRPr="00C011CF">
        <w:rPr>
          <w:szCs w:val="20"/>
        </w:rPr>
        <w:t>esta</w:t>
      </w:r>
      <w:proofErr w:type="spellEnd"/>
      <w:r w:rsidRPr="00C011CF">
        <w:rPr>
          <w:szCs w:val="20"/>
        </w:rPr>
        <w:t>[</w:t>
      </w:r>
      <w:proofErr w:type="spellStart"/>
      <w:r w:rsidRPr="00C011CF">
        <w:rPr>
          <w:szCs w:val="20"/>
        </w:rPr>
        <w:t>ba</w:t>
      </w:r>
      <w:proofErr w:type="spellEnd"/>
      <w:r w:rsidRPr="00C011CF">
        <w:rPr>
          <w:szCs w:val="20"/>
        </w:rPr>
        <w:t xml:space="preserve">] verificando </w:t>
      </w:r>
      <w:r>
        <w:rPr>
          <w:szCs w:val="20"/>
        </w:rPr>
        <w:t>actualmente” otra “información”,</w:t>
      </w:r>
      <w:r w:rsidRPr="00C011CF">
        <w:rPr>
          <w:szCs w:val="20"/>
        </w:rPr>
        <w:t xml:space="preserve"> que una persona […] contrató a dos personas desconocidas para que cometiera[n] el </w:t>
      </w:r>
      <w:r w:rsidR="001600D1">
        <w:rPr>
          <w:szCs w:val="20"/>
        </w:rPr>
        <w:t>[homicidio]</w:t>
      </w:r>
      <w:r w:rsidRPr="00C011CF">
        <w:rPr>
          <w:szCs w:val="20"/>
        </w:rPr>
        <w:t xml:space="preserve">”. </w:t>
      </w:r>
      <w:r>
        <w:rPr>
          <w:szCs w:val="20"/>
        </w:rPr>
        <w:t xml:space="preserve">Según el </w:t>
      </w:r>
      <w:r w:rsidRPr="00C011CF">
        <w:rPr>
          <w:szCs w:val="20"/>
        </w:rPr>
        <w:t xml:space="preserve">documento, las “dos últimas informaciones [eran] las que </w:t>
      </w:r>
      <w:proofErr w:type="gramStart"/>
      <w:r w:rsidRPr="00C011CF">
        <w:rPr>
          <w:szCs w:val="20"/>
        </w:rPr>
        <w:t>t[</w:t>
      </w:r>
      <w:proofErr w:type="spellStart"/>
      <w:proofErr w:type="gramEnd"/>
      <w:r w:rsidRPr="00C011CF">
        <w:rPr>
          <w:szCs w:val="20"/>
        </w:rPr>
        <w:t>enían</w:t>
      </w:r>
      <w:proofErr w:type="spellEnd"/>
      <w:r w:rsidRPr="00C011CF">
        <w:rPr>
          <w:szCs w:val="20"/>
        </w:rPr>
        <w:t>] mayor probabilidad para el esclarecimiento del […] caso” y “[p]ara la [r]</w:t>
      </w:r>
      <w:proofErr w:type="spellStart"/>
      <w:r w:rsidRPr="00C011CF">
        <w:rPr>
          <w:szCs w:val="20"/>
        </w:rPr>
        <w:t>esolución</w:t>
      </w:r>
      <w:proofErr w:type="spellEnd"/>
      <w:r w:rsidRPr="00C011CF">
        <w:rPr>
          <w:szCs w:val="20"/>
        </w:rPr>
        <w:t xml:space="preserve"> del [mismo] solo falta[</w:t>
      </w:r>
      <w:proofErr w:type="spellStart"/>
      <w:r w:rsidRPr="00C011CF">
        <w:rPr>
          <w:szCs w:val="20"/>
        </w:rPr>
        <w:t>ba</w:t>
      </w:r>
      <w:proofErr w:type="spellEnd"/>
      <w:r w:rsidRPr="00C011CF">
        <w:rPr>
          <w:szCs w:val="20"/>
        </w:rPr>
        <w:t>] la vigilancia y ubicación de estas personas ya que no t[</w:t>
      </w:r>
      <w:proofErr w:type="spellStart"/>
      <w:r w:rsidRPr="00C011CF">
        <w:rPr>
          <w:szCs w:val="20"/>
        </w:rPr>
        <w:t>enían</w:t>
      </w:r>
      <w:proofErr w:type="spellEnd"/>
      <w:r w:rsidRPr="00C011CF">
        <w:rPr>
          <w:szCs w:val="20"/>
        </w:rPr>
        <w:t>] un domicilio fijo”</w:t>
      </w:r>
      <w:r w:rsidRPr="00C011CF">
        <w:rPr>
          <w:rStyle w:val="FootnoteReference"/>
          <w:sz w:val="20"/>
          <w:szCs w:val="20"/>
        </w:rPr>
        <w:footnoteReference w:id="89"/>
      </w:r>
      <w:r w:rsidRPr="00C011CF">
        <w:rPr>
          <w:szCs w:val="20"/>
        </w:rPr>
        <w:t>. Para el 1 de marzo de 2005 todavía no se había podido localizar al señor EC y continuaba “</w:t>
      </w:r>
      <w:proofErr w:type="gramStart"/>
      <w:r w:rsidRPr="00C011CF">
        <w:rPr>
          <w:szCs w:val="20"/>
        </w:rPr>
        <w:t>gestión[</w:t>
      </w:r>
      <w:proofErr w:type="spellStart"/>
      <w:proofErr w:type="gramEnd"/>
      <w:r w:rsidRPr="00C011CF">
        <w:rPr>
          <w:szCs w:val="20"/>
        </w:rPr>
        <w:t>ándose</w:t>
      </w:r>
      <w:proofErr w:type="spellEnd"/>
      <w:r>
        <w:rPr>
          <w:szCs w:val="20"/>
        </w:rPr>
        <w:t>]</w:t>
      </w:r>
      <w:r w:rsidRPr="00C011CF">
        <w:rPr>
          <w:szCs w:val="20"/>
        </w:rPr>
        <w:t>” la referida prueba de ADN, así como manteniéndose las reuniones aludidas</w:t>
      </w:r>
      <w:r w:rsidRPr="00C011CF">
        <w:rPr>
          <w:rStyle w:val="FootnoteReference"/>
          <w:sz w:val="20"/>
          <w:szCs w:val="20"/>
        </w:rPr>
        <w:footnoteReference w:id="90"/>
      </w:r>
      <w:r w:rsidRPr="00C011CF">
        <w:rPr>
          <w:szCs w:val="20"/>
        </w:rPr>
        <w:t xml:space="preserve">. </w:t>
      </w:r>
    </w:p>
    <w:p w14:paraId="20B0C31E" w14:textId="77777777" w:rsidR="008A2AE0" w:rsidRPr="00C011CF" w:rsidRDefault="008A2AE0" w:rsidP="008A2AE0">
      <w:pPr>
        <w:tabs>
          <w:tab w:val="left" w:pos="-709"/>
        </w:tabs>
        <w:rPr>
          <w:szCs w:val="20"/>
        </w:rPr>
      </w:pPr>
    </w:p>
    <w:p w14:paraId="383A09F9" w14:textId="1352F38D" w:rsidR="008A2AE0" w:rsidRPr="00C011CF" w:rsidRDefault="008A2AE0" w:rsidP="008A2AE0">
      <w:pPr>
        <w:pStyle w:val="PrrafodeSentencia"/>
        <w:tabs>
          <w:tab w:val="clear" w:pos="567"/>
          <w:tab w:val="left" w:pos="-709"/>
        </w:tabs>
        <w:ind w:left="0" w:firstLine="0"/>
        <w:rPr>
          <w:szCs w:val="20"/>
        </w:rPr>
      </w:pPr>
      <w:r w:rsidRPr="00C011CF">
        <w:rPr>
          <w:szCs w:val="20"/>
        </w:rPr>
        <w:t xml:space="preserve">El </w:t>
      </w:r>
      <w:r w:rsidR="002448B6" w:rsidRPr="00F07B77">
        <w:rPr>
          <w:szCs w:val="20"/>
        </w:rPr>
        <w:t>20 de septiembre</w:t>
      </w:r>
      <w:r w:rsidRPr="00F262A7">
        <w:rPr>
          <w:b/>
          <w:szCs w:val="20"/>
        </w:rPr>
        <w:t xml:space="preserve"> </w:t>
      </w:r>
      <w:r w:rsidRPr="00C011CF">
        <w:rPr>
          <w:szCs w:val="20"/>
        </w:rPr>
        <w:t xml:space="preserve">de 2004 el Juzgado dispuso que se realice un “análisis comparativo de ADN en las </w:t>
      </w:r>
      <w:r w:rsidRPr="000111E3">
        <w:rPr>
          <w:szCs w:val="20"/>
        </w:rPr>
        <w:t>vestimentas por supuestas manchas de sangre que portaban [JM, HE y FV]</w:t>
      </w:r>
      <w:r w:rsidRPr="00C011CF">
        <w:rPr>
          <w:szCs w:val="20"/>
        </w:rPr>
        <w:t xml:space="preserve"> </w:t>
      </w:r>
      <w:r w:rsidR="001665FB">
        <w:rPr>
          <w:szCs w:val="20"/>
        </w:rPr>
        <w:t xml:space="preserve">el </w:t>
      </w:r>
      <w:r w:rsidRPr="00C011CF">
        <w:rPr>
          <w:szCs w:val="20"/>
        </w:rPr>
        <w:t>día de su detención con la muestra de sangre recolectada en la autopsia forense practicada en [el cuerpo del señor] Pacheco</w:t>
      </w:r>
      <w:r>
        <w:rPr>
          <w:szCs w:val="20"/>
        </w:rPr>
        <w:t>”</w:t>
      </w:r>
      <w:r w:rsidRPr="00C011CF">
        <w:rPr>
          <w:rStyle w:val="FootnoteReference"/>
          <w:sz w:val="20"/>
          <w:szCs w:val="20"/>
        </w:rPr>
        <w:footnoteReference w:id="91"/>
      </w:r>
      <w:r w:rsidRPr="00C011CF">
        <w:rPr>
          <w:szCs w:val="20"/>
        </w:rPr>
        <w:t>.</w:t>
      </w:r>
    </w:p>
    <w:p w14:paraId="259D7884" w14:textId="77777777" w:rsidR="008A2AE0" w:rsidRDefault="008A2AE0" w:rsidP="008A2AE0">
      <w:pPr>
        <w:tabs>
          <w:tab w:val="left" w:pos="-709"/>
        </w:tabs>
        <w:rPr>
          <w:szCs w:val="20"/>
          <w:lang w:val="es-CR" w:eastAsia="es-MX"/>
        </w:rPr>
      </w:pPr>
    </w:p>
    <w:p w14:paraId="25251860" w14:textId="09D96AC7" w:rsidR="008A2AE0" w:rsidRPr="00E70BEE" w:rsidRDefault="008A2AE0" w:rsidP="008A2AE0">
      <w:pPr>
        <w:pStyle w:val="PrrafodeSentencia"/>
        <w:tabs>
          <w:tab w:val="clear" w:pos="567"/>
          <w:tab w:val="left" w:pos="-709"/>
        </w:tabs>
        <w:ind w:left="0" w:firstLine="0"/>
        <w:rPr>
          <w:rFonts w:cs="Cambria"/>
          <w:b/>
          <w:szCs w:val="20"/>
        </w:rPr>
      </w:pPr>
      <w:r w:rsidRPr="00C011CF">
        <w:rPr>
          <w:szCs w:val="20"/>
        </w:rPr>
        <w:t xml:space="preserve">De conformidad </w:t>
      </w:r>
      <w:r w:rsidR="00D16DD2">
        <w:rPr>
          <w:szCs w:val="20"/>
        </w:rPr>
        <w:t>con</w:t>
      </w:r>
      <w:r w:rsidRPr="00C011CF">
        <w:rPr>
          <w:szCs w:val="20"/>
        </w:rPr>
        <w:t xml:space="preserve"> lo señalado por el Estado ante la Comisión, en fecha que no indicó, la muestra de sangre del señor Pacheco obtenida durante su autopsia fue destruida porque “el motor del cuarto frío donde se encontraba se fundió por </w:t>
      </w:r>
      <w:r w:rsidR="002448B6">
        <w:rPr>
          <w:szCs w:val="20"/>
        </w:rPr>
        <w:t>[</w:t>
      </w:r>
      <w:r w:rsidRPr="00C011CF">
        <w:rPr>
          <w:szCs w:val="20"/>
        </w:rPr>
        <w:t>el</w:t>
      </w:r>
      <w:r w:rsidR="002448B6">
        <w:rPr>
          <w:szCs w:val="20"/>
        </w:rPr>
        <w:t>]</w:t>
      </w:r>
      <w:r w:rsidRPr="00C011CF">
        <w:rPr>
          <w:szCs w:val="20"/>
        </w:rPr>
        <w:t xml:space="preserve"> </w:t>
      </w:r>
      <w:proofErr w:type="gramStart"/>
      <w:r w:rsidRPr="00C011CF">
        <w:rPr>
          <w:szCs w:val="20"/>
        </w:rPr>
        <w:t>esta[</w:t>
      </w:r>
      <w:proofErr w:type="spellStart"/>
      <w:proofErr w:type="gramEnd"/>
      <w:r w:rsidRPr="00C011CF">
        <w:rPr>
          <w:szCs w:val="20"/>
        </w:rPr>
        <w:t>llido</w:t>
      </w:r>
      <w:proofErr w:type="spellEnd"/>
      <w:r w:rsidRPr="00C011CF">
        <w:rPr>
          <w:szCs w:val="20"/>
        </w:rPr>
        <w:t>] de un transformador de energía del edificio”. El Estado también indicó que “inmediatamente después [</w:t>
      </w:r>
      <w:r w:rsidR="0047616C">
        <w:rPr>
          <w:szCs w:val="20"/>
        </w:rPr>
        <w:t>de ese acontecimiento]</w:t>
      </w:r>
      <w:r w:rsidRPr="00C011CF">
        <w:rPr>
          <w:szCs w:val="20"/>
        </w:rPr>
        <w:t xml:space="preserve"> se […] </w:t>
      </w:r>
      <w:proofErr w:type="spellStart"/>
      <w:r w:rsidRPr="00C011CF">
        <w:rPr>
          <w:szCs w:val="20"/>
        </w:rPr>
        <w:t>solicit</w:t>
      </w:r>
      <w:proofErr w:type="spellEnd"/>
      <w:r w:rsidRPr="00C011CF">
        <w:rPr>
          <w:szCs w:val="20"/>
        </w:rPr>
        <w:t>[</w:t>
      </w:r>
      <w:proofErr w:type="spellStart"/>
      <w:r w:rsidRPr="00C011CF">
        <w:rPr>
          <w:szCs w:val="20"/>
        </w:rPr>
        <w:t>ó</w:t>
      </w:r>
      <w:proofErr w:type="spellEnd"/>
      <w:r w:rsidRPr="00C011CF">
        <w:rPr>
          <w:szCs w:val="20"/>
        </w:rPr>
        <w:t>] la exhumación del cadáver, obteniendo de esta manera las muestras necesarias”</w:t>
      </w:r>
      <w:r w:rsidRPr="00C011CF">
        <w:rPr>
          <w:rStyle w:val="FootnoteReference"/>
          <w:sz w:val="20"/>
          <w:szCs w:val="20"/>
        </w:rPr>
        <w:footnoteReference w:id="92"/>
      </w:r>
      <w:r w:rsidRPr="00C011CF">
        <w:rPr>
          <w:szCs w:val="20"/>
        </w:rPr>
        <w:t>.</w:t>
      </w:r>
      <w:r>
        <w:rPr>
          <w:szCs w:val="20"/>
        </w:rPr>
        <w:t xml:space="preserve"> </w:t>
      </w:r>
      <w:r w:rsidRPr="00C011CF">
        <w:rPr>
          <w:rFonts w:cs="Cambria"/>
          <w:szCs w:val="20"/>
        </w:rPr>
        <w:t>Conforme detalló el Esta</w:t>
      </w:r>
      <w:r>
        <w:rPr>
          <w:rFonts w:cs="Cambria"/>
          <w:szCs w:val="20"/>
        </w:rPr>
        <w:t xml:space="preserve">do, el 16 de septiembre de </w:t>
      </w:r>
      <w:r w:rsidRPr="00C011CF">
        <w:rPr>
          <w:rFonts w:cs="Cambria"/>
          <w:szCs w:val="20"/>
        </w:rPr>
        <w:t>2005 se autorizó una diligencia de exhumación del cadáver y toma de muestras de ADN</w:t>
      </w:r>
      <w:r w:rsidRPr="00C011CF">
        <w:rPr>
          <w:rStyle w:val="FootnoteReference"/>
          <w:rFonts w:cs="Cambria"/>
          <w:sz w:val="20"/>
          <w:szCs w:val="20"/>
        </w:rPr>
        <w:footnoteReference w:id="93"/>
      </w:r>
      <w:r>
        <w:rPr>
          <w:rFonts w:cs="Cambria"/>
          <w:szCs w:val="20"/>
        </w:rPr>
        <w:t>,</w:t>
      </w:r>
      <w:r w:rsidRPr="00C011CF">
        <w:rPr>
          <w:rFonts w:cs="Cambria"/>
          <w:szCs w:val="20"/>
        </w:rPr>
        <w:t xml:space="preserve"> </w:t>
      </w:r>
      <w:r>
        <w:rPr>
          <w:rFonts w:cs="Arial"/>
          <w:szCs w:val="20"/>
        </w:rPr>
        <w:t xml:space="preserve">la cual </w:t>
      </w:r>
      <w:r w:rsidRPr="00C011CF">
        <w:rPr>
          <w:rFonts w:cs="Arial"/>
          <w:szCs w:val="20"/>
        </w:rPr>
        <w:t>fue realizada, efectuándose un análisis con</w:t>
      </w:r>
      <w:r w:rsidRPr="00C011CF">
        <w:rPr>
          <w:rFonts w:cs="Cambria"/>
          <w:szCs w:val="20"/>
        </w:rPr>
        <w:t xml:space="preserve"> evidencia encontrada en el lugar de los hechos, sin encontrarse resultados positivos</w:t>
      </w:r>
      <w:r w:rsidRPr="00C011CF">
        <w:rPr>
          <w:rStyle w:val="FootnoteReference"/>
          <w:rFonts w:cs="Cambria"/>
          <w:sz w:val="20"/>
          <w:szCs w:val="20"/>
        </w:rPr>
        <w:footnoteReference w:id="94"/>
      </w:r>
      <w:r>
        <w:rPr>
          <w:rFonts w:cs="Cambria"/>
          <w:szCs w:val="20"/>
        </w:rPr>
        <w:t>.</w:t>
      </w:r>
      <w:r w:rsidRPr="00C011CF">
        <w:rPr>
          <w:rFonts w:cs="Cambria"/>
          <w:b/>
          <w:szCs w:val="20"/>
        </w:rPr>
        <w:t xml:space="preserve"> </w:t>
      </w:r>
    </w:p>
    <w:p w14:paraId="6B7955FB" w14:textId="77777777" w:rsidR="0028798A" w:rsidRDefault="0028798A" w:rsidP="008A2AE0">
      <w:pPr>
        <w:pStyle w:val="Heading3"/>
        <w:ind w:left="851"/>
        <w:rPr>
          <w:b w:val="0"/>
          <w:i/>
          <w:lang w:val="es-CR" w:eastAsia="es-MX"/>
        </w:rPr>
      </w:pPr>
    </w:p>
    <w:p w14:paraId="1B24EC1A" w14:textId="77777777" w:rsidR="008A2AE0" w:rsidRPr="00C438C1" w:rsidRDefault="008A2AE0" w:rsidP="00A1177F">
      <w:pPr>
        <w:pStyle w:val="Heading3"/>
        <w:ind w:left="567"/>
        <w:rPr>
          <w:i/>
          <w:lang w:val="es-CR" w:eastAsia="es-MX"/>
        </w:rPr>
      </w:pPr>
      <w:bookmarkStart w:id="232" w:name="_Toc498512820"/>
      <w:r w:rsidRPr="00C438C1">
        <w:rPr>
          <w:b w:val="0"/>
          <w:i/>
          <w:lang w:val="es-CR" w:eastAsia="es-MX"/>
        </w:rPr>
        <w:t xml:space="preserve">C.3. </w:t>
      </w:r>
      <w:r w:rsidRPr="00C438C1">
        <w:rPr>
          <w:b w:val="0"/>
          <w:i/>
          <w:u w:val="single"/>
          <w:lang w:val="es-CR" w:eastAsia="es-MX"/>
        </w:rPr>
        <w:t>Actuaciones posteriores a 2005</w:t>
      </w:r>
      <w:bookmarkEnd w:id="232"/>
    </w:p>
    <w:p w14:paraId="72825106" w14:textId="77777777" w:rsidR="008A2AE0" w:rsidRPr="00C011CF" w:rsidRDefault="008A2AE0" w:rsidP="008A2AE0">
      <w:pPr>
        <w:rPr>
          <w:szCs w:val="20"/>
          <w:lang w:val="es-CR" w:eastAsia="es-MX"/>
        </w:rPr>
      </w:pPr>
    </w:p>
    <w:p w14:paraId="0C6B3A22" w14:textId="48F856B5" w:rsidR="008A2AE0" w:rsidRPr="00532E9F" w:rsidRDefault="008A2AE0" w:rsidP="00532E9F">
      <w:pPr>
        <w:pStyle w:val="PrrafodeSentencia"/>
        <w:tabs>
          <w:tab w:val="clear" w:pos="567"/>
          <w:tab w:val="left" w:pos="-142"/>
        </w:tabs>
        <w:ind w:left="0" w:firstLine="0"/>
        <w:rPr>
          <w:rFonts w:cs="Cambria"/>
          <w:szCs w:val="20"/>
        </w:rPr>
      </w:pPr>
      <w:r w:rsidRPr="00532E9F">
        <w:rPr>
          <w:rFonts w:cs="Cambria"/>
          <w:szCs w:val="20"/>
        </w:rPr>
        <w:t>El 11 de enero de 2008 SM r</w:t>
      </w:r>
      <w:r w:rsidR="0010516B">
        <w:rPr>
          <w:rFonts w:cs="Cambria"/>
          <w:szCs w:val="20"/>
        </w:rPr>
        <w:t>indió declaración ante la DGIC;</w:t>
      </w:r>
      <w:r w:rsidRPr="00532E9F">
        <w:rPr>
          <w:rFonts w:cs="Cambria"/>
          <w:szCs w:val="20"/>
        </w:rPr>
        <w:t xml:space="preserve"> manifestó que siendo miembro de la Policía Nacional Preventiva, en 2001 se encontraba asignado en Tegucigalpa, y que el día de la muerte del señor Pacheco estaba en otro lado, y que luego se enteró del hecho por las noticias</w:t>
      </w:r>
      <w:r w:rsidRPr="00C011CF">
        <w:rPr>
          <w:rStyle w:val="FootnoteReference"/>
          <w:rFonts w:cs="Cambria"/>
          <w:sz w:val="20"/>
          <w:szCs w:val="20"/>
        </w:rPr>
        <w:footnoteReference w:id="95"/>
      </w:r>
      <w:r w:rsidRPr="00532E9F">
        <w:rPr>
          <w:rFonts w:cs="Cambria"/>
          <w:szCs w:val="20"/>
        </w:rPr>
        <w:t>.</w:t>
      </w:r>
    </w:p>
    <w:p w14:paraId="08A1F3DC" w14:textId="77777777" w:rsidR="008A2AE0" w:rsidRPr="00C011CF" w:rsidRDefault="008A2AE0" w:rsidP="008A2AE0">
      <w:pPr>
        <w:tabs>
          <w:tab w:val="left" w:pos="-142"/>
        </w:tabs>
        <w:rPr>
          <w:szCs w:val="20"/>
          <w:lang w:val="es-CR" w:eastAsia="es-MX"/>
        </w:rPr>
      </w:pPr>
    </w:p>
    <w:p w14:paraId="4814F9AA" w14:textId="7DA99F66" w:rsidR="008A2AE0" w:rsidRPr="00C011CF" w:rsidRDefault="008A2AE0" w:rsidP="008A2AE0">
      <w:pPr>
        <w:pStyle w:val="PrrafodeSentencia"/>
        <w:tabs>
          <w:tab w:val="clear" w:pos="567"/>
          <w:tab w:val="left" w:pos="-142"/>
        </w:tabs>
        <w:ind w:left="0" w:firstLine="0"/>
        <w:rPr>
          <w:rFonts w:cs="Cambria"/>
          <w:b/>
          <w:szCs w:val="20"/>
        </w:rPr>
      </w:pPr>
      <w:r w:rsidRPr="00C011CF">
        <w:rPr>
          <w:rFonts w:cs="Cambria"/>
          <w:szCs w:val="20"/>
        </w:rPr>
        <w:t>El 2</w:t>
      </w:r>
      <w:r w:rsidR="007F0200">
        <w:rPr>
          <w:rFonts w:cs="Cambria"/>
          <w:szCs w:val="20"/>
        </w:rPr>
        <w:t>2</w:t>
      </w:r>
      <w:r w:rsidRPr="00C011CF">
        <w:rPr>
          <w:rFonts w:cs="Cambria"/>
          <w:szCs w:val="20"/>
        </w:rPr>
        <w:t xml:space="preserve"> de mayo de 2008 </w:t>
      </w:r>
      <w:proofErr w:type="spellStart"/>
      <w:r w:rsidRPr="00C011CF">
        <w:rPr>
          <w:rFonts w:cs="Cambria"/>
          <w:szCs w:val="20"/>
        </w:rPr>
        <w:t>Jimy</w:t>
      </w:r>
      <w:proofErr w:type="spellEnd"/>
      <w:r w:rsidRPr="00C011CF">
        <w:rPr>
          <w:rFonts w:cs="Cambria"/>
          <w:szCs w:val="20"/>
        </w:rPr>
        <w:t xml:space="preserve"> Pacheco</w:t>
      </w:r>
      <w:r>
        <w:rPr>
          <w:rFonts w:cs="Cambria"/>
          <w:szCs w:val="20"/>
        </w:rPr>
        <w:t xml:space="preserve"> rindió una declaración, en la cual</w:t>
      </w:r>
      <w:r w:rsidRPr="00C011CF">
        <w:rPr>
          <w:rFonts w:cs="Cambria"/>
          <w:szCs w:val="20"/>
        </w:rPr>
        <w:t xml:space="preserve"> describió las características físicas de la pe</w:t>
      </w:r>
      <w:r>
        <w:rPr>
          <w:rFonts w:cs="Cambria"/>
          <w:szCs w:val="20"/>
        </w:rPr>
        <w:t>rsona que disparó a su padre, para lo cual</w:t>
      </w:r>
      <w:r w:rsidRPr="00C011CF">
        <w:rPr>
          <w:rFonts w:cs="Cambria"/>
          <w:szCs w:val="20"/>
        </w:rPr>
        <w:t xml:space="preserve"> le mostraron fotografías para </w:t>
      </w:r>
      <w:r>
        <w:rPr>
          <w:rFonts w:cs="Cambria"/>
          <w:szCs w:val="20"/>
        </w:rPr>
        <w:t xml:space="preserve">un reconocimiento del posible </w:t>
      </w:r>
      <w:r w:rsidRPr="00C011CF">
        <w:rPr>
          <w:rFonts w:cs="Cambria"/>
          <w:szCs w:val="20"/>
        </w:rPr>
        <w:t xml:space="preserve">agresor, </w:t>
      </w:r>
      <w:r>
        <w:rPr>
          <w:rFonts w:cs="Cambria"/>
          <w:szCs w:val="20"/>
        </w:rPr>
        <w:t xml:space="preserve">pero no identificó a ninguna plenamente e </w:t>
      </w:r>
      <w:r w:rsidRPr="00C011CF">
        <w:rPr>
          <w:rFonts w:cs="Cambria"/>
          <w:szCs w:val="20"/>
        </w:rPr>
        <w:t>indicó que dos personas tenían los rasgos de quien cometió materialmente el atentado</w:t>
      </w:r>
      <w:r w:rsidRPr="00C011CF">
        <w:rPr>
          <w:rStyle w:val="FootnoteReference"/>
          <w:rFonts w:cs="Cambria"/>
          <w:sz w:val="20"/>
          <w:szCs w:val="20"/>
        </w:rPr>
        <w:footnoteReference w:id="96"/>
      </w:r>
      <w:r w:rsidRPr="00C011CF">
        <w:rPr>
          <w:rFonts w:cs="Cambria"/>
          <w:szCs w:val="20"/>
        </w:rPr>
        <w:t xml:space="preserve">. </w:t>
      </w:r>
    </w:p>
    <w:p w14:paraId="67BAD82E" w14:textId="77777777" w:rsidR="008A2AE0" w:rsidRPr="00C011CF" w:rsidRDefault="008A2AE0" w:rsidP="008A2AE0">
      <w:pPr>
        <w:tabs>
          <w:tab w:val="left" w:pos="-142"/>
        </w:tabs>
        <w:rPr>
          <w:szCs w:val="20"/>
          <w:lang w:val="es-CR" w:eastAsia="es-MX"/>
        </w:rPr>
      </w:pPr>
    </w:p>
    <w:p w14:paraId="06044C5C" w14:textId="7B3D7938" w:rsidR="008A2AE0" w:rsidRPr="00C011CF" w:rsidRDefault="008A2AE0" w:rsidP="008A2AE0">
      <w:pPr>
        <w:pStyle w:val="PrrafodeSentencia"/>
        <w:tabs>
          <w:tab w:val="clear" w:pos="567"/>
          <w:tab w:val="left" w:pos="-142"/>
        </w:tabs>
        <w:ind w:left="0" w:firstLine="0"/>
        <w:rPr>
          <w:szCs w:val="20"/>
        </w:rPr>
      </w:pPr>
      <w:r w:rsidRPr="00C011CF">
        <w:rPr>
          <w:szCs w:val="20"/>
        </w:rPr>
        <w:t xml:space="preserve">El 16 de febrero de 2009 un Fiscal informó al Coordinador Regional de Fiscales </w:t>
      </w:r>
      <w:r>
        <w:rPr>
          <w:rFonts w:cs="Cambria"/>
          <w:szCs w:val="20"/>
        </w:rPr>
        <w:t xml:space="preserve">(en adelante “Coordinador Regional”) </w:t>
      </w:r>
      <w:r w:rsidRPr="00C011CF">
        <w:rPr>
          <w:szCs w:val="20"/>
        </w:rPr>
        <w:t>que respecto a la investigación sobre</w:t>
      </w:r>
      <w:r>
        <w:rPr>
          <w:szCs w:val="20"/>
        </w:rPr>
        <w:t xml:space="preserve"> la muerte del señor Pacheco</w:t>
      </w:r>
      <w:r w:rsidRPr="00C011CF">
        <w:rPr>
          <w:szCs w:val="20"/>
        </w:rPr>
        <w:t xml:space="preserve"> </w:t>
      </w:r>
      <w:r w:rsidRPr="00C011CF">
        <w:rPr>
          <w:rFonts w:cs="Cambria"/>
          <w:szCs w:val="20"/>
        </w:rPr>
        <w:t>la Dirección Nacional de Investigación Criminal (</w:t>
      </w:r>
      <w:r>
        <w:rPr>
          <w:rFonts w:cs="Cambria"/>
          <w:szCs w:val="20"/>
        </w:rPr>
        <w:t xml:space="preserve">en adelante “la </w:t>
      </w:r>
      <w:r w:rsidRPr="00C011CF">
        <w:rPr>
          <w:rFonts w:cs="Cambria"/>
          <w:szCs w:val="20"/>
        </w:rPr>
        <w:t>DNIC</w:t>
      </w:r>
      <w:r>
        <w:rPr>
          <w:rFonts w:cs="Cambria"/>
          <w:szCs w:val="20"/>
        </w:rPr>
        <w:t>”</w:t>
      </w:r>
      <w:r w:rsidRPr="00C011CF">
        <w:rPr>
          <w:rFonts w:cs="Cambria"/>
          <w:szCs w:val="20"/>
        </w:rPr>
        <w:t xml:space="preserve">) </w:t>
      </w:r>
      <w:r>
        <w:rPr>
          <w:szCs w:val="20"/>
        </w:rPr>
        <w:t>“</w:t>
      </w:r>
      <w:r w:rsidRPr="00C011CF">
        <w:rPr>
          <w:szCs w:val="20"/>
        </w:rPr>
        <w:t xml:space="preserve">no ha aportado ningún elemento de prueba que permita identificar a </w:t>
      </w:r>
      <w:r w:rsidRPr="00FC4918">
        <w:rPr>
          <w:szCs w:val="20"/>
        </w:rPr>
        <w:t>los autores ejecutivo</w:t>
      </w:r>
      <w:r>
        <w:rPr>
          <w:szCs w:val="20"/>
        </w:rPr>
        <w:t>s como inductivos de[l] crimen”. Advirtió t</w:t>
      </w:r>
      <w:r w:rsidRPr="00FC4918">
        <w:rPr>
          <w:szCs w:val="20"/>
        </w:rPr>
        <w:t>ambién que “se continúa manejando como hipótesis que el autor ejecutivo del crimen fue un policía preventivo, y como autor inductivo BC, MV y otro</w:t>
      </w:r>
      <w:r w:rsidRPr="00FC4918">
        <w:rPr>
          <w:strike/>
          <w:szCs w:val="20"/>
        </w:rPr>
        <w:t xml:space="preserve"> </w:t>
      </w:r>
      <w:r w:rsidRPr="00FC4918">
        <w:rPr>
          <w:szCs w:val="20"/>
        </w:rPr>
        <w:t xml:space="preserve">hombre </w:t>
      </w:r>
      <w:r w:rsidRPr="00085670">
        <w:rPr>
          <w:szCs w:val="20"/>
        </w:rPr>
        <w:t xml:space="preserve">conocido como </w:t>
      </w:r>
      <w:r w:rsidR="00984783">
        <w:rPr>
          <w:szCs w:val="20"/>
        </w:rPr>
        <w:t>[</w:t>
      </w:r>
      <w:r w:rsidR="00085670">
        <w:rPr>
          <w:szCs w:val="20"/>
        </w:rPr>
        <w:t>“</w:t>
      </w:r>
      <w:r w:rsidRPr="00085670">
        <w:rPr>
          <w:szCs w:val="20"/>
        </w:rPr>
        <w:t>Chicho</w:t>
      </w:r>
      <w:r w:rsidR="00085670">
        <w:rPr>
          <w:szCs w:val="20"/>
        </w:rPr>
        <w:t>”</w:t>
      </w:r>
      <w:r w:rsidR="00984783">
        <w:rPr>
          <w:szCs w:val="20"/>
        </w:rPr>
        <w:t>]</w:t>
      </w:r>
      <w:r w:rsidRPr="00FC4918">
        <w:rPr>
          <w:szCs w:val="20"/>
        </w:rPr>
        <w:t>, no existiendo</w:t>
      </w:r>
      <w:r w:rsidRPr="00C011CF">
        <w:rPr>
          <w:szCs w:val="20"/>
        </w:rPr>
        <w:t xml:space="preserve"> ninguna declaración o </w:t>
      </w:r>
      <w:r>
        <w:rPr>
          <w:szCs w:val="20"/>
        </w:rPr>
        <w:t xml:space="preserve">elementos de prueba que </w:t>
      </w:r>
      <w:proofErr w:type="spellStart"/>
      <w:r>
        <w:rPr>
          <w:szCs w:val="20"/>
        </w:rPr>
        <w:t>acredit</w:t>
      </w:r>
      <w:proofErr w:type="spellEnd"/>
      <w:r>
        <w:rPr>
          <w:szCs w:val="20"/>
        </w:rPr>
        <w:t>[ara]</w:t>
      </w:r>
      <w:r w:rsidRPr="00C011CF">
        <w:rPr>
          <w:szCs w:val="20"/>
        </w:rPr>
        <w:t xml:space="preserve"> tales extremos”</w:t>
      </w:r>
      <w:r w:rsidRPr="00C011CF">
        <w:rPr>
          <w:rStyle w:val="FootnoteReference"/>
          <w:sz w:val="20"/>
          <w:szCs w:val="20"/>
        </w:rPr>
        <w:footnoteReference w:id="97"/>
      </w:r>
      <w:r w:rsidRPr="00C011CF">
        <w:rPr>
          <w:szCs w:val="20"/>
        </w:rPr>
        <w:t>.</w:t>
      </w:r>
    </w:p>
    <w:p w14:paraId="6DF20B42" w14:textId="77777777" w:rsidR="008A2AE0" w:rsidRPr="00C011CF" w:rsidRDefault="008A2AE0" w:rsidP="008A2AE0">
      <w:pPr>
        <w:tabs>
          <w:tab w:val="left" w:pos="-142"/>
        </w:tabs>
        <w:rPr>
          <w:szCs w:val="20"/>
          <w:lang w:val="es-CR" w:eastAsia="es-MX"/>
        </w:rPr>
      </w:pPr>
    </w:p>
    <w:p w14:paraId="79A6D8C3" w14:textId="04D0F771" w:rsidR="008A2AE0" w:rsidRPr="007E78A3" w:rsidRDefault="008A2AE0" w:rsidP="008A2AE0">
      <w:pPr>
        <w:pStyle w:val="PrrafodeSentencia"/>
        <w:tabs>
          <w:tab w:val="clear" w:pos="567"/>
          <w:tab w:val="left" w:pos="-142"/>
        </w:tabs>
        <w:ind w:left="0" w:firstLine="0"/>
        <w:rPr>
          <w:szCs w:val="20"/>
        </w:rPr>
      </w:pPr>
      <w:r>
        <w:rPr>
          <w:rFonts w:cs="Cambria"/>
          <w:szCs w:val="20"/>
        </w:rPr>
        <w:t>Los días</w:t>
      </w:r>
      <w:r w:rsidRPr="00C011CF">
        <w:rPr>
          <w:rFonts w:cs="Cambria"/>
          <w:szCs w:val="20"/>
        </w:rPr>
        <w:t xml:space="preserve"> 1 de marzo </w:t>
      </w:r>
      <w:r>
        <w:rPr>
          <w:rFonts w:cs="Cambria"/>
          <w:szCs w:val="20"/>
        </w:rPr>
        <w:t xml:space="preserve">y </w:t>
      </w:r>
      <w:r w:rsidRPr="00C011CF">
        <w:rPr>
          <w:rFonts w:cs="Cambria"/>
          <w:szCs w:val="20"/>
        </w:rPr>
        <w:t>19 de agosto de 2010</w:t>
      </w:r>
      <w:r w:rsidRPr="00C011CF">
        <w:rPr>
          <w:rStyle w:val="FootnoteReference"/>
          <w:rFonts w:cs="Cambria"/>
          <w:sz w:val="20"/>
          <w:szCs w:val="20"/>
        </w:rPr>
        <w:footnoteReference w:id="98"/>
      </w:r>
      <w:r>
        <w:rPr>
          <w:rFonts w:cs="Cambria"/>
          <w:szCs w:val="20"/>
        </w:rPr>
        <w:t xml:space="preserve"> un fiscal del Ministerio Público dirigió información </w:t>
      </w:r>
      <w:r w:rsidRPr="00C011CF">
        <w:rPr>
          <w:rFonts w:cs="Cambria"/>
          <w:szCs w:val="20"/>
        </w:rPr>
        <w:t>al Coordinado</w:t>
      </w:r>
      <w:r>
        <w:rPr>
          <w:rFonts w:cs="Cambria"/>
          <w:szCs w:val="20"/>
        </w:rPr>
        <w:t>r Regional</w:t>
      </w:r>
      <w:r w:rsidRPr="00C011CF">
        <w:rPr>
          <w:rFonts w:cs="Cambria"/>
          <w:szCs w:val="20"/>
        </w:rPr>
        <w:t xml:space="preserve">, </w:t>
      </w:r>
      <w:r>
        <w:rPr>
          <w:rFonts w:cs="Cambria"/>
          <w:szCs w:val="20"/>
        </w:rPr>
        <w:t xml:space="preserve">en la cual se señaló </w:t>
      </w:r>
      <w:r w:rsidRPr="00C011CF">
        <w:rPr>
          <w:rFonts w:cs="Cambria"/>
          <w:szCs w:val="20"/>
        </w:rPr>
        <w:t>que DNIC “</w:t>
      </w:r>
      <w:proofErr w:type="gramStart"/>
      <w:r w:rsidRPr="00C011CF">
        <w:rPr>
          <w:rFonts w:cs="Cambria"/>
          <w:szCs w:val="20"/>
        </w:rPr>
        <w:t>ha[</w:t>
      </w:r>
      <w:proofErr w:type="spellStart"/>
      <w:proofErr w:type="gramEnd"/>
      <w:r w:rsidRPr="00C011CF">
        <w:rPr>
          <w:rFonts w:cs="Cambria"/>
          <w:szCs w:val="20"/>
        </w:rPr>
        <w:t>cía</w:t>
      </w:r>
      <w:proofErr w:type="spellEnd"/>
      <w:r w:rsidRPr="00C011CF">
        <w:rPr>
          <w:rFonts w:cs="Cambria"/>
          <w:szCs w:val="20"/>
        </w:rPr>
        <w:t xml:space="preserve">] ya más de seis años” </w:t>
      </w:r>
      <w:r>
        <w:rPr>
          <w:rFonts w:cs="Cambria"/>
          <w:szCs w:val="20"/>
        </w:rPr>
        <w:t xml:space="preserve">que </w:t>
      </w:r>
      <w:r w:rsidRPr="00C011CF">
        <w:rPr>
          <w:rFonts w:cs="Cambria"/>
          <w:szCs w:val="20"/>
        </w:rPr>
        <w:t>había desarticulado el equipo que investigaba el caso “no interesándose posterior[mente] por resolver el mismo, por tal motivo las investigaciones ha[</w:t>
      </w:r>
      <w:proofErr w:type="spellStart"/>
      <w:r w:rsidRPr="00C011CF">
        <w:rPr>
          <w:rFonts w:cs="Cambria"/>
          <w:szCs w:val="20"/>
        </w:rPr>
        <w:t>bían</w:t>
      </w:r>
      <w:proofErr w:type="spellEnd"/>
      <w:r w:rsidRPr="00C011CF">
        <w:rPr>
          <w:rFonts w:cs="Cambria"/>
          <w:szCs w:val="20"/>
        </w:rPr>
        <w:t>] permanecido estancadas” y se habían vuelto complejas por el paso del tiempo</w:t>
      </w:r>
      <w:r w:rsidRPr="00C011CF">
        <w:rPr>
          <w:rStyle w:val="FootnoteReference"/>
          <w:rFonts w:cs="Cambria"/>
          <w:sz w:val="20"/>
          <w:szCs w:val="20"/>
        </w:rPr>
        <w:footnoteReference w:id="99"/>
      </w:r>
      <w:r w:rsidRPr="00C011CF">
        <w:rPr>
          <w:rFonts w:cs="Cambria"/>
          <w:szCs w:val="20"/>
        </w:rPr>
        <w:t xml:space="preserve">. Se recomendó que </w:t>
      </w:r>
      <w:r>
        <w:rPr>
          <w:rFonts w:cs="Cambria"/>
          <w:szCs w:val="20"/>
        </w:rPr>
        <w:t xml:space="preserve">se asigne </w:t>
      </w:r>
      <w:r w:rsidRPr="00C011CF">
        <w:rPr>
          <w:rFonts w:cs="Cambria"/>
          <w:szCs w:val="20"/>
        </w:rPr>
        <w:t>“personal especial” para el caso</w:t>
      </w:r>
      <w:r>
        <w:rPr>
          <w:rFonts w:cs="Cambria"/>
          <w:szCs w:val="20"/>
        </w:rPr>
        <w:t xml:space="preserve">, “requiriéndose […] </w:t>
      </w:r>
      <w:r w:rsidRPr="00C011CF">
        <w:rPr>
          <w:rFonts w:cs="Cambria"/>
          <w:szCs w:val="20"/>
        </w:rPr>
        <w:t>un equipo de investigadores y técnicos</w:t>
      </w:r>
      <w:r w:rsidR="00984783">
        <w:rPr>
          <w:rFonts w:cs="Cambria"/>
          <w:szCs w:val="20"/>
        </w:rPr>
        <w:t>,</w:t>
      </w:r>
      <w:r w:rsidRPr="00C011CF">
        <w:rPr>
          <w:rFonts w:cs="Cambria"/>
          <w:szCs w:val="20"/>
        </w:rPr>
        <w:t xml:space="preserve"> así como la log</w:t>
      </w:r>
      <w:r w:rsidR="00956107">
        <w:rPr>
          <w:rFonts w:cs="Cambria"/>
          <w:szCs w:val="20"/>
        </w:rPr>
        <w:t>ística para poder avanzar”.</w:t>
      </w:r>
      <w:r w:rsidRPr="007E78A3">
        <w:rPr>
          <w:szCs w:val="20"/>
        </w:rPr>
        <w:t xml:space="preserve"> </w:t>
      </w:r>
      <w:r w:rsidRPr="00C011CF">
        <w:rPr>
          <w:szCs w:val="20"/>
        </w:rPr>
        <w:t>El 13 de diciembre de 2013 un Fiscal de</w:t>
      </w:r>
      <w:r>
        <w:rPr>
          <w:szCs w:val="20"/>
        </w:rPr>
        <w:t>l Ministerio Público remitió un</w:t>
      </w:r>
      <w:r w:rsidRPr="00C011CF">
        <w:rPr>
          <w:szCs w:val="20"/>
        </w:rPr>
        <w:t xml:space="preserve"> oficio al Coordinador Regional, en similares términos a los oficios de</w:t>
      </w:r>
      <w:r>
        <w:rPr>
          <w:szCs w:val="20"/>
        </w:rPr>
        <w:t xml:space="preserve"> los días</w:t>
      </w:r>
      <w:r w:rsidRPr="00C011CF">
        <w:rPr>
          <w:szCs w:val="20"/>
        </w:rPr>
        <w:t xml:space="preserve"> 1 de marzo y 19 de agosto de 2010</w:t>
      </w:r>
      <w:r>
        <w:rPr>
          <w:szCs w:val="20"/>
        </w:rPr>
        <w:t>, en el cual</w:t>
      </w:r>
      <w:r w:rsidRPr="00C011CF">
        <w:rPr>
          <w:szCs w:val="20"/>
        </w:rPr>
        <w:t xml:space="preserve"> reiteró que se “</w:t>
      </w:r>
      <w:proofErr w:type="spellStart"/>
      <w:r w:rsidRPr="00C011CF">
        <w:rPr>
          <w:szCs w:val="20"/>
        </w:rPr>
        <w:t>contin</w:t>
      </w:r>
      <w:proofErr w:type="spellEnd"/>
      <w:r w:rsidRPr="00C011CF">
        <w:rPr>
          <w:szCs w:val="20"/>
        </w:rPr>
        <w:t>[</w:t>
      </w:r>
      <w:proofErr w:type="spellStart"/>
      <w:r w:rsidRPr="00C011CF">
        <w:rPr>
          <w:szCs w:val="20"/>
        </w:rPr>
        <w:t>uaban</w:t>
      </w:r>
      <w:proofErr w:type="spellEnd"/>
      <w:r w:rsidRPr="00C011CF">
        <w:rPr>
          <w:szCs w:val="20"/>
        </w:rPr>
        <w:t>] manejando” las mismas “hipótesis” de autoría que las indicadas en tales oficios; que las investigaciones estaban “estancadas, debido a que no hay un equipo asignado […] que investigue este caso complejo”, y reiteró la petición para que tal equipo se asigne</w:t>
      </w:r>
      <w:r w:rsidRPr="00C011CF">
        <w:rPr>
          <w:rStyle w:val="FootnoteReference"/>
          <w:sz w:val="20"/>
          <w:szCs w:val="20"/>
        </w:rPr>
        <w:footnoteReference w:id="100"/>
      </w:r>
      <w:r w:rsidR="00C320CD">
        <w:rPr>
          <w:szCs w:val="20"/>
        </w:rPr>
        <w:t xml:space="preserve">. </w:t>
      </w:r>
      <w:r w:rsidRPr="00C011CF">
        <w:rPr>
          <w:szCs w:val="20"/>
        </w:rPr>
        <w:t xml:space="preserve">El 22 de abril de 2015 el Ministerio Público Fiscal de Choluteca se dirigió al Director de Fiscales del Ministerio Público, expresando consideraciones </w:t>
      </w:r>
      <w:r>
        <w:rPr>
          <w:szCs w:val="20"/>
        </w:rPr>
        <w:t xml:space="preserve">parecidas a la que había sostenido los </w:t>
      </w:r>
      <w:r>
        <w:rPr>
          <w:szCs w:val="20"/>
        </w:rPr>
        <w:lastRenderedPageBreak/>
        <w:t>días</w:t>
      </w:r>
      <w:r w:rsidRPr="00C011CF">
        <w:rPr>
          <w:szCs w:val="20"/>
        </w:rPr>
        <w:t xml:space="preserve"> 1 de marzo y 19 de agosto de </w:t>
      </w:r>
      <w:r>
        <w:rPr>
          <w:szCs w:val="20"/>
        </w:rPr>
        <w:t xml:space="preserve">2010 y 13 de diciembre de 2013 </w:t>
      </w:r>
      <w:r w:rsidRPr="00C011CF">
        <w:rPr>
          <w:szCs w:val="20"/>
        </w:rPr>
        <w:t>en cuanto a las “hipótesis de autoría” y el pedido de un “equipo especial para investigar el caso”</w:t>
      </w:r>
      <w:r w:rsidRPr="00C011CF">
        <w:rPr>
          <w:rStyle w:val="FootnoteReference"/>
          <w:sz w:val="20"/>
          <w:szCs w:val="20"/>
        </w:rPr>
        <w:footnoteReference w:id="101"/>
      </w:r>
      <w:r w:rsidRPr="00C011CF">
        <w:rPr>
          <w:szCs w:val="20"/>
        </w:rPr>
        <w:t xml:space="preserve">. Además, en la misma fecha solicitó “por segunda vez” al Coordinador </w:t>
      </w:r>
      <w:r>
        <w:rPr>
          <w:szCs w:val="20"/>
        </w:rPr>
        <w:t xml:space="preserve">Regional </w:t>
      </w:r>
      <w:r w:rsidRPr="00C011CF">
        <w:rPr>
          <w:szCs w:val="20"/>
        </w:rPr>
        <w:t>la “</w:t>
      </w:r>
      <w:proofErr w:type="spellStart"/>
      <w:proofErr w:type="gramStart"/>
      <w:r w:rsidRPr="00C011CF">
        <w:rPr>
          <w:szCs w:val="20"/>
        </w:rPr>
        <w:t>remi</w:t>
      </w:r>
      <w:proofErr w:type="spellEnd"/>
      <w:r w:rsidRPr="00C011CF">
        <w:rPr>
          <w:szCs w:val="20"/>
        </w:rPr>
        <w:t>[</w:t>
      </w:r>
      <w:proofErr w:type="spellStart"/>
      <w:proofErr w:type="gramEnd"/>
      <w:r w:rsidRPr="00C011CF">
        <w:rPr>
          <w:szCs w:val="20"/>
        </w:rPr>
        <w:t>sión</w:t>
      </w:r>
      <w:proofErr w:type="spellEnd"/>
      <w:r w:rsidRPr="00C011CF">
        <w:rPr>
          <w:szCs w:val="20"/>
        </w:rPr>
        <w:t>] de las diligencias investigativas”, “re[</w:t>
      </w:r>
      <w:proofErr w:type="spellStart"/>
      <w:r w:rsidRPr="00C011CF">
        <w:rPr>
          <w:szCs w:val="20"/>
        </w:rPr>
        <w:t>cordando</w:t>
      </w:r>
      <w:proofErr w:type="spellEnd"/>
      <w:r w:rsidRPr="00C011CF">
        <w:rPr>
          <w:szCs w:val="20"/>
        </w:rPr>
        <w:t>] que para concluir las mismas e[</w:t>
      </w:r>
      <w:proofErr w:type="spellStart"/>
      <w:r w:rsidRPr="00C011CF">
        <w:rPr>
          <w:szCs w:val="20"/>
        </w:rPr>
        <w:t>ra</w:t>
      </w:r>
      <w:proofErr w:type="spellEnd"/>
      <w:r w:rsidRPr="00C011CF">
        <w:rPr>
          <w:szCs w:val="20"/>
        </w:rPr>
        <w:t>] necesario que se contacte a la Fiscalía de [D]</w:t>
      </w:r>
      <w:proofErr w:type="spellStart"/>
      <w:r w:rsidRPr="00C011CF">
        <w:rPr>
          <w:szCs w:val="20"/>
        </w:rPr>
        <w:t>erechos</w:t>
      </w:r>
      <w:proofErr w:type="spellEnd"/>
      <w:r w:rsidRPr="00C011CF">
        <w:rPr>
          <w:szCs w:val="20"/>
        </w:rPr>
        <w:t xml:space="preserve"> Humanos, ya que esta cuenta con información más reciente del caso”</w:t>
      </w:r>
      <w:r w:rsidRPr="00C011CF">
        <w:rPr>
          <w:rStyle w:val="FootnoteReference"/>
          <w:sz w:val="20"/>
          <w:szCs w:val="20"/>
        </w:rPr>
        <w:footnoteReference w:id="102"/>
      </w:r>
      <w:r w:rsidRPr="00C011CF">
        <w:rPr>
          <w:szCs w:val="20"/>
        </w:rPr>
        <w:t xml:space="preserve">. </w:t>
      </w:r>
    </w:p>
    <w:p w14:paraId="10D69F5D" w14:textId="77777777" w:rsidR="008A2AE0" w:rsidRPr="007E78A3" w:rsidRDefault="008A2AE0" w:rsidP="008A2AE0">
      <w:pPr>
        <w:pStyle w:val="PrrafodeSentencia"/>
        <w:numPr>
          <w:ilvl w:val="0"/>
          <w:numId w:val="0"/>
        </w:numPr>
        <w:tabs>
          <w:tab w:val="clear" w:pos="567"/>
          <w:tab w:val="left" w:pos="-142"/>
        </w:tabs>
        <w:rPr>
          <w:rFonts w:cs="Cambria"/>
          <w:b/>
          <w:szCs w:val="20"/>
        </w:rPr>
      </w:pPr>
    </w:p>
    <w:p w14:paraId="3D356474" w14:textId="668D18BD" w:rsidR="0010516B" w:rsidRPr="0010516B" w:rsidRDefault="00D16DD2" w:rsidP="008A2AE0">
      <w:pPr>
        <w:pStyle w:val="PrrafodeSentencia"/>
        <w:tabs>
          <w:tab w:val="clear" w:pos="567"/>
          <w:tab w:val="left" w:pos="-142"/>
        </w:tabs>
        <w:ind w:left="0" w:firstLine="0"/>
        <w:rPr>
          <w:rFonts w:cs="Arial"/>
          <w:b/>
          <w:szCs w:val="20"/>
        </w:rPr>
      </w:pPr>
      <w:r>
        <w:rPr>
          <w:rFonts w:cs="Arial"/>
          <w:szCs w:val="20"/>
        </w:rPr>
        <w:t>De acuerdo con</w:t>
      </w:r>
      <w:r w:rsidR="008A2AE0" w:rsidRPr="00C011CF">
        <w:rPr>
          <w:rFonts w:cs="Arial"/>
          <w:szCs w:val="20"/>
        </w:rPr>
        <w:t xml:space="preserve"> lo informado por el Estado en su contestación, en 2012, a partir de </w:t>
      </w:r>
    </w:p>
    <w:p w14:paraId="05701FB6" w14:textId="77777777" w:rsidR="0010516B" w:rsidRDefault="0010516B" w:rsidP="0010516B">
      <w:pPr>
        <w:pStyle w:val="PrrafodeSentencia"/>
        <w:numPr>
          <w:ilvl w:val="0"/>
          <w:numId w:val="0"/>
        </w:numPr>
        <w:tabs>
          <w:tab w:val="clear" w:pos="567"/>
          <w:tab w:val="left" w:pos="-142"/>
        </w:tabs>
        <w:rPr>
          <w:rFonts w:cs="Arial"/>
          <w:szCs w:val="20"/>
        </w:rPr>
      </w:pPr>
    </w:p>
    <w:p w14:paraId="14AC6344" w14:textId="16F18938" w:rsidR="008A2AE0" w:rsidRPr="0010516B" w:rsidRDefault="008A2AE0" w:rsidP="0010516B">
      <w:pPr>
        <w:pStyle w:val="PrrafodeSentencia"/>
        <w:numPr>
          <w:ilvl w:val="0"/>
          <w:numId w:val="0"/>
        </w:numPr>
        <w:tabs>
          <w:tab w:val="clear" w:pos="567"/>
          <w:tab w:val="left" w:pos="-142"/>
        </w:tabs>
        <w:ind w:left="284" w:right="674"/>
        <w:rPr>
          <w:rFonts w:cs="Arial"/>
          <w:b/>
          <w:sz w:val="16"/>
          <w:szCs w:val="16"/>
        </w:rPr>
      </w:pPr>
      <w:r w:rsidRPr="0010516B">
        <w:rPr>
          <w:rFonts w:cs="Arial"/>
          <w:sz w:val="16"/>
          <w:szCs w:val="16"/>
        </w:rPr>
        <w:t xml:space="preserve">las investigaciones realizadas en la Fiscalía Especial de Derechos Humanos[,] se estableció que el autor material del delito podría ser un miembro de la Policía Nacional Preventiva, del cual se obtuvo patrón fotográfico, solicitándosele al señor </w:t>
      </w:r>
      <w:proofErr w:type="spellStart"/>
      <w:r w:rsidRPr="0010516B">
        <w:rPr>
          <w:rFonts w:cs="Arial"/>
          <w:sz w:val="16"/>
          <w:szCs w:val="16"/>
        </w:rPr>
        <w:t>Jim</w:t>
      </w:r>
      <w:proofErr w:type="spellEnd"/>
      <w:r w:rsidRPr="0010516B">
        <w:rPr>
          <w:rFonts w:cs="Arial"/>
          <w:sz w:val="16"/>
          <w:szCs w:val="16"/>
        </w:rPr>
        <w:t>[y] Javier Pacheco</w:t>
      </w:r>
      <w:r w:rsidR="0010516B" w:rsidRPr="0010516B">
        <w:rPr>
          <w:rFonts w:cs="Arial"/>
          <w:sz w:val="16"/>
          <w:szCs w:val="16"/>
        </w:rPr>
        <w:t xml:space="preserve"> </w:t>
      </w:r>
      <w:r w:rsidRPr="0010516B">
        <w:rPr>
          <w:rFonts w:cs="Arial"/>
          <w:sz w:val="16"/>
          <w:szCs w:val="16"/>
        </w:rPr>
        <w:t>[</w:t>
      </w:r>
      <w:r w:rsidR="0010516B" w:rsidRPr="0010516B">
        <w:rPr>
          <w:rFonts w:cs="Arial"/>
          <w:sz w:val="16"/>
          <w:szCs w:val="16"/>
        </w:rPr>
        <w:t>Ortiz</w:t>
      </w:r>
      <w:r w:rsidRPr="0010516B">
        <w:rPr>
          <w:rFonts w:cs="Arial"/>
          <w:sz w:val="16"/>
          <w:szCs w:val="16"/>
        </w:rPr>
        <w:t>,] único testigo presencial, […] que hiciera el reconocimiento del mismo, [quien manifestó] que se le parecía a la persona que dio muerte a su padre, pero que lo reconocía en un 75%, o sea que no está totalmente seguro, existiendo la posibilidad pero no la certeza. Sin embargo, se continú</w:t>
      </w:r>
      <w:r w:rsidR="00956107" w:rsidRPr="0010516B">
        <w:rPr>
          <w:rFonts w:cs="Arial"/>
          <w:sz w:val="16"/>
          <w:szCs w:val="16"/>
        </w:rPr>
        <w:t>a investigando a este policía.</w:t>
      </w:r>
    </w:p>
    <w:p w14:paraId="3468EF30" w14:textId="77777777" w:rsidR="008A2AE0" w:rsidRPr="00C011CF" w:rsidRDefault="008A2AE0" w:rsidP="008A2AE0">
      <w:pPr>
        <w:tabs>
          <w:tab w:val="left" w:pos="-142"/>
        </w:tabs>
        <w:rPr>
          <w:szCs w:val="20"/>
          <w:lang w:val="es-CR" w:eastAsia="es-MX"/>
        </w:rPr>
      </w:pPr>
    </w:p>
    <w:p w14:paraId="38ACC2DB" w14:textId="77777777" w:rsidR="008A2AE0" w:rsidRPr="007E78A3" w:rsidRDefault="008A2AE0" w:rsidP="008A2AE0">
      <w:pPr>
        <w:pStyle w:val="PrrafodeSentencia"/>
        <w:tabs>
          <w:tab w:val="clear" w:pos="567"/>
          <w:tab w:val="left" w:pos="-142"/>
        </w:tabs>
        <w:ind w:left="0" w:firstLine="0"/>
        <w:rPr>
          <w:szCs w:val="20"/>
        </w:rPr>
      </w:pPr>
      <w:r w:rsidRPr="00C011CF">
        <w:rPr>
          <w:szCs w:val="20"/>
        </w:rPr>
        <w:t>El 24 de febrero de 2014 José Pacheco, en carácter de “ofendido”, solicitó a la Fiscalía Especial de Derechos Humanos que continúe la investigación sobre la muerte del señor Pacheco</w:t>
      </w:r>
      <w:r w:rsidRPr="00C011CF">
        <w:rPr>
          <w:rStyle w:val="FootnoteReference"/>
          <w:sz w:val="20"/>
          <w:szCs w:val="20"/>
        </w:rPr>
        <w:footnoteReference w:id="103"/>
      </w:r>
      <w:r w:rsidRPr="00C011CF">
        <w:rPr>
          <w:szCs w:val="20"/>
        </w:rPr>
        <w:t>.</w:t>
      </w:r>
      <w:r>
        <w:rPr>
          <w:szCs w:val="20"/>
        </w:rPr>
        <w:t xml:space="preserve"> </w:t>
      </w:r>
      <w:r w:rsidRPr="007E78A3">
        <w:rPr>
          <w:szCs w:val="20"/>
        </w:rPr>
        <w:t>El 19 de marzo de 2014 el Fiscal de Derechos Humanos solicitó copia del expediente a un Fiscal del Ministerio Público</w:t>
      </w:r>
      <w:r w:rsidRPr="00C011CF">
        <w:rPr>
          <w:rStyle w:val="FootnoteReference"/>
          <w:sz w:val="20"/>
          <w:szCs w:val="20"/>
        </w:rPr>
        <w:footnoteReference w:id="104"/>
      </w:r>
      <w:r w:rsidRPr="007E78A3">
        <w:rPr>
          <w:szCs w:val="20"/>
        </w:rPr>
        <w:t>.</w:t>
      </w:r>
    </w:p>
    <w:p w14:paraId="56BC0ACC" w14:textId="77777777" w:rsidR="008A2AE0" w:rsidRPr="00C011CF" w:rsidRDefault="008A2AE0" w:rsidP="008A2AE0">
      <w:pPr>
        <w:tabs>
          <w:tab w:val="left" w:pos="-142"/>
        </w:tabs>
        <w:rPr>
          <w:szCs w:val="20"/>
          <w:lang w:val="es-CR" w:eastAsia="es-MX"/>
        </w:rPr>
      </w:pPr>
    </w:p>
    <w:p w14:paraId="06F719A4" w14:textId="77777777" w:rsidR="008A2AE0" w:rsidRPr="00835CE5" w:rsidRDefault="008A2AE0" w:rsidP="008A2AE0">
      <w:pPr>
        <w:pStyle w:val="PrrafodeSentencia"/>
        <w:tabs>
          <w:tab w:val="clear" w:pos="567"/>
          <w:tab w:val="left" w:pos="-142"/>
        </w:tabs>
        <w:ind w:left="0" w:firstLine="0"/>
        <w:rPr>
          <w:strike/>
          <w:szCs w:val="20"/>
        </w:rPr>
      </w:pPr>
      <w:r w:rsidRPr="00835CE5">
        <w:rPr>
          <w:szCs w:val="20"/>
        </w:rPr>
        <w:t>A través de memorándum de 30 de abril de 2015 el Director General de Fiscales solicitó al Fiscal</w:t>
      </w:r>
      <w:r>
        <w:rPr>
          <w:szCs w:val="20"/>
        </w:rPr>
        <w:t xml:space="preserve"> Especial de Delitos contra la V</w:t>
      </w:r>
      <w:r w:rsidRPr="00835CE5">
        <w:rPr>
          <w:szCs w:val="20"/>
        </w:rPr>
        <w:t>ida y al Director de la Agencia Técnica de Investigación Criminal el “</w:t>
      </w:r>
      <w:proofErr w:type="spellStart"/>
      <w:r w:rsidRPr="00835CE5">
        <w:rPr>
          <w:szCs w:val="20"/>
        </w:rPr>
        <w:t>nombr</w:t>
      </w:r>
      <w:proofErr w:type="spellEnd"/>
      <w:r w:rsidRPr="00835CE5">
        <w:rPr>
          <w:szCs w:val="20"/>
        </w:rPr>
        <w:t>[amiento] de u</w:t>
      </w:r>
      <w:r>
        <w:rPr>
          <w:szCs w:val="20"/>
        </w:rPr>
        <w:t xml:space="preserve">n equipo especial que apoye al” </w:t>
      </w:r>
      <w:r w:rsidRPr="00835CE5">
        <w:rPr>
          <w:szCs w:val="20"/>
        </w:rPr>
        <w:t>Fiscal interviniente en el caso</w:t>
      </w:r>
      <w:r w:rsidRPr="00835CE5">
        <w:rPr>
          <w:rStyle w:val="FootnoteReference"/>
          <w:sz w:val="20"/>
          <w:szCs w:val="20"/>
        </w:rPr>
        <w:footnoteReference w:id="105"/>
      </w:r>
      <w:r w:rsidRPr="00835CE5">
        <w:rPr>
          <w:szCs w:val="20"/>
        </w:rPr>
        <w:t>. Para el 28 de julio de 2015 dicho equipo no estaba asignado</w:t>
      </w:r>
      <w:r w:rsidRPr="00835CE5">
        <w:rPr>
          <w:rStyle w:val="FootnoteReference"/>
          <w:sz w:val="20"/>
          <w:szCs w:val="20"/>
        </w:rPr>
        <w:footnoteReference w:id="106"/>
      </w:r>
      <w:r w:rsidRPr="00835CE5">
        <w:rPr>
          <w:szCs w:val="20"/>
        </w:rPr>
        <w:t xml:space="preserve">. </w:t>
      </w:r>
    </w:p>
    <w:p w14:paraId="509F60C6" w14:textId="77777777" w:rsidR="008A2AE0" w:rsidRPr="00246CA0" w:rsidRDefault="008A2AE0" w:rsidP="008A2AE0">
      <w:pPr>
        <w:tabs>
          <w:tab w:val="left" w:pos="-142"/>
        </w:tabs>
        <w:rPr>
          <w:szCs w:val="20"/>
          <w:lang w:val="es-CR" w:eastAsia="es-MX"/>
        </w:rPr>
      </w:pPr>
    </w:p>
    <w:p w14:paraId="0D506E9D" w14:textId="68DF7549" w:rsidR="008A2AE0" w:rsidRPr="00C011CF" w:rsidRDefault="008A2AE0" w:rsidP="008A2AE0">
      <w:pPr>
        <w:pStyle w:val="PrrafodeSentencia"/>
        <w:tabs>
          <w:tab w:val="clear" w:pos="567"/>
          <w:tab w:val="left" w:pos="-142"/>
        </w:tabs>
        <w:ind w:left="0" w:firstLine="0"/>
        <w:rPr>
          <w:szCs w:val="20"/>
        </w:rPr>
      </w:pPr>
      <w:r w:rsidRPr="00C011CF">
        <w:rPr>
          <w:szCs w:val="20"/>
        </w:rPr>
        <w:t xml:space="preserve">El 9 de junio de 2015 el Fiscal interviniente expresó en un oficio que “como avance [en la investigación podían] referirse a los dictámenes de balística y otros laboratorios, que obran en el expediente que maneja la Fiscalía de Derechos Humanos en Tegucigalpa”, pero que “los datos acreditados en el voluminoso expediente judicial […] no aportan nada, ya que solo obran testimonios y pruebas evacuadas referentes a las personas [a las] que se les detuvo al día siguiente al </w:t>
      </w:r>
      <w:r w:rsidR="001600D1">
        <w:rPr>
          <w:szCs w:val="20"/>
        </w:rPr>
        <w:t>homicidio</w:t>
      </w:r>
      <w:r w:rsidRPr="00C011CF">
        <w:rPr>
          <w:szCs w:val="20"/>
        </w:rPr>
        <w:t>, las cuales fueron sobreseídas”</w:t>
      </w:r>
      <w:r w:rsidRPr="00C011CF">
        <w:rPr>
          <w:rStyle w:val="FootnoteReference"/>
          <w:sz w:val="20"/>
          <w:szCs w:val="20"/>
        </w:rPr>
        <w:footnoteReference w:id="107"/>
      </w:r>
      <w:r w:rsidRPr="00C011CF">
        <w:rPr>
          <w:szCs w:val="20"/>
        </w:rPr>
        <w:t>. En el mismo acto se propuso la reiniciación de las investigaciones.</w:t>
      </w:r>
    </w:p>
    <w:p w14:paraId="61B038FA" w14:textId="77777777" w:rsidR="008A2AE0" w:rsidRPr="00C011CF" w:rsidRDefault="008A2AE0" w:rsidP="008A2AE0">
      <w:pPr>
        <w:tabs>
          <w:tab w:val="left" w:pos="-142"/>
        </w:tabs>
        <w:rPr>
          <w:szCs w:val="20"/>
          <w:lang w:val="es-CR" w:eastAsia="es-MX"/>
        </w:rPr>
      </w:pPr>
    </w:p>
    <w:p w14:paraId="0FD9A217" w14:textId="691DB588" w:rsidR="0068376F" w:rsidRPr="00F07B77" w:rsidRDefault="008A2AE0" w:rsidP="0068376F">
      <w:pPr>
        <w:pStyle w:val="PrrafodeSentencia"/>
        <w:tabs>
          <w:tab w:val="clear" w:pos="567"/>
          <w:tab w:val="left" w:pos="-142"/>
        </w:tabs>
        <w:ind w:left="0" w:firstLine="0"/>
        <w:rPr>
          <w:szCs w:val="20"/>
        </w:rPr>
      </w:pPr>
      <w:r w:rsidRPr="00C011CF">
        <w:rPr>
          <w:szCs w:val="20"/>
        </w:rPr>
        <w:t>El 15 de febrero de 2016 José Pacheco declaró ante la Agencia Técnica de Investigación Criminal (ATIC) del Ministerio Público, en carácter de testigo, expresando que no recibió “en forma directa” amenazas de parte de R</w:t>
      </w:r>
      <w:r w:rsidR="004D0607">
        <w:rPr>
          <w:szCs w:val="20"/>
        </w:rPr>
        <w:t>P</w:t>
      </w:r>
      <w:r w:rsidRPr="00C011CF">
        <w:rPr>
          <w:szCs w:val="20"/>
        </w:rPr>
        <w:t xml:space="preserve">, JE, BC y JQ, pero “sí </w:t>
      </w:r>
      <w:proofErr w:type="spellStart"/>
      <w:r w:rsidRPr="00C011CF">
        <w:rPr>
          <w:szCs w:val="20"/>
        </w:rPr>
        <w:t>consider</w:t>
      </w:r>
      <w:proofErr w:type="spellEnd"/>
      <w:r w:rsidRPr="00C011CF">
        <w:rPr>
          <w:szCs w:val="20"/>
        </w:rPr>
        <w:t xml:space="preserve">[a] que todas las amenazas que h[a] </w:t>
      </w:r>
      <w:proofErr w:type="spellStart"/>
      <w:proofErr w:type="gramStart"/>
      <w:r w:rsidRPr="00C011CF">
        <w:rPr>
          <w:szCs w:val="20"/>
        </w:rPr>
        <w:t>recib</w:t>
      </w:r>
      <w:proofErr w:type="spellEnd"/>
      <w:r w:rsidRPr="00C011CF">
        <w:rPr>
          <w:szCs w:val="20"/>
        </w:rPr>
        <w:t>[</w:t>
      </w:r>
      <w:proofErr w:type="gramEnd"/>
      <w:r w:rsidRPr="00C011CF">
        <w:rPr>
          <w:szCs w:val="20"/>
        </w:rPr>
        <w:t>id]o en distintas ocasiones tienen relación, y tienen que ser por este caso”. Dijo además que las personas nombradas son los “autores intelectuales y materiales” de la muerte del señor Pacheco</w:t>
      </w:r>
      <w:r w:rsidRPr="00C011CF">
        <w:rPr>
          <w:rStyle w:val="FootnoteReference"/>
          <w:sz w:val="20"/>
          <w:szCs w:val="20"/>
        </w:rPr>
        <w:footnoteReference w:id="108"/>
      </w:r>
      <w:r w:rsidRPr="00C011CF">
        <w:rPr>
          <w:szCs w:val="20"/>
        </w:rPr>
        <w:t>.</w:t>
      </w:r>
    </w:p>
    <w:p w14:paraId="278C2377" w14:textId="683A5DBC" w:rsidR="00407A02" w:rsidRPr="002F4EAC" w:rsidRDefault="00407A02" w:rsidP="002E44FA">
      <w:pPr>
        <w:pStyle w:val="PrrafodeSentencia"/>
        <w:numPr>
          <w:ilvl w:val="0"/>
          <w:numId w:val="0"/>
        </w:numPr>
        <w:tabs>
          <w:tab w:val="clear" w:pos="567"/>
          <w:tab w:val="left" w:pos="-142"/>
        </w:tabs>
        <w:rPr>
          <w:lang w:val="es-MX"/>
        </w:rPr>
      </w:pPr>
    </w:p>
    <w:p w14:paraId="463956EF" w14:textId="391B029B" w:rsidR="003B6D40" w:rsidRDefault="003B6D40" w:rsidP="007B43FC">
      <w:pPr>
        <w:pStyle w:val="Heading1"/>
        <w:rPr>
          <w:rFonts w:cs="Verdana"/>
          <w:b w:val="0"/>
          <w:bCs/>
          <w:caps/>
          <w:noProof/>
          <w:snapToGrid w:val="0"/>
          <w:szCs w:val="20"/>
          <w:lang w:val="es-CR"/>
        </w:rPr>
      </w:pPr>
      <w:bookmarkStart w:id="233" w:name="_Toc349810255"/>
      <w:bookmarkStart w:id="234" w:name="_Toc480742215"/>
      <w:bookmarkStart w:id="235" w:name="_Toc488134440"/>
      <w:bookmarkStart w:id="236" w:name="_Toc489523900"/>
      <w:bookmarkStart w:id="237" w:name="_Toc493512900"/>
      <w:bookmarkStart w:id="238" w:name="_Toc498512821"/>
      <w:r>
        <w:rPr>
          <w:rFonts w:cs="Verdana"/>
          <w:caps/>
          <w:noProof/>
          <w:snapToGrid w:val="0"/>
          <w:szCs w:val="20"/>
          <w:lang w:val="es-CR" w:eastAsia="es-ES"/>
        </w:rPr>
        <w:lastRenderedPageBreak/>
        <w:t>V</w:t>
      </w:r>
      <w:r w:rsidR="008009BB">
        <w:rPr>
          <w:rFonts w:cs="Verdana"/>
          <w:caps/>
          <w:noProof/>
          <w:snapToGrid w:val="0"/>
          <w:szCs w:val="20"/>
          <w:lang w:val="es-CR" w:eastAsia="es-ES"/>
        </w:rPr>
        <w:t>i</w:t>
      </w:r>
      <w:r>
        <w:rPr>
          <w:rFonts w:cs="Verdana"/>
          <w:caps/>
          <w:noProof/>
          <w:snapToGrid w:val="0"/>
          <w:szCs w:val="20"/>
          <w:lang w:val="es-CR" w:eastAsia="es-ES"/>
        </w:rPr>
        <w:br/>
        <w:t>FONDO</w:t>
      </w:r>
      <w:bookmarkEnd w:id="233"/>
      <w:bookmarkEnd w:id="234"/>
      <w:bookmarkEnd w:id="235"/>
      <w:bookmarkEnd w:id="236"/>
      <w:bookmarkEnd w:id="237"/>
      <w:bookmarkEnd w:id="238"/>
    </w:p>
    <w:p w14:paraId="69954764" w14:textId="1EE392E7" w:rsidR="00942DF7" w:rsidRPr="00942DF7" w:rsidRDefault="0017263F" w:rsidP="0017263F">
      <w:pPr>
        <w:tabs>
          <w:tab w:val="left" w:pos="7983"/>
        </w:tabs>
        <w:rPr>
          <w:b/>
          <w:szCs w:val="20"/>
          <w:lang w:val="es-CR" w:eastAsia="es-MX"/>
        </w:rPr>
      </w:pPr>
      <w:r>
        <w:rPr>
          <w:b/>
          <w:szCs w:val="20"/>
          <w:lang w:val="es-CR" w:eastAsia="es-MX"/>
        </w:rPr>
        <w:tab/>
      </w:r>
    </w:p>
    <w:p w14:paraId="07347B1F" w14:textId="77777777" w:rsidR="004635E5" w:rsidRDefault="004635E5" w:rsidP="004635E5">
      <w:pPr>
        <w:pStyle w:val="PrrafodeSentencia"/>
        <w:numPr>
          <w:ilvl w:val="0"/>
          <w:numId w:val="3"/>
        </w:numPr>
        <w:ind w:left="0" w:firstLine="0"/>
        <w:rPr>
          <w:strike/>
        </w:rPr>
      </w:pPr>
      <w:r w:rsidRPr="000874BF">
        <w:t>En primer lugar, la Corte considera necesario señalar que el estudio de las violaciones a derechos humanos alegadas en el presente caso requiere el examen de las investigaciones iniciadas a raíz del homicidio del señor Pacheco León.</w:t>
      </w:r>
      <w:r w:rsidRPr="000874BF">
        <w:rPr>
          <w:strike/>
        </w:rPr>
        <w:t xml:space="preserve"> </w:t>
      </w:r>
    </w:p>
    <w:p w14:paraId="0364032C" w14:textId="77777777" w:rsidR="004635E5" w:rsidRPr="000874BF" w:rsidRDefault="004635E5" w:rsidP="004635E5">
      <w:pPr>
        <w:rPr>
          <w:lang w:val="es-CR" w:eastAsia="es-MX"/>
        </w:rPr>
      </w:pPr>
    </w:p>
    <w:p w14:paraId="2EDA5739" w14:textId="5B989BB3" w:rsidR="004635E5" w:rsidRPr="000874BF" w:rsidRDefault="004635E5" w:rsidP="004635E5">
      <w:pPr>
        <w:pStyle w:val="PrrafodeSentencia"/>
        <w:numPr>
          <w:ilvl w:val="0"/>
          <w:numId w:val="3"/>
        </w:numPr>
        <w:ind w:left="0" w:firstLine="0"/>
        <w:rPr>
          <w:strike/>
        </w:rPr>
      </w:pPr>
      <w:r w:rsidRPr="000874BF">
        <w:rPr>
          <w:rFonts w:cs="Times"/>
          <w:noProof/>
          <w:szCs w:val="20"/>
          <w:lang w:eastAsia="es-ES"/>
        </w:rPr>
        <w:t xml:space="preserve">En relación </w:t>
      </w:r>
      <w:r w:rsidR="0010516B">
        <w:rPr>
          <w:rFonts w:cs="Times"/>
          <w:noProof/>
          <w:szCs w:val="20"/>
          <w:lang w:eastAsia="es-ES"/>
        </w:rPr>
        <w:t>con</w:t>
      </w:r>
      <w:r w:rsidRPr="000874BF">
        <w:rPr>
          <w:rFonts w:cs="Times"/>
          <w:noProof/>
          <w:szCs w:val="20"/>
          <w:lang w:eastAsia="es-ES"/>
        </w:rPr>
        <w:t xml:space="preserve"> lo anterior, cabe advertir que la normativa interna penal no es objeto de la litis o controversia y que la Corte, en el marco de su competencia y funciones, anali</w:t>
      </w:r>
      <w:r>
        <w:rPr>
          <w:rFonts w:cs="Times"/>
          <w:noProof/>
          <w:szCs w:val="20"/>
          <w:lang w:eastAsia="es-ES"/>
        </w:rPr>
        <w:t>zará los hechos del presente cas</w:t>
      </w:r>
      <w:r w:rsidRPr="000874BF">
        <w:rPr>
          <w:rFonts w:cs="Times"/>
          <w:noProof/>
          <w:szCs w:val="20"/>
          <w:lang w:eastAsia="es-ES"/>
        </w:rPr>
        <w:t xml:space="preserve">o evaluando la conducta estatal acreditada a la luz de las obligaciones establecidas en la Convención Americana. En este sentido, este Tribunal </w:t>
      </w:r>
      <w:r w:rsidRPr="000874BF">
        <w:rPr>
          <w:rFonts w:cs="Times"/>
          <w:noProof/>
          <w:szCs w:val="20"/>
          <w:lang w:val="es-ES_tradnl" w:eastAsia="es-ES"/>
        </w:rPr>
        <w:t>no resolverá desacuerdos sobre los alcances de la valoración de prueba o de la aplicación del derecho interno en aspectos que no estén directamente relacionados con el cumplimiento de obligaciones internacionales en derechos humanos</w:t>
      </w:r>
      <w:r w:rsidRPr="000874BF">
        <w:rPr>
          <w:rStyle w:val="FootnoteReference"/>
          <w:noProof/>
          <w:sz w:val="20"/>
          <w:szCs w:val="20"/>
          <w:lang w:val="es-ES_tradnl" w:eastAsia="es-ES"/>
        </w:rPr>
        <w:footnoteReference w:id="109"/>
      </w:r>
      <w:r w:rsidRPr="000874BF">
        <w:rPr>
          <w:rFonts w:cs="Times"/>
          <w:noProof/>
          <w:szCs w:val="20"/>
          <w:lang w:val="es-ES_tradnl" w:eastAsia="es-ES"/>
        </w:rPr>
        <w:t xml:space="preserve">. </w:t>
      </w:r>
    </w:p>
    <w:p w14:paraId="0950EDF1" w14:textId="77777777" w:rsidR="004635E5" w:rsidRPr="00526F43" w:rsidRDefault="004635E5" w:rsidP="004635E5">
      <w:pPr>
        <w:tabs>
          <w:tab w:val="left" w:pos="-284"/>
        </w:tabs>
      </w:pPr>
    </w:p>
    <w:p w14:paraId="00C4EDED" w14:textId="0DA3E309" w:rsidR="004635E5" w:rsidRPr="00812BC5" w:rsidRDefault="004635E5" w:rsidP="004635E5">
      <w:pPr>
        <w:pStyle w:val="PrrafodeSentencia"/>
        <w:numPr>
          <w:ilvl w:val="0"/>
          <w:numId w:val="3"/>
        </w:numPr>
        <w:tabs>
          <w:tab w:val="clear" w:pos="567"/>
          <w:tab w:val="left" w:pos="-284"/>
        </w:tabs>
        <w:ind w:left="0" w:firstLine="0"/>
      </w:pPr>
      <w:r w:rsidRPr="00812BC5">
        <w:rPr>
          <w:szCs w:val="20"/>
          <w:lang w:val="es-AR"/>
        </w:rPr>
        <w:t>Al emitir el Informe de Fondo, la Comisión determinó la violación, por el modo en que se desarrolló la investigación de los hechos, de los artículos 8, 25 y 1.1, disposiciones por l</w:t>
      </w:r>
      <w:r>
        <w:rPr>
          <w:szCs w:val="20"/>
          <w:lang w:val="es-AR"/>
        </w:rPr>
        <w:t>a</w:t>
      </w:r>
      <w:r w:rsidRPr="00812BC5">
        <w:rPr>
          <w:szCs w:val="20"/>
          <w:lang w:val="es-AR"/>
        </w:rPr>
        <w:t>s que el caso había sido presentado</w:t>
      </w:r>
      <w:r w:rsidRPr="00FD7A4E">
        <w:rPr>
          <w:rStyle w:val="FootnoteReference"/>
          <w:sz w:val="20"/>
          <w:szCs w:val="20"/>
          <w:lang w:val="es-AR"/>
        </w:rPr>
        <w:footnoteReference w:id="110"/>
      </w:r>
      <w:r w:rsidRPr="00812BC5">
        <w:rPr>
          <w:szCs w:val="20"/>
          <w:lang w:val="es-AR"/>
        </w:rPr>
        <w:t xml:space="preserve"> y </w:t>
      </w:r>
      <w:r w:rsidRPr="00727822">
        <w:rPr>
          <w:szCs w:val="20"/>
          <w:lang w:val="es-AR"/>
        </w:rPr>
        <w:t>admitido (</w:t>
      </w:r>
      <w:r w:rsidRPr="00727822">
        <w:rPr>
          <w:i/>
          <w:szCs w:val="20"/>
          <w:lang w:val="es-AR"/>
        </w:rPr>
        <w:t>supra</w:t>
      </w:r>
      <w:r w:rsidRPr="00727822">
        <w:rPr>
          <w:szCs w:val="20"/>
          <w:lang w:val="es-AR"/>
        </w:rPr>
        <w:t xml:space="preserve"> párr. 2). Asimismo, determinó la vulneración de otras normas (</w:t>
      </w:r>
      <w:r w:rsidRPr="00727822">
        <w:rPr>
          <w:i/>
          <w:szCs w:val="20"/>
          <w:lang w:val="es-AR"/>
        </w:rPr>
        <w:t>supra</w:t>
      </w:r>
      <w:r w:rsidRPr="00727822">
        <w:rPr>
          <w:szCs w:val="20"/>
          <w:lang w:val="es-AR"/>
        </w:rPr>
        <w:t xml:space="preserve"> párr. 2). Al respecto, </w:t>
      </w:r>
      <w:r w:rsidRPr="00727822">
        <w:t>teniendo en cuenta “indicios” que entendi</w:t>
      </w:r>
      <w:r w:rsidRPr="00727822">
        <w:rPr>
          <w:rFonts w:cs="Calibri"/>
        </w:rPr>
        <w:t>ó</w:t>
      </w:r>
      <w:r w:rsidRPr="00727822">
        <w:t xml:space="preserve"> evidenciados en el curso de la investigaci</w:t>
      </w:r>
      <w:r w:rsidRPr="00727822">
        <w:rPr>
          <w:rFonts w:cs="Calibri"/>
        </w:rPr>
        <w:t>ó</w:t>
      </w:r>
      <w:r w:rsidRPr="00727822">
        <w:t>n interna y no</w:t>
      </w:r>
      <w:r w:rsidRPr="00812BC5">
        <w:t xml:space="preserve"> desvirtuados por la misma, </w:t>
      </w:r>
      <w:r>
        <w:t xml:space="preserve">la Comisión </w:t>
      </w:r>
      <w:r w:rsidRPr="00812BC5">
        <w:t>coligi</w:t>
      </w:r>
      <w:r w:rsidRPr="00812BC5">
        <w:rPr>
          <w:rFonts w:cs="Calibri"/>
        </w:rPr>
        <w:t>ó</w:t>
      </w:r>
      <w:r w:rsidRPr="00812BC5">
        <w:t xml:space="preserve"> que el Estado irrespetó el derecho a la vida del señor Pacheco así como sus derechos políticos, dado que evaluó que su muerte</w:t>
      </w:r>
      <w:r>
        <w:t xml:space="preserve"> y amenazas previas</w:t>
      </w:r>
      <w:r w:rsidRPr="00812BC5">
        <w:t xml:space="preserve"> tuv</w:t>
      </w:r>
      <w:r>
        <w:t>ieron</w:t>
      </w:r>
      <w:r w:rsidRPr="00812BC5">
        <w:t xml:space="preserve"> vinculaci</w:t>
      </w:r>
      <w:r w:rsidRPr="00812BC5">
        <w:rPr>
          <w:rFonts w:cs="Calibri"/>
        </w:rPr>
        <w:t>ó</w:t>
      </w:r>
      <w:r w:rsidRPr="00812BC5">
        <w:t>n con su actividad pol</w:t>
      </w:r>
      <w:r w:rsidRPr="00812BC5">
        <w:rPr>
          <w:rFonts w:cs="Calibri"/>
        </w:rPr>
        <w:t>í</w:t>
      </w:r>
      <w:r w:rsidRPr="00812BC5">
        <w:t>tica.</w:t>
      </w:r>
      <w:r w:rsidRPr="00812BC5">
        <w:rPr>
          <w:b/>
        </w:rPr>
        <w:t xml:space="preserve"> </w:t>
      </w:r>
      <w:r w:rsidRPr="00812BC5">
        <w:t>Adem</w:t>
      </w:r>
      <w:r w:rsidRPr="00812BC5">
        <w:rPr>
          <w:rFonts w:cs="Calibri"/>
        </w:rPr>
        <w:t>á</w:t>
      </w:r>
      <w:r w:rsidRPr="00812BC5">
        <w:t>s, teniendo en cuenta</w:t>
      </w:r>
      <w:r>
        <w:t>, entre otras circunstancias, la privación de la vida del señor Pacheco,</w:t>
      </w:r>
      <w:r w:rsidRPr="00812BC5">
        <w:t xml:space="preserve"> concluyó que se afectó la integridad personal de </w:t>
      </w:r>
      <w:r>
        <w:t xml:space="preserve">sus </w:t>
      </w:r>
      <w:r w:rsidRPr="00812BC5">
        <w:t xml:space="preserve">familiares. </w:t>
      </w:r>
      <w:r w:rsidRPr="00812BC5">
        <w:rPr>
          <w:szCs w:val="20"/>
        </w:rPr>
        <w:t>Los representantes, por su parte, vincularon la aducida falta de diligencia en la investigación a la supuesta lesión al derecho a la vida del señor Pacheco</w:t>
      </w:r>
      <w:r>
        <w:rPr>
          <w:szCs w:val="20"/>
        </w:rPr>
        <w:t>,</w:t>
      </w:r>
      <w:r w:rsidRPr="00812BC5">
        <w:rPr>
          <w:szCs w:val="20"/>
        </w:rPr>
        <w:t xml:space="preserve"> cuya muerte, a su vez, señalaron como una causa del menoscabo a sus derechos políticos. Tanto la Comisión como los representantes relacionaron las violaciones referidas, inclusive en aquello atinente al modo en que se desarrolló la investigación</w:t>
      </w:r>
      <w:r w:rsidRPr="00812BC5">
        <w:rPr>
          <w:rStyle w:val="FootnoteReference"/>
          <w:sz w:val="20"/>
          <w:szCs w:val="20"/>
        </w:rPr>
        <w:footnoteReference w:id="111"/>
      </w:r>
      <w:r w:rsidRPr="00812BC5">
        <w:rPr>
          <w:szCs w:val="20"/>
        </w:rPr>
        <w:t>, con la afectación alegada al derecho a la integridad personal de familiares del señor Pacheco León.</w:t>
      </w:r>
      <w:r w:rsidRPr="00812BC5">
        <w:rPr>
          <w:b/>
          <w:sz w:val="16"/>
          <w:szCs w:val="16"/>
        </w:rPr>
        <w:t xml:space="preserve"> </w:t>
      </w:r>
    </w:p>
    <w:p w14:paraId="1DE8597E" w14:textId="77777777" w:rsidR="004635E5" w:rsidRPr="00493F83" w:rsidRDefault="004635E5" w:rsidP="004635E5"/>
    <w:p w14:paraId="75BDF9AF" w14:textId="677167F6" w:rsidR="004635E5" w:rsidRDefault="004635E5" w:rsidP="004635E5">
      <w:pPr>
        <w:pStyle w:val="PrrafodeSentencia"/>
        <w:numPr>
          <w:ilvl w:val="0"/>
          <w:numId w:val="3"/>
        </w:numPr>
        <w:tabs>
          <w:tab w:val="clear" w:pos="567"/>
          <w:tab w:val="left" w:pos="-284"/>
        </w:tabs>
        <w:ind w:left="0" w:firstLine="0"/>
      </w:pPr>
      <w:r>
        <w:rPr>
          <w:lang w:val="es-MX"/>
        </w:rPr>
        <w:t>E</w:t>
      </w:r>
      <w:proofErr w:type="spellStart"/>
      <w:r>
        <w:t>ste</w:t>
      </w:r>
      <w:proofErr w:type="spellEnd"/>
      <w:r>
        <w:t xml:space="preserve"> Tribunal </w:t>
      </w:r>
      <w:r w:rsidRPr="003B6D40">
        <w:t>nota que</w:t>
      </w:r>
      <w:r>
        <w:t xml:space="preserve"> varios</w:t>
      </w:r>
      <w:r w:rsidRPr="003B6D40">
        <w:t xml:space="preserve"> argumentos relativos a las distintas violaciones alegadas tienen relación con la investigación sobre la muerte del señor Pacheco León. Por ello, considera </w:t>
      </w:r>
      <w:r>
        <w:t xml:space="preserve">necesario </w:t>
      </w:r>
      <w:r w:rsidRPr="003B6D40">
        <w:t>examinar en primer término dicha investigación.</w:t>
      </w:r>
      <w:r>
        <w:t xml:space="preserve"> Así, la Corte</w:t>
      </w:r>
      <w:r w:rsidRPr="003B6D40">
        <w:t xml:space="preserve"> pasa a examinar</w:t>
      </w:r>
      <w:r>
        <w:t xml:space="preserve"> </w:t>
      </w:r>
      <w:r w:rsidRPr="003B6D40">
        <w:t xml:space="preserve">los alegatos </w:t>
      </w:r>
      <w:r>
        <w:t>sobre</w:t>
      </w:r>
      <w:r w:rsidRPr="003B6D40">
        <w:t xml:space="preserve">: 1) la </w:t>
      </w:r>
      <w:r>
        <w:t xml:space="preserve">supuesta </w:t>
      </w:r>
      <w:r w:rsidRPr="003B6D40">
        <w:t>inobservancia de los derechos a las garantías y protección judiciales (artículos 8</w:t>
      </w:r>
      <w:r>
        <w:t>.1</w:t>
      </w:r>
      <w:r w:rsidRPr="003B6D40">
        <w:t xml:space="preserve"> y 25</w:t>
      </w:r>
      <w:r>
        <w:t>.1</w:t>
      </w:r>
      <w:r w:rsidRPr="003B6D40">
        <w:t xml:space="preserve"> de la Convención</w:t>
      </w:r>
      <w:r w:rsidRPr="006D540A">
        <w:rPr>
          <w:vertAlign w:val="superscript"/>
        </w:rPr>
        <w:footnoteReference w:id="112"/>
      </w:r>
      <w:r w:rsidRPr="003B6D40">
        <w:t xml:space="preserve">), en relación con la investigación de la muerte del señor Pacheco León; 2) la </w:t>
      </w:r>
      <w:r>
        <w:t>argüida vulneración</w:t>
      </w:r>
      <w:r w:rsidRPr="003B6D40">
        <w:t xml:space="preserve"> a su derecho a la vid</w:t>
      </w:r>
      <w:r>
        <w:t xml:space="preserve">a </w:t>
      </w:r>
      <w:r w:rsidRPr="003B6D40">
        <w:t>y el menoscabo a sus derechos políticos (artículos 4</w:t>
      </w:r>
      <w:r>
        <w:t>.1</w:t>
      </w:r>
      <w:r w:rsidRPr="003B6D40">
        <w:t xml:space="preserve"> y 23</w:t>
      </w:r>
      <w:r>
        <w:t>.1</w:t>
      </w:r>
      <w:r w:rsidRPr="003B6D40">
        <w:t xml:space="preserve"> de la Convención</w:t>
      </w:r>
      <w:r w:rsidRPr="00FD7A4E">
        <w:rPr>
          <w:rStyle w:val="FootnoteReference"/>
          <w:sz w:val="20"/>
          <w:szCs w:val="20"/>
        </w:rPr>
        <w:footnoteReference w:id="113"/>
      </w:r>
      <w:r w:rsidRPr="003B6D40">
        <w:t xml:space="preserve">), y </w:t>
      </w:r>
      <w:r>
        <w:t xml:space="preserve">3) </w:t>
      </w:r>
      <w:r w:rsidRPr="003B6D40">
        <w:t xml:space="preserve">la </w:t>
      </w:r>
      <w:r>
        <w:t xml:space="preserve">aducida </w:t>
      </w:r>
      <w:r w:rsidRPr="003B6D40">
        <w:t xml:space="preserve">afectación a la integridad </w:t>
      </w:r>
      <w:r w:rsidRPr="003B6D40">
        <w:lastRenderedPageBreak/>
        <w:t>personal de familiares del señor Pacheco (artículo 5 de la Convención</w:t>
      </w:r>
      <w:r w:rsidRPr="005D079B">
        <w:rPr>
          <w:rStyle w:val="FootnoteReference"/>
          <w:sz w:val="20"/>
          <w:szCs w:val="20"/>
        </w:rPr>
        <w:footnoteReference w:id="114"/>
      </w:r>
      <w:r w:rsidRPr="003B6D40">
        <w:t>)</w:t>
      </w:r>
      <w:r>
        <w:t>; todo ello , en relación con</w:t>
      </w:r>
      <w:r w:rsidR="00F07B77">
        <w:t xml:space="preserve">  </w:t>
      </w:r>
      <w:r>
        <w:t>el artículo 1.1 de la Convención Americana</w:t>
      </w:r>
      <w:r w:rsidRPr="006D540A">
        <w:rPr>
          <w:vertAlign w:val="superscript"/>
        </w:rPr>
        <w:footnoteReference w:id="115"/>
      </w:r>
      <w:r w:rsidRPr="003B6D40">
        <w:t>.</w:t>
      </w:r>
      <w:r>
        <w:t xml:space="preserve"> </w:t>
      </w:r>
      <w:r w:rsidRPr="00202A98">
        <w:t>Los señalamientos de los representantes sobre el artículo 2 de la Convención serán examinados en último lugar</w:t>
      </w:r>
      <w:r w:rsidRPr="00202A98">
        <w:rPr>
          <w:rStyle w:val="FootnoteReference"/>
          <w:sz w:val="20"/>
          <w:szCs w:val="20"/>
        </w:rPr>
        <w:footnoteReference w:id="116"/>
      </w:r>
      <w:r w:rsidRPr="00202A98">
        <w:rPr>
          <w:szCs w:val="20"/>
        </w:rPr>
        <w:t>.</w:t>
      </w:r>
    </w:p>
    <w:p w14:paraId="14209BC9" w14:textId="77777777" w:rsidR="004635E5" w:rsidRDefault="004635E5" w:rsidP="004635E5">
      <w:pPr>
        <w:rPr>
          <w:rFonts w:eastAsia="Times New Roman" w:cs="Times New Roman"/>
          <w:noProof/>
          <w:szCs w:val="20"/>
          <w:lang w:val="es-CR" w:eastAsia="es-ES"/>
        </w:rPr>
      </w:pPr>
    </w:p>
    <w:p w14:paraId="42052AC9" w14:textId="77777777" w:rsidR="004635E5" w:rsidRDefault="004635E5" w:rsidP="004635E5">
      <w:pPr>
        <w:pStyle w:val="Heading1"/>
        <w:ind w:firstLine="4"/>
        <w:rPr>
          <w:rFonts w:cs="Verdana"/>
          <w:caps/>
          <w:noProof/>
          <w:snapToGrid w:val="0"/>
          <w:szCs w:val="20"/>
          <w:lang w:val="es-CR" w:eastAsia="es-ES"/>
        </w:rPr>
      </w:pPr>
      <w:bookmarkStart w:id="239" w:name="_Toc340752594"/>
      <w:bookmarkStart w:id="240" w:name="_Toc349810256"/>
      <w:bookmarkStart w:id="241" w:name="_Toc480742218"/>
      <w:bookmarkStart w:id="242" w:name="_Toc488134443"/>
      <w:bookmarkStart w:id="243" w:name="_Toc489523903"/>
      <w:bookmarkStart w:id="244" w:name="_Toc493512901"/>
      <w:bookmarkStart w:id="245" w:name="_Toc498512822"/>
      <w:r>
        <w:rPr>
          <w:rFonts w:cs="Verdana"/>
          <w:caps/>
          <w:noProof/>
          <w:snapToGrid w:val="0"/>
          <w:szCs w:val="20"/>
          <w:lang w:val="es-CR" w:eastAsia="es-ES"/>
        </w:rPr>
        <w:t>Vi.1</w:t>
      </w:r>
      <w:r>
        <w:rPr>
          <w:rFonts w:cs="Verdana"/>
          <w:caps/>
          <w:noProof/>
          <w:snapToGrid w:val="0"/>
          <w:szCs w:val="20"/>
          <w:lang w:val="es-CR" w:eastAsia="es-ES"/>
        </w:rPr>
        <w:br/>
      </w:r>
      <w:bookmarkEnd w:id="239"/>
      <w:r>
        <w:rPr>
          <w:rFonts w:cs="Verdana"/>
          <w:caps/>
          <w:noProof/>
          <w:snapToGrid w:val="0"/>
          <w:szCs w:val="20"/>
          <w:lang w:val="es-CR" w:eastAsia="es-ES"/>
        </w:rPr>
        <w:t>derechos a las garantías judiciales y a la Protección judicial</w:t>
      </w:r>
      <w:bookmarkEnd w:id="240"/>
      <w:bookmarkEnd w:id="241"/>
      <w:bookmarkEnd w:id="242"/>
      <w:bookmarkEnd w:id="243"/>
      <w:bookmarkEnd w:id="244"/>
      <w:bookmarkEnd w:id="245"/>
    </w:p>
    <w:p w14:paraId="5B4746C5" w14:textId="77777777" w:rsidR="004635E5" w:rsidRPr="003B6D40" w:rsidRDefault="004635E5" w:rsidP="004635E5">
      <w:pPr>
        <w:pStyle w:val="ListParagraph"/>
        <w:numPr>
          <w:ilvl w:val="0"/>
          <w:numId w:val="0"/>
        </w:numPr>
        <w:rPr>
          <w:rFonts w:cs="Arial"/>
          <w:i/>
          <w:lang w:val="es-CR"/>
        </w:rPr>
      </w:pPr>
    </w:p>
    <w:p w14:paraId="5872E708" w14:textId="77777777" w:rsidR="004635E5" w:rsidRPr="003B6D40" w:rsidRDefault="004635E5" w:rsidP="004635E5">
      <w:pPr>
        <w:pStyle w:val="ListParagraph"/>
        <w:widowControl/>
        <w:numPr>
          <w:ilvl w:val="0"/>
          <w:numId w:val="15"/>
        </w:numPr>
        <w:autoSpaceDE/>
        <w:autoSpaceDN/>
        <w:adjustRightInd/>
        <w:spacing w:line="276" w:lineRule="auto"/>
        <w:ind w:left="284" w:right="0" w:firstLine="0"/>
        <w:contextualSpacing/>
        <w:outlineLvl w:val="1"/>
        <w:rPr>
          <w:b/>
          <w:i/>
          <w:lang w:val="es-CR"/>
        </w:rPr>
      </w:pPr>
      <w:bookmarkStart w:id="246" w:name="_Toc488134444"/>
      <w:bookmarkStart w:id="247" w:name="_Toc489523904"/>
      <w:bookmarkStart w:id="248" w:name="_Toc493512902"/>
      <w:bookmarkStart w:id="249" w:name="_Toc498512823"/>
      <w:r w:rsidRPr="003B6D40">
        <w:rPr>
          <w:b/>
          <w:i/>
          <w:lang w:val="es-CR"/>
        </w:rPr>
        <w:t>Argumentos de la Comisión y de las partes</w:t>
      </w:r>
      <w:bookmarkEnd w:id="246"/>
      <w:bookmarkEnd w:id="247"/>
      <w:r w:rsidRPr="00FD7A4E">
        <w:rPr>
          <w:rStyle w:val="FootnoteReference"/>
          <w:sz w:val="20"/>
          <w:szCs w:val="20"/>
          <w:lang w:val="es-CR"/>
        </w:rPr>
        <w:footnoteReference w:id="117"/>
      </w:r>
      <w:bookmarkEnd w:id="248"/>
      <w:bookmarkEnd w:id="249"/>
    </w:p>
    <w:p w14:paraId="4B15F439" w14:textId="77777777" w:rsidR="004635E5" w:rsidRPr="003B6D40" w:rsidRDefault="004635E5" w:rsidP="004635E5">
      <w:pPr>
        <w:rPr>
          <w:lang w:val="es-CR" w:eastAsia="es-MX"/>
        </w:rPr>
      </w:pPr>
    </w:p>
    <w:p w14:paraId="24471224" w14:textId="31F37EDE" w:rsidR="004635E5" w:rsidRPr="00466E92" w:rsidRDefault="004635E5" w:rsidP="004635E5">
      <w:pPr>
        <w:pStyle w:val="PrrafodeSentencia"/>
        <w:numPr>
          <w:ilvl w:val="0"/>
          <w:numId w:val="3"/>
        </w:numPr>
        <w:ind w:left="0" w:firstLine="0"/>
      </w:pPr>
      <w:r w:rsidRPr="003B6D40">
        <w:t xml:space="preserve">La </w:t>
      </w:r>
      <w:r w:rsidRPr="003B6D40">
        <w:rPr>
          <w:b/>
          <w:i/>
        </w:rPr>
        <w:t>Comisión</w:t>
      </w:r>
      <w:r w:rsidRPr="003B6D40">
        <w:t xml:space="preserve"> </w:t>
      </w:r>
      <w:r>
        <w:t>afirmó la existencia de “</w:t>
      </w:r>
      <w:r w:rsidRPr="008C620B">
        <w:t xml:space="preserve">un deber reforzado </w:t>
      </w:r>
      <w:r>
        <w:t xml:space="preserve">[del Estado] </w:t>
      </w:r>
      <w:r w:rsidRPr="008C620B">
        <w:t>de investigar con especial diligencia y seriedad</w:t>
      </w:r>
      <w:r>
        <w:t>” la muerte del señor Pacheco, dados los indicios de participación de agentes estatales en ese hecho. C</w:t>
      </w:r>
      <w:r w:rsidRPr="00466E92">
        <w:t xml:space="preserve">onsideró que </w:t>
      </w:r>
      <w:r>
        <w:t>la investigación no fue diligente. Al respecto, dijo</w:t>
      </w:r>
      <w:r w:rsidRPr="00857DA4">
        <w:t xml:space="preserve"> </w:t>
      </w:r>
      <w:r>
        <w:t>qu</w:t>
      </w:r>
      <w:r w:rsidRPr="003B6D40">
        <w:t xml:space="preserve">e diversas personas </w:t>
      </w:r>
      <w:r>
        <w:t>declararon indicando</w:t>
      </w:r>
      <w:r w:rsidRPr="003B6D40">
        <w:t xml:space="preserve"> quiénes habrían intimida</w:t>
      </w:r>
      <w:r>
        <w:t>do</w:t>
      </w:r>
      <w:r w:rsidRPr="003B6D40">
        <w:t xml:space="preserve"> y amenaza</w:t>
      </w:r>
      <w:r>
        <w:t>do</w:t>
      </w:r>
      <w:r w:rsidRPr="003B6D40">
        <w:t xml:space="preserve"> al señor Pacheco antes de que lo mataran</w:t>
      </w:r>
      <w:r>
        <w:t>, que l</w:t>
      </w:r>
      <w:r w:rsidRPr="003B6D40">
        <w:t xml:space="preserve">as autoridades habían obtenido información </w:t>
      </w:r>
      <w:r>
        <w:t>de</w:t>
      </w:r>
      <w:r w:rsidRPr="003B6D40">
        <w:t xml:space="preserve"> que un agente policial habría sido el autor material del </w:t>
      </w:r>
      <w:r>
        <w:t>homicidio, y que, pese a lo dicho, el Estado no adoptó diligencias mínimas para investigar a las personas aludidas</w:t>
      </w:r>
      <w:r w:rsidRPr="005D079B">
        <w:rPr>
          <w:rStyle w:val="FootnoteReference"/>
          <w:sz w:val="20"/>
          <w:szCs w:val="20"/>
        </w:rPr>
        <w:footnoteReference w:id="118"/>
      </w:r>
      <w:r w:rsidRPr="00C438C1">
        <w:rPr>
          <w:szCs w:val="20"/>
        </w:rPr>
        <w:t>.</w:t>
      </w:r>
      <w:r w:rsidRPr="008C620B">
        <w:rPr>
          <w:b/>
          <w:sz w:val="16"/>
          <w:szCs w:val="16"/>
        </w:rPr>
        <w:t xml:space="preserve"> </w:t>
      </w:r>
      <w:r>
        <w:t>Además, señaló que el Estado: a)</w:t>
      </w:r>
      <w:r w:rsidRPr="008C620B">
        <w:t xml:space="preserve"> no habría pr</w:t>
      </w:r>
      <w:r>
        <w:t>otegido</w:t>
      </w:r>
      <w:r w:rsidRPr="008C620B">
        <w:t xml:space="preserve"> la escena del </w:t>
      </w:r>
      <w:r>
        <w:t>delito</w:t>
      </w:r>
      <w:r w:rsidRPr="008C620B">
        <w:t xml:space="preserve"> ni </w:t>
      </w:r>
      <w:r>
        <w:t xml:space="preserve">preservado </w:t>
      </w:r>
      <w:r w:rsidRPr="008C620B">
        <w:t>la evidencia recabada en el luga</w:t>
      </w:r>
      <w:r>
        <w:t>r;</w:t>
      </w:r>
      <w:r w:rsidRPr="008C620B">
        <w:t xml:space="preserve"> </w:t>
      </w:r>
      <w:r>
        <w:t xml:space="preserve">b) </w:t>
      </w:r>
      <w:r w:rsidRPr="008C620B">
        <w:t xml:space="preserve">no custodió adecuadamente </w:t>
      </w:r>
      <w:r>
        <w:t xml:space="preserve">las </w:t>
      </w:r>
      <w:r w:rsidRPr="008C620B">
        <w:t>muestras de sangre que finalmente “fueron ‘accidentalmente’ destruidas”</w:t>
      </w:r>
      <w:r w:rsidR="004610BF">
        <w:t xml:space="preserve">, </w:t>
      </w:r>
      <w:r>
        <w:t>y c)</w:t>
      </w:r>
      <w:r w:rsidRPr="008C620B">
        <w:t xml:space="preserve"> “durante los primeros meses e incluso años”</w:t>
      </w:r>
      <w:r>
        <w:t xml:space="preserve"> dirigió</w:t>
      </w:r>
      <w:r w:rsidRPr="008C620B">
        <w:t xml:space="preserve"> la investigación </w:t>
      </w:r>
      <w:r>
        <w:t>“</w:t>
      </w:r>
      <w:r w:rsidRPr="008C620B">
        <w:t>exclusivamente</w:t>
      </w:r>
      <w:r>
        <w:t>”</w:t>
      </w:r>
      <w:r w:rsidRPr="008C620B">
        <w:t xml:space="preserve"> a tres sospechosos, sin que del expediente surja</w:t>
      </w:r>
      <w:r>
        <w:t>n</w:t>
      </w:r>
      <w:r w:rsidRPr="008C620B">
        <w:t xml:space="preserve"> las razones de la vinculación de esas tres personas</w:t>
      </w:r>
      <w:r w:rsidRPr="005D079B">
        <w:rPr>
          <w:rStyle w:val="FootnoteReference"/>
          <w:rFonts w:cs="Arial"/>
          <w:sz w:val="20"/>
          <w:szCs w:val="20"/>
        </w:rPr>
        <w:footnoteReference w:id="119"/>
      </w:r>
      <w:r>
        <w:t xml:space="preserve">. Además adujo que </w:t>
      </w:r>
      <w:r w:rsidRPr="003B6D40">
        <w:t xml:space="preserve">familiares </w:t>
      </w:r>
      <w:r>
        <w:t xml:space="preserve">del señor Pacheco y testigos </w:t>
      </w:r>
      <w:r w:rsidRPr="003B6D40">
        <w:t>alega</w:t>
      </w:r>
      <w:r>
        <w:t>ron</w:t>
      </w:r>
      <w:r w:rsidRPr="003B6D40">
        <w:t xml:space="preserve"> haber sido objeto de amenazas durante la investigación</w:t>
      </w:r>
      <w:r>
        <w:t xml:space="preserve">, </w:t>
      </w:r>
      <w:r w:rsidRPr="00E363F3">
        <w:t xml:space="preserve">y que </w:t>
      </w:r>
      <w:r>
        <w:t>“</w:t>
      </w:r>
      <w:r w:rsidRPr="00E363F3">
        <w:t xml:space="preserve">no consta </w:t>
      </w:r>
      <w:r>
        <w:t xml:space="preserve">en el expediente” </w:t>
      </w:r>
      <w:r w:rsidRPr="00E363F3">
        <w:t xml:space="preserve">que el Estado </w:t>
      </w:r>
      <w:r w:rsidRPr="00E363F3">
        <w:lastRenderedPageBreak/>
        <w:t>hubiese implementado medidas de protección a su favor o que investigase</w:t>
      </w:r>
      <w:r>
        <w:t xml:space="preserve"> el origen de</w:t>
      </w:r>
      <w:r w:rsidRPr="00E363F3">
        <w:t xml:space="preserve"> </w:t>
      </w:r>
      <w:r>
        <w:t>las</w:t>
      </w:r>
      <w:r w:rsidRPr="00E363F3">
        <w:t xml:space="preserve"> amenazas. </w:t>
      </w:r>
    </w:p>
    <w:p w14:paraId="558FA3FA" w14:textId="77777777" w:rsidR="004635E5" w:rsidRPr="003B6D40" w:rsidRDefault="004635E5" w:rsidP="004635E5">
      <w:pPr>
        <w:tabs>
          <w:tab w:val="left" w:pos="-142"/>
        </w:tabs>
        <w:rPr>
          <w:lang w:val="es-CR" w:eastAsia="es-MX"/>
        </w:rPr>
      </w:pPr>
    </w:p>
    <w:p w14:paraId="029290CE" w14:textId="77777777" w:rsidR="004635E5" w:rsidRPr="00C011CF" w:rsidRDefault="004635E5" w:rsidP="004635E5">
      <w:pPr>
        <w:pStyle w:val="PrrafodeSentencia"/>
        <w:numPr>
          <w:ilvl w:val="0"/>
          <w:numId w:val="3"/>
        </w:numPr>
        <w:tabs>
          <w:tab w:val="clear" w:pos="567"/>
          <w:tab w:val="left" w:pos="-142"/>
        </w:tabs>
        <w:ind w:left="0" w:firstLine="0"/>
      </w:pPr>
      <w:r>
        <w:rPr>
          <w:rFonts w:cs="Arial"/>
        </w:rPr>
        <w:t>Además, l</w:t>
      </w:r>
      <w:r w:rsidRPr="003B6D40">
        <w:rPr>
          <w:rFonts w:cs="Arial"/>
        </w:rPr>
        <w:t>a Comisión observó que</w:t>
      </w:r>
      <w:r>
        <w:rPr>
          <w:rFonts w:cs="Arial"/>
        </w:rPr>
        <w:t xml:space="preserve"> “es deber del Estado impulsar de oficio las investigaciones”,</w:t>
      </w:r>
      <w:r w:rsidRPr="003B6D40">
        <w:rPr>
          <w:rFonts w:cs="Arial"/>
        </w:rPr>
        <w:t xml:space="preserve"> </w:t>
      </w:r>
      <w:r>
        <w:rPr>
          <w:rFonts w:cs="Arial"/>
        </w:rPr>
        <w:t>y entendió que las actuaciones no se desarrollaron en un plazo razonable.</w:t>
      </w:r>
      <w:r w:rsidRPr="003B6D40">
        <w:rPr>
          <w:rFonts w:cs="Arial"/>
        </w:rPr>
        <w:t xml:space="preserve"> </w:t>
      </w:r>
      <w:r>
        <w:rPr>
          <w:rFonts w:cs="Arial"/>
        </w:rPr>
        <w:t>Afirmó</w:t>
      </w:r>
      <w:r w:rsidRPr="003B6D40">
        <w:rPr>
          <w:rFonts w:cs="Arial"/>
        </w:rPr>
        <w:t xml:space="preserve"> que el retardo </w:t>
      </w:r>
      <w:r>
        <w:rPr>
          <w:rFonts w:cs="Arial"/>
        </w:rPr>
        <w:t>“</w:t>
      </w:r>
      <w:r w:rsidRPr="003B6D40">
        <w:rPr>
          <w:rFonts w:cs="Arial"/>
        </w:rPr>
        <w:t>no puede justificarse en razón de la complejidad del asunto cuando: i) hay individualización de posibles autores</w:t>
      </w:r>
      <w:r>
        <w:rPr>
          <w:rFonts w:cs="Arial"/>
        </w:rPr>
        <w:t>;</w:t>
      </w:r>
      <w:r w:rsidRPr="003B6D40">
        <w:rPr>
          <w:rFonts w:cs="Arial"/>
        </w:rPr>
        <w:t xml:space="preserve"> ii) consta la existencia de </w:t>
      </w:r>
      <w:proofErr w:type="gramStart"/>
      <w:r w:rsidRPr="003B6D40">
        <w:rPr>
          <w:rFonts w:cs="Arial"/>
        </w:rPr>
        <w:t>testigos</w:t>
      </w:r>
      <w:r>
        <w:rPr>
          <w:rFonts w:cs="Arial"/>
        </w:rPr>
        <w:t>[</w:t>
      </w:r>
      <w:proofErr w:type="gramEnd"/>
      <w:r>
        <w:rPr>
          <w:rFonts w:cs="Arial"/>
        </w:rPr>
        <w:t>,]</w:t>
      </w:r>
      <w:r w:rsidRPr="003B6D40">
        <w:rPr>
          <w:rFonts w:cs="Arial"/>
        </w:rPr>
        <w:t xml:space="preserve"> y iii) existen posibles líneas de investigación</w:t>
      </w:r>
      <w:r>
        <w:rPr>
          <w:rFonts w:cs="Arial"/>
        </w:rPr>
        <w:t>”</w:t>
      </w:r>
      <w:r w:rsidRPr="003B6D40">
        <w:rPr>
          <w:rFonts w:cs="Arial"/>
        </w:rPr>
        <w:t xml:space="preserve">. </w:t>
      </w:r>
    </w:p>
    <w:p w14:paraId="4BC9E04A" w14:textId="77777777" w:rsidR="004635E5" w:rsidRPr="00523086" w:rsidRDefault="004635E5" w:rsidP="004635E5">
      <w:pPr>
        <w:pStyle w:val="PrrafodeSentencia"/>
        <w:numPr>
          <w:ilvl w:val="0"/>
          <w:numId w:val="0"/>
        </w:numPr>
        <w:tabs>
          <w:tab w:val="clear" w:pos="567"/>
          <w:tab w:val="left" w:pos="-142"/>
        </w:tabs>
      </w:pPr>
    </w:p>
    <w:p w14:paraId="1AAE4C3B" w14:textId="77777777" w:rsidR="004635E5" w:rsidRDefault="004635E5" w:rsidP="004635E5">
      <w:pPr>
        <w:pStyle w:val="PrrafodeSentencia"/>
        <w:numPr>
          <w:ilvl w:val="0"/>
          <w:numId w:val="3"/>
        </w:numPr>
        <w:tabs>
          <w:tab w:val="clear" w:pos="567"/>
          <w:tab w:val="left" w:pos="-142"/>
        </w:tabs>
        <w:ind w:left="0" w:firstLine="0"/>
        <w:rPr>
          <w:rFonts w:cs="Cambria"/>
        </w:rPr>
      </w:pPr>
      <w:r w:rsidRPr="003B6D40">
        <w:t xml:space="preserve">A partir de todo lo expuesto, la Comisión consideró que </w:t>
      </w:r>
      <w:r>
        <w:t>“</w:t>
      </w:r>
      <w:r w:rsidRPr="003B6D40">
        <w:t xml:space="preserve">el Estado violó los derechos a las garantías </w:t>
      </w:r>
      <w:r>
        <w:t xml:space="preserve">judiciales </w:t>
      </w:r>
      <w:r w:rsidRPr="003B6D40">
        <w:t xml:space="preserve">y protección judicial establecidos en los artículos 8.1 y 25.1 de la Convención Americana, en relación con las obligaciones establecidas </w:t>
      </w:r>
      <w:r w:rsidRPr="00C502F8">
        <w:t>en el artículo 1.1 del mismo instrumento, en perjuicio de los familiares de Ángel Pacheco León</w:t>
      </w:r>
      <w:r>
        <w:t>”</w:t>
      </w:r>
      <w:r>
        <w:rPr>
          <w:rFonts w:cs="Cambria"/>
        </w:rPr>
        <w:t>.</w:t>
      </w:r>
    </w:p>
    <w:p w14:paraId="2BAF39A5" w14:textId="77777777" w:rsidR="004635E5" w:rsidRPr="00493F83" w:rsidRDefault="004635E5" w:rsidP="004635E5"/>
    <w:p w14:paraId="7C4329FB" w14:textId="77777777" w:rsidR="004635E5" w:rsidRDefault="004635E5" w:rsidP="004635E5">
      <w:pPr>
        <w:pStyle w:val="PrrafodeSentencia"/>
        <w:numPr>
          <w:ilvl w:val="0"/>
          <w:numId w:val="3"/>
        </w:numPr>
        <w:ind w:left="0" w:firstLine="0"/>
      </w:pPr>
      <w:r w:rsidRPr="00523086">
        <w:t xml:space="preserve">Los </w:t>
      </w:r>
      <w:r w:rsidRPr="00523086">
        <w:rPr>
          <w:b/>
          <w:i/>
        </w:rPr>
        <w:t>representantes</w:t>
      </w:r>
      <w:r w:rsidRPr="00523086">
        <w:t xml:space="preserve"> alegaron que el Estado no condujo una investigación seria e imparcial, ni agotó todas las líneas lógicas de investigación</w:t>
      </w:r>
      <w:r w:rsidRPr="00E83AA1">
        <w:rPr>
          <w:rStyle w:val="FootnoteReference"/>
          <w:sz w:val="22"/>
          <w:szCs w:val="22"/>
        </w:rPr>
        <w:footnoteReference w:id="120"/>
      </w:r>
      <w:r w:rsidRPr="00523086">
        <w:t>. Consideraron que lo anterior “resulta más grave” si se toma en cuenta que existían “indicios serios sobre la participación de agentes estatales en los hechos”</w:t>
      </w:r>
      <w:r>
        <w:t>.</w:t>
      </w:r>
      <w:r w:rsidRPr="00523086">
        <w:t xml:space="preserve"> </w:t>
      </w:r>
    </w:p>
    <w:p w14:paraId="37AE877B" w14:textId="77777777" w:rsidR="004635E5" w:rsidRPr="00C52BDF" w:rsidRDefault="004635E5" w:rsidP="004635E5">
      <w:pPr>
        <w:rPr>
          <w:lang w:val="es-CR" w:eastAsia="es-MX"/>
        </w:rPr>
      </w:pPr>
    </w:p>
    <w:p w14:paraId="3D9058EB" w14:textId="77777777" w:rsidR="004635E5" w:rsidRDefault="004635E5" w:rsidP="004635E5">
      <w:pPr>
        <w:pStyle w:val="PrrafodeSentencia"/>
        <w:numPr>
          <w:ilvl w:val="0"/>
          <w:numId w:val="0"/>
        </w:numPr>
        <w:tabs>
          <w:tab w:val="clear" w:pos="567"/>
          <w:tab w:val="left" w:pos="-142"/>
        </w:tabs>
        <w:rPr>
          <w:rFonts w:cs="Arial"/>
          <w:b/>
          <w:sz w:val="16"/>
          <w:szCs w:val="16"/>
        </w:rPr>
      </w:pPr>
      <w:r>
        <w:rPr>
          <w:rFonts w:cs="Arial"/>
        </w:rPr>
        <w:t xml:space="preserve">66. </w:t>
      </w:r>
      <w:r>
        <w:rPr>
          <w:rFonts w:cs="Arial"/>
        </w:rPr>
        <w:tab/>
        <w:t>Además, a</w:t>
      </w:r>
      <w:r w:rsidRPr="00523086">
        <w:rPr>
          <w:rFonts w:cs="Arial"/>
        </w:rPr>
        <w:t>dujeron</w:t>
      </w:r>
      <w:r>
        <w:rPr>
          <w:rFonts w:cs="Arial"/>
        </w:rPr>
        <w:t xml:space="preserve"> circunstancias que a su juicio mostraron una falta de actuación diligente: a) </w:t>
      </w:r>
      <w:r w:rsidRPr="00523086">
        <w:rPr>
          <w:rFonts w:cs="Arial"/>
        </w:rPr>
        <w:t xml:space="preserve">que </w:t>
      </w:r>
      <w:r>
        <w:rPr>
          <w:rFonts w:cs="Arial"/>
        </w:rPr>
        <w:t>“</w:t>
      </w:r>
      <w:r w:rsidRPr="00523086">
        <w:rPr>
          <w:rFonts w:cs="Arial"/>
        </w:rPr>
        <w:t>un médico forense</w:t>
      </w:r>
      <w:r>
        <w:rPr>
          <w:rFonts w:cs="Arial"/>
        </w:rPr>
        <w:t>”</w:t>
      </w:r>
      <w:r w:rsidRPr="00523086">
        <w:rPr>
          <w:rFonts w:cs="Arial"/>
        </w:rPr>
        <w:t xml:space="preserve"> reconoció </w:t>
      </w:r>
      <w:r>
        <w:rPr>
          <w:rFonts w:cs="Arial"/>
        </w:rPr>
        <w:t>“</w:t>
      </w:r>
      <w:r w:rsidRPr="00523086">
        <w:rPr>
          <w:rFonts w:cs="Arial"/>
        </w:rPr>
        <w:t xml:space="preserve">que la escena del crimen </w:t>
      </w:r>
      <w:r>
        <w:rPr>
          <w:rFonts w:cs="Arial"/>
        </w:rPr>
        <w:t>fue</w:t>
      </w:r>
      <w:r w:rsidRPr="00523086">
        <w:rPr>
          <w:rFonts w:cs="Arial"/>
        </w:rPr>
        <w:t xml:space="preserve"> contaminada</w:t>
      </w:r>
      <w:r>
        <w:rPr>
          <w:rFonts w:cs="Arial"/>
        </w:rPr>
        <w:t xml:space="preserve">”; b) </w:t>
      </w:r>
      <w:r w:rsidRPr="00523086">
        <w:rPr>
          <w:rFonts w:cs="Arial"/>
        </w:rPr>
        <w:t>que los “material[es]” no fueron preservados de forma correcta</w:t>
      </w:r>
      <w:r>
        <w:rPr>
          <w:rFonts w:cs="Arial"/>
        </w:rPr>
        <w:t xml:space="preserve"> por las autoridades</w:t>
      </w:r>
      <w:r w:rsidRPr="00523086">
        <w:rPr>
          <w:rFonts w:cs="Arial"/>
        </w:rPr>
        <w:t xml:space="preserve"> “porque las pruebas de sangre se perdieron y años después de los hechos, la tumba de[l señor] Pacheco fue exhumada”</w:t>
      </w:r>
      <w:r>
        <w:rPr>
          <w:rFonts w:cs="Arial"/>
        </w:rPr>
        <w:t>;</w:t>
      </w:r>
      <w:r w:rsidRPr="00C22AC0">
        <w:rPr>
          <w:rFonts w:cs="Arial"/>
          <w:b/>
          <w:sz w:val="16"/>
          <w:szCs w:val="16"/>
        </w:rPr>
        <w:t xml:space="preserve"> </w:t>
      </w:r>
      <w:r>
        <w:rPr>
          <w:szCs w:val="20"/>
        </w:rPr>
        <w:t xml:space="preserve">c) </w:t>
      </w:r>
      <w:r w:rsidRPr="00315286">
        <w:rPr>
          <w:szCs w:val="20"/>
        </w:rPr>
        <w:t xml:space="preserve">que </w:t>
      </w:r>
      <w:r w:rsidRPr="00C011CF">
        <w:rPr>
          <w:szCs w:val="20"/>
        </w:rPr>
        <w:t>hasta mayo de 2003 las autoridades</w:t>
      </w:r>
      <w:r w:rsidRPr="00715FC0">
        <w:rPr>
          <w:szCs w:val="20"/>
        </w:rPr>
        <w:t xml:space="preserve"> </w:t>
      </w:r>
      <w:r>
        <w:rPr>
          <w:szCs w:val="20"/>
        </w:rPr>
        <w:t>centraron</w:t>
      </w:r>
      <w:r w:rsidRPr="00C011CF">
        <w:rPr>
          <w:szCs w:val="20"/>
        </w:rPr>
        <w:t xml:space="preserve"> sus investigaciones en tres personas</w:t>
      </w:r>
      <w:r>
        <w:rPr>
          <w:szCs w:val="20"/>
        </w:rPr>
        <w:t xml:space="preserve"> con un “enfoque […] injustificado”</w:t>
      </w:r>
      <w:r w:rsidRPr="0005024D">
        <w:rPr>
          <w:rStyle w:val="FootnoteReference"/>
          <w:sz w:val="20"/>
          <w:szCs w:val="20"/>
        </w:rPr>
        <w:footnoteReference w:id="121"/>
      </w:r>
      <w:r>
        <w:rPr>
          <w:szCs w:val="20"/>
        </w:rPr>
        <w:t>, y ello</w:t>
      </w:r>
      <w:r w:rsidRPr="00C011CF">
        <w:rPr>
          <w:szCs w:val="20"/>
        </w:rPr>
        <w:t xml:space="preserve"> “</w:t>
      </w:r>
      <w:r w:rsidRPr="00C011CF">
        <w:rPr>
          <w:rFonts w:cs="Arial"/>
          <w:szCs w:val="20"/>
        </w:rPr>
        <w:t>generó una pérdida de tiempo valioso, desviando la atención sobre otros sospechosos”</w:t>
      </w:r>
      <w:r>
        <w:rPr>
          <w:rFonts w:cs="Arial"/>
          <w:szCs w:val="20"/>
        </w:rPr>
        <w:t>;</w:t>
      </w:r>
      <w:r>
        <w:t xml:space="preserve"> d) </w:t>
      </w:r>
      <w:r w:rsidRPr="00523086">
        <w:rPr>
          <w:rFonts w:cs="Arial"/>
        </w:rPr>
        <w:t xml:space="preserve">que </w:t>
      </w:r>
      <w:r w:rsidRPr="000D7EAB">
        <w:rPr>
          <w:rFonts w:cs="Arial"/>
        </w:rPr>
        <w:t xml:space="preserve">luego de </w:t>
      </w:r>
      <w:r>
        <w:rPr>
          <w:rFonts w:cs="Arial"/>
        </w:rPr>
        <w:t>efectuarse</w:t>
      </w:r>
      <w:r w:rsidRPr="000D7EAB">
        <w:rPr>
          <w:rFonts w:cs="Arial"/>
        </w:rPr>
        <w:t xml:space="preserve"> allanamientos “el Estado no realizó diligencias orientadas a conocer la planificación del cr</w:t>
      </w:r>
      <w:r>
        <w:rPr>
          <w:rFonts w:cs="Arial"/>
        </w:rPr>
        <w:t>i</w:t>
      </w:r>
      <w:r w:rsidRPr="000D7EAB">
        <w:rPr>
          <w:rFonts w:cs="Arial"/>
        </w:rPr>
        <w:t>men, no ordenó un vaciado de los teléfonos de cada uno de los sospechosos, no se solicitó un registro de sus automóviles ni de las armas registradas a su nombre”.</w:t>
      </w:r>
      <w:r>
        <w:rPr>
          <w:rFonts w:cs="Arial"/>
        </w:rPr>
        <w:t xml:space="preserve"> </w:t>
      </w:r>
      <w:r w:rsidRPr="002E44FA">
        <w:rPr>
          <w:rFonts w:cs="Arial"/>
          <w:szCs w:val="20"/>
        </w:rPr>
        <w:t>Adicionalmente, presentaro</w:t>
      </w:r>
      <w:r>
        <w:rPr>
          <w:rFonts w:cs="Arial"/>
          <w:szCs w:val="20"/>
        </w:rPr>
        <w:t>n</w:t>
      </w:r>
      <w:r w:rsidRPr="002E44FA">
        <w:rPr>
          <w:rFonts w:cs="Arial"/>
          <w:szCs w:val="20"/>
        </w:rPr>
        <w:t xml:space="preserve"> otros argumentos: </w:t>
      </w:r>
      <w:r w:rsidRPr="008879C6">
        <w:rPr>
          <w:rFonts w:cs="Arial"/>
        </w:rPr>
        <w:t xml:space="preserve">consideraron </w:t>
      </w:r>
      <w:r>
        <w:rPr>
          <w:rFonts w:cs="Arial"/>
        </w:rPr>
        <w:t>“</w:t>
      </w:r>
      <w:r w:rsidRPr="008879C6">
        <w:rPr>
          <w:rFonts w:cs="Arial"/>
        </w:rPr>
        <w:t>un</w:t>
      </w:r>
      <w:r>
        <w:rPr>
          <w:rFonts w:cs="Arial"/>
        </w:rPr>
        <w:t>a falta total de oficiosidad”</w:t>
      </w:r>
      <w:r w:rsidRPr="008879C6">
        <w:rPr>
          <w:rFonts w:cs="Arial"/>
        </w:rPr>
        <w:t xml:space="preserve"> </w:t>
      </w:r>
      <w:r w:rsidRPr="008A2AE0">
        <w:rPr>
          <w:rFonts w:cs="Arial"/>
        </w:rPr>
        <w:t xml:space="preserve">que </w:t>
      </w:r>
      <w:r>
        <w:rPr>
          <w:rFonts w:cs="Arial"/>
        </w:rPr>
        <w:t xml:space="preserve">una </w:t>
      </w:r>
      <w:r w:rsidRPr="008A2AE0">
        <w:rPr>
          <w:rFonts w:cs="Arial"/>
        </w:rPr>
        <w:t>patrulla policial que estaba cerca del lugar de la muerte del señor Pacheco cuando esta se produjo</w:t>
      </w:r>
      <w:r w:rsidRPr="00670DE8">
        <w:rPr>
          <w:rFonts w:cs="Arial"/>
        </w:rPr>
        <w:t xml:space="preserve"> no realizara una persecución y </w:t>
      </w:r>
      <w:r w:rsidRPr="00670DE8">
        <w:rPr>
          <w:rFonts w:cs="Arial"/>
          <w:szCs w:val="20"/>
        </w:rPr>
        <w:t>que, en contravención a normativa interna</w:t>
      </w:r>
      <w:r w:rsidRPr="005D079B">
        <w:rPr>
          <w:rStyle w:val="FootnoteReference"/>
          <w:sz w:val="20"/>
          <w:szCs w:val="20"/>
        </w:rPr>
        <w:footnoteReference w:id="122"/>
      </w:r>
      <w:r w:rsidRPr="008879C6">
        <w:rPr>
          <w:rFonts w:cs="Arial"/>
          <w:szCs w:val="20"/>
        </w:rPr>
        <w:t>, “</w:t>
      </w:r>
      <w:r w:rsidRPr="008A2AE0">
        <w:rPr>
          <w:rFonts w:eastAsiaTheme="minorHAnsi" w:cs="Arial"/>
          <w:szCs w:val="20"/>
        </w:rPr>
        <w:t xml:space="preserve">la noche del </w:t>
      </w:r>
      <w:r>
        <w:rPr>
          <w:rFonts w:eastAsiaTheme="minorHAnsi" w:cs="Arial"/>
          <w:szCs w:val="20"/>
        </w:rPr>
        <w:t>[homicidio]</w:t>
      </w:r>
      <w:r w:rsidRPr="008A2AE0">
        <w:rPr>
          <w:rFonts w:eastAsiaTheme="minorHAnsi" w:cs="Arial"/>
          <w:szCs w:val="20"/>
        </w:rPr>
        <w:t xml:space="preserve">, no </w:t>
      </w:r>
      <w:proofErr w:type="spellStart"/>
      <w:proofErr w:type="gramStart"/>
      <w:r w:rsidRPr="008A2AE0">
        <w:rPr>
          <w:rFonts w:eastAsiaTheme="minorHAnsi" w:cs="Arial"/>
          <w:szCs w:val="20"/>
        </w:rPr>
        <w:t>hub</w:t>
      </w:r>
      <w:proofErr w:type="spellEnd"/>
      <w:r>
        <w:rPr>
          <w:rFonts w:eastAsiaTheme="minorHAnsi" w:cs="Arial"/>
          <w:szCs w:val="20"/>
        </w:rPr>
        <w:t>[</w:t>
      </w:r>
      <w:proofErr w:type="spellStart"/>
      <w:proofErr w:type="gramEnd"/>
      <w:r>
        <w:rPr>
          <w:rFonts w:eastAsiaTheme="minorHAnsi" w:cs="Arial"/>
          <w:szCs w:val="20"/>
        </w:rPr>
        <w:t>iera</w:t>
      </w:r>
      <w:proofErr w:type="spellEnd"/>
      <w:r>
        <w:rPr>
          <w:rFonts w:eastAsiaTheme="minorHAnsi" w:cs="Arial"/>
          <w:szCs w:val="20"/>
        </w:rPr>
        <w:t>]</w:t>
      </w:r>
      <w:r w:rsidRPr="008A2AE0">
        <w:rPr>
          <w:rFonts w:eastAsiaTheme="minorHAnsi" w:cs="Arial"/>
          <w:szCs w:val="20"/>
        </w:rPr>
        <w:t xml:space="preserve"> ninguna presencia en el lugar del crimen por parte de agentes de investigación o del Ministerio Público”.</w:t>
      </w:r>
      <w:r w:rsidRPr="008A2AE0">
        <w:rPr>
          <w:rFonts w:ascii="Arial" w:eastAsiaTheme="minorHAnsi" w:hAnsi="Arial" w:cs="Arial"/>
          <w:sz w:val="24"/>
          <w:szCs w:val="24"/>
        </w:rPr>
        <w:t xml:space="preserve"> </w:t>
      </w:r>
      <w:r>
        <w:rPr>
          <w:rFonts w:cs="Arial"/>
        </w:rPr>
        <w:t>Asimismo, entendieron como algo perjudicial los cambios de fiscales y personas abocadas a la investigación.</w:t>
      </w:r>
    </w:p>
    <w:p w14:paraId="65B0040A" w14:textId="77777777" w:rsidR="004635E5" w:rsidRPr="00523086" w:rsidRDefault="004635E5" w:rsidP="004635E5">
      <w:pPr>
        <w:tabs>
          <w:tab w:val="left" w:pos="-142"/>
        </w:tabs>
        <w:rPr>
          <w:lang w:val="es-CR" w:eastAsia="es-MX"/>
        </w:rPr>
      </w:pPr>
    </w:p>
    <w:p w14:paraId="2C97D737" w14:textId="77777777" w:rsidR="004635E5" w:rsidRPr="006B3869" w:rsidRDefault="004635E5" w:rsidP="004635E5">
      <w:pPr>
        <w:pStyle w:val="PrrafodeSentencia"/>
        <w:numPr>
          <w:ilvl w:val="0"/>
          <w:numId w:val="55"/>
        </w:numPr>
        <w:tabs>
          <w:tab w:val="clear" w:pos="567"/>
          <w:tab w:val="left" w:pos="-142"/>
        </w:tabs>
        <w:ind w:left="0" w:firstLine="0"/>
        <w:rPr>
          <w:rFonts w:cs="Arial"/>
          <w:sz w:val="16"/>
          <w:szCs w:val="16"/>
        </w:rPr>
      </w:pPr>
      <w:r w:rsidRPr="006B3869">
        <w:rPr>
          <w:rFonts w:cs="Arial"/>
        </w:rPr>
        <w:t>En cuanto al tiempo transcurrido en las actuaciones internas, argumentaron que al no avanzar el proceso</w:t>
      </w:r>
      <w:r>
        <w:rPr>
          <w:rFonts w:cs="Arial"/>
        </w:rPr>
        <w:t xml:space="preserve"> </w:t>
      </w:r>
      <w:r w:rsidRPr="006B3869">
        <w:rPr>
          <w:rFonts w:cs="Arial"/>
        </w:rPr>
        <w:t>se está prorrogando el sufrimiento de l</w:t>
      </w:r>
      <w:r>
        <w:rPr>
          <w:rFonts w:cs="Arial"/>
        </w:rPr>
        <w:t>o</w:t>
      </w:r>
      <w:r w:rsidRPr="006B3869">
        <w:rPr>
          <w:rFonts w:cs="Arial"/>
        </w:rPr>
        <w:t>s familia</w:t>
      </w:r>
      <w:r>
        <w:rPr>
          <w:rFonts w:cs="Arial"/>
        </w:rPr>
        <w:t>res</w:t>
      </w:r>
      <w:r w:rsidRPr="006B3869">
        <w:rPr>
          <w:rFonts w:cs="Arial"/>
        </w:rPr>
        <w:t xml:space="preserve"> </w:t>
      </w:r>
      <w:r>
        <w:rPr>
          <w:rFonts w:cs="Arial"/>
        </w:rPr>
        <w:t xml:space="preserve">del señor Pacheco </w:t>
      </w:r>
      <w:r w:rsidRPr="006B3869">
        <w:rPr>
          <w:rFonts w:cs="Arial"/>
        </w:rPr>
        <w:t xml:space="preserve">de forma innecesaria. Agregaron que en todo momento </w:t>
      </w:r>
      <w:r>
        <w:rPr>
          <w:rFonts w:cs="Arial"/>
        </w:rPr>
        <w:t>dichos</w:t>
      </w:r>
      <w:r w:rsidRPr="006B3869">
        <w:rPr>
          <w:rFonts w:cs="Arial"/>
        </w:rPr>
        <w:t xml:space="preserve"> familiares </w:t>
      </w:r>
      <w:r>
        <w:rPr>
          <w:rFonts w:cs="Arial"/>
        </w:rPr>
        <w:t>“</w:t>
      </w:r>
      <w:r w:rsidRPr="006B3869">
        <w:rPr>
          <w:rFonts w:cs="Arial"/>
        </w:rPr>
        <w:t xml:space="preserve">asumieron una </w:t>
      </w:r>
      <w:r>
        <w:rPr>
          <w:rFonts w:cs="Arial"/>
        </w:rPr>
        <w:t>posición</w:t>
      </w:r>
      <w:r w:rsidRPr="006B3869">
        <w:rPr>
          <w:rFonts w:cs="Arial"/>
        </w:rPr>
        <w:t xml:space="preserve"> activa</w:t>
      </w:r>
      <w:r>
        <w:rPr>
          <w:rFonts w:cs="Arial"/>
        </w:rPr>
        <w:t>”</w:t>
      </w:r>
      <w:r w:rsidRPr="006E100E">
        <w:rPr>
          <w:rStyle w:val="FootnoteReference"/>
          <w:rFonts w:cs="Arial"/>
        </w:rPr>
        <w:footnoteReference w:id="123"/>
      </w:r>
      <w:r>
        <w:rPr>
          <w:rFonts w:cs="Arial"/>
        </w:rPr>
        <w:t>.</w:t>
      </w:r>
    </w:p>
    <w:p w14:paraId="58281BD1" w14:textId="77777777" w:rsidR="004635E5" w:rsidRPr="00523086" w:rsidRDefault="004635E5" w:rsidP="004635E5">
      <w:pPr>
        <w:tabs>
          <w:tab w:val="left" w:pos="-142"/>
        </w:tabs>
        <w:rPr>
          <w:lang w:val="es-CR" w:eastAsia="es-MX"/>
        </w:rPr>
      </w:pPr>
    </w:p>
    <w:p w14:paraId="15BFFBAB" w14:textId="77777777" w:rsidR="004635E5" w:rsidRPr="00B52168" w:rsidRDefault="004635E5" w:rsidP="004635E5">
      <w:pPr>
        <w:pStyle w:val="PrrafodeSentencia"/>
        <w:numPr>
          <w:ilvl w:val="0"/>
          <w:numId w:val="3"/>
        </w:numPr>
        <w:tabs>
          <w:tab w:val="clear" w:pos="567"/>
          <w:tab w:val="left" w:pos="-142"/>
        </w:tabs>
        <w:autoSpaceDE w:val="0"/>
        <w:autoSpaceDN w:val="0"/>
        <w:adjustRightInd w:val="0"/>
        <w:ind w:left="0" w:firstLine="0"/>
        <w:rPr>
          <w:strike/>
          <w:szCs w:val="20"/>
        </w:rPr>
      </w:pPr>
      <w:r w:rsidRPr="00C011CF">
        <w:rPr>
          <w:rFonts w:cs="Arial"/>
          <w:szCs w:val="20"/>
        </w:rPr>
        <w:t>En su escrito de alegatos finales los representantes agregaron que “[e]</w:t>
      </w:r>
      <w:r w:rsidRPr="00C011CF">
        <w:rPr>
          <w:rFonts w:eastAsiaTheme="minorHAnsi" w:cs="Arial"/>
          <w:szCs w:val="20"/>
        </w:rPr>
        <w:t xml:space="preserve">l Estado […], además de incumplir sus obligaciones internacionales por la falta de investigación en el </w:t>
      </w:r>
      <w:r>
        <w:rPr>
          <w:rFonts w:eastAsiaTheme="minorHAnsi" w:cs="Arial"/>
          <w:szCs w:val="20"/>
        </w:rPr>
        <w:t>[homicidio]</w:t>
      </w:r>
      <w:r w:rsidRPr="00C011CF">
        <w:rPr>
          <w:rFonts w:eastAsiaTheme="minorHAnsi" w:cs="Arial"/>
          <w:szCs w:val="20"/>
        </w:rPr>
        <w:t xml:space="preserve"> de Ángel </w:t>
      </w:r>
      <w:r w:rsidRPr="00C011CF">
        <w:rPr>
          <w:rFonts w:eastAsiaTheme="minorHAnsi" w:cs="Arial"/>
          <w:szCs w:val="20"/>
        </w:rPr>
        <w:lastRenderedPageBreak/>
        <w:t>Pacheco León, también incumplió por la falta de investigación de las denuncias de amenazas que el señor José Pacheco interpuso</w:t>
      </w:r>
      <w:r>
        <w:rPr>
          <w:rFonts w:eastAsiaTheme="minorHAnsi" w:cs="Arial"/>
          <w:szCs w:val="20"/>
        </w:rPr>
        <w:t>”.</w:t>
      </w:r>
    </w:p>
    <w:p w14:paraId="01268154" w14:textId="77777777" w:rsidR="004635E5" w:rsidRDefault="004635E5" w:rsidP="004635E5">
      <w:pPr>
        <w:tabs>
          <w:tab w:val="left" w:pos="-142"/>
        </w:tabs>
      </w:pPr>
    </w:p>
    <w:p w14:paraId="3D3C1B74" w14:textId="77777777" w:rsidR="004635E5" w:rsidRPr="001432E3" w:rsidRDefault="004635E5" w:rsidP="004635E5">
      <w:pPr>
        <w:pStyle w:val="PrrafodeSentencia"/>
        <w:numPr>
          <w:ilvl w:val="0"/>
          <w:numId w:val="3"/>
        </w:numPr>
        <w:tabs>
          <w:tab w:val="clear" w:pos="567"/>
          <w:tab w:val="left" w:pos="-142"/>
        </w:tabs>
        <w:ind w:left="0" w:firstLine="0"/>
        <w:rPr>
          <w:rFonts w:cs="Arial"/>
        </w:rPr>
      </w:pPr>
      <w:r w:rsidRPr="00523086">
        <w:rPr>
          <w:rFonts w:cs="Arial"/>
        </w:rPr>
        <w:t xml:space="preserve">Por todo lo anterior, los representantes solicitaron a la Corte que declare la responsabilidad internacional del Estado por la violación de los artículos 8 y 25 de la Convención, </w:t>
      </w:r>
      <w:r>
        <w:rPr>
          <w:rFonts w:cs="Arial"/>
        </w:rPr>
        <w:t>“</w:t>
      </w:r>
      <w:r w:rsidRPr="00523086">
        <w:rPr>
          <w:rFonts w:cs="Arial"/>
        </w:rPr>
        <w:t>en perjuicio de los familiares</w:t>
      </w:r>
      <w:r>
        <w:rPr>
          <w:rFonts w:cs="Arial"/>
        </w:rPr>
        <w:t>”</w:t>
      </w:r>
      <w:r w:rsidRPr="00523086">
        <w:rPr>
          <w:rFonts w:cs="Arial"/>
        </w:rPr>
        <w:t xml:space="preserve"> de Ángel Pacheco León</w:t>
      </w:r>
      <w:r>
        <w:rPr>
          <w:rFonts w:cs="Arial"/>
        </w:rPr>
        <w:t xml:space="preserve">. </w:t>
      </w:r>
    </w:p>
    <w:p w14:paraId="45F603DD" w14:textId="77777777" w:rsidR="004635E5" w:rsidRPr="00523086" w:rsidRDefault="004635E5" w:rsidP="004635E5">
      <w:pPr>
        <w:tabs>
          <w:tab w:val="left" w:pos="-142"/>
        </w:tabs>
        <w:rPr>
          <w:lang w:val="es-CR" w:eastAsia="es-MX"/>
        </w:rPr>
      </w:pPr>
    </w:p>
    <w:p w14:paraId="09FF089C" w14:textId="77777777" w:rsidR="004635E5" w:rsidRPr="009433B9" w:rsidRDefault="004635E5" w:rsidP="004635E5">
      <w:pPr>
        <w:pStyle w:val="PrrafodeSentencia"/>
        <w:numPr>
          <w:ilvl w:val="0"/>
          <w:numId w:val="3"/>
        </w:numPr>
        <w:tabs>
          <w:tab w:val="clear" w:pos="567"/>
          <w:tab w:val="left" w:pos="-142"/>
        </w:tabs>
        <w:ind w:left="0" w:firstLine="0"/>
        <w:rPr>
          <w:rFonts w:cs="Arial"/>
        </w:rPr>
      </w:pPr>
      <w:r w:rsidRPr="00523086">
        <w:rPr>
          <w:rFonts w:cs="Arial"/>
        </w:rPr>
        <w:t xml:space="preserve">El </w:t>
      </w:r>
      <w:r w:rsidRPr="00523086">
        <w:rPr>
          <w:rFonts w:cs="Arial"/>
          <w:b/>
          <w:i/>
        </w:rPr>
        <w:t>Estado</w:t>
      </w:r>
      <w:r w:rsidRPr="004610BF">
        <w:rPr>
          <w:rFonts w:cs="Arial"/>
        </w:rPr>
        <w:t xml:space="preserve"> </w:t>
      </w:r>
      <w:r w:rsidRPr="00C011CF">
        <w:rPr>
          <w:rFonts w:cs="Arial"/>
        </w:rPr>
        <w:t>“reconoció que existieron dificultades en las investigaciones en el presente caso, provocando una tardanza en la búsqueda de justicia</w:t>
      </w:r>
      <w:r>
        <w:rPr>
          <w:rFonts w:cs="Arial"/>
        </w:rPr>
        <w:t>”. N</w:t>
      </w:r>
      <w:r w:rsidRPr="00C011CF">
        <w:rPr>
          <w:rFonts w:cs="Arial"/>
        </w:rPr>
        <w:t xml:space="preserve">o obstante, </w:t>
      </w:r>
      <w:r w:rsidRPr="00523086">
        <w:rPr>
          <w:rFonts w:cs="Arial"/>
        </w:rPr>
        <w:t>recordó que la obligación de investigar es de medios y no de resultados y “</w:t>
      </w:r>
      <w:proofErr w:type="spellStart"/>
      <w:r w:rsidRPr="00523086">
        <w:rPr>
          <w:rFonts w:cs="Arial"/>
        </w:rPr>
        <w:t>refut</w:t>
      </w:r>
      <w:proofErr w:type="spellEnd"/>
      <w:r w:rsidRPr="00523086">
        <w:rPr>
          <w:rFonts w:cs="Arial"/>
        </w:rPr>
        <w:t>[</w:t>
      </w:r>
      <w:proofErr w:type="spellStart"/>
      <w:r w:rsidRPr="00523086">
        <w:rPr>
          <w:rFonts w:cs="Arial"/>
        </w:rPr>
        <w:t>ó</w:t>
      </w:r>
      <w:proofErr w:type="spellEnd"/>
      <w:r w:rsidRPr="00523086">
        <w:rPr>
          <w:rFonts w:cs="Arial"/>
        </w:rPr>
        <w:t xml:space="preserve">] que el caso </w:t>
      </w:r>
      <w:proofErr w:type="gramStart"/>
      <w:r w:rsidRPr="00523086">
        <w:rPr>
          <w:rFonts w:cs="Arial"/>
        </w:rPr>
        <w:t>ha[</w:t>
      </w:r>
      <w:proofErr w:type="gramEnd"/>
      <w:r w:rsidRPr="00523086">
        <w:rPr>
          <w:rFonts w:cs="Arial"/>
        </w:rPr>
        <w:t xml:space="preserve">ya] permanecido inactivo, en tanto que el Ministerio Público debe de actuar en forma objetiva y responsable”, no pudiendo presentar acusación contra personas, </w:t>
      </w:r>
      <w:r>
        <w:rPr>
          <w:rFonts w:cs="Arial"/>
        </w:rPr>
        <w:t>“</w:t>
      </w:r>
      <w:r w:rsidRPr="00523086">
        <w:rPr>
          <w:rFonts w:cs="Arial"/>
        </w:rPr>
        <w:t>cuando no existen indicios suficientes a pesar de las múltiples diligencias realizadas</w:t>
      </w:r>
      <w:r>
        <w:rPr>
          <w:rFonts w:cs="Arial"/>
        </w:rPr>
        <w:t>”</w:t>
      </w:r>
      <w:r w:rsidRPr="00523086">
        <w:rPr>
          <w:rFonts w:cs="Arial"/>
        </w:rPr>
        <w:t>.</w:t>
      </w:r>
      <w:r>
        <w:rPr>
          <w:rFonts w:cs="Arial"/>
        </w:rPr>
        <w:t xml:space="preserve"> A</w:t>
      </w:r>
      <w:r w:rsidRPr="009433B9">
        <w:rPr>
          <w:rFonts w:cs="Arial"/>
        </w:rPr>
        <w:t xml:space="preserve">legó </w:t>
      </w:r>
      <w:r>
        <w:rPr>
          <w:rFonts w:cs="Arial"/>
        </w:rPr>
        <w:t xml:space="preserve">también </w:t>
      </w:r>
      <w:r w:rsidRPr="009433B9">
        <w:rPr>
          <w:rFonts w:cs="Arial"/>
        </w:rPr>
        <w:t>haber realizado todas</w:t>
      </w:r>
      <w:r w:rsidRPr="00523086">
        <w:rPr>
          <w:rFonts w:cs="Arial"/>
        </w:rPr>
        <w:t xml:space="preserve"> las diligencias </w:t>
      </w:r>
      <w:r>
        <w:rPr>
          <w:rFonts w:cs="Arial"/>
        </w:rPr>
        <w:t>que “como mínimo” deben realizar los Estados “en relación con los casos de muerte violenta”</w:t>
      </w:r>
      <w:r>
        <w:rPr>
          <w:rStyle w:val="FootnoteReference"/>
        </w:rPr>
        <w:footnoteReference w:id="124"/>
      </w:r>
      <w:r>
        <w:rPr>
          <w:rFonts w:cs="Arial"/>
        </w:rPr>
        <w:t>.</w:t>
      </w:r>
    </w:p>
    <w:p w14:paraId="17F9FB8D" w14:textId="77777777" w:rsidR="004635E5" w:rsidRPr="00523086" w:rsidRDefault="004635E5" w:rsidP="004635E5">
      <w:pPr>
        <w:tabs>
          <w:tab w:val="left" w:pos="-142"/>
        </w:tabs>
        <w:rPr>
          <w:lang w:val="es-CR" w:eastAsia="es-MX"/>
        </w:rPr>
      </w:pPr>
    </w:p>
    <w:p w14:paraId="6C341082" w14:textId="63498937" w:rsidR="004635E5" w:rsidRDefault="004635E5" w:rsidP="004635E5">
      <w:pPr>
        <w:pStyle w:val="PrrafodeSentencia"/>
        <w:numPr>
          <w:ilvl w:val="0"/>
          <w:numId w:val="3"/>
        </w:numPr>
        <w:tabs>
          <w:tab w:val="clear" w:pos="567"/>
          <w:tab w:val="left" w:pos="-142"/>
        </w:tabs>
        <w:ind w:left="0" w:firstLine="0"/>
        <w:rPr>
          <w:rFonts w:cs="Arial"/>
          <w:b/>
          <w:sz w:val="16"/>
          <w:szCs w:val="16"/>
        </w:rPr>
      </w:pPr>
      <w:r w:rsidRPr="00523086">
        <w:rPr>
          <w:rFonts w:cs="Arial"/>
        </w:rPr>
        <w:t>El Estado se refirió a algun</w:t>
      </w:r>
      <w:r>
        <w:rPr>
          <w:rFonts w:cs="Arial"/>
        </w:rPr>
        <w:t xml:space="preserve">as circunstancias puntuales: a) </w:t>
      </w:r>
      <w:r w:rsidRPr="00523086">
        <w:rPr>
          <w:rFonts w:cs="Arial"/>
        </w:rPr>
        <w:t xml:space="preserve">respecto a la supuesta contaminación de la escena del </w:t>
      </w:r>
      <w:r>
        <w:rPr>
          <w:rFonts w:cs="Arial"/>
        </w:rPr>
        <w:t>delito</w:t>
      </w:r>
      <w:r w:rsidRPr="00523086">
        <w:rPr>
          <w:rFonts w:cs="Arial"/>
        </w:rPr>
        <w:t>, consideró que, “en el afán de salvar a su familiar”, en el momento del hecho “personas cercanas” al señor Pacheco “podrían haber permitido el ingreso de otras personas al lugar”, y eso no s</w:t>
      </w:r>
      <w:r>
        <w:rPr>
          <w:rFonts w:cs="Arial"/>
        </w:rPr>
        <w:t>ería</w:t>
      </w:r>
      <w:r w:rsidRPr="00523086">
        <w:rPr>
          <w:rFonts w:cs="Arial"/>
        </w:rPr>
        <w:t xml:space="preserve"> atribuible al Estado, y b) en relación con la “destrucción de […] muestras biológicas de la autopsia” sostuvo que</w:t>
      </w:r>
      <w:r w:rsidRPr="00523086">
        <w:rPr>
          <w:rFonts w:cs="Arial"/>
          <w:b/>
        </w:rPr>
        <w:t xml:space="preserve"> </w:t>
      </w:r>
      <w:r>
        <w:rPr>
          <w:rFonts w:cs="Arial"/>
        </w:rPr>
        <w:t>“se les realizó todos los aná</w:t>
      </w:r>
      <w:r w:rsidRPr="00523086">
        <w:rPr>
          <w:rFonts w:cs="Arial"/>
        </w:rPr>
        <w:t>lisis solicitados por el Departamento de Patología Forense</w:t>
      </w:r>
      <w:r>
        <w:rPr>
          <w:rFonts w:cs="Arial"/>
        </w:rPr>
        <w:t xml:space="preserve">[,] </w:t>
      </w:r>
      <w:r w:rsidRPr="00523086">
        <w:rPr>
          <w:rFonts w:cs="Arial"/>
        </w:rPr>
        <w:t xml:space="preserve">que el remanente de las mismas fue depositado </w:t>
      </w:r>
      <w:r w:rsidRPr="00523086">
        <w:t xml:space="preserve">y </w:t>
      </w:r>
      <w:r w:rsidRPr="00523086">
        <w:rPr>
          <w:rFonts w:cs="Arial"/>
        </w:rPr>
        <w:t>conservado hasta el 12 de octubre del 2004”, y que dado que “se realizaron todos los análisis forenses solicitados a las evidencias</w:t>
      </w:r>
      <w:r>
        <w:rPr>
          <w:rFonts w:cs="Arial"/>
        </w:rPr>
        <w:t>,</w:t>
      </w:r>
      <w:r w:rsidRPr="00523086">
        <w:rPr>
          <w:rFonts w:cs="Arial"/>
        </w:rPr>
        <w:t xml:space="preserve"> […]</w:t>
      </w:r>
      <w:r>
        <w:rPr>
          <w:rFonts w:cs="Arial"/>
        </w:rPr>
        <w:t xml:space="preserve"> l</w:t>
      </w:r>
      <w:r w:rsidRPr="00523086">
        <w:rPr>
          <w:rFonts w:cs="Arial"/>
        </w:rPr>
        <w:t>a destrucción de esas muestras biológicas no signific</w:t>
      </w:r>
      <w:r>
        <w:rPr>
          <w:rFonts w:cs="Arial"/>
        </w:rPr>
        <w:t>ó</w:t>
      </w:r>
      <w:r w:rsidRPr="00523086">
        <w:rPr>
          <w:rFonts w:cs="Arial"/>
        </w:rPr>
        <w:t xml:space="preserve"> un daño o alteración al proceso investigativo”.</w:t>
      </w:r>
    </w:p>
    <w:p w14:paraId="246A4596" w14:textId="77777777" w:rsidR="004635E5" w:rsidRPr="00523086" w:rsidRDefault="004635E5" w:rsidP="004635E5">
      <w:pPr>
        <w:tabs>
          <w:tab w:val="left" w:pos="-142"/>
        </w:tabs>
        <w:rPr>
          <w:lang w:val="es-CR" w:eastAsia="es-MX"/>
        </w:rPr>
      </w:pPr>
    </w:p>
    <w:p w14:paraId="1BFC56CC" w14:textId="77777777" w:rsidR="004635E5" w:rsidRPr="00E57B53" w:rsidRDefault="004635E5" w:rsidP="004635E5">
      <w:pPr>
        <w:pStyle w:val="PrrafodeSentencia"/>
        <w:numPr>
          <w:ilvl w:val="0"/>
          <w:numId w:val="3"/>
        </w:numPr>
        <w:tabs>
          <w:tab w:val="clear" w:pos="567"/>
          <w:tab w:val="left" w:pos="-142"/>
        </w:tabs>
        <w:ind w:left="0" w:firstLine="0"/>
        <w:rPr>
          <w:rFonts w:cs="Arial"/>
          <w:b/>
          <w:sz w:val="16"/>
          <w:szCs w:val="16"/>
        </w:rPr>
      </w:pPr>
      <w:r w:rsidRPr="00523086">
        <w:rPr>
          <w:rFonts w:cs="Arial"/>
        </w:rPr>
        <w:t xml:space="preserve">Consecuentemente, Honduras </w:t>
      </w:r>
      <w:r>
        <w:rPr>
          <w:rFonts w:cs="Arial"/>
        </w:rPr>
        <w:t>“</w:t>
      </w:r>
      <w:proofErr w:type="spellStart"/>
      <w:r w:rsidRPr="00523086">
        <w:rPr>
          <w:rFonts w:cs="Arial"/>
        </w:rPr>
        <w:t>rechaz</w:t>
      </w:r>
      <w:proofErr w:type="spellEnd"/>
      <w:r>
        <w:rPr>
          <w:rFonts w:cs="Arial"/>
        </w:rPr>
        <w:t>[</w:t>
      </w:r>
      <w:proofErr w:type="spellStart"/>
      <w:r w:rsidRPr="00523086">
        <w:rPr>
          <w:rFonts w:cs="Arial"/>
        </w:rPr>
        <w:t>ó</w:t>
      </w:r>
      <w:proofErr w:type="spellEnd"/>
      <w:r>
        <w:rPr>
          <w:rFonts w:cs="Arial"/>
        </w:rPr>
        <w:t>]</w:t>
      </w:r>
      <w:r w:rsidRPr="00523086">
        <w:rPr>
          <w:rFonts w:cs="Arial"/>
        </w:rPr>
        <w:t xml:space="preserve"> la vulneración de los derechos contemplados en los artículos 8 y 25 de la Convención</w:t>
      </w:r>
      <w:r>
        <w:rPr>
          <w:rFonts w:cs="Arial"/>
        </w:rPr>
        <w:t>”</w:t>
      </w:r>
      <w:r w:rsidRPr="00523086">
        <w:rPr>
          <w:rFonts w:cs="Arial"/>
        </w:rPr>
        <w:t>.</w:t>
      </w:r>
    </w:p>
    <w:p w14:paraId="3A9A98A4" w14:textId="77777777" w:rsidR="004635E5" w:rsidRPr="00D5048B" w:rsidRDefault="004635E5" w:rsidP="004635E5">
      <w:pPr>
        <w:rPr>
          <w:i/>
          <w:lang w:val="es-CR" w:eastAsia="es-MX"/>
        </w:rPr>
      </w:pPr>
    </w:p>
    <w:p w14:paraId="57DE9ED3" w14:textId="77777777" w:rsidR="004635E5" w:rsidRPr="00D5048B" w:rsidRDefault="004635E5" w:rsidP="004635E5">
      <w:pPr>
        <w:pStyle w:val="ListParagraph"/>
        <w:widowControl/>
        <w:numPr>
          <w:ilvl w:val="0"/>
          <w:numId w:val="15"/>
        </w:numPr>
        <w:autoSpaceDE/>
        <w:autoSpaceDN/>
        <w:adjustRightInd/>
        <w:spacing w:line="276" w:lineRule="auto"/>
        <w:ind w:left="284" w:right="0" w:firstLine="0"/>
        <w:contextualSpacing/>
        <w:outlineLvl w:val="1"/>
        <w:rPr>
          <w:b/>
          <w:i/>
          <w:lang w:val="es-CR"/>
        </w:rPr>
      </w:pPr>
      <w:bookmarkStart w:id="250" w:name="_Toc488134445"/>
      <w:bookmarkStart w:id="251" w:name="_Toc489523905"/>
      <w:bookmarkStart w:id="252" w:name="_Toc493512903"/>
      <w:bookmarkStart w:id="253" w:name="_Toc498512824"/>
      <w:r w:rsidRPr="00D5048B">
        <w:rPr>
          <w:b/>
          <w:i/>
          <w:lang w:val="es-CR"/>
        </w:rPr>
        <w:t>Consideraciones de la Corte</w:t>
      </w:r>
      <w:bookmarkEnd w:id="250"/>
      <w:bookmarkEnd w:id="251"/>
      <w:bookmarkEnd w:id="252"/>
      <w:bookmarkEnd w:id="253"/>
    </w:p>
    <w:p w14:paraId="127FD6ED" w14:textId="77777777" w:rsidR="004635E5" w:rsidRPr="00C5061A" w:rsidRDefault="004635E5" w:rsidP="004635E5">
      <w:pPr>
        <w:rPr>
          <w:lang w:val="es-CR" w:eastAsia="es-MX"/>
        </w:rPr>
      </w:pPr>
    </w:p>
    <w:p w14:paraId="4D650682" w14:textId="77777777" w:rsidR="004635E5" w:rsidRPr="00AD3D4F" w:rsidRDefault="004635E5" w:rsidP="004635E5">
      <w:pPr>
        <w:pStyle w:val="PrrafodeSentencia"/>
        <w:numPr>
          <w:ilvl w:val="0"/>
          <w:numId w:val="3"/>
        </w:numPr>
        <w:tabs>
          <w:tab w:val="clear" w:pos="567"/>
          <w:tab w:val="left" w:pos="-284"/>
        </w:tabs>
        <w:ind w:left="0" w:firstLine="0"/>
        <w:rPr>
          <w:rFonts w:eastAsiaTheme="minorHAnsi" w:cs="Verdana"/>
          <w:color w:val="000000"/>
          <w:szCs w:val="20"/>
        </w:rPr>
      </w:pPr>
      <w:r w:rsidRPr="00AD3D4F">
        <w:rPr>
          <w:rFonts w:eastAsiaTheme="minorHAnsi" w:cs="Verdana"/>
          <w:color w:val="000000"/>
          <w:szCs w:val="20"/>
        </w:rPr>
        <w:t>La Corte debe determinar si el Estado ha incurrido en violaciones a los derechos reconocidos en los artículos 8.1 y 25.1 de la Convención, en relación con el artículo 1.1 de la misma. Por lo tanto, corresponde que, en el marco de su competencia y funciones, evalúe si el actuar estatal en el curso de las investigaciones se adecu</w:t>
      </w:r>
      <w:r>
        <w:rPr>
          <w:rFonts w:eastAsiaTheme="minorHAnsi" w:cs="Verdana"/>
          <w:color w:val="000000"/>
          <w:szCs w:val="20"/>
        </w:rPr>
        <w:t>ó</w:t>
      </w:r>
      <w:r w:rsidRPr="00AD3D4F">
        <w:rPr>
          <w:rFonts w:eastAsiaTheme="minorHAnsi" w:cs="Verdana"/>
          <w:color w:val="000000"/>
          <w:szCs w:val="20"/>
        </w:rPr>
        <w:t xml:space="preserve"> o no a las pautas de debida diligencia requeridas para satisfacer el derecho a acceder a la justicia</w:t>
      </w:r>
      <w:r w:rsidRPr="00AD3D4F">
        <w:rPr>
          <w:rStyle w:val="FootnoteReference"/>
          <w:rFonts w:eastAsiaTheme="minorHAnsi"/>
          <w:color w:val="000000"/>
          <w:sz w:val="20"/>
          <w:szCs w:val="20"/>
        </w:rPr>
        <w:footnoteReference w:id="125"/>
      </w:r>
      <w:r w:rsidRPr="00AD3D4F">
        <w:rPr>
          <w:rFonts w:eastAsiaTheme="minorHAnsi" w:cs="Verdana"/>
          <w:color w:val="000000"/>
          <w:szCs w:val="20"/>
        </w:rPr>
        <w:t xml:space="preserve">. </w:t>
      </w:r>
    </w:p>
    <w:p w14:paraId="37B77CD9" w14:textId="77777777" w:rsidR="004635E5" w:rsidRPr="002D5A5C" w:rsidRDefault="004635E5" w:rsidP="004635E5">
      <w:pPr>
        <w:tabs>
          <w:tab w:val="left" w:pos="-284"/>
        </w:tabs>
        <w:rPr>
          <w:lang w:eastAsia="es-MX"/>
        </w:rPr>
      </w:pPr>
    </w:p>
    <w:p w14:paraId="153D5F96" w14:textId="77777777" w:rsidR="004635E5" w:rsidRDefault="004635E5" w:rsidP="004635E5">
      <w:pPr>
        <w:pStyle w:val="PrrafodeSentencia"/>
        <w:numPr>
          <w:ilvl w:val="0"/>
          <w:numId w:val="3"/>
        </w:numPr>
        <w:tabs>
          <w:tab w:val="clear" w:pos="567"/>
          <w:tab w:val="left" w:pos="-284"/>
        </w:tabs>
        <w:ind w:left="0" w:firstLine="0"/>
        <w:rPr>
          <w:lang w:eastAsia="es-CR"/>
        </w:rPr>
      </w:pPr>
      <w:r w:rsidRPr="00E55B9A">
        <w:rPr>
          <w:rFonts w:cs="Arial"/>
        </w:rPr>
        <w:t>La Corte ha señalado que la obligación de investigar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5D079B">
        <w:rPr>
          <w:rStyle w:val="FootnoteReference"/>
          <w:rFonts w:cs="Arial"/>
          <w:sz w:val="20"/>
          <w:szCs w:val="20"/>
        </w:rPr>
        <w:footnoteReference w:id="126"/>
      </w:r>
      <w:r w:rsidRPr="00E55B9A">
        <w:rPr>
          <w:rFonts w:cs="Arial"/>
          <w:szCs w:val="20"/>
        </w:rPr>
        <w:t>.</w:t>
      </w:r>
      <w:r w:rsidRPr="00E55B9A">
        <w:rPr>
          <w:rFonts w:cs="Arial"/>
        </w:rPr>
        <w:t xml:space="preserve"> </w:t>
      </w:r>
      <w:r w:rsidRPr="00E55B9A">
        <w:rPr>
          <w:rFonts w:cs="Arial"/>
        </w:rPr>
        <w:lastRenderedPageBreak/>
        <w:t>La investigación debe ser “seria, imparcial [...] efectiva [...] y [</w:t>
      </w:r>
      <w:r w:rsidRPr="00CB3BD4">
        <w:rPr>
          <w:rFonts w:cs="Arial"/>
        </w:rPr>
        <w:t>estar] orientada a la determinación de la verdad y a la persecución, captura, enjuiciamiento y eventual castigo de los autores de los hechos”</w:t>
      </w:r>
      <w:r w:rsidRPr="005D079B">
        <w:rPr>
          <w:rStyle w:val="FootnoteReference"/>
          <w:rFonts w:cs="Arial"/>
          <w:sz w:val="20"/>
          <w:szCs w:val="20"/>
        </w:rPr>
        <w:footnoteReference w:id="127"/>
      </w:r>
      <w:r w:rsidRPr="00E55B9A">
        <w:rPr>
          <w:rFonts w:cs="Arial"/>
        </w:rPr>
        <w:t>.</w:t>
      </w:r>
      <w:r w:rsidRPr="00C5061A">
        <w:t xml:space="preserve"> E</w:t>
      </w:r>
      <w:r w:rsidRPr="00E55B9A">
        <w:rPr>
          <w:rFonts w:cs="Arial"/>
        </w:rPr>
        <w:t xml:space="preserve">l derecho a la tutela judicial efectiva exige </w:t>
      </w:r>
      <w:r w:rsidRPr="00C5061A">
        <w:rPr>
          <w:lang w:eastAsia="es-CR"/>
        </w:rPr>
        <w:t>que las actuaciones se dirijan de modo de evitar dilaciones y entorpecimientos indebidos que puedan frustrar dichos fines</w:t>
      </w:r>
      <w:r w:rsidRPr="005D079B">
        <w:rPr>
          <w:rStyle w:val="FootnoteReference"/>
          <w:rFonts w:cs="Arial"/>
          <w:sz w:val="20"/>
          <w:szCs w:val="20"/>
        </w:rPr>
        <w:footnoteReference w:id="128"/>
      </w:r>
      <w:r w:rsidRPr="00E55B9A">
        <w:rPr>
          <w:szCs w:val="20"/>
          <w:lang w:eastAsia="es-CR"/>
        </w:rPr>
        <w:t>.</w:t>
      </w:r>
      <w:r w:rsidRPr="00C5061A">
        <w:rPr>
          <w:lang w:eastAsia="es-CR"/>
        </w:rPr>
        <w:t xml:space="preserve"> </w:t>
      </w:r>
    </w:p>
    <w:p w14:paraId="6E88AD4B" w14:textId="77777777" w:rsidR="004635E5" w:rsidRPr="00D5048B" w:rsidRDefault="004635E5" w:rsidP="004635E5">
      <w:pPr>
        <w:tabs>
          <w:tab w:val="left" w:pos="-284"/>
        </w:tabs>
        <w:rPr>
          <w:lang w:val="es-CR" w:eastAsia="es-CR"/>
        </w:rPr>
      </w:pPr>
    </w:p>
    <w:p w14:paraId="0C6D121B" w14:textId="2A422118" w:rsidR="004635E5" w:rsidRDefault="004635E5" w:rsidP="004635E5">
      <w:pPr>
        <w:pStyle w:val="PrrafodeSentencia"/>
        <w:numPr>
          <w:ilvl w:val="0"/>
          <w:numId w:val="3"/>
        </w:numPr>
        <w:tabs>
          <w:tab w:val="clear" w:pos="567"/>
          <w:tab w:val="left" w:pos="-284"/>
        </w:tabs>
        <w:ind w:left="0" w:firstLine="0"/>
        <w:rPr>
          <w:rFonts w:eastAsia="Cambria" w:cs="Arial"/>
        </w:rPr>
      </w:pPr>
      <w:r>
        <w:t>L</w:t>
      </w:r>
      <w:r w:rsidRPr="00D5048B">
        <w:t>a investigación debe evaluarse considerando que se trata de una obligac</w:t>
      </w:r>
      <w:r>
        <w:t>ión de medios y no de resultado. En ese sentido, debe considerarse</w:t>
      </w:r>
      <w:r w:rsidRPr="00D5048B">
        <w:t xml:space="preserve"> que “la debida diligencia exige que el órgano que investiga lleve a cabo todas aquellas actuaciones y averiguaciones necesarias para procurar el resultado que se </w:t>
      </w:r>
      <w:proofErr w:type="gramStart"/>
      <w:r w:rsidRPr="00D5048B">
        <w:t>persigue[</w:t>
      </w:r>
      <w:proofErr w:type="gramEnd"/>
      <w:r w:rsidRPr="00D5048B">
        <w:t>, dado que d]e otro modo, la investigación no es efectiva en los términos de la Convención</w:t>
      </w:r>
      <w:r>
        <w:t>”</w:t>
      </w:r>
      <w:r w:rsidRPr="00BD393E">
        <w:rPr>
          <w:vertAlign w:val="superscript"/>
        </w:rPr>
        <w:footnoteReference w:id="129"/>
      </w:r>
      <w:r>
        <w:t xml:space="preserve">. </w:t>
      </w:r>
      <w:r>
        <w:rPr>
          <w:color w:val="000000"/>
        </w:rPr>
        <w:t>C</w:t>
      </w:r>
      <w:r w:rsidRPr="00D5048B">
        <w:rPr>
          <w:color w:val="000000"/>
        </w:rPr>
        <w:t>ompete a este Tribunal “en el marco de su competencia y funciones, valorar si el actuar estatal en el curso de la investigación, considerando a ésta en su conjunto, se llevó a cabo con la debida diligencia requerida para satisfacer el derecho a acceder a la justicia”</w:t>
      </w:r>
      <w:r w:rsidRPr="005D079B">
        <w:rPr>
          <w:rStyle w:val="FootnoteReference"/>
          <w:color w:val="000000"/>
          <w:sz w:val="20"/>
          <w:szCs w:val="20"/>
        </w:rPr>
        <w:footnoteReference w:id="130"/>
      </w:r>
      <w:r w:rsidRPr="00D5048B">
        <w:rPr>
          <w:color w:val="000000"/>
        </w:rPr>
        <w:t>.</w:t>
      </w:r>
      <w:r>
        <w:rPr>
          <w:color w:val="000000"/>
        </w:rPr>
        <w:t xml:space="preserve"> </w:t>
      </w:r>
      <w:r w:rsidRPr="00F14F73">
        <w:rPr>
          <w:rFonts w:cs="Arial"/>
        </w:rPr>
        <w:t>Ello requiere cotejar la conducta estatal efectivamente seguida con pautas de diligencia debida, para determinar</w:t>
      </w:r>
      <w:r>
        <w:rPr>
          <w:rFonts w:cs="Arial"/>
        </w:rPr>
        <w:t xml:space="preserve"> </w:t>
      </w:r>
      <w:r w:rsidRPr="00F14F73">
        <w:rPr>
          <w:rFonts w:cs="Arial"/>
        </w:rPr>
        <w:t>si se adoptaron las medidas pertinentes</w:t>
      </w:r>
      <w:r w:rsidRPr="005D079B">
        <w:rPr>
          <w:rStyle w:val="FootnoteReference"/>
          <w:sz w:val="20"/>
          <w:szCs w:val="20"/>
        </w:rPr>
        <w:footnoteReference w:id="131"/>
      </w:r>
      <w:r w:rsidRPr="00C438C1">
        <w:rPr>
          <w:rFonts w:cs="Arial"/>
          <w:szCs w:val="20"/>
        </w:rPr>
        <w:t>.</w:t>
      </w:r>
      <w:r w:rsidRPr="00F14F73">
        <w:rPr>
          <w:rFonts w:cs="Arial"/>
        </w:rPr>
        <w:t xml:space="preserve"> Además, “</w:t>
      </w:r>
      <w:r w:rsidRPr="00D5048B">
        <w:t>debe ponderarse si el acaecimiento de ciertas omisiones o dilaciones es suficiente para configurar la responsabilidad internacional del Estado”</w:t>
      </w:r>
      <w:r w:rsidRPr="005D079B">
        <w:rPr>
          <w:rStyle w:val="FootnoteReference"/>
          <w:sz w:val="20"/>
          <w:szCs w:val="20"/>
        </w:rPr>
        <w:footnoteReference w:id="132"/>
      </w:r>
      <w:r w:rsidRPr="00C438C1">
        <w:rPr>
          <w:szCs w:val="20"/>
        </w:rPr>
        <w:t>.</w:t>
      </w:r>
      <w:r w:rsidRPr="00D5048B">
        <w:t xml:space="preserve"> </w:t>
      </w:r>
      <w:r>
        <w:t>E</w:t>
      </w:r>
      <w:r w:rsidRPr="00D5048B">
        <w:t xml:space="preserve">s decir, si en el caso concreto puede razonablemente concluirse que </w:t>
      </w:r>
      <w:r w:rsidRPr="00F14F73">
        <w:rPr>
          <w:rFonts w:cs="Arial"/>
        </w:rPr>
        <w:t>las falencias que se acreditaren</w:t>
      </w:r>
      <w:r w:rsidRPr="00F14F73">
        <w:rPr>
          <w:rFonts w:eastAsia="Cambria" w:cs="Arial"/>
        </w:rPr>
        <w:t xml:space="preserve">, en </w:t>
      </w:r>
      <w:r w:rsidRPr="00F14F73">
        <w:rPr>
          <w:rFonts w:cs="Arial"/>
        </w:rPr>
        <w:t>relación con el conjunto de</w:t>
      </w:r>
      <w:r w:rsidRPr="00F14F73">
        <w:rPr>
          <w:rFonts w:eastAsia="Cambria" w:cs="Arial"/>
        </w:rPr>
        <w:t xml:space="preserve"> las diligencias efectuadas </w:t>
      </w:r>
      <w:r w:rsidRPr="00F14F73">
        <w:rPr>
          <w:rFonts w:cs="Arial"/>
        </w:rPr>
        <w:t>por el Estado</w:t>
      </w:r>
      <w:r w:rsidRPr="00F14F73">
        <w:rPr>
          <w:rFonts w:eastAsia="Cambria" w:cs="Arial"/>
        </w:rPr>
        <w:t>, perjudicaron el esclarecimiento de las circunstancias de los hechos o incidieron en el resultado final de los procesos seguidos</w:t>
      </w:r>
      <w:r w:rsidRPr="005D079B">
        <w:rPr>
          <w:rStyle w:val="FootnoteReference"/>
          <w:rFonts w:eastAsia="Cambria" w:cs="Arial"/>
          <w:sz w:val="20"/>
          <w:szCs w:val="20"/>
        </w:rPr>
        <w:footnoteReference w:id="133"/>
      </w:r>
      <w:r w:rsidRPr="00F14F73">
        <w:rPr>
          <w:rFonts w:eastAsia="Cambria" w:cs="Arial"/>
        </w:rPr>
        <w:t xml:space="preserve">. </w:t>
      </w:r>
    </w:p>
    <w:p w14:paraId="4F5C5306" w14:textId="77777777" w:rsidR="004635E5" w:rsidRPr="002E44FA" w:rsidRDefault="004635E5" w:rsidP="004635E5"/>
    <w:p w14:paraId="23E9F662" w14:textId="77777777" w:rsidR="004635E5" w:rsidRDefault="004635E5" w:rsidP="004635E5">
      <w:pPr>
        <w:pStyle w:val="PrrafodeSentencia"/>
        <w:numPr>
          <w:ilvl w:val="0"/>
          <w:numId w:val="3"/>
        </w:numPr>
        <w:tabs>
          <w:tab w:val="clear" w:pos="567"/>
          <w:tab w:val="left" w:pos="-284"/>
        </w:tabs>
        <w:ind w:left="0" w:firstLine="0"/>
        <w:rPr>
          <w:rFonts w:cs="Arial"/>
        </w:rPr>
      </w:pPr>
      <w:r w:rsidRPr="008A2AE0">
        <w:rPr>
          <w:rStyle w:val="Strong"/>
          <w:b w:val="0"/>
          <w:color w:val="000000"/>
          <w:shd w:val="clear" w:color="auto" w:fill="FFFFFF"/>
        </w:rPr>
        <w:t>Para efectuar el examen</w:t>
      </w:r>
      <w:r>
        <w:rPr>
          <w:rStyle w:val="Strong"/>
          <w:b w:val="0"/>
          <w:color w:val="000000"/>
          <w:shd w:val="clear" w:color="auto" w:fill="FFFFFF"/>
        </w:rPr>
        <w:t xml:space="preserve"> referido</w:t>
      </w:r>
      <w:r w:rsidRPr="008A2AE0">
        <w:rPr>
          <w:rStyle w:val="Strong"/>
          <w:b w:val="0"/>
          <w:color w:val="000000"/>
          <w:shd w:val="clear" w:color="auto" w:fill="FFFFFF"/>
        </w:rPr>
        <w:t>, la Corte debe considerar criterios objetivos o de razonabilidad</w:t>
      </w:r>
      <w:r w:rsidRPr="0005122C">
        <w:rPr>
          <w:rStyle w:val="FootnoteReference"/>
          <w:bCs/>
          <w:color w:val="000000"/>
          <w:sz w:val="20"/>
          <w:szCs w:val="20"/>
          <w:shd w:val="clear" w:color="auto" w:fill="FFFFFF"/>
        </w:rPr>
        <w:footnoteReference w:id="134"/>
      </w:r>
      <w:r w:rsidRPr="00493F83">
        <w:rPr>
          <w:rStyle w:val="Strong"/>
          <w:b w:val="0"/>
          <w:color w:val="000000"/>
          <w:shd w:val="clear" w:color="auto" w:fill="FFFFFF"/>
        </w:rPr>
        <w:t>, a partir de la consideraci</w:t>
      </w:r>
      <w:r w:rsidRPr="00493F83">
        <w:rPr>
          <w:rStyle w:val="Strong"/>
          <w:rFonts w:cs="Calibri"/>
          <w:b w:val="0"/>
          <w:color w:val="000000"/>
          <w:shd w:val="clear" w:color="auto" w:fill="FFFFFF"/>
        </w:rPr>
        <w:t>ó</w:t>
      </w:r>
      <w:r w:rsidRPr="00493F83">
        <w:rPr>
          <w:rStyle w:val="Strong"/>
          <w:b w:val="0"/>
          <w:color w:val="000000"/>
          <w:shd w:val="clear" w:color="auto" w:fill="FFFFFF"/>
        </w:rPr>
        <w:t>n de las circunstancias particulares del caso y los argumentos de las partes y la Comisi</w:t>
      </w:r>
      <w:r w:rsidRPr="00493F83">
        <w:rPr>
          <w:rStyle w:val="Strong"/>
          <w:rFonts w:cs="Calibri"/>
          <w:b w:val="0"/>
          <w:color w:val="000000"/>
          <w:shd w:val="clear" w:color="auto" w:fill="FFFFFF"/>
        </w:rPr>
        <w:t>ó</w:t>
      </w:r>
      <w:r w:rsidRPr="002F4EAC">
        <w:rPr>
          <w:rStyle w:val="Strong"/>
          <w:b w:val="0"/>
          <w:color w:val="000000"/>
          <w:shd w:val="clear" w:color="auto" w:fill="FFFFFF"/>
        </w:rPr>
        <w:t xml:space="preserve">n, y teniendo en cuenta elementos tales como la prueba producida en el caso (pericial, testimonial, o de otra </w:t>
      </w:r>
      <w:r w:rsidRPr="002F4EAC">
        <w:rPr>
          <w:rStyle w:val="Strong"/>
          <w:rFonts w:cs="Calibri"/>
          <w:b w:val="0"/>
          <w:color w:val="000000"/>
          <w:shd w:val="clear" w:color="auto" w:fill="FFFFFF"/>
        </w:rPr>
        <w:t>í</w:t>
      </w:r>
      <w:r w:rsidRPr="002F4EAC">
        <w:rPr>
          <w:rStyle w:val="Strong"/>
          <w:b w:val="0"/>
          <w:color w:val="000000"/>
          <w:shd w:val="clear" w:color="auto" w:fill="FFFFFF"/>
        </w:rPr>
        <w:t>ndole),</w:t>
      </w:r>
      <w:r w:rsidRPr="002F4EAC">
        <w:rPr>
          <w:rStyle w:val="Strong"/>
          <w:color w:val="000000"/>
          <w:shd w:val="clear" w:color="auto" w:fill="FFFFFF"/>
        </w:rPr>
        <w:t xml:space="preserve"> </w:t>
      </w:r>
      <w:r w:rsidRPr="002E44FA">
        <w:rPr>
          <w:rFonts w:cs="Arial"/>
        </w:rPr>
        <w:t>pautas recogidas por la propia jurisprudencia de este Tribunal, o la propia consideraci</w:t>
      </w:r>
      <w:r w:rsidRPr="007B43FC">
        <w:rPr>
          <w:rFonts w:cs="Calibri"/>
        </w:rPr>
        <w:t>ó</w:t>
      </w:r>
      <w:r w:rsidRPr="008A2AE0">
        <w:rPr>
          <w:rFonts w:cs="Arial"/>
        </w:rPr>
        <w:t>n de las autoridades internas sobre medidas que, en el caso concreto, tales autoridades se</w:t>
      </w:r>
      <w:r w:rsidRPr="007B43FC">
        <w:rPr>
          <w:rFonts w:cs="Calibri"/>
        </w:rPr>
        <w:t>ñ</w:t>
      </w:r>
      <w:r w:rsidRPr="008A2AE0">
        <w:rPr>
          <w:rFonts w:cs="Arial"/>
        </w:rPr>
        <w:t>alaron como necesarias</w:t>
      </w:r>
      <w:r>
        <w:rPr>
          <w:rFonts w:cs="Arial"/>
        </w:rPr>
        <w:t>.</w:t>
      </w:r>
    </w:p>
    <w:p w14:paraId="619DC1FA" w14:textId="77777777" w:rsidR="004635E5" w:rsidRPr="002E44FA" w:rsidRDefault="004635E5" w:rsidP="004635E5">
      <w:pPr>
        <w:rPr>
          <w:lang w:val="es-CR" w:eastAsia="es-MX"/>
        </w:rPr>
      </w:pPr>
    </w:p>
    <w:p w14:paraId="7C276C62" w14:textId="77777777" w:rsidR="004635E5" w:rsidRPr="00AD3D4F" w:rsidRDefault="004635E5" w:rsidP="004635E5">
      <w:pPr>
        <w:pStyle w:val="PrrafodeSentencia"/>
        <w:numPr>
          <w:ilvl w:val="0"/>
          <w:numId w:val="3"/>
        </w:numPr>
        <w:tabs>
          <w:tab w:val="clear" w:pos="567"/>
          <w:tab w:val="left" w:pos="-284"/>
        </w:tabs>
        <w:ind w:left="0" w:firstLine="0"/>
      </w:pPr>
      <w:r w:rsidRPr="00AD3D4F">
        <w:t>A continuación</w:t>
      </w:r>
      <w:r>
        <w:t>, con base en las pautas anteriores,</w:t>
      </w:r>
      <w:r w:rsidRPr="00AD3D4F">
        <w:t xml:space="preserve"> </w:t>
      </w:r>
      <w:r>
        <w:t>la Corte examinará la debida diligencia en la investigación. Luego, hará lo mismo respecto al plazo transcurrido por las actuaciones internas. Por último, expresará su conclusión.</w:t>
      </w:r>
    </w:p>
    <w:p w14:paraId="0F75E045" w14:textId="77777777" w:rsidR="004635E5" w:rsidRDefault="004635E5" w:rsidP="004635E5">
      <w:pPr>
        <w:pStyle w:val="ListParagraph"/>
        <w:numPr>
          <w:ilvl w:val="0"/>
          <w:numId w:val="0"/>
        </w:numPr>
      </w:pPr>
    </w:p>
    <w:p w14:paraId="38296380" w14:textId="77777777" w:rsidR="004635E5" w:rsidRPr="00942DC6" w:rsidRDefault="004635E5" w:rsidP="004635E5">
      <w:pPr>
        <w:pStyle w:val="ListParagraph"/>
        <w:numPr>
          <w:ilvl w:val="0"/>
          <w:numId w:val="0"/>
        </w:numPr>
        <w:ind w:left="567"/>
        <w:outlineLvl w:val="2"/>
        <w:rPr>
          <w:i/>
          <w:u w:val="single"/>
        </w:rPr>
      </w:pPr>
      <w:bookmarkStart w:id="254" w:name="_Toc488134446"/>
      <w:bookmarkStart w:id="255" w:name="_Toc489523906"/>
      <w:bookmarkStart w:id="256" w:name="_Toc493512904"/>
      <w:bookmarkStart w:id="257" w:name="_Toc498512825"/>
      <w:r w:rsidRPr="001130AF">
        <w:rPr>
          <w:i/>
        </w:rPr>
        <w:t xml:space="preserve">B.1. </w:t>
      </w:r>
      <w:r w:rsidRPr="00942DC6">
        <w:rPr>
          <w:i/>
          <w:u w:val="single"/>
        </w:rPr>
        <w:t>Debida diligencia en la investigación</w:t>
      </w:r>
      <w:bookmarkEnd w:id="254"/>
      <w:bookmarkEnd w:id="255"/>
      <w:bookmarkEnd w:id="256"/>
      <w:bookmarkEnd w:id="257"/>
    </w:p>
    <w:p w14:paraId="26DAF454" w14:textId="77777777" w:rsidR="004635E5" w:rsidRDefault="004635E5" w:rsidP="004635E5">
      <w:pPr>
        <w:rPr>
          <w:lang w:val="es-CR" w:eastAsia="es-MX"/>
        </w:rPr>
      </w:pPr>
    </w:p>
    <w:p w14:paraId="38DBF14A" w14:textId="316402E6" w:rsidR="004635E5" w:rsidRPr="00AD3D4F" w:rsidRDefault="004635E5" w:rsidP="004635E5">
      <w:pPr>
        <w:pStyle w:val="PrrafodeSentencia"/>
        <w:numPr>
          <w:ilvl w:val="0"/>
          <w:numId w:val="3"/>
        </w:numPr>
        <w:tabs>
          <w:tab w:val="clear" w:pos="567"/>
          <w:tab w:val="left" w:pos="-284"/>
        </w:tabs>
        <w:ind w:left="0" w:firstLine="0"/>
      </w:pPr>
      <w:r>
        <w:t>P</w:t>
      </w:r>
      <w:r w:rsidRPr="00AD3D4F">
        <w:t>ara el análisis de</w:t>
      </w:r>
      <w:r>
        <w:t xml:space="preserve"> si la investigación fue conducida en modo diligente, </w:t>
      </w:r>
      <w:r w:rsidRPr="00AD3D4F">
        <w:t xml:space="preserve">la Corte hará referencia, en primer término, </w:t>
      </w:r>
      <w:r>
        <w:t xml:space="preserve">a </w:t>
      </w:r>
      <w:r w:rsidRPr="00AD3D4F">
        <w:t>las diligencias</w:t>
      </w:r>
      <w:r>
        <w:t xml:space="preserve"> relacionadas con la identificación de la víctima, el tratamiento de la escena del delito, la realización de una autopsia, la recepción de declaraciones y la producción de otros medios de prueba. En segundo lugar, este Tribunal evaluará </w:t>
      </w:r>
      <w:r w:rsidRPr="00AD3D4F">
        <w:t>el seguimiento de líneas lógicas de investigación. En cuanto a lo último,</w:t>
      </w:r>
      <w:r w:rsidR="006E332B">
        <w:t xml:space="preserve"> </w:t>
      </w:r>
      <w:r>
        <w:t xml:space="preserve">dará cuenta de hechos relevantes referidos a </w:t>
      </w:r>
      <w:r w:rsidRPr="00AD3D4F">
        <w:t>indicios sobre la autoría del delito</w:t>
      </w:r>
      <w:r w:rsidR="00D16DD2">
        <w:t>,</w:t>
      </w:r>
      <w:r w:rsidRPr="00AD3D4F">
        <w:t xml:space="preserve"> y </w:t>
      </w:r>
      <w:r>
        <w:t>luego, considerando tales indicios, la Corte evaluará la actividad seguida para</w:t>
      </w:r>
      <w:r w:rsidRPr="00AD3D4F">
        <w:t xml:space="preserve"> indaga</w:t>
      </w:r>
      <w:r>
        <w:t>r la autoría del delito</w:t>
      </w:r>
      <w:r w:rsidRPr="00AD3D4F">
        <w:t>.</w:t>
      </w:r>
    </w:p>
    <w:p w14:paraId="68C47541" w14:textId="77777777" w:rsidR="004635E5" w:rsidRDefault="004635E5" w:rsidP="004635E5">
      <w:pPr>
        <w:rPr>
          <w:lang w:val="es-CR" w:eastAsia="es-MX"/>
        </w:rPr>
      </w:pPr>
    </w:p>
    <w:p w14:paraId="53D3227E" w14:textId="77777777" w:rsidR="004635E5" w:rsidRPr="00C011CF" w:rsidRDefault="004635E5" w:rsidP="004635E5">
      <w:pPr>
        <w:pStyle w:val="Heading4"/>
        <w:ind w:left="851"/>
        <w:rPr>
          <w:i/>
          <w:lang w:val="es-CR" w:eastAsia="es-MX"/>
        </w:rPr>
      </w:pPr>
      <w:bookmarkStart w:id="258" w:name="_Toc488134447"/>
      <w:bookmarkStart w:id="259" w:name="_Toc489523907"/>
      <w:bookmarkStart w:id="260" w:name="_Toc493512905"/>
      <w:bookmarkStart w:id="261" w:name="_Toc498512826"/>
      <w:r>
        <w:rPr>
          <w:i/>
          <w:u w:val="none"/>
          <w:lang w:val="es-CR" w:eastAsia="es-MX"/>
        </w:rPr>
        <w:t>B.1.1</w:t>
      </w:r>
      <w:r w:rsidRPr="009433B9">
        <w:rPr>
          <w:i/>
          <w:u w:val="none"/>
          <w:lang w:val="es-CR" w:eastAsia="es-MX"/>
        </w:rPr>
        <w:t xml:space="preserve">. </w:t>
      </w:r>
      <w:r>
        <w:rPr>
          <w:i/>
          <w:u w:val="none"/>
          <w:lang w:val="es-CR" w:eastAsia="es-MX"/>
        </w:rPr>
        <w:t>Identificación de la víctima, tratamiento de la escena del delito, autopsia, recepción de declaraciones y otros medios de prueba</w:t>
      </w:r>
      <w:bookmarkEnd w:id="258"/>
      <w:bookmarkEnd w:id="259"/>
      <w:bookmarkEnd w:id="260"/>
      <w:bookmarkEnd w:id="261"/>
      <w:r w:rsidRPr="009433B9">
        <w:rPr>
          <w:i/>
          <w:u w:val="none"/>
          <w:lang w:val="es-CR" w:eastAsia="es-MX"/>
        </w:rPr>
        <w:t xml:space="preserve"> </w:t>
      </w:r>
    </w:p>
    <w:p w14:paraId="65DF1A7B" w14:textId="77777777" w:rsidR="004635E5" w:rsidRPr="007B43FC" w:rsidRDefault="004635E5" w:rsidP="004635E5">
      <w:pPr>
        <w:rPr>
          <w:lang w:val="es-CR" w:eastAsia="es-MX"/>
        </w:rPr>
      </w:pPr>
    </w:p>
    <w:p w14:paraId="3B07D14D" w14:textId="77777777" w:rsidR="004635E5" w:rsidRPr="00F14F73" w:rsidRDefault="004635E5" w:rsidP="004635E5">
      <w:pPr>
        <w:pStyle w:val="PrrafodeSentencia"/>
        <w:numPr>
          <w:ilvl w:val="0"/>
          <w:numId w:val="3"/>
        </w:numPr>
        <w:tabs>
          <w:tab w:val="clear" w:pos="567"/>
          <w:tab w:val="left" w:pos="-567"/>
        </w:tabs>
        <w:ind w:left="0" w:firstLine="0"/>
      </w:pPr>
      <w:r w:rsidRPr="007B43FC">
        <w:t>La Corte ha establecido que la eficiente determinación de la verdad en el marco de la obligación de investigar una posible muerte, debe mostrarse desde las primeras diligencias con toda acuciosidad</w:t>
      </w:r>
      <w:r w:rsidRPr="0005122C">
        <w:rPr>
          <w:rStyle w:val="FootnoteReference"/>
          <w:sz w:val="20"/>
          <w:szCs w:val="20"/>
        </w:rPr>
        <w:footnoteReference w:id="135"/>
      </w:r>
      <w:r w:rsidRPr="007B43FC">
        <w:t xml:space="preserve">. </w:t>
      </w:r>
      <w:r>
        <w:t>H</w:t>
      </w:r>
      <w:proofErr w:type="spellStart"/>
      <w:r w:rsidRPr="00F14F73">
        <w:rPr>
          <w:lang w:val="es-EC"/>
        </w:rPr>
        <w:t>a</w:t>
      </w:r>
      <w:proofErr w:type="spellEnd"/>
      <w:r w:rsidRPr="00F14F73">
        <w:rPr>
          <w:lang w:val="es-EC"/>
        </w:rPr>
        <w:t xml:space="preserve"> especificado</w:t>
      </w:r>
      <w:r>
        <w:rPr>
          <w:lang w:val="es-EC"/>
        </w:rPr>
        <w:t xml:space="preserve"> este Tribunal </w:t>
      </w:r>
      <w:r w:rsidRPr="00F14F73">
        <w:rPr>
          <w:lang w:val="es-EC"/>
        </w:rPr>
        <w:t xml:space="preserve">que las autoridades estatales que conducen una investigación de este tipo deben intentar como mínimo, </w:t>
      </w:r>
      <w:r w:rsidRPr="00F14F73">
        <w:rPr>
          <w:i/>
          <w:iCs/>
          <w:lang w:val="es-EC"/>
        </w:rPr>
        <w:t xml:space="preserve">inter </w:t>
      </w:r>
      <w:proofErr w:type="spellStart"/>
      <w:r w:rsidRPr="00F14F73">
        <w:rPr>
          <w:i/>
          <w:iCs/>
          <w:lang w:val="es-EC"/>
        </w:rPr>
        <w:t>alia</w:t>
      </w:r>
      <w:proofErr w:type="spellEnd"/>
      <w:r w:rsidRPr="00F14F73">
        <w:rPr>
          <w:lang w:val="es-EC"/>
        </w:rPr>
        <w:t xml:space="preserve">: i) identificar a la víctima; ii) recuperar y preservar el material probatorio relacionado con la muerte, con el fin de ayudar en cualquier potencial investigación penal de los responsables; iii) identificar posibles testigos y obtener sus declaraciones en relación con la muerte que se investiga; iv) determinar la causa, forma, lugar y momento de la muerte, así como cualquier patrón o práctica que pueda haber causado la muerte, y v) </w:t>
      </w:r>
      <w:r w:rsidRPr="00FE6559">
        <w:rPr>
          <w:lang w:val="es-EC"/>
        </w:rPr>
        <w:t xml:space="preserve">distinguir entre muerte natural, muerte accidental, suicidio y homicidio. Además, es necesario investigar </w:t>
      </w:r>
      <w:r w:rsidRPr="00FE6559">
        <w:t>exhaustivamente</w:t>
      </w:r>
      <w:r w:rsidRPr="00FE6559">
        <w:rPr>
          <w:lang w:val="es-EC"/>
        </w:rPr>
        <w:t xml:space="preserve"> la escena</w:t>
      </w:r>
      <w:r w:rsidRPr="00F14F73">
        <w:rPr>
          <w:lang w:val="es-EC"/>
        </w:rPr>
        <w:t xml:space="preserve"> del </w:t>
      </w:r>
      <w:r>
        <w:rPr>
          <w:lang w:val="es-EC"/>
        </w:rPr>
        <w:t>delito</w:t>
      </w:r>
      <w:r w:rsidRPr="00F14F73">
        <w:rPr>
          <w:lang w:val="es-EC"/>
        </w:rPr>
        <w:t xml:space="preserve">, se deben realizar autopsias y análisis de restos humanos, en forma </w:t>
      </w:r>
      <w:r w:rsidRPr="00942DC6">
        <w:t>rigurosa</w:t>
      </w:r>
      <w:r w:rsidRPr="00F14F73">
        <w:rPr>
          <w:lang w:val="es-EC"/>
        </w:rPr>
        <w:t>, por profesionales competentes y empleando los procedimientos más apropiados</w:t>
      </w:r>
      <w:r w:rsidRPr="00B2318D">
        <w:rPr>
          <w:rFonts w:eastAsia="MS Mincho"/>
          <w:vertAlign w:val="superscript"/>
        </w:rPr>
        <w:footnoteReference w:id="136"/>
      </w:r>
      <w:r w:rsidRPr="00F14F73">
        <w:rPr>
          <w:lang w:val="es-EC"/>
        </w:rPr>
        <w:t>.</w:t>
      </w:r>
    </w:p>
    <w:p w14:paraId="35F5510A" w14:textId="77777777" w:rsidR="004635E5" w:rsidRPr="00942DC6" w:rsidRDefault="004635E5" w:rsidP="004635E5">
      <w:pPr>
        <w:tabs>
          <w:tab w:val="left" w:pos="-567"/>
        </w:tabs>
        <w:rPr>
          <w:lang w:val="es-EC" w:eastAsia="es-MX"/>
        </w:rPr>
      </w:pPr>
    </w:p>
    <w:p w14:paraId="1F32ACD9" w14:textId="66F89D74" w:rsidR="004635E5" w:rsidRDefault="004635E5" w:rsidP="004635E5">
      <w:pPr>
        <w:pStyle w:val="PrrafodeSentencia"/>
        <w:numPr>
          <w:ilvl w:val="0"/>
          <w:numId w:val="3"/>
        </w:numPr>
        <w:tabs>
          <w:tab w:val="clear" w:pos="567"/>
          <w:tab w:val="left" w:pos="-567"/>
        </w:tabs>
        <w:ind w:left="0" w:firstLine="0"/>
        <w:rPr>
          <w:bCs/>
          <w:lang w:val="es-EC"/>
        </w:rPr>
      </w:pPr>
      <w:r w:rsidRPr="00942DC6">
        <w:rPr>
          <w:bCs/>
          <w:lang w:val="es-EC"/>
        </w:rPr>
        <w:t xml:space="preserve">Además, </w:t>
      </w:r>
      <w:r w:rsidRPr="00942DC6">
        <w:rPr>
          <w:lang w:val="es-EC"/>
        </w:rPr>
        <w:t xml:space="preserve">los estándares internacionales señalan que, en relación con la escena del </w:t>
      </w:r>
      <w:r>
        <w:rPr>
          <w:lang w:val="es-EC"/>
        </w:rPr>
        <w:t>delito</w:t>
      </w:r>
      <w:r w:rsidRPr="00942DC6">
        <w:rPr>
          <w:lang w:val="es-EC"/>
        </w:rPr>
        <w:t>, los in</w:t>
      </w:r>
      <w:r w:rsidR="00D16DD2">
        <w:rPr>
          <w:lang w:val="es-EC"/>
        </w:rPr>
        <w:t>vestigadores deben, como mínimo: i)</w:t>
      </w:r>
      <w:r w:rsidRPr="00942DC6">
        <w:rPr>
          <w:lang w:val="es-EC"/>
        </w:rPr>
        <w:t xml:space="preserve"> fotografiar </w:t>
      </w:r>
      <w:r w:rsidRPr="00942DC6">
        <w:rPr>
          <w:bCs/>
          <w:lang w:val="es-EC"/>
        </w:rPr>
        <w:t xml:space="preserve">dicha escena, </w:t>
      </w:r>
      <w:r w:rsidRPr="00942DC6">
        <w:t>cualquier</w:t>
      </w:r>
      <w:r w:rsidRPr="00942DC6">
        <w:rPr>
          <w:bCs/>
          <w:lang w:val="es-EC"/>
        </w:rPr>
        <w:t xml:space="preserve"> otra evidencia </w:t>
      </w:r>
      <w:r w:rsidRPr="00942DC6">
        <w:t>física</w:t>
      </w:r>
      <w:r w:rsidRPr="00942DC6">
        <w:rPr>
          <w:bCs/>
          <w:lang w:val="es-EC"/>
        </w:rPr>
        <w:t xml:space="preserve"> y </w:t>
      </w:r>
      <w:r w:rsidRPr="00942DC6">
        <w:rPr>
          <w:lang w:val="es-EC"/>
        </w:rPr>
        <w:t xml:space="preserve">el cuerpo como se encontró y después de moverlo; </w:t>
      </w:r>
      <w:r w:rsidR="00D16DD2">
        <w:rPr>
          <w:lang w:val="es-EC"/>
        </w:rPr>
        <w:t xml:space="preserve">ii) recoger y conservar </w:t>
      </w:r>
      <w:r w:rsidRPr="00942DC6">
        <w:rPr>
          <w:bCs/>
          <w:lang w:val="es-EC"/>
        </w:rPr>
        <w:t xml:space="preserve">todas las muestras de sangre, cabello, </w:t>
      </w:r>
      <w:r w:rsidRPr="00942DC6">
        <w:t>fibras</w:t>
      </w:r>
      <w:r w:rsidRPr="00942DC6">
        <w:rPr>
          <w:bCs/>
          <w:lang w:val="es-EC"/>
        </w:rPr>
        <w:t xml:space="preserve">, hilos u otras pistas; </w:t>
      </w:r>
      <w:r w:rsidR="00D16DD2">
        <w:rPr>
          <w:bCs/>
          <w:lang w:val="es-EC"/>
        </w:rPr>
        <w:t xml:space="preserve">iii) </w:t>
      </w:r>
      <w:r w:rsidRPr="00942DC6">
        <w:rPr>
          <w:bCs/>
          <w:lang w:val="es-EC"/>
        </w:rPr>
        <w:t xml:space="preserve">examinar el área en busca de huellas de zapatos o cualquier otra que tenga naturaleza de evidencia, y </w:t>
      </w:r>
      <w:r w:rsidR="00D16DD2">
        <w:rPr>
          <w:bCs/>
          <w:lang w:val="es-EC"/>
        </w:rPr>
        <w:t xml:space="preserve">iv) </w:t>
      </w:r>
      <w:r w:rsidRPr="00942DC6">
        <w:rPr>
          <w:bCs/>
          <w:lang w:val="es-EC"/>
        </w:rPr>
        <w:t>hacer un informe detallando cualquier observación de la escena, las acciones de los investigadores y la disposición de toda la evidencia coleccionada</w:t>
      </w:r>
      <w:r w:rsidRPr="001C42E6">
        <w:rPr>
          <w:vertAlign w:val="superscript"/>
        </w:rPr>
        <w:footnoteReference w:id="137"/>
      </w:r>
      <w:r w:rsidRPr="00942DC6">
        <w:rPr>
          <w:bCs/>
          <w:lang w:val="es-EC"/>
        </w:rPr>
        <w:t xml:space="preserve">. </w:t>
      </w:r>
      <w:r w:rsidRPr="00942DC6">
        <w:rPr>
          <w:lang w:val="es-EC"/>
        </w:rPr>
        <w:t>La Corte también ha establecido</w:t>
      </w:r>
      <w:r w:rsidRPr="00942DC6">
        <w:rPr>
          <w:bCs/>
          <w:lang w:val="es-EC"/>
        </w:rPr>
        <w:t xml:space="preserve"> que al investigar una escena del </w:t>
      </w:r>
      <w:r>
        <w:rPr>
          <w:bCs/>
          <w:lang w:val="es-EC"/>
        </w:rPr>
        <w:t>delito</w:t>
      </w:r>
      <w:r w:rsidR="00D16DD2">
        <w:rPr>
          <w:bCs/>
          <w:lang w:val="es-EC"/>
        </w:rPr>
        <w:t xml:space="preserve"> ésta</w:t>
      </w:r>
      <w:r w:rsidRPr="00942DC6">
        <w:rPr>
          <w:bCs/>
          <w:lang w:val="es-EC"/>
        </w:rPr>
        <w:t xml:space="preserve"> se debe </w:t>
      </w:r>
      <w:r w:rsidRPr="0001748B">
        <w:rPr>
          <w:rFonts w:eastAsiaTheme="minorHAnsi" w:cstheme="minorBidi"/>
          <w:szCs w:val="20"/>
          <w:lang w:eastAsia="en-US"/>
        </w:rPr>
        <w:t>preservar con el fin de proteger toda evidencia</w:t>
      </w:r>
      <w:r w:rsidRPr="00B2318D">
        <w:rPr>
          <w:vertAlign w:val="superscript"/>
        </w:rPr>
        <w:footnoteReference w:id="138"/>
      </w:r>
      <w:r w:rsidRPr="00942DC6">
        <w:rPr>
          <w:bCs/>
          <w:lang w:val="es-EC"/>
        </w:rPr>
        <w:t>.</w:t>
      </w:r>
    </w:p>
    <w:p w14:paraId="761DCDDB" w14:textId="77777777" w:rsidR="004635E5" w:rsidRPr="00942DC6" w:rsidRDefault="004635E5" w:rsidP="004635E5">
      <w:pPr>
        <w:tabs>
          <w:tab w:val="left" w:pos="-567"/>
        </w:tabs>
        <w:rPr>
          <w:lang w:val="es-EC" w:eastAsia="es-MX"/>
        </w:rPr>
      </w:pPr>
    </w:p>
    <w:p w14:paraId="706F4045" w14:textId="77777777" w:rsidR="004635E5" w:rsidRDefault="004635E5" w:rsidP="004635E5">
      <w:pPr>
        <w:pStyle w:val="PrrafodeSentencia"/>
        <w:numPr>
          <w:ilvl w:val="0"/>
          <w:numId w:val="3"/>
        </w:numPr>
        <w:tabs>
          <w:tab w:val="clear" w:pos="567"/>
          <w:tab w:val="left" w:pos="-567"/>
        </w:tabs>
        <w:ind w:left="0" w:firstLine="0"/>
        <w:rPr>
          <w:bCs/>
          <w:lang w:val="es-EC"/>
        </w:rPr>
      </w:pPr>
      <w:r w:rsidRPr="00942DC6">
        <w:rPr>
          <w:bCs/>
          <w:lang w:val="es-EC"/>
        </w:rPr>
        <w:lastRenderedPageBreak/>
        <w:t xml:space="preserve">Igualmente, la debida diligencia en una investigación médico-legal de una muerte exige el </w:t>
      </w:r>
      <w:r w:rsidRPr="00942DC6">
        <w:t>mantenimiento</w:t>
      </w:r>
      <w:r w:rsidRPr="00942DC6">
        <w:rPr>
          <w:bCs/>
          <w:lang w:val="es-EC"/>
        </w:rPr>
        <w:t xml:space="preserve"> de la cadena de custodia de todo elemento de prueba forense</w:t>
      </w:r>
      <w:r w:rsidRPr="00B2318D">
        <w:rPr>
          <w:vertAlign w:val="superscript"/>
        </w:rPr>
        <w:footnoteReference w:id="139"/>
      </w:r>
      <w:r w:rsidRPr="00942DC6">
        <w:rPr>
          <w:bCs/>
          <w:lang w:val="es-EC"/>
        </w:rPr>
        <w:t xml:space="preserve">. La Corte ha señalado que ello consiste </w:t>
      </w:r>
      <w:r w:rsidRPr="00942DC6">
        <w:t>en</w:t>
      </w:r>
      <w:r w:rsidRPr="00942DC6">
        <w:rPr>
          <w:bCs/>
          <w:lang w:val="es-EC"/>
        </w:rPr>
        <w:t xml:space="preserve"> llevar un registro escrito preciso, complementado, según corresponda, por fotografías y demás elementos gráficos, para documentar la historia del elemento de prueba a medida que pasa por las manos de diversos </w:t>
      </w:r>
      <w:r w:rsidRPr="00942DC6">
        <w:t>investigadores</w:t>
      </w:r>
      <w:r w:rsidRPr="00942DC6">
        <w:rPr>
          <w:bCs/>
          <w:lang w:val="es-EC"/>
        </w:rPr>
        <w:t xml:space="preserve"> encargados del caso</w:t>
      </w:r>
      <w:r w:rsidRPr="00B2318D">
        <w:rPr>
          <w:vertAlign w:val="superscript"/>
        </w:rPr>
        <w:footnoteReference w:id="140"/>
      </w:r>
      <w:r w:rsidRPr="00942DC6">
        <w:rPr>
          <w:bCs/>
          <w:lang w:val="es-EC"/>
        </w:rPr>
        <w:t>.</w:t>
      </w:r>
    </w:p>
    <w:p w14:paraId="77017EB0" w14:textId="77777777" w:rsidR="004635E5" w:rsidRPr="00942DC6" w:rsidRDefault="004635E5" w:rsidP="004635E5">
      <w:pPr>
        <w:tabs>
          <w:tab w:val="left" w:pos="-567"/>
        </w:tabs>
        <w:rPr>
          <w:lang w:val="es-EC" w:eastAsia="es-MX"/>
        </w:rPr>
      </w:pPr>
    </w:p>
    <w:p w14:paraId="0F662E3C" w14:textId="77777777" w:rsidR="004635E5" w:rsidRDefault="004635E5" w:rsidP="004635E5">
      <w:pPr>
        <w:pStyle w:val="PrrafodeSentencia"/>
        <w:numPr>
          <w:ilvl w:val="0"/>
          <w:numId w:val="3"/>
        </w:numPr>
        <w:tabs>
          <w:tab w:val="clear" w:pos="567"/>
          <w:tab w:val="left" w:pos="-567"/>
        </w:tabs>
        <w:ind w:left="0" w:firstLine="0"/>
        <w:rPr>
          <w:rFonts w:cs="Arial"/>
        </w:rPr>
      </w:pPr>
      <w:r w:rsidRPr="00942DC6">
        <w:rPr>
          <w:lang w:val="es-EC"/>
        </w:rPr>
        <w:t>En relación con las pautas de diligencia debida reseñadas, cabe dejar sentado que en el presente caso no hubo inconvenientes en cuanto a la identificación del señor Pacheco León</w:t>
      </w:r>
      <w:r>
        <w:rPr>
          <w:lang w:val="es-EC"/>
        </w:rPr>
        <w:t>,</w:t>
      </w:r>
      <w:r w:rsidRPr="00942DC6">
        <w:rPr>
          <w:lang w:val="es-EC"/>
        </w:rPr>
        <w:t xml:space="preserve"> la determinación de las circunstancias de su muerte</w:t>
      </w:r>
      <w:r>
        <w:rPr>
          <w:lang w:val="es-EC"/>
        </w:rPr>
        <w:t xml:space="preserve"> y</w:t>
      </w:r>
      <w:r w:rsidRPr="00942DC6">
        <w:rPr>
          <w:lang w:val="es-EC"/>
        </w:rPr>
        <w:t xml:space="preserve"> que la misma se trató de una muerte violenta no accidental. </w:t>
      </w:r>
    </w:p>
    <w:p w14:paraId="5E0876DB" w14:textId="77777777" w:rsidR="004635E5" w:rsidRPr="00942DC6" w:rsidRDefault="004635E5" w:rsidP="004635E5">
      <w:pPr>
        <w:tabs>
          <w:tab w:val="left" w:pos="-567"/>
        </w:tabs>
        <w:rPr>
          <w:lang w:val="es-CR" w:eastAsia="es-MX"/>
        </w:rPr>
      </w:pPr>
    </w:p>
    <w:p w14:paraId="05C49F35" w14:textId="681A1B86" w:rsidR="004635E5" w:rsidRDefault="004635E5" w:rsidP="004635E5">
      <w:pPr>
        <w:pStyle w:val="PrrafodeSentencia"/>
        <w:numPr>
          <w:ilvl w:val="0"/>
          <w:numId w:val="3"/>
        </w:numPr>
        <w:tabs>
          <w:tab w:val="clear" w:pos="567"/>
          <w:tab w:val="left" w:pos="-567"/>
        </w:tabs>
        <w:ind w:left="0" w:firstLine="0"/>
        <w:rPr>
          <w:rFonts w:cs="Arial"/>
        </w:rPr>
      </w:pPr>
      <w:r>
        <w:rPr>
          <w:rFonts w:cs="Arial"/>
        </w:rPr>
        <w:t>E</w:t>
      </w:r>
      <w:r w:rsidRPr="00942DC6">
        <w:rPr>
          <w:rFonts w:cs="Arial"/>
        </w:rPr>
        <w:t xml:space="preserve">l 24 de </w:t>
      </w:r>
      <w:r w:rsidRPr="00727822">
        <w:rPr>
          <w:rFonts w:cs="Arial"/>
        </w:rPr>
        <w:t>noviembre de 2001 las autoridades hicieron una requisa de la escena del delito, encontrando y recolectando diversos elementos y muestras de sangre (</w:t>
      </w:r>
      <w:r w:rsidRPr="00727822">
        <w:rPr>
          <w:rFonts w:cs="Arial"/>
          <w:i/>
        </w:rPr>
        <w:t>supra</w:t>
      </w:r>
      <w:r w:rsidRPr="00727822">
        <w:rPr>
          <w:rFonts w:cs="Arial"/>
        </w:rPr>
        <w:t xml:space="preserve"> párr. 34). Se tomaron fotografías del lugar y de elementos encontrados (</w:t>
      </w:r>
      <w:r w:rsidRPr="00727822">
        <w:rPr>
          <w:rFonts w:cs="Arial"/>
          <w:i/>
        </w:rPr>
        <w:t>supra</w:t>
      </w:r>
      <w:r w:rsidRPr="00727822">
        <w:rPr>
          <w:rFonts w:cs="Arial"/>
        </w:rPr>
        <w:t xml:space="preserve"> párr. 34). De lo anterior se dio cuenta en un informe</w:t>
      </w:r>
      <w:r w:rsidR="00727822" w:rsidRPr="00727822">
        <w:rPr>
          <w:rFonts w:cs="Arial"/>
        </w:rPr>
        <w:t xml:space="preserve"> (</w:t>
      </w:r>
      <w:r w:rsidR="00727822" w:rsidRPr="00727822">
        <w:rPr>
          <w:rFonts w:cs="Arial"/>
          <w:i/>
        </w:rPr>
        <w:t>supra</w:t>
      </w:r>
      <w:r w:rsidR="00727822" w:rsidRPr="00727822">
        <w:rPr>
          <w:rFonts w:cs="Arial"/>
        </w:rPr>
        <w:t xml:space="preserve"> párr. 40) </w:t>
      </w:r>
      <w:r w:rsidRPr="00727822">
        <w:rPr>
          <w:rFonts w:cs="Arial"/>
        </w:rPr>
        <w:t xml:space="preserve">que también incluyó fotografías del rostro del cadáver del señor Pacheco, el cual presentaba heridas. Además, se realizaron pericias y otras pruebas relacionadas con el material encontrado </w:t>
      </w:r>
      <w:r w:rsidRPr="00727822">
        <w:rPr>
          <w:rFonts w:cs="Arial"/>
          <w:i/>
        </w:rPr>
        <w:t>(supra</w:t>
      </w:r>
      <w:r w:rsidR="00AB2477">
        <w:rPr>
          <w:rFonts w:cs="Arial"/>
        </w:rPr>
        <w:t xml:space="preserve"> </w:t>
      </w:r>
      <w:proofErr w:type="spellStart"/>
      <w:r w:rsidR="00AB2477">
        <w:rPr>
          <w:rFonts w:cs="Arial"/>
        </w:rPr>
        <w:t>párrs</w:t>
      </w:r>
      <w:proofErr w:type="spellEnd"/>
      <w:r w:rsidR="00AB2477">
        <w:rPr>
          <w:rFonts w:cs="Arial"/>
        </w:rPr>
        <w:t>. 39 y 40). Asimismo, só</w:t>
      </w:r>
      <w:r w:rsidRPr="00727822">
        <w:rPr>
          <w:rFonts w:cs="Arial"/>
        </w:rPr>
        <w:t xml:space="preserve">lo entre los primeros momentos de la investigación y </w:t>
      </w:r>
      <w:r w:rsidR="00727822" w:rsidRPr="00727822">
        <w:rPr>
          <w:rFonts w:cs="Arial"/>
        </w:rPr>
        <w:t>fin de enero de 2002 se tomaron cerca</w:t>
      </w:r>
      <w:r w:rsidRPr="00727822">
        <w:rPr>
          <w:rFonts w:cs="Arial"/>
        </w:rPr>
        <w:t xml:space="preserve"> de 80 declaraciones (</w:t>
      </w:r>
      <w:r w:rsidRPr="00727822">
        <w:rPr>
          <w:rFonts w:cs="Arial"/>
          <w:i/>
        </w:rPr>
        <w:t>supra</w:t>
      </w:r>
      <w:r w:rsidRPr="00727822">
        <w:rPr>
          <w:rFonts w:cs="Arial"/>
        </w:rPr>
        <w:t xml:space="preserve">, </w:t>
      </w:r>
      <w:proofErr w:type="spellStart"/>
      <w:r w:rsidRPr="00727822">
        <w:rPr>
          <w:rFonts w:cs="Arial"/>
        </w:rPr>
        <w:t>párrs</w:t>
      </w:r>
      <w:proofErr w:type="spellEnd"/>
      <w:r w:rsidRPr="00727822">
        <w:rPr>
          <w:rFonts w:cs="Arial"/>
        </w:rPr>
        <w:t>. 36 y 38).</w:t>
      </w:r>
    </w:p>
    <w:p w14:paraId="631C5A17" w14:textId="77777777" w:rsidR="004635E5" w:rsidRPr="00315286" w:rsidRDefault="004635E5" w:rsidP="004635E5">
      <w:pPr>
        <w:tabs>
          <w:tab w:val="left" w:pos="-567"/>
        </w:tabs>
      </w:pPr>
    </w:p>
    <w:p w14:paraId="51B91A24" w14:textId="77777777" w:rsidR="004635E5" w:rsidRPr="00AD3D4F" w:rsidRDefault="004635E5" w:rsidP="004635E5">
      <w:pPr>
        <w:pStyle w:val="PrrafodeSentencia"/>
        <w:numPr>
          <w:ilvl w:val="0"/>
          <w:numId w:val="3"/>
        </w:numPr>
        <w:tabs>
          <w:tab w:val="clear" w:pos="567"/>
          <w:tab w:val="left" w:pos="-567"/>
        </w:tabs>
        <w:ind w:left="0" w:firstLine="0"/>
      </w:pPr>
      <w:r w:rsidRPr="00AD3D4F">
        <w:rPr>
          <w:rFonts w:cs="Arial"/>
        </w:rPr>
        <w:t xml:space="preserve">Por otra parte, </w:t>
      </w:r>
      <w:r>
        <w:rPr>
          <w:rFonts w:cs="Arial"/>
        </w:rPr>
        <w:t xml:space="preserve">la Corte nota que </w:t>
      </w:r>
      <w:r w:rsidRPr="00AD3D4F">
        <w:t xml:space="preserve">las </w:t>
      </w:r>
      <w:r w:rsidRPr="00AD3D4F">
        <w:rPr>
          <w:rFonts w:cs="Arial"/>
        </w:rPr>
        <w:t xml:space="preserve">autoridades judiciales </w:t>
      </w:r>
      <w:r>
        <w:rPr>
          <w:rFonts w:cs="Arial"/>
        </w:rPr>
        <w:t xml:space="preserve">y policiales </w:t>
      </w:r>
      <w:r w:rsidRPr="00AD3D4F">
        <w:rPr>
          <w:rFonts w:cs="Arial"/>
        </w:rPr>
        <w:t xml:space="preserve">tomaron conocimiento de los hechos antes de </w:t>
      </w:r>
      <w:r w:rsidRPr="009E00A8">
        <w:rPr>
          <w:rFonts w:cs="Arial"/>
        </w:rPr>
        <w:t>la 1:10 horas del 24 de noviembre de 2001 y a las 8:00 horas de ese día fue llamado un técnico de la DGIC para hacer una “requisa” de la escena del delito, quien dejó asentado que la misma estaba “contaminada” (</w:t>
      </w:r>
      <w:r w:rsidRPr="009E00A8">
        <w:rPr>
          <w:rFonts w:cs="Arial"/>
          <w:i/>
        </w:rPr>
        <w:t>supra</w:t>
      </w:r>
      <w:r w:rsidRPr="009E00A8">
        <w:rPr>
          <w:rFonts w:cs="Arial"/>
        </w:rPr>
        <w:t xml:space="preserve"> </w:t>
      </w:r>
      <w:proofErr w:type="spellStart"/>
      <w:r w:rsidRPr="009E00A8">
        <w:rPr>
          <w:rFonts w:cs="Arial"/>
        </w:rPr>
        <w:t>párrs</w:t>
      </w:r>
      <w:proofErr w:type="spellEnd"/>
      <w:r w:rsidRPr="009E00A8">
        <w:rPr>
          <w:rFonts w:cs="Arial"/>
        </w:rPr>
        <w:t xml:space="preserve">. 33 y 34). Explicó que se refería a </w:t>
      </w:r>
      <w:r w:rsidRPr="009E00A8">
        <w:t>marcas de calzado y manchas que podrían haber sido producidas por personas que supuestamente auxiliaron al señor Pacheco (</w:t>
      </w:r>
      <w:r w:rsidRPr="009E00A8">
        <w:rPr>
          <w:i/>
        </w:rPr>
        <w:t xml:space="preserve">supra </w:t>
      </w:r>
      <w:r w:rsidRPr="009E00A8">
        <w:t>párr. 34). Por</w:t>
      </w:r>
      <w:r w:rsidRPr="00AD3D4F">
        <w:t xml:space="preserve"> tanto, la Corte no tiene elementos para determinar si la supuesta “contaminación” fue realmente tal o se trató, en realidad, del modo mismo en que ocurrieron los hechos.</w:t>
      </w:r>
    </w:p>
    <w:p w14:paraId="452CC599" w14:textId="77777777" w:rsidR="004635E5" w:rsidRPr="00942DC6" w:rsidRDefault="004635E5" w:rsidP="004635E5">
      <w:pPr>
        <w:pStyle w:val="PrrafodeSentencia"/>
        <w:numPr>
          <w:ilvl w:val="0"/>
          <w:numId w:val="0"/>
        </w:numPr>
        <w:tabs>
          <w:tab w:val="clear" w:pos="567"/>
          <w:tab w:val="left" w:pos="-567"/>
        </w:tabs>
      </w:pPr>
    </w:p>
    <w:p w14:paraId="61A55559" w14:textId="77777777" w:rsidR="004635E5" w:rsidRPr="009E00A8" w:rsidRDefault="004635E5" w:rsidP="004635E5">
      <w:pPr>
        <w:pStyle w:val="PrrafodeSentencia"/>
        <w:numPr>
          <w:ilvl w:val="0"/>
          <w:numId w:val="3"/>
        </w:numPr>
        <w:tabs>
          <w:tab w:val="clear" w:pos="567"/>
          <w:tab w:val="left" w:pos="-567"/>
        </w:tabs>
        <w:ind w:left="0" w:firstLine="0"/>
        <w:rPr>
          <w:rFonts w:cs="Arial"/>
        </w:rPr>
      </w:pPr>
      <w:r w:rsidRPr="009E00A8">
        <w:rPr>
          <w:rFonts w:cs="Arial"/>
        </w:rPr>
        <w:t>En cuanto a los exámenes de autopsia, los mismos fueron solicitados y realizados el 24 de noviembre de 2001, determinándose la causa de la muerte (</w:t>
      </w:r>
      <w:r w:rsidRPr="009E00A8">
        <w:rPr>
          <w:rFonts w:cs="Arial"/>
          <w:i/>
        </w:rPr>
        <w:t>supra</w:t>
      </w:r>
      <w:r w:rsidRPr="009E00A8">
        <w:rPr>
          <w:rFonts w:cs="Arial"/>
        </w:rPr>
        <w:t xml:space="preserve"> párr. 34).</w:t>
      </w:r>
    </w:p>
    <w:p w14:paraId="1EC81E36" w14:textId="77777777" w:rsidR="004635E5" w:rsidRPr="009A3203" w:rsidRDefault="004635E5" w:rsidP="004635E5">
      <w:pPr>
        <w:tabs>
          <w:tab w:val="left" w:pos="-567"/>
        </w:tabs>
      </w:pPr>
    </w:p>
    <w:p w14:paraId="7E3BC026" w14:textId="1B7AE4A5" w:rsidR="004635E5" w:rsidRPr="00942DC6" w:rsidRDefault="004635E5" w:rsidP="004635E5">
      <w:pPr>
        <w:pStyle w:val="PrrafodeSentencia"/>
        <w:numPr>
          <w:ilvl w:val="0"/>
          <w:numId w:val="3"/>
        </w:numPr>
        <w:tabs>
          <w:tab w:val="clear" w:pos="567"/>
          <w:tab w:val="left" w:pos="-567"/>
        </w:tabs>
        <w:ind w:left="0" w:firstLine="0"/>
        <w:rPr>
          <w:b/>
          <w:sz w:val="16"/>
          <w:szCs w:val="16"/>
        </w:rPr>
      </w:pPr>
      <w:r>
        <w:rPr>
          <w:rFonts w:cs="Arial"/>
        </w:rPr>
        <w:t>Ahora bien</w:t>
      </w:r>
      <w:r w:rsidRPr="00942DC6">
        <w:rPr>
          <w:rFonts w:cs="Arial"/>
        </w:rPr>
        <w:t xml:space="preserve">, surge de los hechos que el 15 de julio de 2004 se emitió un informe que señaló que el dictamen de autopsia </w:t>
      </w:r>
      <w:r w:rsidRPr="009E00A8">
        <w:rPr>
          <w:rFonts w:cs="Arial"/>
        </w:rPr>
        <w:t>no se encontraba en el expediente (</w:t>
      </w:r>
      <w:r w:rsidRPr="009E00A8">
        <w:rPr>
          <w:rFonts w:cs="Arial"/>
          <w:i/>
        </w:rPr>
        <w:t>supra</w:t>
      </w:r>
      <w:r w:rsidRPr="009E00A8">
        <w:rPr>
          <w:rFonts w:cs="Arial"/>
        </w:rPr>
        <w:t xml:space="preserve"> párr. 45). Además, si bien hasta el </w:t>
      </w:r>
      <w:r w:rsidR="009E00A8" w:rsidRPr="0034037F">
        <w:rPr>
          <w:rFonts w:cs="Arial"/>
        </w:rPr>
        <w:t>20 de septiembre</w:t>
      </w:r>
      <w:r w:rsidRPr="0034037F">
        <w:rPr>
          <w:rFonts w:cs="Arial"/>
        </w:rPr>
        <w:t xml:space="preserve"> </w:t>
      </w:r>
      <w:r w:rsidRPr="009E00A8">
        <w:rPr>
          <w:rFonts w:cs="Arial"/>
        </w:rPr>
        <w:t>de 2004 se habría conservado la “muestra de sangre” obtenida en la autopsia (</w:t>
      </w:r>
      <w:r w:rsidRPr="009E00A8">
        <w:rPr>
          <w:rFonts w:cs="Arial"/>
          <w:i/>
        </w:rPr>
        <w:t>supra</w:t>
      </w:r>
      <w:r w:rsidRPr="009E00A8">
        <w:rPr>
          <w:rFonts w:cs="Arial"/>
        </w:rPr>
        <w:t xml:space="preserve"> párr. 47), antes del 16 de septiembre de 2005 la misma se destruyó cuando, de conformidad a lo que indicó el Estado, se fundió un motor del “cuarto frío” en que se encontraba (</w:t>
      </w:r>
      <w:r w:rsidRPr="009E00A8">
        <w:rPr>
          <w:rFonts w:cs="Arial"/>
          <w:i/>
        </w:rPr>
        <w:t>supra</w:t>
      </w:r>
      <w:r w:rsidRPr="009E00A8">
        <w:rPr>
          <w:rFonts w:cs="Arial"/>
        </w:rPr>
        <w:t xml:space="preserve"> párr. 48). Pese a ello, la Corte advierte que en la prueba se da cuenta que se </w:t>
      </w:r>
      <w:r w:rsidRPr="009E00A8">
        <w:rPr>
          <w:rFonts w:cs="Cambria"/>
        </w:rPr>
        <w:t>realizaron todos los análisis forenses solicitados antes del 30 de noviembre de 2001 (</w:t>
      </w:r>
      <w:r w:rsidRPr="009E00A8">
        <w:rPr>
          <w:rFonts w:cs="Cambria"/>
          <w:i/>
        </w:rPr>
        <w:t>supra</w:t>
      </w:r>
      <w:r w:rsidRPr="009E00A8">
        <w:rPr>
          <w:rFonts w:cs="Cambria"/>
        </w:rPr>
        <w:t xml:space="preserve"> párr. 39). Además, luego de la destrucción de muestras, el 16 de septiembre de 2005 se autorizó una exhumación del cadáver que permitió tomar muestras de ADN, efectuándose un análisis con evidencia recogida en el lugar de los hechos (</w:t>
      </w:r>
      <w:r w:rsidRPr="009E00A8">
        <w:rPr>
          <w:rFonts w:cs="Cambria"/>
          <w:i/>
        </w:rPr>
        <w:t>supra</w:t>
      </w:r>
      <w:r w:rsidRPr="009E00A8">
        <w:rPr>
          <w:rFonts w:cs="Cambria"/>
        </w:rPr>
        <w:t xml:space="preserve"> párr. 48). De ese modo, no se evidencia que la destrucción de muestras, en las circunstancias del presente caso, haya tenido un impacto perjudicial relevante.</w:t>
      </w:r>
    </w:p>
    <w:p w14:paraId="55477D65" w14:textId="77777777" w:rsidR="004635E5" w:rsidRPr="00942DC6" w:rsidRDefault="004635E5" w:rsidP="004635E5">
      <w:pPr>
        <w:pStyle w:val="PrrafodeSentencia"/>
        <w:numPr>
          <w:ilvl w:val="0"/>
          <w:numId w:val="0"/>
        </w:numPr>
        <w:tabs>
          <w:tab w:val="clear" w:pos="567"/>
          <w:tab w:val="left" w:pos="-567"/>
        </w:tabs>
        <w:rPr>
          <w:b/>
          <w:sz w:val="16"/>
          <w:szCs w:val="16"/>
        </w:rPr>
      </w:pPr>
    </w:p>
    <w:p w14:paraId="32A274D1" w14:textId="77777777" w:rsidR="004635E5" w:rsidRPr="009E00A8" w:rsidRDefault="004635E5" w:rsidP="004635E5">
      <w:pPr>
        <w:pStyle w:val="PrrafodeSentencia"/>
        <w:numPr>
          <w:ilvl w:val="0"/>
          <w:numId w:val="3"/>
        </w:numPr>
        <w:tabs>
          <w:tab w:val="clear" w:pos="567"/>
          <w:tab w:val="left" w:pos="-567"/>
        </w:tabs>
        <w:ind w:left="0" w:firstLine="0"/>
      </w:pPr>
      <w:r w:rsidRPr="009E00A8">
        <w:t>Además, la Corte constata que se ordenaron y realizaron otras acciones de investigación, entre las que se encuentran las siguientes: análisis periciales de sangre, armas, balas y otros objetos (</w:t>
      </w:r>
      <w:r w:rsidRPr="009E00A8">
        <w:rPr>
          <w:i/>
        </w:rPr>
        <w:t>supra</w:t>
      </w:r>
      <w:r w:rsidRPr="009E00A8">
        <w:t xml:space="preserve"> </w:t>
      </w:r>
      <w:proofErr w:type="spellStart"/>
      <w:r w:rsidRPr="009E00A8">
        <w:t>párrs</w:t>
      </w:r>
      <w:proofErr w:type="spellEnd"/>
      <w:r w:rsidRPr="009E00A8">
        <w:t>. 39 y 40), allanamientos (</w:t>
      </w:r>
      <w:r w:rsidRPr="009E00A8">
        <w:rPr>
          <w:i/>
        </w:rPr>
        <w:t>supra</w:t>
      </w:r>
      <w:r w:rsidRPr="009E00A8">
        <w:t xml:space="preserve"> párr. 41) e informes sobre números telefónicos (</w:t>
      </w:r>
      <w:r w:rsidRPr="009E00A8">
        <w:rPr>
          <w:i/>
        </w:rPr>
        <w:t>supra</w:t>
      </w:r>
      <w:r w:rsidRPr="009E00A8">
        <w:t xml:space="preserve"> párr.42). Asimismo, se efectuaron acciones de indagación en relación con las tres personas que inicialmente se consideraron sospechosas (</w:t>
      </w:r>
      <w:r w:rsidRPr="009E00A8">
        <w:rPr>
          <w:i/>
        </w:rPr>
        <w:t>supra</w:t>
      </w:r>
      <w:r w:rsidRPr="009E00A8">
        <w:t xml:space="preserve"> párr. 36); entre ellas, el decomiso de su </w:t>
      </w:r>
      <w:r w:rsidRPr="009E00A8">
        <w:lastRenderedPageBreak/>
        <w:t xml:space="preserve">vehículo, el examen de sangre encontrada en ropa y calzado y una confrontación entre tales personas y </w:t>
      </w:r>
      <w:proofErr w:type="spellStart"/>
      <w:r w:rsidRPr="009E00A8">
        <w:t>Jimy</w:t>
      </w:r>
      <w:proofErr w:type="spellEnd"/>
      <w:r w:rsidRPr="009E00A8">
        <w:t xml:space="preserve"> Pacheco (</w:t>
      </w:r>
      <w:r w:rsidRPr="009E00A8">
        <w:rPr>
          <w:i/>
        </w:rPr>
        <w:t>supra</w:t>
      </w:r>
      <w:r w:rsidRPr="009E00A8">
        <w:t xml:space="preserve"> </w:t>
      </w:r>
      <w:proofErr w:type="spellStart"/>
      <w:r w:rsidRPr="009E00A8">
        <w:t>párrs</w:t>
      </w:r>
      <w:proofErr w:type="spellEnd"/>
      <w:r w:rsidRPr="009E00A8">
        <w:t xml:space="preserve">. 36 y 40). </w:t>
      </w:r>
    </w:p>
    <w:p w14:paraId="1D6849B3" w14:textId="77777777" w:rsidR="004635E5" w:rsidRPr="008A2AE0" w:rsidRDefault="004635E5" w:rsidP="004635E5">
      <w:pPr>
        <w:pStyle w:val="PrrafodeSentencia"/>
        <w:numPr>
          <w:ilvl w:val="0"/>
          <w:numId w:val="0"/>
        </w:numPr>
        <w:tabs>
          <w:tab w:val="clear" w:pos="567"/>
          <w:tab w:val="left" w:pos="-567"/>
        </w:tabs>
      </w:pPr>
    </w:p>
    <w:p w14:paraId="44E00E5A" w14:textId="77777777" w:rsidR="004635E5" w:rsidRPr="00FE6559" w:rsidRDefault="004635E5" w:rsidP="004635E5">
      <w:pPr>
        <w:pStyle w:val="PrrafodeSentencia"/>
        <w:numPr>
          <w:ilvl w:val="0"/>
          <w:numId w:val="3"/>
        </w:numPr>
        <w:tabs>
          <w:tab w:val="clear" w:pos="567"/>
          <w:tab w:val="left" w:pos="-567"/>
        </w:tabs>
        <w:ind w:left="0" w:firstLine="0"/>
        <w:rPr>
          <w:rFonts w:cs="Arial"/>
        </w:rPr>
      </w:pPr>
      <w:r w:rsidRPr="00FE6559">
        <w:rPr>
          <w:rFonts w:cs="Arial"/>
        </w:rPr>
        <w:t>La Corte nota que pese a la destrucción y pérdida de ciertas muestras, y</w:t>
      </w:r>
      <w:r>
        <w:rPr>
          <w:rFonts w:cs="Arial"/>
        </w:rPr>
        <w:t xml:space="preserve"> a</w:t>
      </w:r>
      <w:r w:rsidRPr="00FE6559">
        <w:rPr>
          <w:rFonts w:cs="Arial"/>
        </w:rPr>
        <w:t xml:space="preserve"> que no se acredita la realización de ciertas diligencias solicitadas</w:t>
      </w:r>
      <w:r w:rsidRPr="0005122C">
        <w:rPr>
          <w:rStyle w:val="FootnoteReference"/>
          <w:sz w:val="20"/>
          <w:szCs w:val="20"/>
        </w:rPr>
        <w:footnoteReference w:id="141"/>
      </w:r>
      <w:r w:rsidRPr="00FE6559">
        <w:rPr>
          <w:rFonts w:cs="Arial"/>
        </w:rPr>
        <w:t xml:space="preserve">, el Estado </w:t>
      </w:r>
      <w:r>
        <w:rPr>
          <w:rFonts w:cs="Arial"/>
        </w:rPr>
        <w:t>efectuó</w:t>
      </w:r>
      <w:r w:rsidRPr="00FE6559">
        <w:rPr>
          <w:rFonts w:cs="Arial"/>
        </w:rPr>
        <w:t xml:space="preserve"> múltiples acciones de investigación que permitieron identificar a la víctima y la causa de la muerte, así como recolectar y analizar material probatorio relevante. </w:t>
      </w:r>
    </w:p>
    <w:p w14:paraId="6293609E" w14:textId="77777777" w:rsidR="004635E5" w:rsidRDefault="004635E5" w:rsidP="004635E5"/>
    <w:p w14:paraId="4AEE8A01" w14:textId="77777777" w:rsidR="004635E5" w:rsidRPr="00C011CF" w:rsidRDefault="004635E5" w:rsidP="004635E5">
      <w:pPr>
        <w:pStyle w:val="Heading4"/>
        <w:ind w:left="851"/>
        <w:rPr>
          <w:i/>
        </w:rPr>
      </w:pPr>
      <w:bookmarkStart w:id="262" w:name="_Toc488134448"/>
      <w:bookmarkStart w:id="263" w:name="_Toc489523908"/>
      <w:bookmarkStart w:id="264" w:name="_Toc493512906"/>
      <w:bookmarkStart w:id="265" w:name="_Toc498512827"/>
      <w:r w:rsidRPr="00C011CF">
        <w:rPr>
          <w:i/>
          <w:u w:val="none"/>
          <w:lang w:val="es-CR" w:eastAsia="es-MX"/>
        </w:rPr>
        <w:t>B.1.2. Seguimiento de líneas lógicas de investigación</w:t>
      </w:r>
      <w:bookmarkEnd w:id="262"/>
      <w:bookmarkEnd w:id="263"/>
      <w:bookmarkEnd w:id="264"/>
      <w:bookmarkEnd w:id="265"/>
      <w:r w:rsidRPr="00C011CF">
        <w:rPr>
          <w:i/>
          <w:u w:val="none"/>
          <w:lang w:val="es-CR" w:eastAsia="es-MX"/>
        </w:rPr>
        <w:t xml:space="preserve"> </w:t>
      </w:r>
    </w:p>
    <w:p w14:paraId="3C3124D3" w14:textId="77777777" w:rsidR="004635E5" w:rsidRPr="00942DC6" w:rsidRDefault="004635E5" w:rsidP="004635E5">
      <w:pPr>
        <w:pStyle w:val="PrrafodeSentencia"/>
        <w:numPr>
          <w:ilvl w:val="0"/>
          <w:numId w:val="0"/>
        </w:numPr>
        <w:rPr>
          <w:b/>
          <w:sz w:val="16"/>
          <w:szCs w:val="16"/>
        </w:rPr>
      </w:pPr>
    </w:p>
    <w:p w14:paraId="445E9209" w14:textId="77777777" w:rsidR="004635E5" w:rsidRDefault="004635E5" w:rsidP="004635E5">
      <w:pPr>
        <w:pStyle w:val="PrrafodeSentencia"/>
        <w:numPr>
          <w:ilvl w:val="0"/>
          <w:numId w:val="3"/>
        </w:numPr>
        <w:tabs>
          <w:tab w:val="clear" w:pos="567"/>
          <w:tab w:val="left" w:pos="-142"/>
        </w:tabs>
        <w:ind w:left="0" w:firstLine="0"/>
        <w:rPr>
          <w:color w:val="000000"/>
        </w:rPr>
      </w:pPr>
      <w:r w:rsidRPr="00942DC6">
        <w:t xml:space="preserve"> </w:t>
      </w:r>
      <w:r>
        <w:t>Habiendo quedado establecido lo anterior, debe destacarse que la diligencia debida respecto a una investigación no se agota en la realización mecánica de diligencias, sino que es necesario que esa actividad investigativa esté debidamente orientada, de acuerdo a las hipótesis relevantes sobre los hechos y su autoría. En ese sentido, e</w:t>
      </w:r>
      <w:r w:rsidRPr="00942DC6">
        <w:t>ste Tribunal</w:t>
      </w:r>
      <w:r>
        <w:t>, a la luz de los artículos 8.1 y 25.1 de la Convención Americana,</w:t>
      </w:r>
      <w:r w:rsidRPr="00942DC6">
        <w:t xml:space="preserve"> ha indicado que e</w:t>
      </w:r>
      <w:r w:rsidRPr="00942DC6">
        <w:rPr>
          <w:color w:val="000000"/>
        </w:rPr>
        <w:t>n aras de garantizar la efectividad de la investigación, se debe evitar omisiones en la recaudación de prueba y en el seguimiento de líneas lógicas de investigación</w:t>
      </w:r>
      <w:r w:rsidRPr="00B36430">
        <w:rPr>
          <w:rStyle w:val="FootnoteReference"/>
          <w:color w:val="000000"/>
          <w:sz w:val="20"/>
          <w:szCs w:val="20"/>
        </w:rPr>
        <w:footnoteReference w:id="142"/>
      </w:r>
      <w:r w:rsidRPr="00B36430">
        <w:rPr>
          <w:color w:val="000000"/>
          <w:szCs w:val="20"/>
        </w:rPr>
        <w:t>.</w:t>
      </w:r>
      <w:r w:rsidRPr="00942DC6">
        <w:rPr>
          <w:rFonts w:cs="Arial"/>
        </w:rPr>
        <w:t xml:space="preserve"> C</w:t>
      </w:r>
      <w:r w:rsidRPr="00942DC6">
        <w:rPr>
          <w:color w:val="000000"/>
        </w:rPr>
        <w:t>uando los hechos se refieren a la muerte violenta de una persona, la investigación iniciada debe ser conducida de tal forma que pudiese garantizar el debido análisis de las hipótesis de autoría surgidas a raíz de la misma</w:t>
      </w:r>
      <w:r w:rsidRPr="0005122C">
        <w:rPr>
          <w:rStyle w:val="FootnoteReference"/>
          <w:color w:val="000000"/>
          <w:sz w:val="20"/>
          <w:szCs w:val="20"/>
        </w:rPr>
        <w:footnoteReference w:id="143"/>
      </w:r>
      <w:r w:rsidRPr="00942DC6">
        <w:rPr>
          <w:color w:val="000000"/>
        </w:rPr>
        <w:t xml:space="preserve">. </w:t>
      </w:r>
    </w:p>
    <w:p w14:paraId="7B1545DF" w14:textId="77777777" w:rsidR="004635E5" w:rsidRPr="00942DC6" w:rsidRDefault="004635E5" w:rsidP="004635E5">
      <w:pPr>
        <w:tabs>
          <w:tab w:val="left" w:pos="-142"/>
        </w:tabs>
        <w:rPr>
          <w:lang w:val="es-CR" w:eastAsia="es-MX"/>
        </w:rPr>
      </w:pPr>
    </w:p>
    <w:p w14:paraId="7A267DB6" w14:textId="77777777" w:rsidR="004635E5" w:rsidRPr="00AB3DBE" w:rsidRDefault="004635E5" w:rsidP="004635E5">
      <w:pPr>
        <w:pStyle w:val="PrrafodeSentencia"/>
        <w:numPr>
          <w:ilvl w:val="0"/>
          <w:numId w:val="3"/>
        </w:numPr>
        <w:tabs>
          <w:tab w:val="clear" w:pos="567"/>
          <w:tab w:val="left" w:pos="-142"/>
        </w:tabs>
        <w:ind w:left="0" w:firstLine="0"/>
        <w:rPr>
          <w:rFonts w:cs="Arial"/>
        </w:rPr>
      </w:pPr>
      <w:r w:rsidRPr="00942DC6">
        <w:rPr>
          <w:rFonts w:cs="Arial"/>
        </w:rPr>
        <w:t xml:space="preserve">En el presente caso, </w:t>
      </w:r>
      <w:r w:rsidRPr="00B711DC">
        <w:rPr>
          <w:rFonts w:cs="Arial"/>
        </w:rPr>
        <w:t>en</w:t>
      </w:r>
      <w:r w:rsidRPr="00942DC6">
        <w:rPr>
          <w:rFonts w:cs="Arial"/>
        </w:rPr>
        <w:t xml:space="preserve"> un primer momento</w:t>
      </w:r>
      <w:r>
        <w:rPr>
          <w:rFonts w:cs="Arial"/>
        </w:rPr>
        <w:t xml:space="preserve"> se indagó</w:t>
      </w:r>
      <w:r w:rsidRPr="00942DC6">
        <w:rPr>
          <w:rFonts w:cs="Arial"/>
        </w:rPr>
        <w:t xml:space="preserve"> la presunta responsabilidad de tres personas, que luego resultaron desvinculadas </w:t>
      </w:r>
      <w:r w:rsidRPr="00AB3DBE">
        <w:rPr>
          <w:rFonts w:cs="Arial"/>
        </w:rPr>
        <w:t>del proceso (</w:t>
      </w:r>
      <w:r w:rsidRPr="00AB3DBE">
        <w:rPr>
          <w:rFonts w:cs="Arial"/>
          <w:i/>
        </w:rPr>
        <w:t>supra</w:t>
      </w:r>
      <w:r w:rsidRPr="00AB3DBE">
        <w:rPr>
          <w:rFonts w:cs="Arial"/>
        </w:rPr>
        <w:t xml:space="preserve"> </w:t>
      </w:r>
      <w:proofErr w:type="spellStart"/>
      <w:r w:rsidRPr="00AB3DBE">
        <w:rPr>
          <w:rFonts w:cs="Arial"/>
        </w:rPr>
        <w:t>párrs</w:t>
      </w:r>
      <w:proofErr w:type="spellEnd"/>
      <w:r w:rsidRPr="00AB3DBE">
        <w:rPr>
          <w:rFonts w:cs="Arial"/>
        </w:rPr>
        <w:t>. 36 y 37). Además, el 29 de noviembre de 2001 una persona declaró en carácter de “</w:t>
      </w:r>
      <w:proofErr w:type="spellStart"/>
      <w:r w:rsidRPr="00AB3DBE">
        <w:rPr>
          <w:rFonts w:cs="Arial"/>
        </w:rPr>
        <w:t>sospechos</w:t>
      </w:r>
      <w:proofErr w:type="spellEnd"/>
      <w:r w:rsidRPr="00AB3DBE">
        <w:rPr>
          <w:rFonts w:cs="Arial"/>
        </w:rPr>
        <w:t>[a]” (</w:t>
      </w:r>
      <w:r w:rsidRPr="00AB3DBE">
        <w:rPr>
          <w:rFonts w:cs="Arial"/>
          <w:i/>
        </w:rPr>
        <w:t>supra</w:t>
      </w:r>
      <w:r w:rsidRPr="00AB3DBE">
        <w:rPr>
          <w:rFonts w:cs="Arial"/>
        </w:rPr>
        <w:t xml:space="preserve"> párr. 38), sin que consten ulteriores acciones respecto de la misma. </w:t>
      </w:r>
    </w:p>
    <w:p w14:paraId="31B19924" w14:textId="77777777" w:rsidR="004635E5" w:rsidRPr="00942DC6" w:rsidRDefault="004635E5" w:rsidP="004635E5">
      <w:pPr>
        <w:tabs>
          <w:tab w:val="left" w:pos="-142"/>
        </w:tabs>
        <w:rPr>
          <w:lang w:val="es-CR" w:eastAsia="es-MX"/>
        </w:rPr>
      </w:pPr>
    </w:p>
    <w:p w14:paraId="054CD4D2" w14:textId="77777777" w:rsidR="004635E5" w:rsidRDefault="004635E5" w:rsidP="004635E5">
      <w:pPr>
        <w:pStyle w:val="PrrafodeSentencia"/>
        <w:numPr>
          <w:ilvl w:val="0"/>
          <w:numId w:val="3"/>
        </w:numPr>
        <w:tabs>
          <w:tab w:val="clear" w:pos="567"/>
          <w:tab w:val="left" w:pos="-142"/>
        </w:tabs>
        <w:ind w:left="0" w:firstLine="0"/>
        <w:rPr>
          <w:rFonts w:cs="Arial"/>
        </w:rPr>
      </w:pPr>
      <w:r w:rsidRPr="00942DC6">
        <w:rPr>
          <w:rFonts w:cs="Arial"/>
        </w:rPr>
        <w:t xml:space="preserve"> </w:t>
      </w:r>
      <w:r>
        <w:rPr>
          <w:rFonts w:cs="Arial"/>
        </w:rPr>
        <w:t xml:space="preserve">Ahora bien, </w:t>
      </w:r>
      <w:r w:rsidRPr="00FE6559">
        <w:rPr>
          <w:rFonts w:cs="Arial"/>
        </w:rPr>
        <w:t>los argumentos de la Comisión y los representantes sobre la falta de seguimiento de líneas lógicas de investigación no se refieren a esas personas</w:t>
      </w:r>
      <w:r>
        <w:rPr>
          <w:rFonts w:cs="Arial"/>
        </w:rPr>
        <w:t>. A</w:t>
      </w:r>
      <w:r w:rsidRPr="00942DC6">
        <w:rPr>
          <w:rFonts w:cs="Arial"/>
        </w:rPr>
        <w:t xml:space="preserve">dujeron que no se indagó en forma suficiente a otros presuntos responsables, </w:t>
      </w:r>
      <w:r>
        <w:rPr>
          <w:rFonts w:cs="Arial"/>
        </w:rPr>
        <w:t>aun habiendo</w:t>
      </w:r>
      <w:r w:rsidRPr="00942DC6">
        <w:rPr>
          <w:rFonts w:cs="Arial"/>
        </w:rPr>
        <w:t xml:space="preserve"> indicios sobre su participación en los hechos. </w:t>
      </w:r>
      <w:r>
        <w:rPr>
          <w:rFonts w:cs="Arial"/>
        </w:rPr>
        <w:t xml:space="preserve">En ese sentido, sostuvieron que había indicaciones de la relación de la muerte del señor Pacheco con su actividad política y que, pese a ello, las hipótesis de autoría respectivas no fueron suficientemente indagadas. </w:t>
      </w:r>
    </w:p>
    <w:p w14:paraId="6F8D2E7D" w14:textId="77777777" w:rsidR="004635E5" w:rsidRPr="00942DC6" w:rsidRDefault="004635E5" w:rsidP="004635E5">
      <w:pPr>
        <w:tabs>
          <w:tab w:val="left" w:pos="-142"/>
        </w:tabs>
        <w:rPr>
          <w:lang w:val="es-CR" w:eastAsia="es-MX"/>
        </w:rPr>
      </w:pPr>
    </w:p>
    <w:p w14:paraId="163D6614" w14:textId="77777777" w:rsidR="004635E5" w:rsidRPr="000874BF" w:rsidRDefault="004635E5" w:rsidP="004635E5">
      <w:pPr>
        <w:pStyle w:val="PrrafodeSentencia"/>
        <w:numPr>
          <w:ilvl w:val="0"/>
          <w:numId w:val="3"/>
        </w:numPr>
        <w:tabs>
          <w:tab w:val="clear" w:pos="567"/>
          <w:tab w:val="left" w:pos="-142"/>
        </w:tabs>
        <w:ind w:left="0" w:firstLine="0"/>
      </w:pPr>
      <w:r w:rsidRPr="000874BF">
        <w:rPr>
          <w:rFonts w:cs="Arial"/>
        </w:rPr>
        <w:t xml:space="preserve">Al respecto, la Corte hace notar que </w:t>
      </w:r>
      <w:r>
        <w:rPr>
          <w:rFonts w:cs="Arial"/>
        </w:rPr>
        <w:t xml:space="preserve">los hechos delictivos pueden tener distintas características. </w:t>
      </w:r>
      <w:r w:rsidRPr="000874BF">
        <w:rPr>
          <w:rFonts w:cs="Arial"/>
        </w:rPr>
        <w:t>Una forma</w:t>
      </w:r>
      <w:r>
        <w:rPr>
          <w:rFonts w:cs="Arial"/>
        </w:rPr>
        <w:t>,</w:t>
      </w:r>
      <w:r w:rsidRPr="000874BF">
        <w:rPr>
          <w:rFonts w:cs="Arial"/>
        </w:rPr>
        <w:t xml:space="preserve"> señalada durante la audiencia pública </w:t>
      </w:r>
      <w:r>
        <w:rPr>
          <w:rFonts w:cs="Arial"/>
        </w:rPr>
        <w:t>respecto a</w:t>
      </w:r>
      <w:r w:rsidRPr="000874BF">
        <w:rPr>
          <w:rFonts w:cs="Arial"/>
        </w:rPr>
        <w:t xml:space="preserve"> los hechos del presente caso</w:t>
      </w:r>
      <w:r>
        <w:rPr>
          <w:rFonts w:cs="Arial"/>
        </w:rPr>
        <w:t>,</w:t>
      </w:r>
      <w:r w:rsidRPr="000874BF">
        <w:rPr>
          <w:rFonts w:cs="Arial"/>
        </w:rPr>
        <w:t xml:space="preserve"> </w:t>
      </w:r>
      <w:r>
        <w:rPr>
          <w:rFonts w:cs="Arial"/>
        </w:rPr>
        <w:t>consiste en el denominado</w:t>
      </w:r>
      <w:r w:rsidRPr="000874BF">
        <w:rPr>
          <w:rFonts w:cs="Arial"/>
        </w:rPr>
        <w:t xml:space="preserve"> </w:t>
      </w:r>
      <w:r w:rsidRPr="000874BF">
        <w:t>“crimen selectivo”</w:t>
      </w:r>
      <w:r>
        <w:t>. En la audiencia pública se</w:t>
      </w:r>
      <w:r w:rsidRPr="000874BF">
        <w:t xml:space="preserve"> conceptuó </w:t>
      </w:r>
      <w:r>
        <w:t xml:space="preserve">al mismo </w:t>
      </w:r>
      <w:r w:rsidRPr="000874BF">
        <w:t xml:space="preserve">como aquel que se comete por la actividad que </w:t>
      </w:r>
      <w:r>
        <w:t xml:space="preserve">la víctima </w:t>
      </w:r>
      <w:r w:rsidRPr="000874BF">
        <w:t xml:space="preserve">realiza, y </w:t>
      </w:r>
      <w:r>
        <w:t xml:space="preserve">se </w:t>
      </w:r>
      <w:r w:rsidRPr="000874BF">
        <w:t xml:space="preserve">señaló que en tal tipo de </w:t>
      </w:r>
      <w:r>
        <w:t>delitos</w:t>
      </w:r>
      <w:r w:rsidRPr="000874BF">
        <w:t xml:space="preserve"> suele haber responsables intelectuales y materiales que conforman </w:t>
      </w:r>
      <w:r>
        <w:t>“</w:t>
      </w:r>
      <w:r w:rsidRPr="000874BF">
        <w:t>una organización,</w:t>
      </w:r>
      <w:r>
        <w:t xml:space="preserve"> una red o una estructura de poder”,</w:t>
      </w:r>
      <w:r w:rsidRPr="000874BF">
        <w:t xml:space="preserve"> un </w:t>
      </w:r>
      <w:r>
        <w:t>“</w:t>
      </w:r>
      <w:r w:rsidRPr="000874BF">
        <w:t>elevado nivel de plan</w:t>
      </w:r>
      <w:r>
        <w:t>eación”</w:t>
      </w:r>
      <w:r w:rsidRPr="000874BF">
        <w:t xml:space="preserve"> y</w:t>
      </w:r>
      <w:r>
        <w:t xml:space="preserve"> “una constante de actos previos [en los  que] suele [haber] hostigamientos [y] amenazas”</w:t>
      </w:r>
      <w:r w:rsidRPr="000874BF">
        <w:t xml:space="preserve">. </w:t>
      </w:r>
      <w:r>
        <w:t>Se m</w:t>
      </w:r>
      <w:r w:rsidRPr="000874BF">
        <w:t xml:space="preserve">anifestó que por ello debe </w:t>
      </w:r>
      <w:r w:rsidRPr="000874BF">
        <w:lastRenderedPageBreak/>
        <w:t>investigarse las consecuencias del crimen y quiénes se benefician con el mismo, así como la estructura criminal presuntamente involucrada</w:t>
      </w:r>
      <w:r w:rsidRPr="000874BF">
        <w:rPr>
          <w:rStyle w:val="FootnoteReference"/>
          <w:sz w:val="20"/>
          <w:szCs w:val="20"/>
        </w:rPr>
        <w:footnoteReference w:id="144"/>
      </w:r>
      <w:r w:rsidRPr="000874BF">
        <w:rPr>
          <w:szCs w:val="20"/>
        </w:rPr>
        <w:t>.</w:t>
      </w:r>
      <w:r w:rsidRPr="000874BF">
        <w:t xml:space="preserve"> </w:t>
      </w:r>
    </w:p>
    <w:p w14:paraId="4C81B9B3" w14:textId="77777777" w:rsidR="004635E5" w:rsidRPr="009A3203" w:rsidRDefault="004635E5" w:rsidP="004635E5">
      <w:pPr>
        <w:tabs>
          <w:tab w:val="left" w:pos="-142"/>
        </w:tabs>
      </w:pPr>
    </w:p>
    <w:p w14:paraId="04AE35C4" w14:textId="77777777" w:rsidR="00F07B77" w:rsidRDefault="004635E5" w:rsidP="004635E5">
      <w:pPr>
        <w:pStyle w:val="PrrafodeSentencia"/>
        <w:numPr>
          <w:ilvl w:val="0"/>
          <w:numId w:val="3"/>
        </w:numPr>
        <w:tabs>
          <w:tab w:val="clear" w:pos="567"/>
          <w:tab w:val="left" w:pos="-142"/>
        </w:tabs>
        <w:ind w:left="0" w:firstLine="0"/>
      </w:pPr>
      <w:r w:rsidRPr="00942DC6">
        <w:rPr>
          <w:rFonts w:cs="Arial"/>
        </w:rPr>
        <w:t xml:space="preserve">En el mismo sentido, la Corte ha indicado que </w:t>
      </w:r>
      <w:r>
        <w:rPr>
          <w:rFonts w:cs="Arial"/>
        </w:rPr>
        <w:t>“</w:t>
      </w:r>
      <w:r w:rsidRPr="00497E2A">
        <w:t>la obligación de investigar conlleva el deber de dirigir los esfuerzos del aparato estatal para desentrañar las estructuras que permitieron [las] violaciones, sus causas, sus beneficiarios y sus consecuencias</w:t>
      </w:r>
      <w:r>
        <w:t>”, y que</w:t>
      </w:r>
      <w:r w:rsidRPr="00497E2A">
        <w:t xml:space="preserve"> </w:t>
      </w:r>
      <w:r>
        <w:t>“[n]</w:t>
      </w:r>
      <w:r w:rsidRPr="00497E2A">
        <w:t>o basta el conocimiento de la escena y circunstancias materiales del crimen, sino que resulta imprescindible analizar el conocimiento de las estructuras de poder que lo permitieron, diseñaron y ejecutaron intelectual y materialmente</w:t>
      </w:r>
      <w:r>
        <w:t>”</w:t>
      </w:r>
      <w:r w:rsidRPr="00ED4BEF">
        <w:rPr>
          <w:rStyle w:val="FootnoteReference"/>
          <w:sz w:val="20"/>
          <w:szCs w:val="20"/>
        </w:rPr>
        <w:footnoteReference w:id="145"/>
      </w:r>
      <w:r w:rsidRPr="00497E2A">
        <w:t>.</w:t>
      </w:r>
    </w:p>
    <w:p w14:paraId="38E84655" w14:textId="2A515B2C" w:rsidR="004635E5" w:rsidRPr="004610BF" w:rsidRDefault="004635E5" w:rsidP="00F07B77">
      <w:pPr>
        <w:pStyle w:val="PrrafodeSentencia"/>
        <w:numPr>
          <w:ilvl w:val="0"/>
          <w:numId w:val="0"/>
        </w:numPr>
        <w:tabs>
          <w:tab w:val="clear" w:pos="567"/>
          <w:tab w:val="left" w:pos="-142"/>
        </w:tabs>
      </w:pPr>
      <w:r w:rsidRPr="00497E2A">
        <w:t xml:space="preserve"> </w:t>
      </w:r>
    </w:p>
    <w:p w14:paraId="41DEFC40" w14:textId="77777777" w:rsidR="004635E5" w:rsidRPr="00AD3D4F" w:rsidRDefault="004635E5" w:rsidP="004635E5">
      <w:pPr>
        <w:pStyle w:val="PrrafodeSentencia"/>
        <w:numPr>
          <w:ilvl w:val="0"/>
          <w:numId w:val="3"/>
        </w:numPr>
        <w:tabs>
          <w:tab w:val="clear" w:pos="567"/>
          <w:tab w:val="left" w:pos="-142"/>
        </w:tabs>
        <w:ind w:left="0" w:firstLine="0"/>
      </w:pPr>
      <w:r w:rsidRPr="00AD3D4F">
        <w:rPr>
          <w:rFonts w:cs="Arial"/>
        </w:rPr>
        <w:t xml:space="preserve">Teniendo en cuenta lo anterior, y los argumentos de la Comisión y los representantes, </w:t>
      </w:r>
      <w:r w:rsidRPr="00AD3D4F">
        <w:t xml:space="preserve">corresponde que este Tribunal examine si había indicios sobre la posible vinculación de la muerte del señor Pacheco con su actividad política y, en su caso, si hubo una actuación diligente o negligente en la indagación de tales indicios. </w:t>
      </w:r>
      <w:r>
        <w:t xml:space="preserve">A tal efecto, en primer término dará cuenta de prueba y circunstancias fácticas que denotan la existencia de indicios en el sentido referido, y en segundo lugar, evaluará la conducta estatal relativa a la indagación de tales señalamientos. </w:t>
      </w:r>
    </w:p>
    <w:p w14:paraId="22800722" w14:textId="77777777" w:rsidR="004635E5" w:rsidRDefault="004635E5" w:rsidP="004635E5"/>
    <w:p w14:paraId="249E5BB3" w14:textId="77777777" w:rsidR="004635E5" w:rsidRPr="00315286" w:rsidRDefault="004635E5" w:rsidP="004635E5">
      <w:pPr>
        <w:pStyle w:val="Heading5"/>
        <w:spacing w:before="0"/>
        <w:ind w:left="1134"/>
        <w:rPr>
          <w:i/>
          <w:szCs w:val="20"/>
          <w:lang w:val="es-CR" w:eastAsia="es-MX"/>
        </w:rPr>
      </w:pPr>
      <w:bookmarkStart w:id="266" w:name="_Toc488134449"/>
      <w:bookmarkStart w:id="267" w:name="_Toc489523909"/>
      <w:bookmarkStart w:id="268" w:name="_Toc493512907"/>
      <w:bookmarkStart w:id="269" w:name="_Toc498512828"/>
      <w:r w:rsidRPr="00C011CF">
        <w:rPr>
          <w:rFonts w:ascii="Verdana" w:hAnsi="Verdana"/>
          <w:i/>
          <w:color w:val="auto"/>
          <w:szCs w:val="20"/>
          <w:lang w:val="es-CR" w:eastAsia="es-MX"/>
        </w:rPr>
        <w:t xml:space="preserve">B.1.2.1. Indicios sobre la </w:t>
      </w:r>
      <w:r>
        <w:rPr>
          <w:rFonts w:ascii="Verdana" w:hAnsi="Verdana"/>
          <w:i/>
          <w:color w:val="auto"/>
          <w:szCs w:val="20"/>
          <w:lang w:val="es-CR" w:eastAsia="es-MX"/>
        </w:rPr>
        <w:t>autoría del delito</w:t>
      </w:r>
      <w:bookmarkEnd w:id="266"/>
      <w:bookmarkEnd w:id="267"/>
      <w:bookmarkEnd w:id="268"/>
      <w:bookmarkEnd w:id="269"/>
    </w:p>
    <w:p w14:paraId="6A30AC47" w14:textId="77777777" w:rsidR="004635E5" w:rsidRPr="00942DC6" w:rsidRDefault="004635E5" w:rsidP="004635E5">
      <w:pPr>
        <w:rPr>
          <w:lang w:val="es-CR" w:eastAsia="es-MX"/>
        </w:rPr>
      </w:pPr>
    </w:p>
    <w:p w14:paraId="684E2038" w14:textId="77777777" w:rsidR="004635E5" w:rsidRDefault="004635E5" w:rsidP="004635E5">
      <w:pPr>
        <w:pStyle w:val="PrrafodeSentencia"/>
        <w:numPr>
          <w:ilvl w:val="0"/>
          <w:numId w:val="3"/>
        </w:numPr>
        <w:tabs>
          <w:tab w:val="clear" w:pos="567"/>
          <w:tab w:val="left" w:pos="0"/>
        </w:tabs>
        <w:ind w:left="0" w:firstLine="0"/>
      </w:pPr>
      <w:r>
        <w:t xml:space="preserve">Un examen pericial allegado a este Tribunal señaló que </w:t>
      </w:r>
      <w:r w:rsidRPr="00942DC6">
        <w:t>de la actividad de investigación en el caso surgía en forma “</w:t>
      </w:r>
      <w:proofErr w:type="spellStart"/>
      <w:r w:rsidRPr="00942DC6">
        <w:t>clarísim</w:t>
      </w:r>
      <w:proofErr w:type="spellEnd"/>
      <w:r>
        <w:t>[</w:t>
      </w:r>
      <w:r w:rsidRPr="00942DC6">
        <w:t>a</w:t>
      </w:r>
      <w:r>
        <w:t>]</w:t>
      </w:r>
      <w:r w:rsidRPr="00942DC6">
        <w:t>” la existencia de indicios de la vinculación de la muerte del señor Pacheco con la actividad política</w:t>
      </w:r>
      <w:r w:rsidRPr="005D079B">
        <w:rPr>
          <w:rStyle w:val="FootnoteReference"/>
          <w:rFonts w:cs="Arial"/>
          <w:sz w:val="20"/>
          <w:szCs w:val="20"/>
        </w:rPr>
        <w:footnoteReference w:id="146"/>
      </w:r>
      <w:r w:rsidRPr="00942DC6">
        <w:t xml:space="preserve">. </w:t>
      </w:r>
    </w:p>
    <w:p w14:paraId="1836EAEC" w14:textId="77777777" w:rsidR="004635E5" w:rsidRPr="009A3203" w:rsidRDefault="004635E5" w:rsidP="004635E5">
      <w:pPr>
        <w:tabs>
          <w:tab w:val="left" w:pos="0"/>
        </w:tabs>
      </w:pPr>
    </w:p>
    <w:p w14:paraId="0DDF2CC4" w14:textId="77777777" w:rsidR="004635E5" w:rsidRDefault="004635E5" w:rsidP="004635E5">
      <w:pPr>
        <w:pStyle w:val="PrrafodeSentencia"/>
        <w:numPr>
          <w:ilvl w:val="0"/>
          <w:numId w:val="3"/>
        </w:numPr>
        <w:tabs>
          <w:tab w:val="clear" w:pos="567"/>
          <w:tab w:val="left" w:pos="0"/>
        </w:tabs>
        <w:ind w:left="0" w:firstLine="0"/>
      </w:pPr>
      <w:r w:rsidRPr="00AD3D4F">
        <w:t>La Corte advierte que en el curso de la investigación hubo declaraciones</w:t>
      </w:r>
      <w:r>
        <w:t xml:space="preserve"> que </w:t>
      </w:r>
      <w:r w:rsidRPr="00AD3D4F">
        <w:t>aludían a una situación de temor del señor Pacheco, o de riesgo sobre su persona, pero sin identificar personas concretas como responsables de ello</w:t>
      </w:r>
      <w:r w:rsidRPr="00896C32">
        <w:rPr>
          <w:rStyle w:val="FootnoteReference"/>
          <w:sz w:val="20"/>
          <w:szCs w:val="20"/>
        </w:rPr>
        <w:footnoteReference w:id="147"/>
      </w:r>
      <w:r w:rsidRPr="00AD3D4F">
        <w:t xml:space="preserve">. </w:t>
      </w:r>
      <w:r>
        <w:t xml:space="preserve">No obstante, otras sí </w:t>
      </w:r>
      <w:r w:rsidRPr="00AD3D4F">
        <w:t>vinculaban a diferentes personas</w:t>
      </w:r>
      <w:r>
        <w:t>,</w:t>
      </w:r>
      <w:r w:rsidRPr="00AD3D4F">
        <w:t xml:space="preserve"> algunas de ellas relacionadas con la actividad política del señor Pacheco y a situaciones de conflicto con él. </w:t>
      </w:r>
      <w:r w:rsidRPr="000C7091">
        <w:t xml:space="preserve">En ese sentido, ciertos señalamientos dan cuenta de solicitudes para que el señor Pacheco renunciara a su candidatura, otros refieren a amenazas directas u otras circunstancias intimidatorias </w:t>
      </w:r>
      <w:r>
        <w:t>o de agresión, así como</w:t>
      </w:r>
      <w:r w:rsidRPr="000C7091">
        <w:t xml:space="preserve"> discusiones.</w:t>
      </w:r>
      <w:r w:rsidRPr="00AD3D4F">
        <w:t xml:space="preserve"> </w:t>
      </w:r>
    </w:p>
    <w:p w14:paraId="45C50430" w14:textId="77777777" w:rsidR="004635E5" w:rsidRPr="008A2AE0" w:rsidRDefault="004635E5" w:rsidP="004635E5">
      <w:pPr>
        <w:rPr>
          <w:highlight w:val="lightGray"/>
          <w:lang w:val="es-CR" w:eastAsia="es-MX"/>
        </w:rPr>
      </w:pPr>
    </w:p>
    <w:p w14:paraId="323E8CFD" w14:textId="51F80C88" w:rsidR="004635E5" w:rsidRDefault="004635E5" w:rsidP="004635E5">
      <w:pPr>
        <w:pStyle w:val="PrrafodeSentencia"/>
        <w:numPr>
          <w:ilvl w:val="0"/>
          <w:numId w:val="3"/>
        </w:numPr>
        <w:tabs>
          <w:tab w:val="clear" w:pos="567"/>
          <w:tab w:val="left" w:pos="0"/>
        </w:tabs>
        <w:ind w:left="0" w:firstLine="0"/>
      </w:pPr>
      <w:r w:rsidRPr="000C7091">
        <w:t>En primer término, de los indicios aludidos, surgen referencias a distintas personas que habrían proferido amenazas, mantenido fuertes discusiones con el señor Pacheco o, de otro modo, participado en otros actos intimidatorios</w:t>
      </w:r>
      <w:r>
        <w:t xml:space="preserve"> o de agresión</w:t>
      </w:r>
      <w:r w:rsidRPr="000C7091">
        <w:t xml:space="preserve"> contra él:</w:t>
      </w:r>
      <w:r>
        <w:t xml:space="preserve"> </w:t>
      </w:r>
      <w:r w:rsidRPr="00AD3D4F">
        <w:t>B</w:t>
      </w:r>
      <w:r>
        <w:t>C</w:t>
      </w:r>
      <w:r w:rsidRPr="00AD3D4F">
        <w:t xml:space="preserve">, </w:t>
      </w:r>
      <w:r>
        <w:t xml:space="preserve">quien antes había sido </w:t>
      </w:r>
      <w:r w:rsidRPr="00AD3D4F">
        <w:t>diputado</w:t>
      </w:r>
      <w:r>
        <w:t xml:space="preserve">; sus hermanos, SC, quien antes había integrado las Fuerzas Armadas y </w:t>
      </w:r>
      <w:r w:rsidRPr="000111E3">
        <w:rPr>
          <w:szCs w:val="20"/>
        </w:rPr>
        <w:t>WC</w:t>
      </w:r>
      <w:r>
        <w:t xml:space="preserve">; </w:t>
      </w:r>
      <w:r w:rsidRPr="00AD3D4F">
        <w:t xml:space="preserve">RP, quien al </w:t>
      </w:r>
      <w:r w:rsidRPr="00AD3D4F">
        <w:lastRenderedPageBreak/>
        <w:t>momento de la muerte del señor Pacheco era diputado</w:t>
      </w:r>
      <w:r>
        <w:t xml:space="preserve"> suplente</w:t>
      </w:r>
      <w:r w:rsidRPr="00AD3D4F">
        <w:t xml:space="preserve"> y candidato, en condición de suplente del señor Pacheco</w:t>
      </w:r>
      <w:r>
        <w:rPr>
          <w:rStyle w:val="FootnoteReference"/>
        </w:rPr>
        <w:footnoteReference w:id="148"/>
      </w:r>
      <w:r w:rsidRPr="00AD3D4F">
        <w:t>, al mismo puesto</w:t>
      </w:r>
      <w:r>
        <w:t xml:space="preserve">; </w:t>
      </w:r>
      <w:r w:rsidRPr="00AD3D4F">
        <w:t>JE, quien había sido diputado</w:t>
      </w:r>
      <w:r>
        <w:t xml:space="preserve">; </w:t>
      </w:r>
      <w:r w:rsidRPr="00AD3D4F">
        <w:t xml:space="preserve">JQ, entonces alcalde de </w:t>
      </w:r>
      <w:proofErr w:type="spellStart"/>
      <w:r w:rsidRPr="00AD3D4F">
        <w:t>Amapala</w:t>
      </w:r>
      <w:proofErr w:type="spellEnd"/>
      <w:r>
        <w:t xml:space="preserve">; </w:t>
      </w:r>
      <w:r w:rsidRPr="00AD3D4F">
        <w:t>MV</w:t>
      </w:r>
      <w:r w:rsidRPr="00896C32">
        <w:t>,</w:t>
      </w:r>
      <w:r>
        <w:t xml:space="preserve"> </w:t>
      </w:r>
      <w:r w:rsidRPr="00AD3D4F">
        <w:t>entonces diputado</w:t>
      </w:r>
      <w:r>
        <w:t>,</w:t>
      </w:r>
      <w:r w:rsidRPr="00AD3D4F">
        <w:t xml:space="preserve"> </w:t>
      </w:r>
      <w:r>
        <w:t>y un agente policial llamado SM</w:t>
      </w:r>
      <w:r w:rsidRPr="00497E2A">
        <w:rPr>
          <w:rStyle w:val="FootnoteReference"/>
        </w:rPr>
        <w:footnoteReference w:id="149"/>
      </w:r>
      <w:r w:rsidRPr="00896C32">
        <w:t>.</w:t>
      </w:r>
      <w:r>
        <w:t xml:space="preserve"> Algunas referencias a las personas </w:t>
      </w:r>
      <w:r w:rsidRPr="00AB3DBE">
        <w:t>nombradas también incluyeron alusiones a HE, quien fue una de las tres personas inicialmente vinculada al proceso y luego sobreseída (</w:t>
      </w:r>
      <w:r w:rsidRPr="00AB3DBE">
        <w:rPr>
          <w:i/>
        </w:rPr>
        <w:t>supra</w:t>
      </w:r>
      <w:r w:rsidRPr="00AB3DBE">
        <w:t xml:space="preserve"> </w:t>
      </w:r>
      <w:proofErr w:type="spellStart"/>
      <w:r w:rsidRPr="00AB3DBE">
        <w:t>párr</w:t>
      </w:r>
      <w:r w:rsidR="001665FB">
        <w:t>s</w:t>
      </w:r>
      <w:proofErr w:type="spellEnd"/>
      <w:r w:rsidRPr="00AB3DBE">
        <w:t>. 37</w:t>
      </w:r>
      <w:r w:rsidR="001665FB">
        <w:t xml:space="preserve"> y 56</w:t>
      </w:r>
      <w:r w:rsidRPr="00AB3DBE">
        <w:t>)</w:t>
      </w:r>
      <w:r w:rsidRPr="00737BA7">
        <w:rPr>
          <w:rStyle w:val="FootnoteReference"/>
          <w:sz w:val="20"/>
          <w:szCs w:val="20"/>
        </w:rPr>
        <w:footnoteReference w:id="150"/>
      </w:r>
      <w:r w:rsidRPr="00AB3DBE">
        <w:t>.</w:t>
      </w:r>
      <w:r>
        <w:t xml:space="preserve"> </w:t>
      </w:r>
    </w:p>
    <w:p w14:paraId="24B3A0CD" w14:textId="77777777" w:rsidR="004635E5" w:rsidRPr="00896C32" w:rsidRDefault="004635E5" w:rsidP="004635E5">
      <w:pPr>
        <w:rPr>
          <w:lang w:val="es-CR" w:eastAsia="es-MX"/>
        </w:rPr>
      </w:pPr>
    </w:p>
    <w:p w14:paraId="1A2C989D" w14:textId="77777777" w:rsidR="004635E5" w:rsidRPr="00AB3DBE" w:rsidRDefault="004635E5" w:rsidP="004635E5">
      <w:pPr>
        <w:pStyle w:val="PrrafodeSentencia"/>
        <w:numPr>
          <w:ilvl w:val="0"/>
          <w:numId w:val="3"/>
        </w:numPr>
        <w:tabs>
          <w:tab w:val="clear" w:pos="567"/>
          <w:tab w:val="left" w:pos="0"/>
        </w:tabs>
        <w:ind w:left="0" w:firstLine="0"/>
      </w:pPr>
      <w:r>
        <w:t>En segundo lugar, también constan alusiones a</w:t>
      </w:r>
      <w:r w:rsidRPr="00AD3D4F">
        <w:t>l ex – Presidente RC y su padre, así como RM</w:t>
      </w:r>
      <w:r>
        <w:t xml:space="preserve">, entonces </w:t>
      </w:r>
      <w:r w:rsidRPr="00AD3D4F">
        <w:t>candidato a Presidente</w:t>
      </w:r>
      <w:r>
        <w:t xml:space="preserve">, relacionadas con pedidos al señor Pacheco para que decline su candidatura a </w:t>
      </w:r>
      <w:r w:rsidRPr="00AB3DBE">
        <w:t>diputado (</w:t>
      </w:r>
      <w:r w:rsidRPr="00AB3DBE">
        <w:rPr>
          <w:i/>
        </w:rPr>
        <w:t>infra</w:t>
      </w:r>
      <w:r w:rsidRPr="00AB3DBE">
        <w:t xml:space="preserve"> </w:t>
      </w:r>
      <w:proofErr w:type="spellStart"/>
      <w:r w:rsidRPr="00AB3DBE">
        <w:t>párr</w:t>
      </w:r>
      <w:proofErr w:type="spellEnd"/>
      <w:r w:rsidRPr="00AB3DBE">
        <w:t xml:space="preserve"> 103). </w:t>
      </w:r>
    </w:p>
    <w:p w14:paraId="3BE78518" w14:textId="77777777" w:rsidR="004635E5" w:rsidRPr="00AB3DBE" w:rsidRDefault="004635E5" w:rsidP="004635E5">
      <w:pPr>
        <w:rPr>
          <w:lang w:val="es-CR" w:eastAsia="es-MX"/>
        </w:rPr>
      </w:pPr>
    </w:p>
    <w:p w14:paraId="3BE9BD30" w14:textId="77777777" w:rsidR="004635E5" w:rsidRPr="00AB3DBE" w:rsidRDefault="004635E5" w:rsidP="004635E5">
      <w:pPr>
        <w:pStyle w:val="PrrafodeSentencia"/>
        <w:numPr>
          <w:ilvl w:val="0"/>
          <w:numId w:val="3"/>
        </w:numPr>
        <w:ind w:left="0" w:firstLine="0"/>
      </w:pPr>
      <w:r w:rsidRPr="00AB3DBE">
        <w:t>En tercer término, las autoridades indicaron la posible responsabilidad de un hombre de nombre EC, de otra persona apodada “Chicho” y de otras tres no identificadas (</w:t>
      </w:r>
      <w:r w:rsidRPr="00AB3DBE">
        <w:rPr>
          <w:i/>
        </w:rPr>
        <w:t>supra</w:t>
      </w:r>
      <w:r w:rsidRPr="00AB3DBE">
        <w:t xml:space="preserve"> párr. 51, e </w:t>
      </w:r>
      <w:r w:rsidRPr="00AB3DBE">
        <w:rPr>
          <w:i/>
        </w:rPr>
        <w:t>infra</w:t>
      </w:r>
      <w:r w:rsidRPr="00AB3DBE">
        <w:t xml:space="preserve">, párr. 104). Respecto de todas estas personas no constan mayores datos.  </w:t>
      </w:r>
    </w:p>
    <w:p w14:paraId="110BC19E" w14:textId="77777777" w:rsidR="004635E5" w:rsidRPr="00493F83" w:rsidRDefault="004635E5" w:rsidP="004635E5"/>
    <w:p w14:paraId="0B0F8273" w14:textId="77777777" w:rsidR="004635E5" w:rsidRDefault="004635E5" w:rsidP="004635E5">
      <w:pPr>
        <w:pStyle w:val="PrrafodeSentencia"/>
        <w:numPr>
          <w:ilvl w:val="0"/>
          <w:numId w:val="3"/>
        </w:numPr>
        <w:ind w:left="0" w:firstLine="0"/>
      </w:pPr>
      <w:r>
        <w:t xml:space="preserve">Se detallan a continuación determinados señalamientos referidos. </w:t>
      </w:r>
    </w:p>
    <w:p w14:paraId="6D0C2428" w14:textId="77777777" w:rsidR="004635E5" w:rsidRPr="00493F83" w:rsidRDefault="004635E5" w:rsidP="004635E5"/>
    <w:p w14:paraId="05D3FD15" w14:textId="77777777" w:rsidR="004635E5" w:rsidRDefault="004635E5" w:rsidP="004635E5">
      <w:pPr>
        <w:pStyle w:val="PrrafodeSentencia"/>
        <w:numPr>
          <w:ilvl w:val="0"/>
          <w:numId w:val="3"/>
        </w:numPr>
        <w:ind w:left="0" w:firstLine="0"/>
      </w:pPr>
      <w:r>
        <w:t>Primeramente, respecto a personas que habrían estado involucradas en circunstancias intimidatorias o de agresión contra el señor Pacheco, consta lo siguiente:</w:t>
      </w:r>
    </w:p>
    <w:p w14:paraId="30A0CD58" w14:textId="77777777" w:rsidR="004635E5" w:rsidRDefault="004635E5" w:rsidP="004635E5">
      <w:pPr>
        <w:pStyle w:val="ListParagraph"/>
        <w:widowControl/>
        <w:numPr>
          <w:ilvl w:val="0"/>
          <w:numId w:val="17"/>
        </w:numPr>
        <w:autoSpaceDE/>
        <w:autoSpaceDN/>
        <w:adjustRightInd/>
        <w:spacing w:after="200" w:line="276" w:lineRule="auto"/>
        <w:ind w:left="630" w:right="0" w:firstLine="0"/>
        <w:contextualSpacing/>
        <w:rPr>
          <w:rFonts w:eastAsia="Batang" w:cs="Times New Roman"/>
          <w:spacing w:val="-4"/>
          <w:szCs w:val="22"/>
          <w:lang w:val="es-CR" w:eastAsia="es-MX"/>
        </w:rPr>
      </w:pPr>
      <w:r w:rsidRPr="00B02167">
        <w:rPr>
          <w:rFonts w:eastAsia="Batang" w:cs="Times New Roman"/>
          <w:spacing w:val="-4"/>
          <w:szCs w:val="22"/>
          <w:lang w:val="es-CR" w:eastAsia="es-MX"/>
        </w:rPr>
        <w:t>E</w:t>
      </w:r>
      <w:r>
        <w:rPr>
          <w:rFonts w:eastAsia="Batang" w:cs="Times New Roman"/>
          <w:spacing w:val="-4"/>
          <w:szCs w:val="22"/>
          <w:lang w:val="es-CR" w:eastAsia="es-MX"/>
        </w:rPr>
        <w:t>n</w:t>
      </w:r>
      <w:r w:rsidRPr="00B02167">
        <w:rPr>
          <w:rFonts w:eastAsia="Batang" w:cs="Times New Roman"/>
          <w:spacing w:val="-4"/>
          <w:szCs w:val="22"/>
          <w:lang w:val="es-CR" w:eastAsia="es-MX"/>
        </w:rPr>
        <w:t xml:space="preserve"> noviembre de 2001 JB declaró que en una oportunidad observó que BC le dijo al señor Pacheco que éste sería diputado si aquél quería y que él (BC) era “muy hombre”, que “si tenía que matar[,] mataba”. En la misma oportunidad, el señor JB dijo que había escuchado rumores que indicaban que BC había dicho que el señor Pacheco nunca llegaría a ser diputado, por lo que éste debía cuidarse</w:t>
      </w:r>
      <w:r>
        <w:rPr>
          <w:rFonts w:eastAsia="Batang" w:cs="Times New Roman"/>
          <w:spacing w:val="-4"/>
          <w:szCs w:val="22"/>
          <w:lang w:val="es-CR" w:eastAsia="es-MX"/>
        </w:rPr>
        <w:t xml:space="preserve">. Además, JB indicó que </w:t>
      </w:r>
      <w:r w:rsidRPr="00B02167">
        <w:rPr>
          <w:rFonts w:eastAsia="Batang" w:cs="Times New Roman"/>
          <w:spacing w:val="-4"/>
          <w:szCs w:val="22"/>
          <w:lang w:val="es-CR" w:eastAsia="es-MX"/>
        </w:rPr>
        <w:t>RP, JE, y JQ</w:t>
      </w:r>
      <w:r w:rsidRPr="003107CC">
        <w:rPr>
          <w:rFonts w:eastAsia="Batang" w:cs="Times New Roman"/>
          <w:spacing w:val="-4"/>
          <w:szCs w:val="22"/>
          <w:lang w:val="es-CR" w:eastAsia="es-MX"/>
        </w:rPr>
        <w:t xml:space="preserve"> “hablaban contra” el señor Pacheco</w:t>
      </w:r>
      <w:r w:rsidRPr="000A0AD9">
        <w:rPr>
          <w:rStyle w:val="FootnoteReference"/>
          <w:sz w:val="20"/>
          <w:szCs w:val="20"/>
          <w:lang w:val="es-CR" w:eastAsia="es-MX"/>
        </w:rPr>
        <w:footnoteReference w:id="151"/>
      </w:r>
      <w:r w:rsidRPr="00B02167">
        <w:rPr>
          <w:rFonts w:eastAsia="Batang" w:cs="Times New Roman"/>
          <w:spacing w:val="-4"/>
          <w:szCs w:val="22"/>
          <w:lang w:val="es-CR" w:eastAsia="es-MX"/>
        </w:rPr>
        <w:t xml:space="preserve">. </w:t>
      </w:r>
    </w:p>
    <w:p w14:paraId="2C830C55" w14:textId="77777777" w:rsidR="00DB0D15" w:rsidRPr="00F07B77" w:rsidRDefault="00DB0D15" w:rsidP="00DB0D15">
      <w:pPr>
        <w:pStyle w:val="ListParagraph"/>
        <w:widowControl/>
        <w:numPr>
          <w:ilvl w:val="0"/>
          <w:numId w:val="17"/>
        </w:numPr>
        <w:autoSpaceDE/>
        <w:autoSpaceDN/>
        <w:adjustRightInd/>
        <w:spacing w:after="200" w:line="276" w:lineRule="auto"/>
        <w:ind w:left="630" w:right="0" w:firstLine="0"/>
        <w:contextualSpacing/>
        <w:rPr>
          <w:rFonts w:eastAsia="Batang" w:cs="Times New Roman"/>
          <w:spacing w:val="-4"/>
          <w:szCs w:val="22"/>
          <w:lang w:val="es-CR" w:eastAsia="es-MX"/>
        </w:rPr>
      </w:pPr>
      <w:r w:rsidRPr="00F07B77">
        <w:rPr>
          <w:rFonts w:eastAsia="Batang" w:cs="Times New Roman"/>
          <w:spacing w:val="-4"/>
          <w:szCs w:val="22"/>
          <w:lang w:val="es-CR" w:eastAsia="es-MX"/>
        </w:rPr>
        <w:t xml:space="preserve">El 24 de noviembre de 2001 HJ señaló que el señor Pacheco le contó que fue amenazado por BC con un arma de fuego, en el municipio de </w:t>
      </w:r>
      <w:proofErr w:type="spellStart"/>
      <w:r w:rsidRPr="00F07B77">
        <w:rPr>
          <w:rFonts w:eastAsia="Batang" w:cs="Times New Roman"/>
          <w:spacing w:val="-4"/>
          <w:szCs w:val="22"/>
          <w:lang w:val="es-CR" w:eastAsia="es-MX"/>
        </w:rPr>
        <w:t>Langue</w:t>
      </w:r>
      <w:proofErr w:type="spellEnd"/>
      <w:r w:rsidRPr="00F07B77">
        <w:rPr>
          <w:rStyle w:val="FootnoteReference"/>
          <w:sz w:val="20"/>
          <w:szCs w:val="20"/>
          <w:lang w:val="es-CR" w:eastAsia="es-MX"/>
        </w:rPr>
        <w:footnoteReference w:id="152"/>
      </w:r>
      <w:r w:rsidRPr="00F07B77">
        <w:rPr>
          <w:rFonts w:eastAsia="Batang" w:cs="Times New Roman"/>
          <w:spacing w:val="-4"/>
          <w:szCs w:val="22"/>
          <w:lang w:val="es-CR" w:eastAsia="es-MX"/>
        </w:rPr>
        <w:t xml:space="preserve">. </w:t>
      </w:r>
    </w:p>
    <w:p w14:paraId="23F28415" w14:textId="77777777" w:rsidR="004635E5" w:rsidRPr="00B02167" w:rsidRDefault="004635E5" w:rsidP="004635E5">
      <w:pPr>
        <w:pStyle w:val="ListParagraph"/>
        <w:widowControl/>
        <w:numPr>
          <w:ilvl w:val="0"/>
          <w:numId w:val="17"/>
        </w:numPr>
        <w:autoSpaceDE/>
        <w:autoSpaceDN/>
        <w:adjustRightInd/>
        <w:spacing w:after="200" w:line="276" w:lineRule="auto"/>
        <w:ind w:left="630" w:right="0" w:firstLine="0"/>
        <w:contextualSpacing/>
        <w:rPr>
          <w:rFonts w:eastAsia="Batang" w:cs="Times New Roman"/>
          <w:spacing w:val="-4"/>
          <w:szCs w:val="22"/>
          <w:lang w:val="es-CR" w:eastAsia="es-MX"/>
        </w:rPr>
      </w:pPr>
      <w:r w:rsidRPr="00B02167">
        <w:rPr>
          <w:rFonts w:eastAsia="Batang" w:cs="Times New Roman"/>
          <w:spacing w:val="-4"/>
          <w:szCs w:val="22"/>
          <w:lang w:val="es-CR" w:eastAsia="es-MX"/>
        </w:rPr>
        <w:lastRenderedPageBreak/>
        <w:t>El 27 de noviembre de 2001 SR, quien trabajó con el señor Pacheco, declaró que un día “próximo a las elecciones internas” presenció cuando el señor Pacheco discutió con BC, quien estaba acompañado de u</w:t>
      </w:r>
      <w:r>
        <w:rPr>
          <w:rFonts w:eastAsia="Batang" w:cs="Times New Roman"/>
          <w:spacing w:val="-4"/>
          <w:szCs w:val="22"/>
          <w:lang w:val="es-CR" w:eastAsia="es-MX"/>
        </w:rPr>
        <w:t>n</w:t>
      </w:r>
      <w:r w:rsidRPr="00B02167">
        <w:rPr>
          <w:rFonts w:eastAsia="Batang" w:cs="Times New Roman"/>
          <w:spacing w:val="-4"/>
          <w:szCs w:val="22"/>
          <w:lang w:val="es-CR" w:eastAsia="es-MX"/>
        </w:rPr>
        <w:t xml:space="preserve"> hermano, y éste portaba un arma</w:t>
      </w:r>
      <w:r w:rsidRPr="00AE03AC">
        <w:rPr>
          <w:rStyle w:val="FootnoteReference"/>
          <w:sz w:val="20"/>
          <w:szCs w:val="20"/>
          <w:lang w:val="es-CR" w:eastAsia="es-MX"/>
        </w:rPr>
        <w:footnoteReference w:id="153"/>
      </w:r>
      <w:r>
        <w:rPr>
          <w:rFonts w:eastAsia="Batang" w:cs="Times New Roman"/>
          <w:spacing w:val="-4"/>
          <w:szCs w:val="22"/>
          <w:lang w:val="es-CR" w:eastAsia="es-MX"/>
        </w:rPr>
        <w:t>.</w:t>
      </w:r>
    </w:p>
    <w:p w14:paraId="0FEE1C8C" w14:textId="77777777" w:rsidR="004635E5" w:rsidRPr="00B02167" w:rsidRDefault="004635E5" w:rsidP="004635E5">
      <w:pPr>
        <w:pStyle w:val="ListParagraph"/>
        <w:widowControl/>
        <w:numPr>
          <w:ilvl w:val="0"/>
          <w:numId w:val="17"/>
        </w:numPr>
        <w:autoSpaceDE/>
        <w:autoSpaceDN/>
        <w:adjustRightInd/>
        <w:spacing w:line="276" w:lineRule="auto"/>
        <w:ind w:left="630" w:right="0" w:firstLine="0"/>
        <w:contextualSpacing/>
        <w:rPr>
          <w:rFonts w:eastAsia="Batang" w:cs="Times New Roman"/>
          <w:spacing w:val="-4"/>
          <w:szCs w:val="22"/>
          <w:lang w:val="es-CR" w:eastAsia="es-MX"/>
        </w:rPr>
      </w:pPr>
      <w:r w:rsidRPr="00B02167">
        <w:rPr>
          <w:rFonts w:eastAsia="Batang" w:cs="Times New Roman"/>
          <w:spacing w:val="-4"/>
          <w:szCs w:val="22"/>
          <w:lang w:val="es-CR" w:eastAsia="es-MX"/>
        </w:rPr>
        <w:t xml:space="preserve">El 20 de diciembre de 2001 un informe de la DGIC señaló que según </w:t>
      </w:r>
      <w:r>
        <w:rPr>
          <w:rFonts w:eastAsia="Batang" w:cs="Times New Roman"/>
          <w:spacing w:val="-4"/>
          <w:szCs w:val="22"/>
          <w:lang w:val="es-CR" w:eastAsia="es-MX"/>
        </w:rPr>
        <w:t>“</w:t>
      </w:r>
      <w:r w:rsidRPr="00B02167">
        <w:rPr>
          <w:rFonts w:eastAsia="Batang" w:cs="Times New Roman"/>
          <w:spacing w:val="-4"/>
          <w:szCs w:val="22"/>
          <w:lang w:val="es-CR" w:eastAsia="es-MX"/>
        </w:rPr>
        <w:t xml:space="preserve">testigos que temen se les tome declaración por </w:t>
      </w:r>
      <w:r>
        <w:rPr>
          <w:rFonts w:eastAsia="Batang" w:cs="Times New Roman"/>
          <w:spacing w:val="-4"/>
          <w:szCs w:val="22"/>
          <w:lang w:val="es-CR" w:eastAsia="es-MX"/>
        </w:rPr>
        <w:t xml:space="preserve">escrito por temor a </w:t>
      </w:r>
      <w:r w:rsidRPr="00B02167">
        <w:rPr>
          <w:rFonts w:eastAsia="Batang" w:cs="Times New Roman"/>
          <w:spacing w:val="-4"/>
          <w:szCs w:val="22"/>
          <w:lang w:val="es-CR" w:eastAsia="es-MX"/>
        </w:rPr>
        <w:t xml:space="preserve">perder </w:t>
      </w:r>
      <w:r>
        <w:rPr>
          <w:rFonts w:eastAsia="Batang" w:cs="Times New Roman"/>
          <w:spacing w:val="-4"/>
          <w:szCs w:val="22"/>
          <w:lang w:val="es-CR" w:eastAsia="es-MX"/>
        </w:rPr>
        <w:t>su</w:t>
      </w:r>
      <w:r w:rsidRPr="00B02167">
        <w:rPr>
          <w:rFonts w:eastAsia="Batang" w:cs="Times New Roman"/>
          <w:spacing w:val="-4"/>
          <w:szCs w:val="22"/>
          <w:lang w:val="es-CR" w:eastAsia="es-MX"/>
        </w:rPr>
        <w:t xml:space="preserve"> vida”, “un grupo de personas […] </w:t>
      </w:r>
      <w:proofErr w:type="spellStart"/>
      <w:r w:rsidRPr="00B02167">
        <w:rPr>
          <w:rFonts w:eastAsia="Batang" w:cs="Times New Roman"/>
          <w:spacing w:val="-4"/>
          <w:szCs w:val="22"/>
          <w:lang w:val="es-CR" w:eastAsia="es-MX"/>
        </w:rPr>
        <w:t>planific</w:t>
      </w:r>
      <w:proofErr w:type="spellEnd"/>
      <w:r w:rsidRPr="00B02167">
        <w:rPr>
          <w:rFonts w:eastAsia="Batang" w:cs="Times New Roman"/>
          <w:spacing w:val="-4"/>
          <w:szCs w:val="22"/>
          <w:lang w:val="es-CR" w:eastAsia="es-MX"/>
        </w:rPr>
        <w:t>[</w:t>
      </w:r>
      <w:proofErr w:type="spellStart"/>
      <w:r w:rsidRPr="00B02167">
        <w:rPr>
          <w:rFonts w:eastAsia="Batang" w:cs="Times New Roman"/>
          <w:spacing w:val="-4"/>
          <w:szCs w:val="22"/>
          <w:lang w:val="es-CR" w:eastAsia="es-MX"/>
        </w:rPr>
        <w:t>ó</w:t>
      </w:r>
      <w:proofErr w:type="spellEnd"/>
      <w:r w:rsidRPr="00B02167">
        <w:rPr>
          <w:rFonts w:eastAsia="Batang" w:cs="Times New Roman"/>
          <w:spacing w:val="-4"/>
          <w:szCs w:val="22"/>
          <w:lang w:val="es-CR" w:eastAsia="es-MX"/>
        </w:rPr>
        <w:t>] la muerte del señor [</w:t>
      </w:r>
      <w:r>
        <w:rPr>
          <w:rFonts w:eastAsia="Batang" w:cs="Times New Roman"/>
          <w:spacing w:val="-4"/>
          <w:szCs w:val="22"/>
          <w:lang w:val="es-CR" w:eastAsia="es-MX"/>
        </w:rPr>
        <w:t xml:space="preserve">…] </w:t>
      </w:r>
      <w:r w:rsidRPr="00B02167">
        <w:rPr>
          <w:rFonts w:eastAsia="Batang" w:cs="Times New Roman"/>
          <w:spacing w:val="-4"/>
          <w:szCs w:val="22"/>
          <w:lang w:val="es-CR" w:eastAsia="es-MX"/>
        </w:rPr>
        <w:t>Pacheco</w:t>
      </w:r>
      <w:r>
        <w:rPr>
          <w:rFonts w:eastAsia="Batang" w:cs="Times New Roman"/>
          <w:spacing w:val="-4"/>
          <w:szCs w:val="22"/>
          <w:lang w:val="es-CR" w:eastAsia="es-MX"/>
        </w:rPr>
        <w:t xml:space="preserve"> […</w:t>
      </w:r>
      <w:r w:rsidRPr="00B02167">
        <w:rPr>
          <w:rFonts w:eastAsia="Batang" w:cs="Times New Roman"/>
          <w:spacing w:val="-4"/>
          <w:szCs w:val="22"/>
          <w:lang w:val="es-CR" w:eastAsia="es-MX"/>
        </w:rPr>
        <w:t>] un día antes del hecho</w:t>
      </w:r>
      <w:r>
        <w:rPr>
          <w:rFonts w:eastAsia="Batang" w:cs="Times New Roman"/>
          <w:spacing w:val="-4"/>
          <w:szCs w:val="22"/>
          <w:lang w:val="es-CR" w:eastAsia="es-MX"/>
        </w:rPr>
        <w:t>”, señalando a</w:t>
      </w:r>
      <w:r w:rsidRPr="00B02167">
        <w:rPr>
          <w:rFonts w:eastAsia="Batang" w:cs="Times New Roman"/>
          <w:spacing w:val="-4"/>
          <w:szCs w:val="22"/>
          <w:lang w:val="es-CR" w:eastAsia="es-MX"/>
        </w:rPr>
        <w:t xml:space="preserve"> los señores BC, MV, HE</w:t>
      </w:r>
      <w:r>
        <w:rPr>
          <w:rFonts w:eastAsia="Batang" w:cs="Times New Roman"/>
          <w:spacing w:val="-4"/>
          <w:szCs w:val="22"/>
          <w:lang w:val="es-CR" w:eastAsia="es-MX"/>
        </w:rPr>
        <w:t xml:space="preserve">, y </w:t>
      </w:r>
      <w:r w:rsidRPr="00B02167">
        <w:rPr>
          <w:rFonts w:eastAsia="Batang" w:cs="Times New Roman"/>
          <w:spacing w:val="-4"/>
          <w:szCs w:val="22"/>
          <w:lang w:val="es-CR" w:eastAsia="es-MX"/>
        </w:rPr>
        <w:t>SC</w:t>
      </w:r>
      <w:r>
        <w:rPr>
          <w:rFonts w:eastAsia="Batang" w:cs="Times New Roman"/>
          <w:spacing w:val="-4"/>
          <w:szCs w:val="22"/>
          <w:lang w:val="es-CR" w:eastAsia="es-MX"/>
        </w:rPr>
        <w:t xml:space="preserve"> como personas que “fueron </w:t>
      </w:r>
      <w:proofErr w:type="spellStart"/>
      <w:r>
        <w:rPr>
          <w:rFonts w:eastAsia="Batang" w:cs="Times New Roman"/>
          <w:spacing w:val="-4"/>
          <w:szCs w:val="22"/>
          <w:lang w:val="es-CR" w:eastAsia="es-MX"/>
        </w:rPr>
        <w:t>vist</w:t>
      </w:r>
      <w:proofErr w:type="spellEnd"/>
      <w:r>
        <w:rPr>
          <w:rFonts w:eastAsia="Batang" w:cs="Times New Roman"/>
          <w:spacing w:val="-4"/>
          <w:szCs w:val="22"/>
          <w:lang w:val="es-CR" w:eastAsia="es-MX"/>
        </w:rPr>
        <w:t>[a]</w:t>
      </w:r>
      <w:r w:rsidRPr="00B02167">
        <w:rPr>
          <w:rFonts w:eastAsia="Batang" w:cs="Times New Roman"/>
          <w:spacing w:val="-4"/>
          <w:szCs w:val="22"/>
          <w:lang w:val="es-CR" w:eastAsia="es-MX"/>
        </w:rPr>
        <w:t>s en un restaurante cercano a Nacaome, Valle, donde hablaron c</w:t>
      </w:r>
      <w:r>
        <w:rPr>
          <w:rFonts w:eastAsia="Batang" w:cs="Times New Roman"/>
          <w:spacing w:val="-4"/>
          <w:szCs w:val="22"/>
          <w:lang w:val="es-CR" w:eastAsia="es-MX"/>
        </w:rPr>
        <w:t>[</w:t>
      </w:r>
      <w:proofErr w:type="spellStart"/>
      <w:r w:rsidRPr="00B02167">
        <w:rPr>
          <w:rFonts w:eastAsia="Batang" w:cs="Times New Roman"/>
          <w:spacing w:val="-4"/>
          <w:szCs w:val="22"/>
          <w:lang w:val="es-CR" w:eastAsia="es-MX"/>
        </w:rPr>
        <w:t>ó</w:t>
      </w:r>
      <w:proofErr w:type="spellEnd"/>
      <w:r>
        <w:rPr>
          <w:rFonts w:eastAsia="Batang" w:cs="Times New Roman"/>
          <w:spacing w:val="-4"/>
          <w:szCs w:val="22"/>
          <w:lang w:val="es-CR" w:eastAsia="es-MX"/>
        </w:rPr>
        <w:t>]</w:t>
      </w:r>
      <w:proofErr w:type="spellStart"/>
      <w:r w:rsidRPr="00B02167">
        <w:rPr>
          <w:rFonts w:eastAsia="Batang" w:cs="Times New Roman"/>
          <w:spacing w:val="-4"/>
          <w:szCs w:val="22"/>
          <w:lang w:val="es-CR" w:eastAsia="es-MX"/>
        </w:rPr>
        <w:t>mo</w:t>
      </w:r>
      <w:proofErr w:type="spellEnd"/>
      <w:r w:rsidRPr="00B02167">
        <w:rPr>
          <w:rFonts w:eastAsia="Batang" w:cs="Times New Roman"/>
          <w:spacing w:val="-4"/>
          <w:szCs w:val="22"/>
          <w:lang w:val="es-CR" w:eastAsia="es-MX"/>
        </w:rPr>
        <w:t xml:space="preserve"> asesinar a[l señor] Pacheco León, as</w:t>
      </w:r>
      <w:r>
        <w:rPr>
          <w:rFonts w:eastAsia="Batang" w:cs="Times New Roman"/>
          <w:spacing w:val="-4"/>
          <w:szCs w:val="22"/>
          <w:lang w:val="es-CR" w:eastAsia="es-MX"/>
        </w:rPr>
        <w:t>[</w:t>
      </w:r>
      <w:r w:rsidRPr="00B02167">
        <w:rPr>
          <w:rFonts w:eastAsia="Batang" w:cs="Times New Roman"/>
          <w:spacing w:val="-4"/>
          <w:szCs w:val="22"/>
          <w:lang w:val="es-CR" w:eastAsia="es-MX"/>
        </w:rPr>
        <w:t>i</w:t>
      </w:r>
      <w:r>
        <w:rPr>
          <w:rFonts w:eastAsia="Batang" w:cs="Times New Roman"/>
          <w:spacing w:val="-4"/>
          <w:szCs w:val="22"/>
          <w:lang w:val="es-CR" w:eastAsia="es-MX"/>
        </w:rPr>
        <w:t>]</w:t>
      </w:r>
      <w:r w:rsidRPr="00B02167">
        <w:rPr>
          <w:rFonts w:eastAsia="Batang" w:cs="Times New Roman"/>
          <w:spacing w:val="-4"/>
          <w:szCs w:val="22"/>
          <w:lang w:val="es-CR" w:eastAsia="es-MX"/>
        </w:rPr>
        <w:t xml:space="preserve">mismo se menciona que en ese grupo se encontraba un </w:t>
      </w:r>
      <w:r>
        <w:rPr>
          <w:rFonts w:eastAsia="Batang" w:cs="Times New Roman"/>
          <w:spacing w:val="-4"/>
          <w:szCs w:val="22"/>
          <w:lang w:val="es-CR" w:eastAsia="es-MX"/>
        </w:rPr>
        <w:t>[</w:t>
      </w:r>
      <w:r w:rsidRPr="00B02167">
        <w:rPr>
          <w:rFonts w:eastAsia="Batang" w:cs="Times New Roman"/>
          <w:spacing w:val="-4"/>
          <w:szCs w:val="22"/>
          <w:lang w:val="es-CR" w:eastAsia="es-MX"/>
        </w:rPr>
        <w:t>p</w:t>
      </w:r>
      <w:r>
        <w:rPr>
          <w:rFonts w:eastAsia="Batang" w:cs="Times New Roman"/>
          <w:spacing w:val="-4"/>
          <w:szCs w:val="22"/>
          <w:lang w:val="es-CR" w:eastAsia="es-MX"/>
        </w:rPr>
        <w:t>]</w:t>
      </w:r>
      <w:proofErr w:type="spellStart"/>
      <w:r w:rsidRPr="00B02167">
        <w:rPr>
          <w:rFonts w:eastAsia="Batang" w:cs="Times New Roman"/>
          <w:spacing w:val="-4"/>
          <w:szCs w:val="22"/>
          <w:lang w:val="es-CR" w:eastAsia="es-MX"/>
        </w:rPr>
        <w:t>olicía</w:t>
      </w:r>
      <w:proofErr w:type="spellEnd"/>
      <w:r w:rsidRPr="00B02167">
        <w:rPr>
          <w:rFonts w:eastAsia="Batang" w:cs="Times New Roman"/>
          <w:spacing w:val="-4"/>
          <w:szCs w:val="22"/>
          <w:lang w:val="es-CR" w:eastAsia="es-MX"/>
        </w:rPr>
        <w:t xml:space="preserve"> </w:t>
      </w:r>
      <w:r>
        <w:rPr>
          <w:rFonts w:eastAsia="Batang" w:cs="Times New Roman"/>
          <w:spacing w:val="-4"/>
          <w:szCs w:val="22"/>
          <w:lang w:val="es-CR" w:eastAsia="es-MX"/>
        </w:rPr>
        <w:t>[</w:t>
      </w:r>
      <w:r w:rsidRPr="00B02167">
        <w:rPr>
          <w:rFonts w:eastAsia="Batang" w:cs="Times New Roman"/>
          <w:spacing w:val="-4"/>
          <w:szCs w:val="22"/>
          <w:lang w:val="es-CR" w:eastAsia="es-MX"/>
        </w:rPr>
        <w:t>p</w:t>
      </w:r>
      <w:r>
        <w:rPr>
          <w:rFonts w:eastAsia="Batang" w:cs="Times New Roman"/>
          <w:spacing w:val="-4"/>
          <w:szCs w:val="22"/>
          <w:lang w:val="es-CR" w:eastAsia="es-MX"/>
        </w:rPr>
        <w:t>]</w:t>
      </w:r>
      <w:proofErr w:type="spellStart"/>
      <w:r w:rsidRPr="00B02167">
        <w:rPr>
          <w:rFonts w:eastAsia="Batang" w:cs="Times New Roman"/>
          <w:spacing w:val="-4"/>
          <w:szCs w:val="22"/>
          <w:lang w:val="es-CR" w:eastAsia="es-MX"/>
        </w:rPr>
        <w:t>reventivo</w:t>
      </w:r>
      <w:proofErr w:type="spellEnd"/>
      <w:r w:rsidRPr="00B02167">
        <w:rPr>
          <w:rFonts w:eastAsia="Batang" w:cs="Times New Roman"/>
          <w:spacing w:val="-4"/>
          <w:szCs w:val="22"/>
          <w:lang w:val="es-CR" w:eastAsia="es-MX"/>
        </w:rPr>
        <w:t xml:space="preserve">, [del que en ese momento] se </w:t>
      </w:r>
      <w:proofErr w:type="spellStart"/>
      <w:r w:rsidRPr="00B02167">
        <w:rPr>
          <w:rFonts w:eastAsia="Batang" w:cs="Times New Roman"/>
          <w:spacing w:val="-4"/>
          <w:szCs w:val="22"/>
          <w:lang w:val="es-CR" w:eastAsia="es-MX"/>
        </w:rPr>
        <w:t>desconoc</w:t>
      </w:r>
      <w:proofErr w:type="spellEnd"/>
      <w:r w:rsidRPr="00B02167">
        <w:rPr>
          <w:rFonts w:eastAsia="Batang" w:cs="Times New Roman"/>
          <w:spacing w:val="-4"/>
          <w:szCs w:val="22"/>
          <w:lang w:val="es-CR" w:eastAsia="es-MX"/>
        </w:rPr>
        <w:t>[</w:t>
      </w:r>
      <w:proofErr w:type="spellStart"/>
      <w:r w:rsidRPr="00B02167">
        <w:rPr>
          <w:rFonts w:eastAsia="Batang" w:cs="Times New Roman"/>
          <w:spacing w:val="-4"/>
          <w:szCs w:val="22"/>
          <w:lang w:val="es-CR" w:eastAsia="es-MX"/>
        </w:rPr>
        <w:t>ía</w:t>
      </w:r>
      <w:proofErr w:type="spellEnd"/>
      <w:r w:rsidRPr="00B02167">
        <w:rPr>
          <w:rFonts w:eastAsia="Batang" w:cs="Times New Roman"/>
          <w:spacing w:val="-4"/>
          <w:szCs w:val="22"/>
          <w:lang w:val="es-CR" w:eastAsia="es-MX"/>
        </w:rPr>
        <w:t>] el nombr</w:t>
      </w:r>
      <w:r w:rsidRPr="000E38E5">
        <w:rPr>
          <w:rFonts w:eastAsia="Batang" w:cs="Times New Roman"/>
          <w:spacing w:val="-4"/>
          <w:lang w:val="es-CR" w:eastAsia="es-MX"/>
        </w:rPr>
        <w:t>e”</w:t>
      </w:r>
      <w:r w:rsidRPr="000E38E5">
        <w:rPr>
          <w:rStyle w:val="FootnoteReference"/>
          <w:rFonts w:eastAsia="Batang"/>
          <w:spacing w:val="-4"/>
          <w:sz w:val="20"/>
          <w:szCs w:val="20"/>
          <w:lang w:val="es-CR" w:eastAsia="es-MX"/>
        </w:rPr>
        <w:footnoteReference w:id="154"/>
      </w:r>
      <w:r w:rsidRPr="000E38E5">
        <w:rPr>
          <w:rFonts w:eastAsia="Batang" w:cs="Times New Roman"/>
          <w:spacing w:val="-4"/>
          <w:lang w:val="es-CR" w:eastAsia="es-MX"/>
        </w:rPr>
        <w:t>.</w:t>
      </w:r>
    </w:p>
    <w:p w14:paraId="3CC9D517" w14:textId="77777777" w:rsidR="004635E5" w:rsidRPr="00B02167" w:rsidRDefault="004635E5" w:rsidP="004635E5">
      <w:pPr>
        <w:pStyle w:val="ListParagraph"/>
        <w:widowControl/>
        <w:numPr>
          <w:ilvl w:val="0"/>
          <w:numId w:val="17"/>
        </w:numPr>
        <w:autoSpaceDE/>
        <w:autoSpaceDN/>
        <w:adjustRightInd/>
        <w:spacing w:after="200" w:line="276" w:lineRule="auto"/>
        <w:ind w:left="630" w:right="0" w:firstLine="0"/>
        <w:contextualSpacing/>
        <w:rPr>
          <w:rFonts w:eastAsia="Batang" w:cs="Times New Roman"/>
          <w:spacing w:val="-4"/>
          <w:szCs w:val="22"/>
          <w:lang w:val="es-CR" w:eastAsia="es-MX"/>
        </w:rPr>
      </w:pPr>
      <w:r w:rsidRPr="00B02167">
        <w:rPr>
          <w:rFonts w:eastAsia="Batang" w:cs="Times New Roman"/>
          <w:spacing w:val="-4"/>
          <w:szCs w:val="22"/>
          <w:lang w:val="es-CR" w:eastAsia="es-MX"/>
        </w:rPr>
        <w:t xml:space="preserve">El 4 de noviembre de 2002 </w:t>
      </w:r>
      <w:proofErr w:type="spellStart"/>
      <w:r w:rsidRPr="00B02167">
        <w:rPr>
          <w:rFonts w:eastAsia="Batang" w:cs="Times New Roman"/>
          <w:spacing w:val="-4"/>
          <w:szCs w:val="22"/>
          <w:lang w:val="es-CR" w:eastAsia="es-MX"/>
        </w:rPr>
        <w:t>Marleny</w:t>
      </w:r>
      <w:proofErr w:type="spellEnd"/>
      <w:r w:rsidRPr="00B02167">
        <w:rPr>
          <w:rFonts w:eastAsia="Batang" w:cs="Times New Roman"/>
          <w:spacing w:val="-4"/>
          <w:szCs w:val="22"/>
          <w:lang w:val="es-CR" w:eastAsia="es-MX"/>
        </w:rPr>
        <w:t xml:space="preserve"> </w:t>
      </w:r>
      <w:r>
        <w:rPr>
          <w:rFonts w:eastAsia="Batang" w:cs="Times New Roman"/>
          <w:spacing w:val="-4"/>
          <w:szCs w:val="22"/>
          <w:lang w:val="es-CR" w:eastAsia="es-MX"/>
        </w:rPr>
        <w:t xml:space="preserve">Pacheco </w:t>
      </w:r>
      <w:r w:rsidRPr="00B02167">
        <w:rPr>
          <w:rFonts w:eastAsia="Batang" w:cs="Times New Roman"/>
          <w:spacing w:val="-4"/>
          <w:szCs w:val="22"/>
          <w:lang w:val="es-CR" w:eastAsia="es-MX"/>
        </w:rPr>
        <w:t>P</w:t>
      </w:r>
      <w:r>
        <w:rPr>
          <w:rFonts w:eastAsia="Batang" w:cs="Times New Roman"/>
          <w:spacing w:val="-4"/>
          <w:szCs w:val="22"/>
          <w:lang w:val="es-CR" w:eastAsia="es-MX"/>
        </w:rPr>
        <w:t>osadas, hermana del señor Pacheco,</w:t>
      </w:r>
      <w:r w:rsidRPr="00B02167">
        <w:rPr>
          <w:rFonts w:eastAsia="Batang" w:cs="Times New Roman"/>
          <w:spacing w:val="-4"/>
          <w:szCs w:val="22"/>
          <w:lang w:val="es-CR" w:eastAsia="es-MX"/>
        </w:rPr>
        <w:t xml:space="preserve"> dijo que RP, JQ, BC, JE</w:t>
      </w:r>
      <w:r>
        <w:rPr>
          <w:rFonts w:eastAsia="Batang" w:cs="Times New Roman"/>
          <w:spacing w:val="-4"/>
          <w:szCs w:val="22"/>
          <w:lang w:val="es-CR" w:eastAsia="es-MX"/>
        </w:rPr>
        <w:t>, WC,</w:t>
      </w:r>
      <w:r w:rsidRPr="00B02167">
        <w:rPr>
          <w:rFonts w:eastAsia="Batang" w:cs="Times New Roman"/>
          <w:spacing w:val="-4"/>
          <w:szCs w:val="22"/>
          <w:lang w:val="es-CR" w:eastAsia="es-MX"/>
        </w:rPr>
        <w:t xml:space="preserve"> SC</w:t>
      </w:r>
      <w:r>
        <w:rPr>
          <w:rFonts w:eastAsia="Batang" w:cs="Times New Roman"/>
          <w:spacing w:val="-4"/>
          <w:szCs w:val="22"/>
          <w:lang w:val="es-CR" w:eastAsia="es-MX"/>
        </w:rPr>
        <w:t xml:space="preserve"> y MV habían </w:t>
      </w:r>
      <w:r w:rsidRPr="00B02167">
        <w:rPr>
          <w:rFonts w:eastAsia="Batang" w:cs="Times New Roman"/>
          <w:spacing w:val="-4"/>
          <w:szCs w:val="22"/>
          <w:lang w:val="es-CR" w:eastAsia="es-MX"/>
        </w:rPr>
        <w:t>realiza</w:t>
      </w:r>
      <w:r>
        <w:rPr>
          <w:rFonts w:eastAsia="Batang" w:cs="Times New Roman"/>
          <w:spacing w:val="-4"/>
          <w:szCs w:val="22"/>
          <w:lang w:val="es-CR" w:eastAsia="es-MX"/>
        </w:rPr>
        <w:t>do</w:t>
      </w:r>
      <w:r w:rsidRPr="00B02167">
        <w:rPr>
          <w:rFonts w:eastAsia="Batang" w:cs="Times New Roman"/>
          <w:spacing w:val="-4"/>
          <w:szCs w:val="22"/>
          <w:lang w:val="es-CR" w:eastAsia="es-MX"/>
        </w:rPr>
        <w:t xml:space="preserve"> </w:t>
      </w:r>
      <w:r>
        <w:rPr>
          <w:rFonts w:eastAsia="Batang" w:cs="Times New Roman"/>
          <w:spacing w:val="-4"/>
          <w:szCs w:val="22"/>
          <w:lang w:val="es-CR" w:eastAsia="es-MX"/>
        </w:rPr>
        <w:t>“</w:t>
      </w:r>
      <w:r w:rsidRPr="00B02167">
        <w:rPr>
          <w:rFonts w:eastAsia="Batang" w:cs="Times New Roman"/>
          <w:spacing w:val="-4"/>
          <w:szCs w:val="22"/>
          <w:lang w:val="es-CR" w:eastAsia="es-MX"/>
        </w:rPr>
        <w:t xml:space="preserve">amenazas </w:t>
      </w:r>
      <w:r>
        <w:rPr>
          <w:rFonts w:eastAsia="Batang" w:cs="Times New Roman"/>
          <w:spacing w:val="-4"/>
          <w:szCs w:val="22"/>
          <w:lang w:val="es-CR" w:eastAsia="es-MX"/>
        </w:rPr>
        <w:t xml:space="preserve">personales, directas y </w:t>
      </w:r>
      <w:r w:rsidRPr="00B02167">
        <w:rPr>
          <w:rFonts w:eastAsia="Batang" w:cs="Times New Roman"/>
          <w:spacing w:val="-4"/>
          <w:szCs w:val="22"/>
          <w:lang w:val="es-CR" w:eastAsia="es-MX"/>
        </w:rPr>
        <w:t>telefónicas</w:t>
      </w:r>
      <w:r>
        <w:rPr>
          <w:rFonts w:eastAsia="Batang" w:cs="Times New Roman"/>
          <w:spacing w:val="-4"/>
          <w:szCs w:val="22"/>
          <w:lang w:val="es-CR" w:eastAsia="es-MX"/>
        </w:rPr>
        <w:t>”</w:t>
      </w:r>
      <w:r w:rsidRPr="00B02167">
        <w:rPr>
          <w:rFonts w:eastAsia="Batang" w:cs="Times New Roman"/>
          <w:spacing w:val="-4"/>
          <w:szCs w:val="22"/>
          <w:lang w:val="es-CR" w:eastAsia="es-MX"/>
        </w:rPr>
        <w:t xml:space="preserve"> al señor Pacheco</w:t>
      </w:r>
      <w:r w:rsidRPr="00AE03AC">
        <w:rPr>
          <w:rStyle w:val="FootnoteReference"/>
          <w:sz w:val="20"/>
          <w:szCs w:val="20"/>
          <w:lang w:val="es-CR" w:eastAsia="es-MX"/>
        </w:rPr>
        <w:footnoteReference w:id="155"/>
      </w:r>
      <w:r w:rsidRPr="00B02167">
        <w:rPr>
          <w:rFonts w:eastAsia="Batang" w:cs="Times New Roman"/>
          <w:spacing w:val="-4"/>
          <w:szCs w:val="22"/>
          <w:lang w:val="es-CR" w:eastAsia="es-MX"/>
        </w:rPr>
        <w:t>.</w:t>
      </w:r>
    </w:p>
    <w:p w14:paraId="2600AFF8" w14:textId="77777777" w:rsidR="004635E5" w:rsidRPr="003E2113" w:rsidRDefault="004635E5" w:rsidP="004635E5">
      <w:pPr>
        <w:pStyle w:val="ListParagraph"/>
        <w:widowControl/>
        <w:numPr>
          <w:ilvl w:val="0"/>
          <w:numId w:val="17"/>
        </w:numPr>
        <w:autoSpaceDE/>
        <w:autoSpaceDN/>
        <w:adjustRightInd/>
        <w:spacing w:after="200" w:line="276" w:lineRule="auto"/>
        <w:ind w:left="630" w:right="0" w:firstLine="0"/>
        <w:contextualSpacing/>
        <w:rPr>
          <w:rFonts w:eastAsia="Batang" w:cs="Times New Roman"/>
          <w:spacing w:val="-4"/>
          <w:szCs w:val="22"/>
          <w:lang w:val="es-CR" w:eastAsia="es-MX"/>
        </w:rPr>
      </w:pPr>
      <w:r>
        <w:rPr>
          <w:rFonts w:eastAsia="Batang" w:cs="Times New Roman"/>
          <w:spacing w:val="-4"/>
          <w:szCs w:val="22"/>
          <w:lang w:val="es-CR" w:eastAsia="es-MX"/>
        </w:rPr>
        <w:t>E</w:t>
      </w:r>
      <w:r w:rsidRPr="00B02167">
        <w:rPr>
          <w:rFonts w:eastAsia="Batang" w:cs="Times New Roman"/>
          <w:spacing w:val="-4"/>
          <w:szCs w:val="22"/>
          <w:lang w:val="es-CR" w:eastAsia="es-MX"/>
        </w:rPr>
        <w:t>l 28 de noviembre de 2002</w:t>
      </w:r>
      <w:r>
        <w:rPr>
          <w:rFonts w:eastAsia="Batang" w:cs="Times New Roman"/>
          <w:spacing w:val="-4"/>
          <w:szCs w:val="22"/>
          <w:lang w:val="es-CR" w:eastAsia="es-MX"/>
        </w:rPr>
        <w:t xml:space="preserve"> quedó asentado en un informe de la DGIC que</w:t>
      </w:r>
      <w:r w:rsidRPr="00B02167">
        <w:rPr>
          <w:rFonts w:eastAsia="Batang" w:cs="Times New Roman"/>
          <w:spacing w:val="-4"/>
          <w:szCs w:val="22"/>
          <w:lang w:val="es-CR" w:eastAsia="es-MX"/>
        </w:rPr>
        <w:t xml:space="preserve"> la </w:t>
      </w:r>
      <w:r w:rsidRPr="003E2113">
        <w:rPr>
          <w:rFonts w:eastAsia="Batang" w:cs="Times New Roman"/>
          <w:spacing w:val="-4"/>
          <w:szCs w:val="22"/>
          <w:lang w:val="es-CR" w:eastAsia="es-MX"/>
        </w:rPr>
        <w:t>coordinadora interina de la misma entidad manifestó que la persona que disparó al señor Pacheco habría sido un agente policial llamado SM, quien efectuaba trabajos para JE (</w:t>
      </w:r>
      <w:r w:rsidRPr="003E2113">
        <w:rPr>
          <w:rFonts w:eastAsia="Batang" w:cs="Times New Roman"/>
          <w:i/>
          <w:spacing w:val="-4"/>
          <w:szCs w:val="22"/>
          <w:lang w:val="es-CR" w:eastAsia="es-MX"/>
        </w:rPr>
        <w:t>supra</w:t>
      </w:r>
      <w:r w:rsidRPr="003E2113">
        <w:rPr>
          <w:rFonts w:eastAsia="Batang" w:cs="Times New Roman"/>
          <w:spacing w:val="-4"/>
          <w:szCs w:val="22"/>
          <w:lang w:val="es-CR" w:eastAsia="es-MX"/>
        </w:rPr>
        <w:t xml:space="preserve"> párr. 43). </w:t>
      </w:r>
    </w:p>
    <w:p w14:paraId="036B840E" w14:textId="77777777" w:rsidR="004635E5" w:rsidRPr="00B02167" w:rsidRDefault="004635E5" w:rsidP="004635E5">
      <w:pPr>
        <w:pStyle w:val="ListParagraph"/>
        <w:widowControl/>
        <w:numPr>
          <w:ilvl w:val="0"/>
          <w:numId w:val="17"/>
        </w:numPr>
        <w:autoSpaceDE/>
        <w:autoSpaceDN/>
        <w:adjustRightInd/>
        <w:spacing w:after="200" w:line="276" w:lineRule="auto"/>
        <w:ind w:left="630" w:right="0" w:firstLine="0"/>
        <w:contextualSpacing/>
        <w:rPr>
          <w:rFonts w:eastAsia="Batang" w:cs="Times New Roman"/>
          <w:spacing w:val="-4"/>
          <w:szCs w:val="22"/>
          <w:lang w:val="es-CR" w:eastAsia="es-MX"/>
        </w:rPr>
      </w:pPr>
      <w:r w:rsidRPr="003E2113">
        <w:rPr>
          <w:rFonts w:eastAsia="Batang" w:cs="Times New Roman"/>
          <w:spacing w:val="-4"/>
          <w:szCs w:val="22"/>
          <w:lang w:val="es-CR" w:eastAsia="es-MX"/>
        </w:rPr>
        <w:t>En fecha anterior</w:t>
      </w:r>
      <w:r w:rsidRPr="00B02167">
        <w:rPr>
          <w:rFonts w:eastAsia="Batang" w:cs="Times New Roman"/>
          <w:spacing w:val="-4"/>
          <w:szCs w:val="22"/>
          <w:lang w:val="es-CR" w:eastAsia="es-MX"/>
        </w:rPr>
        <w:t xml:space="preserve"> al 10 de enero de 2004, cuando se emitió el informe que lo indica, </w:t>
      </w:r>
      <w:r w:rsidRPr="00DD66BE">
        <w:rPr>
          <w:rFonts w:eastAsia="Batang" w:cs="Times New Roman"/>
          <w:spacing w:val="-4"/>
          <w:szCs w:val="22"/>
          <w:lang w:val="es-CR" w:eastAsia="es-MX"/>
        </w:rPr>
        <w:t>MM</w:t>
      </w:r>
      <w:r w:rsidRPr="00497E2A">
        <w:rPr>
          <w:rFonts w:eastAsia="Batang" w:cs="Times New Roman"/>
          <w:spacing w:val="-4"/>
          <w:szCs w:val="22"/>
          <w:lang w:val="es-CR" w:eastAsia="es-MX"/>
        </w:rPr>
        <w:t xml:space="preserve"> </w:t>
      </w:r>
      <w:r w:rsidRPr="00DD66BE">
        <w:rPr>
          <w:rFonts w:eastAsia="Batang" w:cs="Times New Roman"/>
          <w:spacing w:val="-4"/>
          <w:szCs w:val="22"/>
          <w:lang w:val="es-CR" w:eastAsia="es-MX"/>
        </w:rPr>
        <w:t>d</w:t>
      </w:r>
      <w:r w:rsidRPr="00B02167">
        <w:rPr>
          <w:rFonts w:eastAsia="Batang" w:cs="Times New Roman"/>
          <w:spacing w:val="-4"/>
          <w:szCs w:val="22"/>
          <w:lang w:val="es-CR" w:eastAsia="es-MX"/>
        </w:rPr>
        <w:t>eclaró que ME le había comentado que (en fecha que no se indica) “en el comedor Olga” había cinco personas cuando llegó HE en un vehículo blanco y hablando con los demás mencionó que “la muerte la planific</w:t>
      </w:r>
      <w:r>
        <w:rPr>
          <w:rFonts w:eastAsia="Batang" w:cs="Times New Roman"/>
          <w:spacing w:val="-4"/>
          <w:szCs w:val="22"/>
          <w:lang w:val="es-CR" w:eastAsia="es-MX"/>
        </w:rPr>
        <w:t>ó [</w:t>
      </w:r>
      <w:r w:rsidRPr="00B02167">
        <w:rPr>
          <w:rFonts w:eastAsia="Batang" w:cs="Times New Roman"/>
          <w:spacing w:val="-4"/>
          <w:szCs w:val="22"/>
          <w:lang w:val="es-CR" w:eastAsia="es-MX"/>
        </w:rPr>
        <w:t>MV</w:t>
      </w:r>
      <w:r>
        <w:rPr>
          <w:rFonts w:eastAsia="Batang" w:cs="Times New Roman"/>
          <w:spacing w:val="-4"/>
          <w:szCs w:val="22"/>
          <w:lang w:val="es-CR" w:eastAsia="es-MX"/>
        </w:rPr>
        <w:t>]</w:t>
      </w:r>
      <w:r w:rsidRPr="00B02167">
        <w:rPr>
          <w:rFonts w:eastAsia="Batang" w:cs="Times New Roman"/>
          <w:spacing w:val="-4"/>
          <w:szCs w:val="22"/>
          <w:lang w:val="es-CR" w:eastAsia="es-MX"/>
        </w:rPr>
        <w:t xml:space="preserve"> y otros”</w:t>
      </w:r>
      <w:r w:rsidRPr="00070F67">
        <w:rPr>
          <w:rStyle w:val="FootnoteReference"/>
          <w:sz w:val="20"/>
          <w:szCs w:val="20"/>
          <w:lang w:val="es-CR" w:eastAsia="es-MX"/>
        </w:rPr>
        <w:footnoteReference w:id="156"/>
      </w:r>
      <w:r w:rsidRPr="00B02167">
        <w:rPr>
          <w:rFonts w:eastAsia="Batang" w:cs="Times New Roman"/>
          <w:spacing w:val="-4"/>
          <w:szCs w:val="22"/>
          <w:lang w:val="es-CR" w:eastAsia="es-MX"/>
        </w:rPr>
        <w:t>. De acuerdo al informe</w:t>
      </w:r>
      <w:r>
        <w:rPr>
          <w:rFonts w:eastAsia="Batang" w:cs="Times New Roman"/>
          <w:spacing w:val="-4"/>
          <w:szCs w:val="22"/>
          <w:lang w:val="es-CR" w:eastAsia="es-MX"/>
        </w:rPr>
        <w:t>,</w:t>
      </w:r>
      <w:r w:rsidRPr="00B02167">
        <w:rPr>
          <w:rFonts w:eastAsia="Batang" w:cs="Times New Roman"/>
          <w:spacing w:val="-4"/>
          <w:szCs w:val="22"/>
          <w:lang w:val="es-CR" w:eastAsia="es-MX"/>
        </w:rPr>
        <w:t xml:space="preserve"> desde ese momento ME había sido amenazada de muerte</w:t>
      </w:r>
      <w:r w:rsidRPr="00070F67">
        <w:rPr>
          <w:rStyle w:val="FootnoteReference"/>
          <w:sz w:val="20"/>
          <w:szCs w:val="20"/>
          <w:lang w:val="es-CR" w:eastAsia="es-MX"/>
        </w:rPr>
        <w:footnoteReference w:id="157"/>
      </w:r>
      <w:r w:rsidRPr="00B02167">
        <w:rPr>
          <w:rFonts w:eastAsia="Batang" w:cs="Times New Roman"/>
          <w:spacing w:val="-4"/>
          <w:szCs w:val="22"/>
          <w:lang w:val="es-CR" w:eastAsia="es-MX"/>
        </w:rPr>
        <w:t xml:space="preserve">. </w:t>
      </w:r>
    </w:p>
    <w:p w14:paraId="4EB5C116" w14:textId="42536368" w:rsidR="004635E5" w:rsidRPr="00F07B77" w:rsidRDefault="004635E5" w:rsidP="004635E5">
      <w:pPr>
        <w:pStyle w:val="ListParagraph"/>
        <w:widowControl/>
        <w:numPr>
          <w:ilvl w:val="0"/>
          <w:numId w:val="42"/>
        </w:numPr>
        <w:autoSpaceDE/>
        <w:autoSpaceDN/>
        <w:adjustRightInd/>
        <w:spacing w:after="200" w:line="276" w:lineRule="auto"/>
        <w:ind w:left="630" w:right="0" w:firstLine="0"/>
        <w:contextualSpacing/>
        <w:rPr>
          <w:rFonts w:eastAsia="Batang" w:cs="Times New Roman"/>
          <w:spacing w:val="-4"/>
          <w:szCs w:val="22"/>
          <w:lang w:val="es-CR" w:eastAsia="es-MX"/>
        </w:rPr>
      </w:pPr>
      <w:r>
        <w:rPr>
          <w:rFonts w:eastAsia="Batang" w:cs="Times New Roman"/>
          <w:spacing w:val="-4"/>
          <w:szCs w:val="22"/>
          <w:lang w:val="es-CR" w:eastAsia="es-MX"/>
        </w:rPr>
        <w:lastRenderedPageBreak/>
        <w:t>E</w:t>
      </w:r>
      <w:r w:rsidR="00D5257E">
        <w:rPr>
          <w:rFonts w:eastAsia="Batang" w:cs="Times New Roman"/>
          <w:spacing w:val="-4"/>
          <w:szCs w:val="22"/>
          <w:lang w:val="es-CR" w:eastAsia="es-MX"/>
        </w:rPr>
        <w:t xml:space="preserve">l 1 de julio de 2005 </w:t>
      </w:r>
      <w:r w:rsidRPr="00B02167">
        <w:rPr>
          <w:rFonts w:eastAsia="Batang" w:cs="Times New Roman"/>
          <w:spacing w:val="-4"/>
          <w:szCs w:val="22"/>
          <w:lang w:val="es-CR" w:eastAsia="es-MX"/>
        </w:rPr>
        <w:t xml:space="preserve"> Miguel Ángel Pacheco </w:t>
      </w:r>
      <w:proofErr w:type="spellStart"/>
      <w:r>
        <w:rPr>
          <w:rFonts w:eastAsia="Batang" w:cs="Times New Roman"/>
          <w:spacing w:val="-4"/>
          <w:szCs w:val="22"/>
          <w:lang w:val="es-CR" w:eastAsia="es-MX"/>
        </w:rPr>
        <w:t>Devicente</w:t>
      </w:r>
      <w:proofErr w:type="spellEnd"/>
      <w:r>
        <w:rPr>
          <w:rFonts w:eastAsia="Batang" w:cs="Times New Roman"/>
          <w:spacing w:val="-4"/>
          <w:szCs w:val="22"/>
          <w:lang w:val="es-CR" w:eastAsia="es-MX"/>
        </w:rPr>
        <w:t xml:space="preserve"> </w:t>
      </w:r>
      <w:r w:rsidRPr="00B02167">
        <w:rPr>
          <w:rFonts w:eastAsia="Batang" w:cs="Times New Roman"/>
          <w:spacing w:val="-4"/>
          <w:szCs w:val="22"/>
          <w:lang w:val="es-CR" w:eastAsia="es-MX"/>
        </w:rPr>
        <w:t xml:space="preserve">declaró que su padre le había dicho que RP, JE, BC y JQ “le tenían celos”, y que también le había comunicado el señor </w:t>
      </w:r>
      <w:r w:rsidRPr="00F07B77">
        <w:rPr>
          <w:rFonts w:eastAsia="Batang" w:cs="Times New Roman"/>
          <w:spacing w:val="-4"/>
          <w:szCs w:val="22"/>
          <w:lang w:val="es-CR" w:eastAsia="es-MX"/>
        </w:rPr>
        <w:t xml:space="preserve">Pacheco que éste tenía temor a ir a </w:t>
      </w:r>
      <w:proofErr w:type="spellStart"/>
      <w:r w:rsidRPr="00F07B77">
        <w:rPr>
          <w:rFonts w:eastAsia="Batang" w:cs="Times New Roman"/>
          <w:spacing w:val="-4"/>
          <w:szCs w:val="22"/>
          <w:lang w:val="es-CR" w:eastAsia="es-MX"/>
        </w:rPr>
        <w:t>Amapala</w:t>
      </w:r>
      <w:proofErr w:type="spellEnd"/>
      <w:r w:rsidRPr="00F07B77">
        <w:rPr>
          <w:rFonts w:eastAsia="Batang" w:cs="Times New Roman"/>
          <w:spacing w:val="-4"/>
          <w:szCs w:val="22"/>
          <w:lang w:val="es-CR" w:eastAsia="es-MX"/>
        </w:rPr>
        <w:t>, por las amenazas proferidas por JQ y RP</w:t>
      </w:r>
      <w:r w:rsidRPr="00F07B77">
        <w:rPr>
          <w:rStyle w:val="FootnoteReference"/>
          <w:sz w:val="20"/>
          <w:szCs w:val="20"/>
          <w:lang w:val="es-CR" w:eastAsia="es-MX"/>
        </w:rPr>
        <w:footnoteReference w:id="158"/>
      </w:r>
      <w:r w:rsidRPr="00F07B77">
        <w:rPr>
          <w:rFonts w:eastAsia="Batang" w:cs="Times New Roman"/>
          <w:spacing w:val="-4"/>
          <w:lang w:val="es-CR" w:eastAsia="es-MX"/>
        </w:rPr>
        <w:t>.</w:t>
      </w:r>
    </w:p>
    <w:p w14:paraId="510FF32C" w14:textId="4F0E745D" w:rsidR="004635E5" w:rsidRPr="009B4223" w:rsidRDefault="004635E5" w:rsidP="004635E5">
      <w:pPr>
        <w:pStyle w:val="ListParagraph"/>
        <w:widowControl/>
        <w:numPr>
          <w:ilvl w:val="0"/>
          <w:numId w:val="42"/>
        </w:numPr>
        <w:autoSpaceDE/>
        <w:autoSpaceDN/>
        <w:adjustRightInd/>
        <w:spacing w:line="276" w:lineRule="auto"/>
        <w:ind w:left="630" w:right="0" w:firstLine="0"/>
        <w:contextualSpacing/>
        <w:rPr>
          <w:rFonts w:eastAsia="Batang" w:cs="Times New Roman"/>
          <w:spacing w:val="-4"/>
          <w:sz w:val="16"/>
          <w:szCs w:val="16"/>
          <w:lang w:val="es-CR" w:eastAsia="es-MX"/>
        </w:rPr>
      </w:pPr>
      <w:r w:rsidRPr="00F07B77">
        <w:rPr>
          <w:rFonts w:eastAsia="Batang" w:cs="Times New Roman"/>
          <w:spacing w:val="-4"/>
          <w:szCs w:val="22"/>
          <w:lang w:val="es-CR" w:eastAsia="es-MX"/>
        </w:rPr>
        <w:t>JF, quien trabajó con el señor Pacheco, dijo el 20 de junio de 2005 ante la Fiscalía Especial de Derechos Humanos que el señor Pacheco le comentó haber sido amenazado por JE, RP, JQ y BC</w:t>
      </w:r>
      <w:r w:rsidRPr="00F07B77">
        <w:rPr>
          <w:rStyle w:val="FootnoteReference"/>
          <w:sz w:val="20"/>
          <w:szCs w:val="20"/>
          <w:lang w:val="es-CR" w:eastAsia="es-MX"/>
        </w:rPr>
        <w:footnoteReference w:id="159"/>
      </w:r>
      <w:r w:rsidRPr="00F07B77">
        <w:rPr>
          <w:rFonts w:eastAsia="Batang" w:cs="Times New Roman"/>
          <w:spacing w:val="-4"/>
          <w:szCs w:val="22"/>
          <w:lang w:val="es-CR" w:eastAsia="es-MX"/>
        </w:rPr>
        <w:t>.</w:t>
      </w:r>
    </w:p>
    <w:p w14:paraId="0DA13303" w14:textId="77777777" w:rsidR="009B4223" w:rsidRPr="00F07B77" w:rsidRDefault="009B4223" w:rsidP="009B4223">
      <w:pPr>
        <w:pStyle w:val="ListParagraph"/>
        <w:widowControl/>
        <w:numPr>
          <w:ilvl w:val="0"/>
          <w:numId w:val="0"/>
        </w:numPr>
        <w:autoSpaceDE/>
        <w:autoSpaceDN/>
        <w:adjustRightInd/>
        <w:spacing w:line="276" w:lineRule="auto"/>
        <w:ind w:left="630" w:right="0"/>
        <w:contextualSpacing/>
        <w:rPr>
          <w:rFonts w:eastAsia="Batang" w:cs="Times New Roman"/>
          <w:spacing w:val="-4"/>
          <w:sz w:val="16"/>
          <w:szCs w:val="16"/>
          <w:lang w:val="es-CR" w:eastAsia="es-MX"/>
        </w:rPr>
      </w:pPr>
    </w:p>
    <w:p w14:paraId="6BF0AFD4" w14:textId="77777777" w:rsidR="004635E5" w:rsidRPr="008A2AE0" w:rsidRDefault="004635E5" w:rsidP="004635E5">
      <w:pPr>
        <w:pStyle w:val="PrrafodeSentencia"/>
        <w:numPr>
          <w:ilvl w:val="0"/>
          <w:numId w:val="3"/>
        </w:numPr>
        <w:tabs>
          <w:tab w:val="clear" w:pos="567"/>
          <w:tab w:val="left" w:pos="0"/>
        </w:tabs>
        <w:ind w:left="0" w:firstLine="0"/>
      </w:pPr>
      <w:r>
        <w:t>Además de lo indicado, cabe recordar que en febrero de 2002 la DGIC presentó un informe en el que señaló que “</w:t>
      </w:r>
      <w:r w:rsidRPr="003E2113">
        <w:t xml:space="preserve">se </w:t>
      </w:r>
      <w:proofErr w:type="gramStart"/>
      <w:r w:rsidRPr="003E2113">
        <w:t>maneja[</w:t>
      </w:r>
      <w:proofErr w:type="spellStart"/>
      <w:proofErr w:type="gramEnd"/>
      <w:r w:rsidRPr="003E2113">
        <w:t>ba</w:t>
      </w:r>
      <w:proofErr w:type="spellEnd"/>
      <w:r w:rsidRPr="003E2113">
        <w:t>]n” como “</w:t>
      </w:r>
      <w:proofErr w:type="spellStart"/>
      <w:r w:rsidRPr="003E2113">
        <w:t>sospechos</w:t>
      </w:r>
      <w:proofErr w:type="spellEnd"/>
      <w:r w:rsidRPr="003E2113">
        <w:t xml:space="preserve">[a]s”, a las siguientes personas: </w:t>
      </w:r>
      <w:r w:rsidRPr="003E2113">
        <w:rPr>
          <w:szCs w:val="20"/>
        </w:rPr>
        <w:t>BC, JE, WC, SC, RP y MV</w:t>
      </w:r>
      <w:r w:rsidRPr="003E2113">
        <w:t xml:space="preserve"> (</w:t>
      </w:r>
      <w:r w:rsidRPr="003E2113">
        <w:rPr>
          <w:i/>
        </w:rPr>
        <w:t>supra</w:t>
      </w:r>
      <w:r w:rsidRPr="003E2113">
        <w:t xml:space="preserve"> párr. 44).</w:t>
      </w:r>
    </w:p>
    <w:p w14:paraId="0B9657D9" w14:textId="77777777" w:rsidR="004635E5" w:rsidRPr="00493F83" w:rsidRDefault="004635E5" w:rsidP="004635E5"/>
    <w:p w14:paraId="21B4CEAA" w14:textId="1524016C" w:rsidR="004635E5" w:rsidRPr="00AD3D4F" w:rsidRDefault="004635E5" w:rsidP="004635E5">
      <w:pPr>
        <w:pStyle w:val="PrrafodeSentencia"/>
        <w:numPr>
          <w:ilvl w:val="0"/>
          <w:numId w:val="3"/>
        </w:numPr>
        <w:tabs>
          <w:tab w:val="clear" w:pos="567"/>
          <w:tab w:val="left" w:pos="0"/>
        </w:tabs>
        <w:ind w:left="0" w:firstLine="0"/>
      </w:pPr>
      <w:r>
        <w:t xml:space="preserve">En segundo término, en cuanto a referencias al </w:t>
      </w:r>
      <w:r w:rsidRPr="00AD3D4F">
        <w:t xml:space="preserve">ex – Presidente RC </w:t>
      </w:r>
      <w:r w:rsidRPr="00A25942">
        <w:t xml:space="preserve">y </w:t>
      </w:r>
      <w:r w:rsidRPr="00497E2A">
        <w:t>a</w:t>
      </w:r>
      <w:r w:rsidRPr="00AD3D4F">
        <w:t xml:space="preserve"> RM,</w:t>
      </w:r>
      <w:r>
        <w:t xml:space="preserve"> cabe indicar que el </w:t>
      </w:r>
      <w:r w:rsidRPr="00AD3D4F">
        <w:t xml:space="preserve">4 de noviembre de 2002, ante la </w:t>
      </w:r>
      <w:r>
        <w:t>“</w:t>
      </w:r>
      <w:r w:rsidRPr="00AD3D4F">
        <w:t>Unidad de Asuntos Internos</w:t>
      </w:r>
      <w:r>
        <w:t>”</w:t>
      </w:r>
      <w:r w:rsidRPr="00AD3D4F">
        <w:t xml:space="preserve">, </w:t>
      </w:r>
      <w:proofErr w:type="spellStart"/>
      <w:r w:rsidRPr="00AD3D4F">
        <w:t>Marleny</w:t>
      </w:r>
      <w:proofErr w:type="spellEnd"/>
      <w:r w:rsidRPr="00AD3D4F">
        <w:t xml:space="preserve"> Pacheco</w:t>
      </w:r>
      <w:r>
        <w:t xml:space="preserve"> </w:t>
      </w:r>
      <w:r w:rsidR="000E38E5">
        <w:t xml:space="preserve">Posadas </w:t>
      </w:r>
      <w:r w:rsidRPr="00AD3D4F">
        <w:t xml:space="preserve">declaró que el señor Pacheco </w:t>
      </w:r>
      <w:r>
        <w:t>había sido</w:t>
      </w:r>
      <w:r w:rsidRPr="00AD3D4F">
        <w:t xml:space="preserve"> citado a una reunión </w:t>
      </w:r>
      <w:r>
        <w:t>en la que, estando presente RM, RC</w:t>
      </w:r>
      <w:r w:rsidRPr="00AD3D4F">
        <w:t xml:space="preserve"> exigió al señor Pacheco que cediera su cargo de diputado a RP, a lo que el señor Pacheco se negó</w:t>
      </w:r>
      <w:r w:rsidRPr="00AD3D4F">
        <w:rPr>
          <w:rStyle w:val="FootnoteReference"/>
          <w:sz w:val="20"/>
          <w:szCs w:val="20"/>
        </w:rPr>
        <w:footnoteReference w:id="160"/>
      </w:r>
      <w:r w:rsidRPr="00AD3D4F">
        <w:t>.</w:t>
      </w:r>
      <w:r>
        <w:t xml:space="preserve"> Además, en un escrito de 25 de agosto de 2004 dirigido a la Comisión Interamericana, la señora </w:t>
      </w:r>
      <w:proofErr w:type="spellStart"/>
      <w:r>
        <w:t>Marleny</w:t>
      </w:r>
      <w:proofErr w:type="spellEnd"/>
      <w:r>
        <w:t xml:space="preserve"> Pacheco Posadas mencionó que el señor Pacheco también “</w:t>
      </w:r>
      <w:proofErr w:type="spellStart"/>
      <w:proofErr w:type="gramStart"/>
      <w:r>
        <w:t>recib</w:t>
      </w:r>
      <w:proofErr w:type="spellEnd"/>
      <w:r>
        <w:t>[</w:t>
      </w:r>
      <w:proofErr w:type="spellStart"/>
      <w:proofErr w:type="gramEnd"/>
      <w:r>
        <w:t>ió</w:t>
      </w:r>
      <w:proofErr w:type="spellEnd"/>
      <w:r>
        <w:t>] llamadas” del padre de RC</w:t>
      </w:r>
      <w:r w:rsidRPr="00D5257E">
        <w:rPr>
          <w:rStyle w:val="FootnoteReference"/>
          <w:sz w:val="20"/>
          <w:szCs w:val="20"/>
        </w:rPr>
        <w:footnoteReference w:id="161"/>
      </w:r>
      <w:r>
        <w:t>.</w:t>
      </w:r>
    </w:p>
    <w:p w14:paraId="30691764" w14:textId="77777777" w:rsidR="004635E5" w:rsidRPr="00AD3D4F" w:rsidRDefault="004635E5" w:rsidP="004635E5"/>
    <w:p w14:paraId="4AB323AE" w14:textId="77777777" w:rsidR="004635E5" w:rsidRPr="00AD3D4F" w:rsidRDefault="004635E5" w:rsidP="004635E5">
      <w:pPr>
        <w:pStyle w:val="PrrafodeSentencia"/>
        <w:numPr>
          <w:ilvl w:val="0"/>
          <w:numId w:val="3"/>
        </w:numPr>
        <w:tabs>
          <w:tab w:val="clear" w:pos="567"/>
          <w:tab w:val="left" w:pos="-284"/>
        </w:tabs>
        <w:ind w:left="0" w:firstLine="0"/>
        <w:rPr>
          <w:rFonts w:cs="Arial"/>
        </w:rPr>
      </w:pPr>
      <w:r>
        <w:t xml:space="preserve">Por último, en cuanto a </w:t>
      </w:r>
      <w:r w:rsidRPr="00AD3D4F">
        <w:t xml:space="preserve">EC, </w:t>
      </w:r>
      <w:r>
        <w:t>la persona apodada “Chicho”, y otras personas no identificadas,</w:t>
      </w:r>
      <w:r w:rsidRPr="00AD3D4F">
        <w:rPr>
          <w:rFonts w:cs="Arial"/>
        </w:rPr>
        <w:t xml:space="preserve"> un documento de la DGIC de </w:t>
      </w:r>
      <w:r>
        <w:rPr>
          <w:rFonts w:cs="Arial"/>
        </w:rPr>
        <w:t>11 de octubre de 2004 señala que</w:t>
      </w:r>
      <w:r w:rsidRPr="00AD3D4F">
        <w:rPr>
          <w:rFonts w:cs="Arial"/>
        </w:rPr>
        <w:t xml:space="preserve"> </w:t>
      </w:r>
      <w:r w:rsidRPr="00AD3D4F">
        <w:t>“se ubicó</w:t>
      </w:r>
      <w:r>
        <w:t>”</w:t>
      </w:r>
      <w:r w:rsidRPr="00AD3D4F">
        <w:t xml:space="preserve"> a </w:t>
      </w:r>
      <w:r>
        <w:t>“</w:t>
      </w:r>
      <w:r w:rsidRPr="00AD3D4F">
        <w:t>una persona</w:t>
      </w:r>
      <w:r>
        <w:t>”</w:t>
      </w:r>
      <w:r w:rsidRPr="00AD3D4F">
        <w:t xml:space="preserve"> que </w:t>
      </w:r>
      <w:r>
        <w:t>señaló que “</w:t>
      </w:r>
      <w:r w:rsidRPr="00AD3D4F">
        <w:t>probablemente</w:t>
      </w:r>
      <w:r>
        <w:t>”</w:t>
      </w:r>
      <w:r w:rsidRPr="00AD3D4F">
        <w:t xml:space="preserve"> quien </w:t>
      </w:r>
      <w:r>
        <w:t xml:space="preserve">privó de la vida </w:t>
      </w:r>
      <w:r w:rsidRPr="00AD3D4F">
        <w:t>al señor Pacheco</w:t>
      </w:r>
      <w:r>
        <w:t xml:space="preserve"> fue </w:t>
      </w:r>
      <w:r w:rsidRPr="00AD3D4F">
        <w:t xml:space="preserve">EC, </w:t>
      </w:r>
      <w:r>
        <w:t>quien</w:t>
      </w:r>
      <w:r w:rsidRPr="00AD3D4F">
        <w:t xml:space="preserve"> no se ha</w:t>
      </w:r>
      <w:r>
        <w:t>bía</w:t>
      </w:r>
      <w:r w:rsidRPr="00AD3D4F">
        <w:t xml:space="preserve"> podido localizar porque </w:t>
      </w:r>
      <w:r>
        <w:t>“</w:t>
      </w:r>
      <w:r w:rsidRPr="00AD3D4F">
        <w:t xml:space="preserve">no </w:t>
      </w:r>
      <w:proofErr w:type="gramStart"/>
      <w:r w:rsidRPr="00AD3D4F">
        <w:t>t</w:t>
      </w:r>
      <w:r>
        <w:t>[</w:t>
      </w:r>
      <w:proofErr w:type="spellStart"/>
      <w:proofErr w:type="gramEnd"/>
      <w:r>
        <w:t>enía</w:t>
      </w:r>
      <w:proofErr w:type="spellEnd"/>
      <w:r>
        <w:t>]</w:t>
      </w:r>
      <w:r w:rsidRPr="00AD3D4F">
        <w:t xml:space="preserve"> residencia fija ya que pasa</w:t>
      </w:r>
      <w:r>
        <w:t>[</w:t>
      </w:r>
      <w:proofErr w:type="spellStart"/>
      <w:r>
        <w:t>ba</w:t>
      </w:r>
      <w:proofErr w:type="spellEnd"/>
      <w:r>
        <w:t>]</w:t>
      </w:r>
      <w:r w:rsidRPr="00AD3D4F">
        <w:t xml:space="preserve"> de hotel en hotel en Tegucigalpa </w:t>
      </w:r>
      <w:r w:rsidRPr="003E2113">
        <w:t xml:space="preserve">y la Costa Norte”. El documento refirió además que “se </w:t>
      </w:r>
      <w:proofErr w:type="spellStart"/>
      <w:proofErr w:type="gramStart"/>
      <w:r w:rsidRPr="003E2113">
        <w:t>esta</w:t>
      </w:r>
      <w:proofErr w:type="spellEnd"/>
      <w:r w:rsidRPr="003E2113">
        <w:t>[</w:t>
      </w:r>
      <w:proofErr w:type="spellStart"/>
      <w:proofErr w:type="gramEnd"/>
      <w:r w:rsidRPr="003E2113">
        <w:t>ba</w:t>
      </w:r>
      <w:proofErr w:type="spellEnd"/>
      <w:r w:rsidRPr="003E2113">
        <w:t>] verificando” otra “información”: que una “persona […] contrató a dos personas desconocidas para que cometiera[n] el [homicidio]” (</w:t>
      </w:r>
      <w:r w:rsidRPr="003E2113">
        <w:rPr>
          <w:i/>
        </w:rPr>
        <w:t>supra</w:t>
      </w:r>
      <w:r w:rsidRPr="003E2113">
        <w:t xml:space="preserve"> párr. 46). </w:t>
      </w:r>
      <w:r w:rsidRPr="003E2113">
        <w:rPr>
          <w:rFonts w:cs="Arial"/>
        </w:rPr>
        <w:t>Por último, la DGIC también mencionó, el 16 de febrero de 2009 que uno de los autores podía ser una persona apodada “Chicho” (</w:t>
      </w:r>
      <w:r w:rsidRPr="003E2113">
        <w:rPr>
          <w:rFonts w:cs="Arial"/>
          <w:i/>
        </w:rPr>
        <w:t>supra</w:t>
      </w:r>
      <w:r w:rsidRPr="003E2113">
        <w:rPr>
          <w:rFonts w:cs="Arial"/>
        </w:rPr>
        <w:t>, párr. 51).</w:t>
      </w:r>
    </w:p>
    <w:p w14:paraId="556CA792" w14:textId="77777777" w:rsidR="004635E5" w:rsidRPr="00AD3D4F" w:rsidRDefault="004635E5" w:rsidP="004635E5"/>
    <w:p w14:paraId="44657251" w14:textId="77777777" w:rsidR="004635E5" w:rsidRPr="00AD3D4F" w:rsidRDefault="004635E5" w:rsidP="004635E5">
      <w:pPr>
        <w:pStyle w:val="PrrafodeSentencia"/>
        <w:numPr>
          <w:ilvl w:val="0"/>
          <w:numId w:val="3"/>
        </w:numPr>
        <w:tabs>
          <w:tab w:val="clear" w:pos="567"/>
          <w:tab w:val="left" w:pos="-142"/>
        </w:tabs>
        <w:ind w:left="0" w:firstLine="0"/>
        <w:rPr>
          <w:rFonts w:cs="Arial"/>
        </w:rPr>
      </w:pPr>
      <w:r w:rsidRPr="00AD3D4F">
        <w:rPr>
          <w:rFonts w:cs="Arial"/>
        </w:rPr>
        <w:t>De lo anterior se desprende que hubo diversos señalamientos sobre distintas personas, algunas agentes estatales en ese momento, y otras que no tenían ese carácter, que habrían tenido altercados con el señor Pacheco</w:t>
      </w:r>
      <w:r>
        <w:rPr>
          <w:rFonts w:cs="Arial"/>
        </w:rPr>
        <w:t>,</w:t>
      </w:r>
      <w:r w:rsidRPr="00AD3D4F">
        <w:rPr>
          <w:rFonts w:cs="Arial"/>
        </w:rPr>
        <w:t xml:space="preserve"> proferido amenazas en su contra</w:t>
      </w:r>
      <w:r>
        <w:rPr>
          <w:rFonts w:cs="Arial"/>
        </w:rPr>
        <w:t xml:space="preserve"> o, en términos generales, </w:t>
      </w:r>
      <w:proofErr w:type="gramStart"/>
      <w:r>
        <w:rPr>
          <w:rFonts w:cs="Arial"/>
        </w:rPr>
        <w:t>tenido</w:t>
      </w:r>
      <w:proofErr w:type="gramEnd"/>
      <w:r>
        <w:rPr>
          <w:rFonts w:cs="Arial"/>
        </w:rPr>
        <w:t xml:space="preserve"> vinculación con circunstancias </w:t>
      </w:r>
      <w:r w:rsidRPr="000C7091">
        <w:t xml:space="preserve">intimidatorias </w:t>
      </w:r>
      <w:r>
        <w:t>o de agresión respecto a él</w:t>
      </w:r>
      <w:r w:rsidRPr="00AD3D4F">
        <w:rPr>
          <w:rFonts w:cs="Arial"/>
        </w:rPr>
        <w:t xml:space="preserve">. Dados algunos de esos señalamientos, se evidencia que desde los días iniciales de la investigación surgieron indicaciones sobre la posible vinculación de la muerte del señor Pacheco con la actividad política, y que en el curso de las actuaciones hubo señalamientos sobre la posible autoría del </w:t>
      </w:r>
      <w:r>
        <w:rPr>
          <w:rFonts w:cs="Arial"/>
        </w:rPr>
        <w:t>delito</w:t>
      </w:r>
      <w:r w:rsidRPr="00AD3D4F">
        <w:rPr>
          <w:rFonts w:cs="Arial"/>
        </w:rPr>
        <w:t xml:space="preserve">. </w:t>
      </w:r>
    </w:p>
    <w:p w14:paraId="02DF64F2" w14:textId="77777777" w:rsidR="004635E5" w:rsidRDefault="004635E5" w:rsidP="004635E5">
      <w:pPr>
        <w:rPr>
          <w:lang w:val="es-CR" w:eastAsia="es-MX"/>
        </w:rPr>
      </w:pPr>
    </w:p>
    <w:p w14:paraId="63D0A0C6" w14:textId="77777777" w:rsidR="002913F6" w:rsidRDefault="002913F6" w:rsidP="004635E5">
      <w:pPr>
        <w:rPr>
          <w:lang w:val="es-CR" w:eastAsia="es-MX"/>
        </w:rPr>
      </w:pPr>
    </w:p>
    <w:p w14:paraId="55B4CA68" w14:textId="77777777" w:rsidR="002913F6" w:rsidRDefault="002913F6" w:rsidP="004635E5">
      <w:pPr>
        <w:rPr>
          <w:lang w:val="es-CR" w:eastAsia="es-MX"/>
        </w:rPr>
      </w:pPr>
    </w:p>
    <w:p w14:paraId="4F305162" w14:textId="77777777" w:rsidR="004635E5" w:rsidRPr="00E65AC7" w:rsidRDefault="004635E5" w:rsidP="004635E5">
      <w:pPr>
        <w:pStyle w:val="Heading5"/>
        <w:spacing w:before="0"/>
        <w:ind w:left="1134"/>
        <w:rPr>
          <w:rFonts w:ascii="Verdana" w:hAnsi="Verdana"/>
          <w:i/>
          <w:color w:val="auto"/>
          <w:szCs w:val="20"/>
          <w:lang w:val="es-CR" w:eastAsia="es-MX"/>
        </w:rPr>
      </w:pPr>
      <w:bookmarkStart w:id="270" w:name="_Toc488134450"/>
      <w:bookmarkStart w:id="271" w:name="_Toc489523910"/>
      <w:bookmarkStart w:id="272" w:name="_Toc493512908"/>
      <w:bookmarkStart w:id="273" w:name="_Toc498512829"/>
      <w:r w:rsidRPr="00E65AC7">
        <w:rPr>
          <w:rFonts w:ascii="Verdana" w:hAnsi="Verdana"/>
          <w:i/>
          <w:color w:val="auto"/>
          <w:szCs w:val="20"/>
          <w:lang w:val="es-CR" w:eastAsia="es-MX"/>
        </w:rPr>
        <w:lastRenderedPageBreak/>
        <w:t>B.1.2.</w:t>
      </w:r>
      <w:r>
        <w:rPr>
          <w:rFonts w:ascii="Verdana" w:hAnsi="Verdana"/>
          <w:i/>
          <w:color w:val="auto"/>
          <w:szCs w:val="20"/>
          <w:lang w:val="es-CR" w:eastAsia="es-MX"/>
        </w:rPr>
        <w:t>2</w:t>
      </w:r>
      <w:r w:rsidRPr="00E65AC7">
        <w:rPr>
          <w:rFonts w:ascii="Verdana" w:hAnsi="Verdana"/>
          <w:i/>
          <w:color w:val="auto"/>
          <w:szCs w:val="20"/>
          <w:lang w:val="es-CR" w:eastAsia="es-MX"/>
        </w:rPr>
        <w:t>. Ind</w:t>
      </w:r>
      <w:r>
        <w:rPr>
          <w:rFonts w:ascii="Verdana" w:hAnsi="Verdana"/>
          <w:i/>
          <w:color w:val="auto"/>
          <w:szCs w:val="20"/>
          <w:lang w:val="es-CR" w:eastAsia="es-MX"/>
        </w:rPr>
        <w:t>agación sobre los indicios indicados</w:t>
      </w:r>
      <w:bookmarkEnd w:id="270"/>
      <w:bookmarkEnd w:id="271"/>
      <w:bookmarkEnd w:id="272"/>
      <w:bookmarkEnd w:id="273"/>
      <w:r>
        <w:rPr>
          <w:rFonts w:ascii="Verdana" w:hAnsi="Verdana"/>
          <w:i/>
          <w:color w:val="auto"/>
          <w:szCs w:val="20"/>
          <w:lang w:val="es-CR" w:eastAsia="es-MX"/>
        </w:rPr>
        <w:t xml:space="preserve"> </w:t>
      </w:r>
    </w:p>
    <w:p w14:paraId="0BAF02A9" w14:textId="77777777" w:rsidR="004635E5" w:rsidRPr="00942DC6" w:rsidRDefault="004635E5" w:rsidP="004635E5">
      <w:pPr>
        <w:rPr>
          <w:lang w:val="es-CR" w:eastAsia="es-MX"/>
        </w:rPr>
      </w:pPr>
    </w:p>
    <w:p w14:paraId="5405C0A5" w14:textId="77777777" w:rsidR="004635E5" w:rsidRDefault="004635E5" w:rsidP="004635E5">
      <w:pPr>
        <w:pStyle w:val="PrrafodeSentencia"/>
        <w:numPr>
          <w:ilvl w:val="0"/>
          <w:numId w:val="3"/>
        </w:numPr>
        <w:ind w:left="0" w:firstLine="0"/>
        <w:rPr>
          <w:szCs w:val="20"/>
        </w:rPr>
      </w:pPr>
      <w:r>
        <w:t xml:space="preserve">De lo expuesto surge que en el curso de la investigación </w:t>
      </w:r>
      <w:r w:rsidRPr="00942DC6">
        <w:t>se recab</w:t>
      </w:r>
      <w:r>
        <w:t>ó</w:t>
      </w:r>
      <w:r w:rsidRPr="00942DC6">
        <w:t xml:space="preserve"> información sobre distintas personas posiblemente vinculadas a los hechos. </w:t>
      </w:r>
      <w:r>
        <w:t>E</w:t>
      </w:r>
      <w:r w:rsidRPr="00942DC6">
        <w:t xml:space="preserve">s pertinente </w:t>
      </w:r>
      <w:r>
        <w:t xml:space="preserve">ahora </w:t>
      </w:r>
      <w:r w:rsidRPr="00942DC6">
        <w:t>evaluar la conducta estatal a fin de determinar si, a partir de la obtención de la información aludida, se adoptaron medidas adecuadas para confirmar o descartar su veracidad</w:t>
      </w:r>
      <w:r w:rsidRPr="00B36430">
        <w:rPr>
          <w:rStyle w:val="FootnoteReference"/>
          <w:rFonts w:cs="Arial"/>
          <w:sz w:val="20"/>
          <w:szCs w:val="20"/>
        </w:rPr>
        <w:footnoteReference w:id="162"/>
      </w:r>
      <w:r w:rsidRPr="00B36430">
        <w:rPr>
          <w:szCs w:val="20"/>
        </w:rPr>
        <w:t>.</w:t>
      </w:r>
    </w:p>
    <w:p w14:paraId="7BBC5D11" w14:textId="77777777" w:rsidR="004635E5" w:rsidRPr="00493F83" w:rsidRDefault="004635E5" w:rsidP="004635E5"/>
    <w:p w14:paraId="044B614C" w14:textId="27BB3A1A" w:rsidR="004635E5" w:rsidRPr="003E2113" w:rsidRDefault="004635E5" w:rsidP="004635E5">
      <w:pPr>
        <w:pStyle w:val="PrrafodeSentencia"/>
        <w:numPr>
          <w:ilvl w:val="0"/>
          <w:numId w:val="3"/>
        </w:numPr>
        <w:tabs>
          <w:tab w:val="clear" w:pos="567"/>
          <w:tab w:val="left" w:pos="-142"/>
        </w:tabs>
        <w:ind w:left="0" w:firstLine="0"/>
      </w:pPr>
      <w:r w:rsidRPr="003E2113">
        <w:t>Al respecto, de los hechos surge que en diciembre de 2001 rindieron declaración JE, RP y BC (</w:t>
      </w:r>
      <w:r w:rsidRPr="003E2113">
        <w:rPr>
          <w:i/>
        </w:rPr>
        <w:t>supra</w:t>
      </w:r>
      <w:r w:rsidRPr="003E2113">
        <w:t xml:space="preserve"> párr. 38). Además, se recibieron 20 declaraciones de personas que dieron cuenta de actividades de RP (</w:t>
      </w:r>
      <w:r w:rsidRPr="003E2113">
        <w:rPr>
          <w:i/>
        </w:rPr>
        <w:t>supra</w:t>
      </w:r>
      <w:r w:rsidRPr="003E2113">
        <w:t xml:space="preserve"> párr. 38). Por otra parte, en diciembre de 2001 se solicitó “patrón fotográfico” de SC, y antes del 11 de febrero de 2002 se hizo lo mismo respecto de BC, JE, WC, SC, RP y MV (</w:t>
      </w:r>
      <w:r w:rsidRPr="003E2113">
        <w:rPr>
          <w:i/>
        </w:rPr>
        <w:t>supra</w:t>
      </w:r>
      <w:r w:rsidRPr="003E2113">
        <w:t xml:space="preserve"> </w:t>
      </w:r>
      <w:proofErr w:type="spellStart"/>
      <w:r w:rsidRPr="003E2113">
        <w:t>párrs</w:t>
      </w:r>
      <w:proofErr w:type="spellEnd"/>
      <w:r w:rsidRPr="003E2113">
        <w:t xml:space="preserve">. 40 y 44). Además, antes del 10 de enero de 2004 se realizó la diligencia de “retrato hablado” respecto </w:t>
      </w:r>
      <w:r w:rsidR="00536AFC">
        <w:t xml:space="preserve">a </w:t>
      </w:r>
      <w:r w:rsidRPr="003E2113">
        <w:t>una persona que había prestado declaración</w:t>
      </w:r>
      <w:r w:rsidR="003E2113" w:rsidRPr="003E2113">
        <w:t xml:space="preserve"> (</w:t>
      </w:r>
      <w:r w:rsidR="003E2113" w:rsidRPr="003E2113">
        <w:rPr>
          <w:i/>
        </w:rPr>
        <w:t xml:space="preserve">supra </w:t>
      </w:r>
      <w:r w:rsidR="003E2113" w:rsidRPr="003E2113">
        <w:t>nota a pie de página 157)</w:t>
      </w:r>
      <w:r w:rsidRPr="003E2113">
        <w:t>, dando por resultado retratos “bastante parecidos” al señor SM y a SC. El 25 de enero de 2002 se realizaron allanamientos a las residencias de JE, SC y WC (</w:t>
      </w:r>
      <w:r w:rsidRPr="003E2113">
        <w:rPr>
          <w:i/>
        </w:rPr>
        <w:t>supra</w:t>
      </w:r>
      <w:r w:rsidRPr="003E2113">
        <w:t xml:space="preserve"> párr. 41). A partir de los mismos se indagó sobre “registros telefónicos”; también se encontraron armas y realizaron análisis balísticos (</w:t>
      </w:r>
      <w:r w:rsidRPr="003E2113">
        <w:rPr>
          <w:i/>
        </w:rPr>
        <w:t>supra</w:t>
      </w:r>
      <w:r w:rsidRPr="003E2113">
        <w:t xml:space="preserve"> </w:t>
      </w:r>
      <w:proofErr w:type="spellStart"/>
      <w:r w:rsidRPr="003E2113">
        <w:t>párrs</w:t>
      </w:r>
      <w:proofErr w:type="spellEnd"/>
      <w:r w:rsidRPr="003E2113">
        <w:t>. 41 y 42). Los días 30 de septiembre de 2004 y 11 de enero de 2008 rindió declaración el señor SM (</w:t>
      </w:r>
      <w:r w:rsidRPr="003E2113">
        <w:rPr>
          <w:i/>
        </w:rPr>
        <w:t>supra</w:t>
      </w:r>
      <w:r w:rsidRPr="003E2113">
        <w:t xml:space="preserve"> </w:t>
      </w:r>
      <w:proofErr w:type="spellStart"/>
      <w:r w:rsidRPr="003E2113">
        <w:t>párrs</w:t>
      </w:r>
      <w:proofErr w:type="spellEnd"/>
      <w:r w:rsidRPr="003E2113">
        <w:t>. 46 y 49).</w:t>
      </w:r>
    </w:p>
    <w:p w14:paraId="5AE04759" w14:textId="77777777" w:rsidR="004635E5" w:rsidRDefault="004635E5" w:rsidP="004635E5">
      <w:pPr>
        <w:pStyle w:val="PrrafodeSentencia"/>
        <w:numPr>
          <w:ilvl w:val="0"/>
          <w:numId w:val="0"/>
        </w:numPr>
        <w:rPr>
          <w:rFonts w:cs="Arial"/>
        </w:rPr>
      </w:pPr>
    </w:p>
    <w:p w14:paraId="691DF7A6" w14:textId="63F66D1D" w:rsidR="004635E5" w:rsidRDefault="004635E5" w:rsidP="004635E5">
      <w:pPr>
        <w:pStyle w:val="PrrafodeSentencia"/>
        <w:numPr>
          <w:ilvl w:val="0"/>
          <w:numId w:val="3"/>
        </w:numPr>
        <w:ind w:left="0" w:firstLine="0"/>
      </w:pPr>
      <w:r>
        <w:t xml:space="preserve">Lo expuesto muestra que se realizaron </w:t>
      </w:r>
      <w:r w:rsidRPr="002C1BB1">
        <w:t xml:space="preserve">algunas acciones relacionadas </w:t>
      </w:r>
      <w:r>
        <w:t xml:space="preserve">específicamente </w:t>
      </w:r>
      <w:r w:rsidRPr="002C1BB1">
        <w:t xml:space="preserve">con personas señaladas como posibles </w:t>
      </w:r>
      <w:r w:rsidRPr="004D0607">
        <w:t xml:space="preserve">responsables de la muerte del señor Pacheco. No obstante, no consta diligencia puntual alguna de investigación respecto del señor JQ ni de la persona apodada “Chicho”. Por otra parte, respecto del señor MV, solo consta que se requirió “patrón fotográfico”. La Corte advierte, en particular, que las personas nombradas no prestaron </w:t>
      </w:r>
      <w:r w:rsidRPr="000E38E5">
        <w:rPr>
          <w:szCs w:val="20"/>
        </w:rPr>
        <w:t>declaración</w:t>
      </w:r>
      <w:r w:rsidR="00DB0D15" w:rsidRPr="000E38E5">
        <w:rPr>
          <w:rStyle w:val="FootnoteReference"/>
          <w:sz w:val="20"/>
          <w:szCs w:val="20"/>
        </w:rPr>
        <w:footnoteReference w:id="163"/>
      </w:r>
      <w:r w:rsidRPr="004D0607">
        <w:t>, como tampoco lo hicieron los señores SC</w:t>
      </w:r>
      <w:r w:rsidR="00956107" w:rsidRPr="004D0607">
        <w:t xml:space="preserve"> y WC</w:t>
      </w:r>
      <w:r w:rsidR="00956107">
        <w:t xml:space="preserve">. </w:t>
      </w:r>
      <w:r w:rsidRPr="00942DC6">
        <w:t xml:space="preserve">Si bien respecto de los últimos dos se realizaron otras acciones, este Tribunal considera que resulta razonable asumir que </w:t>
      </w:r>
      <w:r w:rsidRPr="00A32649">
        <w:t xml:space="preserve">procurar </w:t>
      </w:r>
      <w:r w:rsidRPr="00942DC6">
        <w:t>obtener la declaración de personas que podrían estar vinculadas a la autoría del hecho que se investiga, resulta una medida generalmente idónea</w:t>
      </w:r>
      <w:r w:rsidRPr="00C438C1">
        <w:rPr>
          <w:rStyle w:val="FootnoteReference"/>
          <w:sz w:val="20"/>
          <w:szCs w:val="20"/>
        </w:rPr>
        <w:footnoteReference w:id="164"/>
      </w:r>
      <w:r>
        <w:t>.</w:t>
      </w:r>
      <w:r w:rsidRPr="00942DC6">
        <w:t xml:space="preserve"> Su omisión indica una </w:t>
      </w:r>
      <w:r>
        <w:t>conducta</w:t>
      </w:r>
      <w:r w:rsidRPr="00942DC6">
        <w:t xml:space="preserve"> negligente</w:t>
      </w:r>
      <w:r w:rsidRPr="00C438C1">
        <w:rPr>
          <w:rStyle w:val="FootnoteReference"/>
          <w:sz w:val="20"/>
          <w:szCs w:val="20"/>
        </w:rPr>
        <w:footnoteReference w:id="165"/>
      </w:r>
      <w:r>
        <w:t>.</w:t>
      </w:r>
    </w:p>
    <w:p w14:paraId="3DB27EBC" w14:textId="77777777" w:rsidR="004635E5" w:rsidRPr="00493F83" w:rsidRDefault="004635E5" w:rsidP="004635E5"/>
    <w:p w14:paraId="03B4CD90" w14:textId="36F4FC81" w:rsidR="004635E5" w:rsidRPr="005746A2" w:rsidRDefault="004635E5" w:rsidP="004635E5">
      <w:pPr>
        <w:pStyle w:val="PrrafodeSentencia"/>
        <w:numPr>
          <w:ilvl w:val="0"/>
          <w:numId w:val="3"/>
        </w:numPr>
        <w:tabs>
          <w:tab w:val="clear" w:pos="567"/>
          <w:tab w:val="left" w:pos="-142"/>
        </w:tabs>
        <w:ind w:left="0" w:firstLine="0"/>
      </w:pPr>
      <w:r w:rsidRPr="00F262A7">
        <w:t>Además, tampoco se recibió declaración de</w:t>
      </w:r>
      <w:r w:rsidR="00DB0D15" w:rsidRPr="00F262A7">
        <w:t>l padre de</w:t>
      </w:r>
      <w:r w:rsidRPr="00F262A7">
        <w:t xml:space="preserve"> R</w:t>
      </w:r>
      <w:r w:rsidR="00956107">
        <w:t>C o de RM</w:t>
      </w:r>
      <w:r w:rsidR="00DB0D15" w:rsidRPr="00F262A7">
        <w:t xml:space="preserve">, </w:t>
      </w:r>
      <w:r w:rsidR="00DB0D15" w:rsidRPr="00F07B77">
        <w:t>n</w:t>
      </w:r>
      <w:r w:rsidR="00F262A7" w:rsidRPr="00F07B77">
        <w:t>i</w:t>
      </w:r>
      <w:r w:rsidR="00DB0D15" w:rsidRPr="00F07B77">
        <w:t xml:space="preserve"> de RC </w:t>
      </w:r>
      <w:r w:rsidR="003E2113" w:rsidRPr="00F07B77">
        <w:t xml:space="preserve">con </w:t>
      </w:r>
      <w:r w:rsidR="00DB0D15" w:rsidRPr="00F07B77">
        <w:t>posterior</w:t>
      </w:r>
      <w:r w:rsidR="003E2113" w:rsidRPr="00F07B77">
        <w:t>idad</w:t>
      </w:r>
      <w:r w:rsidR="00DB0D15" w:rsidRPr="00F07B77">
        <w:t xml:space="preserve"> al señalamiento que hiciera </w:t>
      </w:r>
      <w:proofErr w:type="spellStart"/>
      <w:r w:rsidR="00DB0D15" w:rsidRPr="00F07B77">
        <w:t>Marleny</w:t>
      </w:r>
      <w:proofErr w:type="spellEnd"/>
      <w:r w:rsidR="00DB0D15" w:rsidRPr="00F07B77">
        <w:t xml:space="preserve"> Pacheco en noviembre de 2002</w:t>
      </w:r>
      <w:r w:rsidR="00DB0D15" w:rsidRPr="00F262A7">
        <w:t xml:space="preserve"> (</w:t>
      </w:r>
      <w:r w:rsidR="00DB0D15" w:rsidRPr="005746A2">
        <w:rPr>
          <w:i/>
        </w:rPr>
        <w:t>supra</w:t>
      </w:r>
      <w:r w:rsidR="00DB0D15" w:rsidRPr="005746A2">
        <w:t xml:space="preserve"> párr. 103)</w:t>
      </w:r>
      <w:r w:rsidR="00DB0D15" w:rsidRPr="007B05B0">
        <w:rPr>
          <w:rStyle w:val="FootnoteReference"/>
          <w:sz w:val="20"/>
          <w:szCs w:val="20"/>
        </w:rPr>
        <w:footnoteReference w:id="166"/>
      </w:r>
      <w:r w:rsidRPr="007B05B0">
        <w:rPr>
          <w:szCs w:val="20"/>
        </w:rPr>
        <w:t>.</w:t>
      </w:r>
    </w:p>
    <w:p w14:paraId="4A3EC9EE" w14:textId="77777777" w:rsidR="004635E5" w:rsidRPr="005746A2" w:rsidRDefault="004635E5" w:rsidP="004635E5">
      <w:pPr>
        <w:pStyle w:val="PrrafodeSentencia"/>
        <w:numPr>
          <w:ilvl w:val="0"/>
          <w:numId w:val="0"/>
        </w:numPr>
        <w:tabs>
          <w:tab w:val="clear" w:pos="567"/>
          <w:tab w:val="left" w:pos="-142"/>
        </w:tabs>
      </w:pPr>
    </w:p>
    <w:p w14:paraId="65D58746" w14:textId="77777777" w:rsidR="004635E5" w:rsidRDefault="004635E5" w:rsidP="004635E5">
      <w:pPr>
        <w:pStyle w:val="PrrafodeSentencia"/>
        <w:numPr>
          <w:ilvl w:val="0"/>
          <w:numId w:val="3"/>
        </w:numPr>
        <w:tabs>
          <w:tab w:val="clear" w:pos="567"/>
          <w:tab w:val="left" w:pos="-142"/>
        </w:tabs>
        <w:ind w:left="0" w:firstLine="0"/>
        <w:rPr>
          <w:rFonts w:cs="Arial"/>
        </w:rPr>
      </w:pPr>
      <w:r w:rsidRPr="005746A2">
        <w:rPr>
          <w:rFonts w:cs="Arial"/>
        </w:rPr>
        <w:lastRenderedPageBreak/>
        <w:t>Por otra parte, se ha indicado que debe evitarse “dilaciones indebidas” en la investigación (</w:t>
      </w:r>
      <w:r w:rsidRPr="005746A2">
        <w:rPr>
          <w:rFonts w:cs="Arial"/>
          <w:i/>
        </w:rPr>
        <w:t>supra</w:t>
      </w:r>
      <w:r w:rsidRPr="005746A2">
        <w:rPr>
          <w:rFonts w:cs="Arial"/>
        </w:rPr>
        <w:t xml:space="preserve"> párr. 74). Al respe</w:t>
      </w:r>
      <w:r w:rsidRPr="00942DC6">
        <w:rPr>
          <w:rFonts w:cs="Arial"/>
        </w:rPr>
        <w:t xml:space="preserve">cto, sin perjuicio del examen sobre la razonabilidad del tiempo </w:t>
      </w:r>
      <w:r>
        <w:rPr>
          <w:rFonts w:cs="Arial"/>
        </w:rPr>
        <w:t>transcurrido</w:t>
      </w:r>
      <w:r w:rsidRPr="00942DC6">
        <w:rPr>
          <w:rFonts w:cs="Arial"/>
        </w:rPr>
        <w:t xml:space="preserve">, que se realiza más </w:t>
      </w:r>
      <w:r w:rsidRPr="009E704D">
        <w:rPr>
          <w:rFonts w:cs="Arial"/>
        </w:rPr>
        <w:t>adelante (</w:t>
      </w:r>
      <w:r w:rsidRPr="009E704D">
        <w:rPr>
          <w:rFonts w:cs="Arial"/>
          <w:i/>
        </w:rPr>
        <w:t>infra</w:t>
      </w:r>
      <w:r w:rsidRPr="009E704D">
        <w:rPr>
          <w:rFonts w:cs="Arial"/>
        </w:rPr>
        <w:t xml:space="preserve"> </w:t>
      </w:r>
      <w:proofErr w:type="spellStart"/>
      <w:r w:rsidRPr="009E704D">
        <w:rPr>
          <w:rFonts w:cs="Arial"/>
        </w:rPr>
        <w:t>párrs</w:t>
      </w:r>
      <w:proofErr w:type="spellEnd"/>
      <w:r w:rsidRPr="009E704D">
        <w:rPr>
          <w:rFonts w:cs="Arial"/>
        </w:rPr>
        <w:t>. 117 a 127), la</w:t>
      </w:r>
      <w:r w:rsidRPr="00942DC6">
        <w:rPr>
          <w:rFonts w:cs="Arial"/>
        </w:rPr>
        <w:t xml:space="preserve"> Corte advierte que el señor </w:t>
      </w:r>
      <w:r>
        <w:rPr>
          <w:rFonts w:cs="Arial"/>
        </w:rPr>
        <w:t>SM</w:t>
      </w:r>
      <w:r w:rsidRPr="00942DC6">
        <w:rPr>
          <w:rFonts w:cs="Arial"/>
        </w:rPr>
        <w:t xml:space="preserve"> brindó </w:t>
      </w:r>
      <w:r>
        <w:rPr>
          <w:rFonts w:cs="Arial"/>
        </w:rPr>
        <w:t xml:space="preserve">una </w:t>
      </w:r>
      <w:r w:rsidRPr="00942DC6">
        <w:rPr>
          <w:rFonts w:cs="Arial"/>
        </w:rPr>
        <w:t>declaración por primera vez el 30 de septiembre de 2004</w:t>
      </w:r>
      <w:r>
        <w:rPr>
          <w:rFonts w:cs="Arial"/>
        </w:rPr>
        <w:t xml:space="preserve"> </w:t>
      </w:r>
      <w:r w:rsidRPr="005746A2">
        <w:rPr>
          <w:rFonts w:cs="Arial"/>
        </w:rPr>
        <w:t>(</w:t>
      </w:r>
      <w:r w:rsidRPr="005746A2">
        <w:rPr>
          <w:rFonts w:cs="Arial"/>
          <w:i/>
        </w:rPr>
        <w:t>supra</w:t>
      </w:r>
      <w:r w:rsidRPr="005746A2">
        <w:rPr>
          <w:rFonts w:cs="Arial"/>
        </w:rPr>
        <w:t xml:space="preserve"> </w:t>
      </w:r>
      <w:proofErr w:type="spellStart"/>
      <w:r w:rsidRPr="005746A2">
        <w:rPr>
          <w:rFonts w:cs="Arial"/>
        </w:rPr>
        <w:t>párrs</w:t>
      </w:r>
      <w:proofErr w:type="spellEnd"/>
      <w:r w:rsidRPr="005746A2">
        <w:rPr>
          <w:rFonts w:cs="Arial"/>
        </w:rPr>
        <w:t>. 46 y 107). Es</w:t>
      </w:r>
      <w:r w:rsidRPr="00942DC6">
        <w:rPr>
          <w:rFonts w:cs="Arial"/>
        </w:rPr>
        <w:t xml:space="preserve"> decir, </w:t>
      </w:r>
      <w:r>
        <w:rPr>
          <w:rFonts w:cs="Arial"/>
        </w:rPr>
        <w:t xml:space="preserve">lo hizo </w:t>
      </w:r>
      <w:r w:rsidRPr="00942DC6">
        <w:rPr>
          <w:rFonts w:cs="Arial"/>
        </w:rPr>
        <w:t>más de un año y nueve meses despu</w:t>
      </w:r>
      <w:r>
        <w:rPr>
          <w:rFonts w:cs="Arial"/>
        </w:rPr>
        <w:t>é</w:t>
      </w:r>
      <w:r w:rsidRPr="00942DC6">
        <w:rPr>
          <w:rFonts w:cs="Arial"/>
        </w:rPr>
        <w:t xml:space="preserve">s de que en el curso de la investigación </w:t>
      </w:r>
      <w:r>
        <w:rPr>
          <w:rFonts w:cs="Arial"/>
        </w:rPr>
        <w:t>s</w:t>
      </w:r>
      <w:r w:rsidRPr="00942DC6">
        <w:rPr>
          <w:rFonts w:cs="Arial"/>
        </w:rPr>
        <w:t>e presentara la primera referencia sobre su posible participación en los hechos. Esta demora</w:t>
      </w:r>
      <w:r>
        <w:rPr>
          <w:rFonts w:cs="Arial"/>
        </w:rPr>
        <w:t xml:space="preserve"> injustificada resulta</w:t>
      </w:r>
      <w:r w:rsidRPr="00942DC6">
        <w:rPr>
          <w:rFonts w:cs="Arial"/>
        </w:rPr>
        <w:t xml:space="preserve"> una conducta negligente. </w:t>
      </w:r>
    </w:p>
    <w:p w14:paraId="4BB38423" w14:textId="77777777" w:rsidR="004635E5" w:rsidRPr="00942DC6" w:rsidRDefault="004635E5" w:rsidP="004635E5">
      <w:pPr>
        <w:tabs>
          <w:tab w:val="left" w:pos="-142"/>
        </w:tabs>
        <w:rPr>
          <w:lang w:val="es-CR" w:eastAsia="es-MX"/>
        </w:rPr>
      </w:pPr>
    </w:p>
    <w:p w14:paraId="40E10849" w14:textId="53A1416E" w:rsidR="004635E5" w:rsidRPr="00942DC6" w:rsidRDefault="004635E5" w:rsidP="004635E5">
      <w:pPr>
        <w:pStyle w:val="PrrafodeSentencia"/>
        <w:numPr>
          <w:ilvl w:val="0"/>
          <w:numId w:val="3"/>
        </w:numPr>
        <w:tabs>
          <w:tab w:val="clear" w:pos="567"/>
          <w:tab w:val="left" w:pos="-142"/>
        </w:tabs>
        <w:ind w:left="0" w:firstLine="0"/>
        <w:rPr>
          <w:rFonts w:cs="Arial"/>
        </w:rPr>
      </w:pPr>
      <w:r w:rsidRPr="00942DC6">
        <w:t xml:space="preserve">Respecto de los señalamientos sobre la supuesta autoría de los que la DGIC </w:t>
      </w:r>
      <w:r>
        <w:t>indicó</w:t>
      </w:r>
      <w:r w:rsidRPr="00942DC6">
        <w:t xml:space="preserve"> </w:t>
      </w:r>
      <w:r>
        <w:t xml:space="preserve">en un informe de </w:t>
      </w:r>
      <w:r w:rsidRPr="00942DC6">
        <w:t xml:space="preserve">11 de octubre de 2004, que resultaba necesaria la medida de “vigilancia” y “ubicación” de </w:t>
      </w:r>
      <w:r>
        <w:t>determinadas</w:t>
      </w:r>
      <w:r w:rsidRPr="00942DC6">
        <w:t xml:space="preserve"> personas, pues no tenían d</w:t>
      </w:r>
      <w:r w:rsidRPr="005746A2">
        <w:t>omicilio fijo (</w:t>
      </w:r>
      <w:r w:rsidRPr="005746A2">
        <w:rPr>
          <w:i/>
        </w:rPr>
        <w:t>supra</w:t>
      </w:r>
      <w:r w:rsidRPr="005746A2">
        <w:t xml:space="preserve"> párr. 46). Para </w:t>
      </w:r>
      <w:r w:rsidR="005746A2" w:rsidRPr="005746A2">
        <w:t xml:space="preserve">marzo de </w:t>
      </w:r>
      <w:r w:rsidRPr="005746A2">
        <w:t xml:space="preserve">2005 todavía no se había podido ubicar a </w:t>
      </w:r>
      <w:r w:rsidR="00956107" w:rsidRPr="005746A2">
        <w:t>EC</w:t>
      </w:r>
      <w:r w:rsidRPr="005746A2">
        <w:t xml:space="preserve"> (</w:t>
      </w:r>
      <w:r w:rsidRPr="005746A2">
        <w:rPr>
          <w:i/>
        </w:rPr>
        <w:t>supra</w:t>
      </w:r>
      <w:r w:rsidRPr="005746A2">
        <w:t xml:space="preserve"> párr. 46)</w:t>
      </w:r>
      <w:r w:rsidRPr="00942DC6">
        <w:t xml:space="preserve"> </w:t>
      </w:r>
      <w:r w:rsidRPr="004D0607">
        <w:t>y no consta que con posterioridad se realizara la medida de “vigilancia” o que pudiera localizarse a esa persona o a otras referidas en el informe. Debe tenerse en cuenta que transcurrieron más de 11 años y 10 meses desde las fechas señaladas, que la investigación continúa abierta y que no se advierte que se hubiere considerado que la localización de las personas aludidas dejara de ser relevante.</w:t>
      </w:r>
      <w:r w:rsidRPr="00942DC6">
        <w:t xml:space="preserve"> Por tanto, considerando el tiempo transcurrido, la Corte </w:t>
      </w:r>
      <w:r w:rsidR="000E38E5">
        <w:t>estima</w:t>
      </w:r>
      <w:r w:rsidRPr="00942DC6">
        <w:t xml:space="preserve"> que la ausencia de información sobre el señor </w:t>
      </w:r>
      <w:r>
        <w:t>EC</w:t>
      </w:r>
      <w:r w:rsidRPr="00942DC6">
        <w:t xml:space="preserve"> y</w:t>
      </w:r>
      <w:r>
        <w:t xml:space="preserve"> la falta de localización de</w:t>
      </w:r>
      <w:r w:rsidRPr="00942DC6">
        <w:t xml:space="preserve"> las otras personas</w:t>
      </w:r>
      <w:r>
        <w:t xml:space="preserve"> aludidas</w:t>
      </w:r>
      <w:r w:rsidRPr="00942DC6">
        <w:t xml:space="preserve">, es indicativa de una conducta negligente. </w:t>
      </w:r>
    </w:p>
    <w:p w14:paraId="14079CA2" w14:textId="77777777" w:rsidR="004635E5" w:rsidRPr="00942DC6" w:rsidRDefault="004635E5" w:rsidP="004635E5">
      <w:pPr>
        <w:pStyle w:val="PrrafodeSentencia"/>
        <w:numPr>
          <w:ilvl w:val="0"/>
          <w:numId w:val="0"/>
        </w:numPr>
        <w:tabs>
          <w:tab w:val="clear" w:pos="567"/>
          <w:tab w:val="left" w:pos="-142"/>
        </w:tabs>
        <w:rPr>
          <w:rFonts w:cs="Arial"/>
        </w:rPr>
      </w:pPr>
      <w:r w:rsidRPr="00942DC6">
        <w:t xml:space="preserve"> </w:t>
      </w:r>
    </w:p>
    <w:p w14:paraId="0310AA9A" w14:textId="77777777" w:rsidR="004635E5" w:rsidRPr="00AD3D4F" w:rsidRDefault="004635E5" w:rsidP="004635E5">
      <w:pPr>
        <w:pStyle w:val="PrrafodeSentencia"/>
        <w:numPr>
          <w:ilvl w:val="0"/>
          <w:numId w:val="3"/>
        </w:numPr>
        <w:tabs>
          <w:tab w:val="clear" w:pos="567"/>
          <w:tab w:val="left" w:pos="-142"/>
        </w:tabs>
        <w:ind w:left="0" w:firstLine="0"/>
        <w:rPr>
          <w:rFonts w:eastAsiaTheme="minorEastAsia"/>
          <w:color w:val="000000"/>
          <w:szCs w:val="20"/>
          <w:lang w:eastAsia="zh-CN"/>
        </w:rPr>
      </w:pPr>
      <w:r w:rsidRPr="00AD3D4F">
        <w:rPr>
          <w:rFonts w:eastAsiaTheme="minorEastAsia"/>
          <w:color w:val="000000"/>
          <w:szCs w:val="20"/>
          <w:lang w:eastAsia="zh-CN"/>
        </w:rPr>
        <w:t xml:space="preserve">Por otro lado, </w:t>
      </w:r>
      <w:r w:rsidRPr="00AD3D4F">
        <w:rPr>
          <w:rFonts w:cs="Arial"/>
          <w:szCs w:val="20"/>
        </w:rPr>
        <w:t>e</w:t>
      </w:r>
      <w:r w:rsidRPr="00AD3D4F">
        <w:rPr>
          <w:rFonts w:eastAsiaTheme="minorEastAsia"/>
          <w:color w:val="000000"/>
          <w:szCs w:val="20"/>
          <w:lang w:eastAsia="zh-CN"/>
        </w:rPr>
        <w:t xml:space="preserve">ste Tribunal nota, según se explica en lo que sigue, que hubo otras conductas que, de haberse llevado a cabo debidamente, podrían haber coadyuvado a obtener información sobre la autoría del delito. </w:t>
      </w:r>
    </w:p>
    <w:p w14:paraId="316D8ED1" w14:textId="77777777" w:rsidR="004635E5" w:rsidRPr="002D5A5C" w:rsidRDefault="004635E5" w:rsidP="004635E5">
      <w:pPr>
        <w:rPr>
          <w:lang w:eastAsia="zh-CN"/>
        </w:rPr>
      </w:pPr>
    </w:p>
    <w:p w14:paraId="530CBC99" w14:textId="77777777" w:rsidR="004635E5" w:rsidRPr="002D5A5C" w:rsidRDefault="004635E5" w:rsidP="004635E5">
      <w:pPr>
        <w:pStyle w:val="PrrafodeSentencia"/>
        <w:numPr>
          <w:ilvl w:val="0"/>
          <w:numId w:val="3"/>
        </w:numPr>
        <w:tabs>
          <w:tab w:val="clear" w:pos="567"/>
          <w:tab w:val="left" w:pos="-142"/>
        </w:tabs>
        <w:ind w:left="0" w:firstLine="0"/>
        <w:rPr>
          <w:rFonts w:eastAsiaTheme="minorEastAsia"/>
          <w:color w:val="000000"/>
          <w:szCs w:val="20"/>
          <w:lang w:eastAsia="zh-CN"/>
        </w:rPr>
      </w:pPr>
      <w:r>
        <w:rPr>
          <w:rFonts w:eastAsiaTheme="minorEastAsia"/>
          <w:color w:val="000000"/>
          <w:szCs w:val="20"/>
          <w:lang w:eastAsia="zh-CN"/>
        </w:rPr>
        <w:t xml:space="preserve">En ese sentido, la Corte </w:t>
      </w:r>
      <w:r w:rsidRPr="00C438C1">
        <w:rPr>
          <w:rFonts w:eastAsiaTheme="minorEastAsia"/>
          <w:color w:val="000000"/>
          <w:szCs w:val="20"/>
          <w:lang w:eastAsia="zh-CN"/>
        </w:rPr>
        <w:t>recuerda que ha señalado que las amenazas e intimidaciones sufridas por testigos en el proceso interno se deben considerar en el marco de obstaculizaciones de la investigación del caso, ya que tales hechos pueden convertirse en un medio para perpetuar la impunidad e impedir que se conozca la verdad de lo ocurrido</w:t>
      </w:r>
      <w:r w:rsidRPr="00C438C1">
        <w:rPr>
          <w:rStyle w:val="FootnoteReference"/>
          <w:rFonts w:eastAsiaTheme="minorEastAsia"/>
          <w:color w:val="000000"/>
          <w:sz w:val="20"/>
          <w:szCs w:val="20"/>
          <w:lang w:eastAsia="zh-CN"/>
        </w:rPr>
        <w:footnoteReference w:id="167"/>
      </w:r>
      <w:r w:rsidRPr="005D079B">
        <w:rPr>
          <w:rFonts w:eastAsiaTheme="minorEastAsia"/>
          <w:color w:val="000000"/>
          <w:szCs w:val="20"/>
          <w:lang w:eastAsia="zh-CN"/>
        </w:rPr>
        <w:t>.</w:t>
      </w:r>
      <w:r>
        <w:rPr>
          <w:rFonts w:eastAsiaTheme="minorEastAsia"/>
          <w:color w:val="000000"/>
          <w:szCs w:val="20"/>
          <w:lang w:eastAsia="zh-CN"/>
        </w:rPr>
        <w:t xml:space="preserve"> </w:t>
      </w:r>
      <w:r w:rsidRPr="00C438C1">
        <w:rPr>
          <w:rFonts w:cs="Arial"/>
          <w:szCs w:val="20"/>
        </w:rPr>
        <w:t>También ha dicho que con objeto de garantizar un debido proceso, debe facilitar todos los medios necesarios para proteger a los operadores de justicia, investigadores, testigos y familiares de las víctimas de hostigamientos y amenazas que tengan como finalidad entorpecer el proceso, evitar el esclarecimiento de los hechos y encubrir a los responsables de los mismos</w:t>
      </w:r>
      <w:r w:rsidRPr="00C438C1">
        <w:rPr>
          <w:rStyle w:val="FootnoteReference"/>
          <w:rFonts w:cs="Arial"/>
          <w:sz w:val="20"/>
          <w:szCs w:val="20"/>
        </w:rPr>
        <w:footnoteReference w:id="168"/>
      </w:r>
      <w:r w:rsidRPr="005D079B">
        <w:rPr>
          <w:rFonts w:cs="Arial"/>
          <w:szCs w:val="20"/>
        </w:rPr>
        <w:t>,</w:t>
      </w:r>
      <w:r>
        <w:rPr>
          <w:rFonts w:cs="Arial"/>
          <w:szCs w:val="20"/>
        </w:rPr>
        <w:t xml:space="preserve"> </w:t>
      </w:r>
      <w:r w:rsidRPr="005D079B">
        <w:rPr>
          <w:rFonts w:cs="Arial"/>
          <w:szCs w:val="20"/>
        </w:rPr>
        <w:t>pues de lo contrario eso tendría un efecto amedrentador e intimidante en quienes investigan y</w:t>
      </w:r>
      <w:r w:rsidRPr="00C438C1">
        <w:rPr>
          <w:rFonts w:cs="Arial"/>
          <w:szCs w:val="20"/>
        </w:rPr>
        <w:t xml:space="preserve"> en quienes podrían ser testigos, afectando seriamente la efectividad de la investigación</w:t>
      </w:r>
      <w:r w:rsidRPr="00C438C1">
        <w:rPr>
          <w:rStyle w:val="FootnoteReference"/>
          <w:rFonts w:cs="Arial"/>
          <w:sz w:val="20"/>
          <w:szCs w:val="20"/>
        </w:rPr>
        <w:footnoteReference w:id="169"/>
      </w:r>
      <w:r w:rsidRPr="005D079B">
        <w:rPr>
          <w:rFonts w:cs="Arial"/>
          <w:szCs w:val="20"/>
        </w:rPr>
        <w:t>.</w:t>
      </w:r>
      <w:r>
        <w:rPr>
          <w:rFonts w:cs="Arial"/>
          <w:szCs w:val="20"/>
        </w:rPr>
        <w:t xml:space="preserve"> </w:t>
      </w:r>
    </w:p>
    <w:p w14:paraId="2AAC0DCE" w14:textId="77777777" w:rsidR="004635E5" w:rsidRDefault="004635E5" w:rsidP="004635E5">
      <w:pPr>
        <w:tabs>
          <w:tab w:val="left" w:pos="-142"/>
        </w:tabs>
        <w:rPr>
          <w:lang w:val="es-CR" w:eastAsia="zh-CN"/>
        </w:rPr>
      </w:pPr>
    </w:p>
    <w:p w14:paraId="259A519C" w14:textId="77777777" w:rsidR="004635E5" w:rsidRPr="004D0607" w:rsidRDefault="004635E5" w:rsidP="004635E5">
      <w:pPr>
        <w:pStyle w:val="PrrafodeSentencia"/>
        <w:numPr>
          <w:ilvl w:val="0"/>
          <w:numId w:val="3"/>
        </w:numPr>
        <w:tabs>
          <w:tab w:val="clear" w:pos="567"/>
          <w:tab w:val="left" w:pos="-142"/>
        </w:tabs>
        <w:ind w:left="0" w:firstLine="0"/>
        <w:rPr>
          <w:rFonts w:cs="Arial"/>
        </w:rPr>
      </w:pPr>
      <w:r w:rsidRPr="00AD3D4F">
        <w:rPr>
          <w:rFonts w:cs="Arial"/>
        </w:rPr>
        <w:t xml:space="preserve">Al respecto, el 20 de diciembre de 2001 autoridades de la investigación hicieron notar que había testigos que temían por su vida y que era necesario brindar protección al menos a uno de </w:t>
      </w:r>
      <w:r w:rsidRPr="005746A2">
        <w:rPr>
          <w:rFonts w:cs="Arial"/>
        </w:rPr>
        <w:t>ellos (</w:t>
      </w:r>
      <w:r w:rsidRPr="005746A2">
        <w:rPr>
          <w:rFonts w:cs="Arial"/>
          <w:i/>
        </w:rPr>
        <w:t>supra</w:t>
      </w:r>
      <w:r w:rsidRPr="005746A2">
        <w:rPr>
          <w:rFonts w:cs="Arial"/>
        </w:rPr>
        <w:t xml:space="preserve"> párr. 40)</w:t>
      </w:r>
      <w:r w:rsidRPr="004D0607">
        <w:rPr>
          <w:rFonts w:cs="Arial"/>
        </w:rPr>
        <w:t>. Sin embargo, no consta que se haya otorgado dicha protección</w:t>
      </w:r>
      <w:r w:rsidRPr="004D0607">
        <w:rPr>
          <w:rFonts w:cs="Cambria"/>
          <w:szCs w:val="20"/>
        </w:rPr>
        <w:t>.</w:t>
      </w:r>
      <w:r w:rsidRPr="004D0607">
        <w:rPr>
          <w:rFonts w:cs="Cambria"/>
        </w:rPr>
        <w:t xml:space="preserve"> </w:t>
      </w:r>
      <w:r w:rsidRPr="004D0607">
        <w:rPr>
          <w:rFonts w:eastAsiaTheme="minorEastAsia"/>
          <w:color w:val="000000"/>
          <w:szCs w:val="20"/>
          <w:lang w:eastAsia="zh-CN"/>
        </w:rPr>
        <w:t>La Corte entiende que la falta de protección a testigos afectó perjudicialmente la posibilidad de que la investigación arroje resultados</w:t>
      </w:r>
      <w:r w:rsidRPr="004D0607">
        <w:rPr>
          <w:rStyle w:val="FootnoteReference"/>
          <w:rFonts w:eastAsiaTheme="minorEastAsia"/>
          <w:color w:val="000000"/>
          <w:sz w:val="20"/>
          <w:szCs w:val="20"/>
          <w:lang w:eastAsia="zh-CN"/>
        </w:rPr>
        <w:footnoteReference w:id="170"/>
      </w:r>
      <w:r w:rsidRPr="004D0607">
        <w:rPr>
          <w:rFonts w:eastAsiaTheme="minorEastAsia"/>
          <w:color w:val="000000"/>
          <w:szCs w:val="20"/>
          <w:lang w:eastAsia="zh-CN"/>
        </w:rPr>
        <w:t xml:space="preserve">. </w:t>
      </w:r>
    </w:p>
    <w:p w14:paraId="2C3982DF" w14:textId="77777777" w:rsidR="004635E5" w:rsidRPr="004D0607" w:rsidRDefault="004635E5" w:rsidP="004635E5">
      <w:pPr>
        <w:tabs>
          <w:tab w:val="left" w:pos="-142"/>
        </w:tabs>
        <w:ind w:firstLine="708"/>
        <w:rPr>
          <w:lang w:val="es-CR" w:eastAsia="zh-CN"/>
        </w:rPr>
      </w:pPr>
    </w:p>
    <w:p w14:paraId="355E7D81" w14:textId="7229003F" w:rsidR="004635E5" w:rsidRDefault="004635E5" w:rsidP="004635E5">
      <w:pPr>
        <w:pStyle w:val="PrrafodeSentencia"/>
        <w:numPr>
          <w:ilvl w:val="0"/>
          <w:numId w:val="3"/>
        </w:numPr>
        <w:tabs>
          <w:tab w:val="clear" w:pos="567"/>
          <w:tab w:val="left" w:pos="-142"/>
        </w:tabs>
        <w:ind w:left="0" w:firstLine="0"/>
      </w:pPr>
      <w:r w:rsidRPr="004D0607">
        <w:rPr>
          <w:rFonts w:cs="Arial"/>
        </w:rPr>
        <w:t>Finalmente, surge de los hechos que en 2010 el Ministerio Público Fiscal entendió que la investigación se había vuelto “compleja” por “el paso del tiempo” y solicitó la asignación de un equipo especial, pedido que</w:t>
      </w:r>
      <w:r w:rsidR="005746A2" w:rsidRPr="004D0607">
        <w:rPr>
          <w:rFonts w:cs="Arial"/>
        </w:rPr>
        <w:t xml:space="preserve"> se</w:t>
      </w:r>
      <w:r w:rsidRPr="004D0607">
        <w:rPr>
          <w:rFonts w:cs="Arial"/>
        </w:rPr>
        <w:t xml:space="preserve"> reiteró en 2013 y 2015 (</w:t>
      </w:r>
      <w:r w:rsidRPr="004D0607">
        <w:rPr>
          <w:rFonts w:cs="Arial"/>
          <w:i/>
        </w:rPr>
        <w:t>supra</w:t>
      </w:r>
      <w:r w:rsidRPr="004D0607">
        <w:t xml:space="preserve"> párr. 52)</w:t>
      </w:r>
      <w:r w:rsidRPr="004D0607">
        <w:rPr>
          <w:rFonts w:cs="Arial"/>
        </w:rPr>
        <w:t>. No consta que su pedido fuera atendido.</w:t>
      </w:r>
      <w:r w:rsidRPr="003F6EBB">
        <w:rPr>
          <w:rFonts w:cs="Arial"/>
        </w:rPr>
        <w:t xml:space="preserve"> Considerando que la propia autoridad interviniente entendió la asignación de un equipo especial como una medida necesaria, la Corte considera que la falta de su conformación pudo haber perjudicado el resultado de la investigación. </w:t>
      </w:r>
    </w:p>
    <w:p w14:paraId="05018533" w14:textId="77777777" w:rsidR="004635E5" w:rsidRPr="008A2AE0" w:rsidRDefault="004635E5" w:rsidP="004635E5">
      <w:pPr>
        <w:rPr>
          <w:lang w:val="es-CR" w:eastAsia="es-MX"/>
        </w:rPr>
      </w:pPr>
    </w:p>
    <w:p w14:paraId="265FA602" w14:textId="77777777" w:rsidR="004635E5" w:rsidRDefault="004635E5" w:rsidP="004635E5">
      <w:pPr>
        <w:pStyle w:val="PrrafodeSentencia"/>
        <w:numPr>
          <w:ilvl w:val="0"/>
          <w:numId w:val="3"/>
        </w:numPr>
        <w:tabs>
          <w:tab w:val="clear" w:pos="567"/>
          <w:tab w:val="left" w:pos="-142"/>
        </w:tabs>
        <w:ind w:left="0" w:firstLine="0"/>
        <w:rPr>
          <w:rFonts w:cs="Arial"/>
          <w:szCs w:val="20"/>
        </w:rPr>
      </w:pPr>
      <w:r w:rsidRPr="00942DC6">
        <w:rPr>
          <w:rFonts w:cs="Arial"/>
        </w:rPr>
        <w:t>En relación con las omisiones y dilaciones antes referidas, las acciones no realizadas, o realizadas tardíamente, resultaban procedentes, a partir de la consideración de las circunstancias del caso, de acuerdo a pauta</w:t>
      </w:r>
      <w:r w:rsidRPr="005D079B">
        <w:rPr>
          <w:rFonts w:cs="Arial"/>
          <w:szCs w:val="20"/>
        </w:rPr>
        <w:t>s de evidente razonabilidad o de conformidad al señalamiento de las propias autoridades internas.</w:t>
      </w:r>
      <w:r>
        <w:rPr>
          <w:rFonts w:cs="Arial"/>
        </w:rPr>
        <w:t xml:space="preserve"> R</w:t>
      </w:r>
      <w:r w:rsidRPr="001E3DDB">
        <w:rPr>
          <w:rFonts w:cs="Arial"/>
        </w:rPr>
        <w:t xml:space="preserve">esulta razonable asumir que tales omisiones y dilaciones produjeron una afectación perjudicial a la investigación que, de acuerdo a la información con que cuenta </w:t>
      </w:r>
      <w:r>
        <w:rPr>
          <w:rFonts w:cs="Arial"/>
        </w:rPr>
        <w:t>la Corte</w:t>
      </w:r>
      <w:r w:rsidRPr="001E3DDB">
        <w:rPr>
          <w:rFonts w:cs="Arial"/>
        </w:rPr>
        <w:t xml:space="preserve">, no ha sido subsanada mediante la adopción de otras acciones idóneas para lograr determinar lo sucedido y, en su caso, avanzar </w:t>
      </w:r>
      <w:r w:rsidRPr="005D079B">
        <w:rPr>
          <w:rFonts w:cs="Arial"/>
          <w:szCs w:val="20"/>
        </w:rPr>
        <w:t xml:space="preserve">en </w:t>
      </w:r>
      <w:r>
        <w:rPr>
          <w:rFonts w:cs="Arial"/>
          <w:szCs w:val="20"/>
        </w:rPr>
        <w:t>las actuaciones</w:t>
      </w:r>
      <w:r w:rsidRPr="005D079B">
        <w:rPr>
          <w:rFonts w:cs="Arial"/>
          <w:szCs w:val="20"/>
        </w:rPr>
        <w:t xml:space="preserve"> </w:t>
      </w:r>
      <w:r>
        <w:rPr>
          <w:rFonts w:cs="Arial"/>
          <w:szCs w:val="20"/>
        </w:rPr>
        <w:t>correspondientes.</w:t>
      </w:r>
      <w:r w:rsidRPr="00C438C1">
        <w:rPr>
          <w:rFonts w:cs="Arial"/>
          <w:szCs w:val="20"/>
        </w:rPr>
        <w:t xml:space="preserve"> Lo expresado resulta suficiente para determinar una conducta estatal negligente en el seguimiento de líneas lógicas de investigación</w:t>
      </w:r>
      <w:r w:rsidRPr="00C438C1">
        <w:rPr>
          <w:rStyle w:val="FootnoteReference"/>
          <w:sz w:val="20"/>
          <w:szCs w:val="20"/>
        </w:rPr>
        <w:footnoteReference w:id="171"/>
      </w:r>
      <w:r w:rsidRPr="005D079B">
        <w:rPr>
          <w:rFonts w:cs="Arial"/>
          <w:szCs w:val="20"/>
        </w:rPr>
        <w:t xml:space="preserve">. </w:t>
      </w:r>
    </w:p>
    <w:p w14:paraId="3E706235" w14:textId="77777777" w:rsidR="004635E5" w:rsidRPr="0003043F" w:rsidRDefault="004635E5" w:rsidP="004635E5">
      <w:pPr>
        <w:rPr>
          <w:lang w:val="es-CR" w:eastAsia="es-MX"/>
        </w:rPr>
      </w:pPr>
    </w:p>
    <w:p w14:paraId="78747008" w14:textId="77777777" w:rsidR="004635E5" w:rsidRPr="00E5624A" w:rsidRDefault="004635E5" w:rsidP="004635E5">
      <w:pPr>
        <w:pStyle w:val="Heading3"/>
        <w:ind w:left="567"/>
        <w:rPr>
          <w:b w:val="0"/>
          <w:i/>
          <w:szCs w:val="20"/>
          <w:lang w:val="es-CR"/>
        </w:rPr>
      </w:pPr>
      <w:bookmarkStart w:id="274" w:name="_Toc480742219"/>
      <w:bookmarkStart w:id="275" w:name="_Toc488134453"/>
      <w:bookmarkStart w:id="276" w:name="_Toc489523913"/>
      <w:bookmarkStart w:id="277" w:name="_Toc493512909"/>
      <w:bookmarkStart w:id="278" w:name="_Toc498512830"/>
      <w:r w:rsidRPr="00E5624A">
        <w:rPr>
          <w:b w:val="0"/>
          <w:i/>
          <w:szCs w:val="20"/>
          <w:lang w:val="es-CR"/>
        </w:rPr>
        <w:t xml:space="preserve">B.2. </w:t>
      </w:r>
      <w:r w:rsidRPr="00E5624A">
        <w:rPr>
          <w:b w:val="0"/>
          <w:i/>
          <w:szCs w:val="20"/>
          <w:u w:val="single"/>
          <w:lang w:val="es-CR"/>
        </w:rPr>
        <w:t xml:space="preserve">Plazo </w:t>
      </w:r>
      <w:r>
        <w:rPr>
          <w:b w:val="0"/>
          <w:i/>
          <w:szCs w:val="20"/>
          <w:u w:val="single"/>
          <w:lang w:val="es-CR"/>
        </w:rPr>
        <w:t xml:space="preserve">transcurrido </w:t>
      </w:r>
      <w:r w:rsidRPr="00E5624A">
        <w:rPr>
          <w:b w:val="0"/>
          <w:i/>
          <w:szCs w:val="20"/>
          <w:u w:val="single"/>
          <w:lang w:val="es-CR"/>
        </w:rPr>
        <w:t>en las actuaciones internas</w:t>
      </w:r>
      <w:bookmarkEnd w:id="274"/>
      <w:bookmarkEnd w:id="275"/>
      <w:bookmarkEnd w:id="276"/>
      <w:bookmarkEnd w:id="277"/>
      <w:bookmarkEnd w:id="278"/>
      <w:r w:rsidRPr="00E5624A">
        <w:rPr>
          <w:b w:val="0"/>
          <w:i/>
          <w:szCs w:val="20"/>
          <w:u w:val="single"/>
          <w:lang w:val="es-CR"/>
        </w:rPr>
        <w:t xml:space="preserve"> </w:t>
      </w:r>
    </w:p>
    <w:p w14:paraId="25FAC883" w14:textId="77777777" w:rsidR="004635E5" w:rsidRPr="00942DC6" w:rsidRDefault="004635E5" w:rsidP="004635E5">
      <w:pPr>
        <w:rPr>
          <w:lang w:val="es-CR" w:eastAsia="es-MX"/>
        </w:rPr>
      </w:pPr>
    </w:p>
    <w:p w14:paraId="20EB08C2" w14:textId="77777777" w:rsidR="004635E5" w:rsidRDefault="004635E5" w:rsidP="004635E5">
      <w:pPr>
        <w:pStyle w:val="PrrafodeSentencia"/>
        <w:numPr>
          <w:ilvl w:val="0"/>
          <w:numId w:val="3"/>
        </w:numPr>
        <w:tabs>
          <w:tab w:val="clear" w:pos="567"/>
          <w:tab w:val="left" w:pos="-142"/>
        </w:tabs>
        <w:ind w:left="0" w:firstLine="0"/>
      </w:pPr>
      <w:r w:rsidRPr="00942DC6">
        <w:t xml:space="preserve">Ahora bien, resulta necesario determinar si la falta de conclusión de la investigación resulta justificada de acuerdo a las circunstancias del caso, o si se debe a una dilación indebida atribuible al Estado.  </w:t>
      </w:r>
    </w:p>
    <w:p w14:paraId="73BBB2AC" w14:textId="77777777" w:rsidR="004635E5" w:rsidRPr="00315286" w:rsidRDefault="004635E5" w:rsidP="004635E5">
      <w:pPr>
        <w:tabs>
          <w:tab w:val="left" w:pos="-142"/>
        </w:tabs>
      </w:pPr>
    </w:p>
    <w:p w14:paraId="02C2532B" w14:textId="77777777" w:rsidR="004635E5" w:rsidRDefault="004635E5" w:rsidP="004635E5">
      <w:pPr>
        <w:pStyle w:val="PrrafodeSentencia"/>
        <w:numPr>
          <w:ilvl w:val="0"/>
          <w:numId w:val="3"/>
        </w:numPr>
        <w:tabs>
          <w:tab w:val="clear" w:pos="567"/>
          <w:tab w:val="left" w:pos="-142"/>
        </w:tabs>
        <w:ind w:left="0" w:firstLine="0"/>
        <w:rPr>
          <w:rFonts w:cs="Arial"/>
        </w:rPr>
      </w:pPr>
      <w:r w:rsidRPr="00942DC6">
        <w:rPr>
          <w:rFonts w:cs="Arial"/>
        </w:rPr>
        <w:t>La Corte ha señalado que el derecho de acceso a la justicia implica la realización de todo lo necesario para conocer la verdad de lo sucedido y sancionar a los responsables se haga en un plazo razonable</w:t>
      </w:r>
      <w:r w:rsidRPr="003C01A9">
        <w:rPr>
          <w:rStyle w:val="FootnoteReference"/>
          <w:rFonts w:cs="Arial"/>
          <w:sz w:val="20"/>
          <w:szCs w:val="20"/>
        </w:rPr>
        <w:footnoteReference w:id="172"/>
      </w:r>
      <w:r w:rsidRPr="00942DC6">
        <w:t xml:space="preserve">. </w:t>
      </w:r>
      <w:r w:rsidRPr="00942DC6">
        <w:rPr>
          <w:rFonts w:cs="Arial"/>
        </w:rPr>
        <w:t>Este Tribunal ha señalado que la razonabilidad del plazo debe apreciarse en relación con la duración total de</w:t>
      </w:r>
      <w:r>
        <w:rPr>
          <w:rFonts w:cs="Arial"/>
        </w:rPr>
        <w:t xml:space="preserve"> </w:t>
      </w:r>
      <w:r w:rsidRPr="00942DC6">
        <w:rPr>
          <w:rFonts w:cs="Arial"/>
        </w:rPr>
        <w:t>l</w:t>
      </w:r>
      <w:r>
        <w:rPr>
          <w:rFonts w:cs="Arial"/>
        </w:rPr>
        <w:t xml:space="preserve">as actuaciones hasta que se </w:t>
      </w:r>
      <w:r w:rsidRPr="00942DC6">
        <w:rPr>
          <w:rFonts w:cs="Arial"/>
        </w:rPr>
        <w:t>dict</w:t>
      </w:r>
      <w:r>
        <w:rPr>
          <w:rFonts w:cs="Arial"/>
        </w:rPr>
        <w:t>a</w:t>
      </w:r>
      <w:r w:rsidRPr="00942DC6">
        <w:rPr>
          <w:rFonts w:cs="Arial"/>
        </w:rPr>
        <w:t xml:space="preserve"> </w:t>
      </w:r>
      <w:r>
        <w:rPr>
          <w:rFonts w:cs="Arial"/>
        </w:rPr>
        <w:t xml:space="preserve">la </w:t>
      </w:r>
      <w:r w:rsidRPr="00942DC6">
        <w:rPr>
          <w:rFonts w:cs="Arial"/>
        </w:rPr>
        <w:t>sentencia definitiva</w:t>
      </w:r>
      <w:r w:rsidRPr="00C438C1">
        <w:rPr>
          <w:rStyle w:val="FootnoteReference"/>
          <w:rFonts w:cs="Arial"/>
          <w:sz w:val="20"/>
          <w:szCs w:val="20"/>
        </w:rPr>
        <w:footnoteReference w:id="173"/>
      </w:r>
      <w:r w:rsidRPr="005D079B">
        <w:rPr>
          <w:rFonts w:cs="Arial"/>
          <w:szCs w:val="20"/>
        </w:rPr>
        <w:t>.</w:t>
      </w:r>
    </w:p>
    <w:p w14:paraId="73FD54A3" w14:textId="77777777" w:rsidR="004635E5" w:rsidRPr="00942DC6" w:rsidRDefault="004635E5" w:rsidP="004635E5">
      <w:pPr>
        <w:tabs>
          <w:tab w:val="left" w:pos="-142"/>
        </w:tabs>
        <w:rPr>
          <w:lang w:val="es-CR" w:eastAsia="es-MX"/>
        </w:rPr>
      </w:pPr>
    </w:p>
    <w:p w14:paraId="58A4DE03" w14:textId="77777777" w:rsidR="004635E5" w:rsidRDefault="004635E5" w:rsidP="004635E5">
      <w:pPr>
        <w:pStyle w:val="PrrafodeSentencia"/>
        <w:numPr>
          <w:ilvl w:val="0"/>
          <w:numId w:val="3"/>
        </w:numPr>
        <w:tabs>
          <w:tab w:val="clear" w:pos="567"/>
          <w:tab w:val="left" w:pos="-142"/>
        </w:tabs>
        <w:ind w:left="0" w:firstLine="0"/>
        <w:rPr>
          <w:sz w:val="16"/>
          <w:szCs w:val="16"/>
        </w:rPr>
      </w:pPr>
      <w:r w:rsidRPr="00942DC6">
        <w:lastRenderedPageBreak/>
        <w:t xml:space="preserve">Se ha considerado por este Tribunal que una demora prolongada, como la que se ha dado en este caso, </w:t>
      </w:r>
      <w:r>
        <w:t>puede llegar a constituir</w:t>
      </w:r>
      <w:r w:rsidRPr="00942DC6">
        <w:t>, por sí misma, una violación a las garantías judiciales</w:t>
      </w:r>
      <w:r w:rsidRPr="00B36430">
        <w:rPr>
          <w:rStyle w:val="FootnoteReference"/>
          <w:sz w:val="20"/>
          <w:szCs w:val="20"/>
        </w:rPr>
        <w:footnoteReference w:id="174"/>
      </w:r>
      <w:r w:rsidRPr="00B36430">
        <w:rPr>
          <w:szCs w:val="20"/>
        </w:rPr>
        <w:t>.</w:t>
      </w:r>
      <w:r w:rsidRPr="00942DC6">
        <w:t xml:space="preserve"> Al respecto, la Corte nota que las primeras actuaciones de investigación se realizaron el 24 de noviembre de 2001 y, de acuerdo a la información con que cuenta este Tribunal, la misma permanece todaví</w:t>
      </w:r>
      <w:r>
        <w:t>a abierta habiendo transcurrido cerca de dieciséis años</w:t>
      </w:r>
      <w:r w:rsidRPr="00942DC6">
        <w:t>. Frente a tal demora, por lo tanto, debe examinarse si la misma resulta justificada</w:t>
      </w:r>
      <w:r>
        <w:t xml:space="preserve">. </w:t>
      </w:r>
    </w:p>
    <w:p w14:paraId="47E5FFF7" w14:textId="77777777" w:rsidR="004635E5" w:rsidRPr="00942DC6" w:rsidRDefault="004635E5" w:rsidP="004635E5">
      <w:pPr>
        <w:tabs>
          <w:tab w:val="left" w:pos="-142"/>
        </w:tabs>
        <w:rPr>
          <w:lang w:val="es-CR" w:eastAsia="es-MX"/>
        </w:rPr>
      </w:pPr>
    </w:p>
    <w:p w14:paraId="5D998FA1" w14:textId="77777777" w:rsidR="004635E5" w:rsidRPr="00C438C1" w:rsidRDefault="004635E5" w:rsidP="004635E5">
      <w:pPr>
        <w:pStyle w:val="PrrafodeSentencia"/>
        <w:numPr>
          <w:ilvl w:val="0"/>
          <w:numId w:val="3"/>
        </w:numPr>
        <w:tabs>
          <w:tab w:val="clear" w:pos="567"/>
          <w:tab w:val="left" w:pos="-142"/>
        </w:tabs>
        <w:ind w:left="0" w:firstLine="0"/>
        <w:rPr>
          <w:szCs w:val="20"/>
        </w:rPr>
      </w:pPr>
      <w:r w:rsidRPr="005D079B">
        <w:rPr>
          <w:szCs w:val="20"/>
        </w:rPr>
        <w:t>Los elementos que esta Corte ha establecido para poder determinar la razonabilidad del plazo son: a) complejidad del asunto</w:t>
      </w:r>
      <w:r w:rsidRPr="00C438C1">
        <w:rPr>
          <w:szCs w:val="20"/>
        </w:rPr>
        <w:t>; b) actividad procesal del interesado; c) conducta de las autoridades judiciales</w:t>
      </w:r>
      <w:r w:rsidRPr="005D079B">
        <w:rPr>
          <w:szCs w:val="20"/>
        </w:rPr>
        <w:t>,</w:t>
      </w:r>
      <w:r w:rsidRPr="00C438C1">
        <w:rPr>
          <w:szCs w:val="20"/>
        </w:rPr>
        <w:t xml:space="preserve"> y d) la afectación generada en la situación jurídica de la persona involucrada en el proceso</w:t>
      </w:r>
      <w:r w:rsidRPr="00C438C1">
        <w:rPr>
          <w:rStyle w:val="FootnoteReference"/>
          <w:sz w:val="20"/>
          <w:szCs w:val="20"/>
        </w:rPr>
        <w:footnoteReference w:id="175"/>
      </w:r>
      <w:r w:rsidRPr="005D079B">
        <w:rPr>
          <w:szCs w:val="20"/>
        </w:rPr>
        <w:t>.</w:t>
      </w:r>
      <w:r w:rsidRPr="00C438C1">
        <w:rPr>
          <w:rFonts w:cs="Arial"/>
          <w:szCs w:val="20"/>
        </w:rPr>
        <w:t xml:space="preserve"> Respecto a este último elemento, este Tribunal</w:t>
      </w:r>
      <w:r w:rsidRPr="00C438C1">
        <w:rPr>
          <w:szCs w:val="20"/>
        </w:rPr>
        <w:t xml:space="preserve"> ha dicho que en caso de que el paso del tiempo incida de manera relevante en la situación jurídica del individuo, resultará necesario que el procedimiento corra con más diligencia a fin de que el caso se resuelva en un tiempo breve</w:t>
      </w:r>
      <w:r w:rsidRPr="00C438C1">
        <w:rPr>
          <w:rStyle w:val="FootnoteReference"/>
          <w:sz w:val="20"/>
          <w:szCs w:val="20"/>
        </w:rPr>
        <w:footnoteReference w:id="176"/>
      </w:r>
      <w:r w:rsidRPr="005D079B">
        <w:rPr>
          <w:szCs w:val="20"/>
        </w:rPr>
        <w:t>. La Corte no entiende necesario en este caso el análisis del cuarto elemento mencionado.</w:t>
      </w:r>
    </w:p>
    <w:p w14:paraId="6727F8B7" w14:textId="77777777" w:rsidR="004635E5" w:rsidRPr="00C438C1" w:rsidRDefault="004635E5" w:rsidP="004635E5">
      <w:pPr>
        <w:tabs>
          <w:tab w:val="left" w:pos="-142"/>
        </w:tabs>
        <w:rPr>
          <w:szCs w:val="20"/>
          <w:lang w:val="es-CR" w:eastAsia="es-MX"/>
        </w:rPr>
      </w:pPr>
    </w:p>
    <w:p w14:paraId="037D6D89" w14:textId="77777777" w:rsidR="004635E5" w:rsidRPr="00C438C1" w:rsidRDefault="004635E5" w:rsidP="004635E5">
      <w:pPr>
        <w:pStyle w:val="PrrafodeSentencia"/>
        <w:numPr>
          <w:ilvl w:val="0"/>
          <w:numId w:val="3"/>
        </w:numPr>
        <w:tabs>
          <w:tab w:val="clear" w:pos="567"/>
          <w:tab w:val="left" w:pos="-142"/>
        </w:tabs>
        <w:ind w:left="0" w:firstLine="0"/>
        <w:rPr>
          <w:szCs w:val="20"/>
        </w:rPr>
      </w:pPr>
      <w:r w:rsidRPr="00C438C1">
        <w:rPr>
          <w:szCs w:val="20"/>
        </w:rPr>
        <w:t>La Corte recuerda que corresponde al Estado justificar, con fundamento en los criterios señalados, la razón por la cual ha requerido del tiempo transcurrido para tratar el caso y, de no demostrarlo, la Corte tiene amplias atribuciones para hacer su propia estimación al respecto</w:t>
      </w:r>
      <w:r w:rsidRPr="00C438C1">
        <w:rPr>
          <w:rStyle w:val="FootnoteReference"/>
          <w:sz w:val="20"/>
          <w:szCs w:val="20"/>
        </w:rPr>
        <w:footnoteReference w:id="177"/>
      </w:r>
      <w:r w:rsidRPr="005D079B">
        <w:rPr>
          <w:szCs w:val="20"/>
        </w:rPr>
        <w:t>.</w:t>
      </w:r>
    </w:p>
    <w:p w14:paraId="7DDFC734" w14:textId="77777777" w:rsidR="004635E5" w:rsidRPr="00C438C1" w:rsidRDefault="004635E5" w:rsidP="004635E5">
      <w:pPr>
        <w:tabs>
          <w:tab w:val="left" w:pos="-142"/>
        </w:tabs>
        <w:rPr>
          <w:szCs w:val="20"/>
          <w:lang w:val="es-CR" w:eastAsia="es-MX"/>
        </w:rPr>
      </w:pPr>
    </w:p>
    <w:p w14:paraId="0CEA1D11" w14:textId="77777777" w:rsidR="004635E5" w:rsidRPr="00C438C1" w:rsidRDefault="004635E5" w:rsidP="004635E5">
      <w:pPr>
        <w:pStyle w:val="PrrafodeSentencia"/>
        <w:numPr>
          <w:ilvl w:val="0"/>
          <w:numId w:val="3"/>
        </w:numPr>
        <w:tabs>
          <w:tab w:val="clear" w:pos="567"/>
          <w:tab w:val="left" w:pos="-142"/>
        </w:tabs>
        <w:ind w:left="0" w:firstLine="0"/>
        <w:rPr>
          <w:szCs w:val="20"/>
        </w:rPr>
      </w:pPr>
      <w:r w:rsidRPr="00C438C1">
        <w:rPr>
          <w:szCs w:val="20"/>
        </w:rPr>
        <w:t xml:space="preserve">Este Tribunal ha tenido diversos criterios en cuenta para determinar la </w:t>
      </w:r>
      <w:r w:rsidRPr="00C438C1">
        <w:rPr>
          <w:i/>
          <w:szCs w:val="20"/>
        </w:rPr>
        <w:t>complejidad del asunto:</w:t>
      </w:r>
      <w:r w:rsidRPr="00C438C1">
        <w:rPr>
          <w:szCs w:val="20"/>
        </w:rPr>
        <w:t xml:space="preserve"> la complejidad de la prueba, la pluralidad de sujetos procesales o la cantidad de víctimas, el tiempo transcurrido desde la violación, y el contexto en el que ocurrió la violación</w:t>
      </w:r>
      <w:r w:rsidRPr="00C438C1">
        <w:rPr>
          <w:rStyle w:val="FootnoteReference"/>
          <w:sz w:val="20"/>
          <w:szCs w:val="20"/>
        </w:rPr>
        <w:footnoteReference w:id="178"/>
      </w:r>
      <w:r w:rsidRPr="005D079B">
        <w:rPr>
          <w:szCs w:val="20"/>
        </w:rPr>
        <w:t xml:space="preserve">. </w:t>
      </w:r>
    </w:p>
    <w:p w14:paraId="0C69BC5E" w14:textId="77777777" w:rsidR="004635E5" w:rsidRPr="00942DC6" w:rsidRDefault="004635E5" w:rsidP="004635E5">
      <w:pPr>
        <w:tabs>
          <w:tab w:val="left" w:pos="-142"/>
        </w:tabs>
        <w:rPr>
          <w:lang w:val="es-CR" w:eastAsia="es-MX"/>
        </w:rPr>
      </w:pPr>
    </w:p>
    <w:p w14:paraId="4F6C158C" w14:textId="59652266" w:rsidR="004635E5" w:rsidRDefault="004635E5" w:rsidP="004635E5">
      <w:pPr>
        <w:pStyle w:val="PrrafodeSentencia"/>
        <w:numPr>
          <w:ilvl w:val="0"/>
          <w:numId w:val="3"/>
        </w:numPr>
        <w:tabs>
          <w:tab w:val="clear" w:pos="567"/>
          <w:tab w:val="left" w:pos="-142"/>
        </w:tabs>
        <w:ind w:left="0" w:firstLine="0"/>
      </w:pPr>
      <w:r w:rsidRPr="00AD3D4F">
        <w:t>La Corte nota que en el presente caso la víctima del hecho a investigar es solo una</w:t>
      </w:r>
      <w:r>
        <w:t>. No obstante,</w:t>
      </w:r>
      <w:r w:rsidRPr="00AD3D4F">
        <w:t xml:space="preserve"> </w:t>
      </w:r>
      <w:r>
        <w:t>e</w:t>
      </w:r>
      <w:r w:rsidRPr="00AD3D4F">
        <w:t xml:space="preserve">n el curso de la investigación fue señalado por los familiares del señor Pacheco que el </w:t>
      </w:r>
      <w:r>
        <w:t>delito</w:t>
      </w:r>
      <w:r w:rsidRPr="00AD3D4F">
        <w:t xml:space="preserve"> no tendría solo un autor material, sino también autores intelectuales. Además </w:t>
      </w:r>
      <w:r w:rsidR="000E38E5">
        <w:t>advierte</w:t>
      </w:r>
      <w:r w:rsidRPr="00AD3D4F">
        <w:t xml:space="preserve"> que, las autoridades internas aludieron a la complejidad del caso y a la necesidad de un equipo especial de </w:t>
      </w:r>
      <w:r w:rsidRPr="000D12CD">
        <w:t>investigación (</w:t>
      </w:r>
      <w:r w:rsidRPr="000D12CD">
        <w:rPr>
          <w:i/>
        </w:rPr>
        <w:t>supra</w:t>
      </w:r>
      <w:r w:rsidRPr="000D12CD">
        <w:t xml:space="preserve"> párr. 52). Por otra parte, un peritaje rendido ante la Corte entendió que el caso presentaba indicios de ser un “crimen selectivo” y que, por ende, ameritaba una investigación que apuntara a dilucidar la organización criminal posiblemente involucrada (</w:t>
      </w:r>
      <w:r w:rsidRPr="000D12CD">
        <w:rPr>
          <w:i/>
        </w:rPr>
        <w:t>supra</w:t>
      </w:r>
      <w:r w:rsidRPr="000D12CD">
        <w:t xml:space="preserve"> párr. 92). Por ello, este Tribunal advierte que pueden existir elementos de complejidad.</w:t>
      </w:r>
    </w:p>
    <w:p w14:paraId="00838CEE" w14:textId="77777777" w:rsidR="004635E5" w:rsidRPr="008A2AE0" w:rsidRDefault="004635E5" w:rsidP="004635E5">
      <w:pPr>
        <w:rPr>
          <w:lang w:val="es-CR" w:eastAsia="es-MX"/>
        </w:rPr>
      </w:pPr>
    </w:p>
    <w:p w14:paraId="51C23D9B" w14:textId="2B79C199" w:rsidR="004635E5" w:rsidRDefault="004635E5" w:rsidP="004635E5">
      <w:pPr>
        <w:pStyle w:val="PrrafodeSentencia"/>
        <w:numPr>
          <w:ilvl w:val="0"/>
          <w:numId w:val="3"/>
        </w:numPr>
        <w:tabs>
          <w:tab w:val="clear" w:pos="567"/>
          <w:tab w:val="left" w:pos="-142"/>
        </w:tabs>
        <w:ind w:left="0" w:firstLine="0"/>
      </w:pPr>
      <w:r w:rsidRPr="00942DC6">
        <w:t xml:space="preserve">En lo relativo a la </w:t>
      </w:r>
      <w:r w:rsidRPr="00942DC6">
        <w:rPr>
          <w:i/>
        </w:rPr>
        <w:t>actividad procesal del interesado</w:t>
      </w:r>
      <w:r w:rsidRPr="00942DC6">
        <w:t xml:space="preserve">, la Corte nota que existió un impulso procesal promovido por </w:t>
      </w:r>
      <w:r>
        <w:t>familiares de Ángel Pacheco León.</w:t>
      </w:r>
      <w:r w:rsidRPr="00942DC6">
        <w:t xml:space="preserve"> </w:t>
      </w:r>
      <w:r>
        <w:t xml:space="preserve">Así, </w:t>
      </w:r>
      <w:r w:rsidRPr="00942DC6">
        <w:t>el 27 de noviembre de 2001, el herma</w:t>
      </w:r>
      <w:r w:rsidRPr="000D12CD">
        <w:t>no de Ángel Pacheco, José Pacheco, acompañado por otros familiares, interpuso una denuncia por la muerte del primero (</w:t>
      </w:r>
      <w:r w:rsidRPr="000D12CD">
        <w:rPr>
          <w:i/>
        </w:rPr>
        <w:t>supra</w:t>
      </w:r>
      <w:r w:rsidRPr="000D12CD">
        <w:t xml:space="preserve"> párr. 35) y el 6 de julio de 2004, </w:t>
      </w:r>
      <w:proofErr w:type="spellStart"/>
      <w:r w:rsidRPr="000D12CD">
        <w:t>Marleny</w:t>
      </w:r>
      <w:proofErr w:type="spellEnd"/>
      <w:r w:rsidRPr="000D12CD">
        <w:t xml:space="preserve"> Pacheco</w:t>
      </w:r>
      <w:r w:rsidR="00536AFC">
        <w:t xml:space="preserve"> Posadas</w:t>
      </w:r>
      <w:r w:rsidRPr="000D12CD">
        <w:t xml:space="preserve"> solicitó la intervención de la Fiscalía de Derechos Humanos (</w:t>
      </w:r>
      <w:r w:rsidRPr="000D12CD">
        <w:rPr>
          <w:i/>
        </w:rPr>
        <w:t>supra</w:t>
      </w:r>
      <w:r w:rsidRPr="000D12CD">
        <w:t xml:space="preserve"> párr. 32). Asimismo, consta que colaboraron con la investigación en diversas oportunidades y que no obstruyeron el desarrollo de las actuaciones.</w:t>
      </w:r>
      <w:r w:rsidRPr="00942DC6">
        <w:t xml:space="preserve"> </w:t>
      </w:r>
    </w:p>
    <w:p w14:paraId="23C25787" w14:textId="77777777" w:rsidR="004635E5" w:rsidRPr="00942DC6" w:rsidRDefault="004635E5" w:rsidP="004635E5">
      <w:pPr>
        <w:tabs>
          <w:tab w:val="left" w:pos="-142"/>
        </w:tabs>
        <w:rPr>
          <w:lang w:val="es-CR" w:eastAsia="es-MX"/>
        </w:rPr>
      </w:pPr>
    </w:p>
    <w:p w14:paraId="71A48A6A" w14:textId="77777777" w:rsidR="004635E5" w:rsidRPr="000874BF" w:rsidRDefault="004635E5" w:rsidP="004635E5">
      <w:pPr>
        <w:pStyle w:val="PrrafodeSentencia"/>
        <w:numPr>
          <w:ilvl w:val="0"/>
          <w:numId w:val="3"/>
        </w:numPr>
        <w:tabs>
          <w:tab w:val="clear" w:pos="567"/>
          <w:tab w:val="left" w:pos="-142"/>
        </w:tabs>
        <w:ind w:left="0" w:firstLine="0"/>
        <w:rPr>
          <w:rFonts w:cs="Arial"/>
        </w:rPr>
      </w:pPr>
      <w:r>
        <w:rPr>
          <w:rFonts w:cs="Arial"/>
        </w:rPr>
        <w:t>R</w:t>
      </w:r>
      <w:r w:rsidRPr="00942DC6">
        <w:rPr>
          <w:rFonts w:cs="Arial"/>
        </w:rPr>
        <w:t xml:space="preserve">especto de la </w:t>
      </w:r>
      <w:r w:rsidRPr="00942DC6">
        <w:rPr>
          <w:rFonts w:cs="Arial"/>
          <w:i/>
        </w:rPr>
        <w:t>conducta de las autoridades judiciales,</w:t>
      </w:r>
      <w:r w:rsidRPr="00942DC6">
        <w:rPr>
          <w:rFonts w:cs="Arial"/>
        </w:rPr>
        <w:t xml:space="preserve"> la Corte ha entendido que como rector</w:t>
      </w:r>
      <w:r>
        <w:rPr>
          <w:rFonts w:cs="Arial"/>
        </w:rPr>
        <w:t>a</w:t>
      </w:r>
      <w:r w:rsidRPr="00942DC6">
        <w:rPr>
          <w:rFonts w:cs="Arial"/>
        </w:rPr>
        <w:t xml:space="preserve">s del proceso, tienen el deber de dirigir y encausar </w:t>
      </w:r>
      <w:r>
        <w:rPr>
          <w:rFonts w:cs="Arial"/>
        </w:rPr>
        <w:t xml:space="preserve">la investigación penal con el propósito de </w:t>
      </w:r>
      <w:r>
        <w:rPr>
          <w:color w:val="000000"/>
        </w:rPr>
        <w:lastRenderedPageBreak/>
        <w:t>individualizar, juzgar y, en su caso, sancionar a todos los responsables de los hechos</w:t>
      </w:r>
      <w:r w:rsidRPr="000E38E5">
        <w:rPr>
          <w:rStyle w:val="FootnoteReference"/>
          <w:color w:val="000000"/>
          <w:sz w:val="20"/>
          <w:szCs w:val="20"/>
        </w:rPr>
        <w:footnoteReference w:id="179"/>
      </w:r>
      <w:r w:rsidRPr="000E38E5">
        <w:rPr>
          <w:rFonts w:cs="Arial"/>
          <w:szCs w:val="20"/>
        </w:rPr>
        <w:t xml:space="preserve">. </w:t>
      </w:r>
      <w:r w:rsidRPr="000874BF">
        <w:rPr>
          <w:rFonts w:cs="Arial"/>
        </w:rPr>
        <w:t xml:space="preserve">En el presente caso, las autoridades estatales no han sido diligentes en la investigación del homicidio del señor Pacheco León, ni han tomado en cuenta los efectos del tiempo, cerca de dieciséis años desde la ocurrencia de los hechos, en el esclarecimiento de lo ocurrido, lo que ha llevado a la impunidad por su actuación negligente. </w:t>
      </w:r>
    </w:p>
    <w:p w14:paraId="505F0370" w14:textId="77777777" w:rsidR="004635E5" w:rsidRPr="000874BF" w:rsidRDefault="004635E5" w:rsidP="004635E5">
      <w:pPr>
        <w:rPr>
          <w:lang w:val="es-CR" w:eastAsia="es-MX"/>
        </w:rPr>
      </w:pPr>
    </w:p>
    <w:p w14:paraId="6813ADFC" w14:textId="2A26C871" w:rsidR="004635E5" w:rsidRDefault="004635E5" w:rsidP="004635E5">
      <w:pPr>
        <w:pStyle w:val="PrrafodeSentencia"/>
        <w:numPr>
          <w:ilvl w:val="0"/>
          <w:numId w:val="3"/>
        </w:numPr>
        <w:tabs>
          <w:tab w:val="clear" w:pos="567"/>
          <w:tab w:val="left" w:pos="-142"/>
        </w:tabs>
        <w:ind w:left="0" w:firstLine="0"/>
      </w:pPr>
      <w:r w:rsidRPr="000874BF">
        <w:rPr>
          <w:rFonts w:cs="Arial"/>
        </w:rPr>
        <w:t>Lo anterior se constata</w:t>
      </w:r>
      <w:r w:rsidRPr="00942DC6">
        <w:rPr>
          <w:rFonts w:cs="Arial"/>
        </w:rPr>
        <w:t xml:space="preserve"> </w:t>
      </w:r>
      <w:r>
        <w:rPr>
          <w:rFonts w:cs="Arial"/>
        </w:rPr>
        <w:t xml:space="preserve">dado que en </w:t>
      </w:r>
      <w:r w:rsidRPr="00942DC6">
        <w:rPr>
          <w:rFonts w:cs="Arial"/>
        </w:rPr>
        <w:t xml:space="preserve">la investigación </w:t>
      </w:r>
      <w:r>
        <w:rPr>
          <w:rFonts w:cs="Arial"/>
        </w:rPr>
        <w:t xml:space="preserve">ha habido </w:t>
      </w:r>
      <w:r w:rsidRPr="00942DC6">
        <w:rPr>
          <w:rFonts w:cs="Arial"/>
        </w:rPr>
        <w:t>per</w:t>
      </w:r>
      <w:r>
        <w:rPr>
          <w:rFonts w:cs="Arial"/>
        </w:rPr>
        <w:t>í</w:t>
      </w:r>
      <w:r w:rsidRPr="00942DC6">
        <w:rPr>
          <w:rFonts w:cs="Arial"/>
        </w:rPr>
        <w:t>odos de inacción prolongados, sin que surja de los hechos explicación o justificación de los mismos</w:t>
      </w:r>
      <w:r>
        <w:rPr>
          <w:rFonts w:cs="Arial"/>
        </w:rPr>
        <w:t xml:space="preserve"> </w:t>
      </w:r>
      <w:r w:rsidRPr="000874BF">
        <w:rPr>
          <w:rFonts w:cs="Arial"/>
        </w:rPr>
        <w:t>por parte de las autoridades encargadas de encausar el proceso.</w:t>
      </w:r>
      <w:r>
        <w:rPr>
          <w:rFonts w:cs="Arial"/>
        </w:rPr>
        <w:t xml:space="preserve"> </w:t>
      </w:r>
      <w:r w:rsidRPr="00942DC6">
        <w:rPr>
          <w:rFonts w:cs="Arial"/>
        </w:rPr>
        <w:t xml:space="preserve">En efecto, </w:t>
      </w:r>
      <w:r>
        <w:rPr>
          <w:rFonts w:cs="Arial"/>
        </w:rPr>
        <w:t xml:space="preserve">basta en este caso con advertir que </w:t>
      </w:r>
      <w:r w:rsidRPr="00942DC6">
        <w:rPr>
          <w:rFonts w:cs="Arial"/>
        </w:rPr>
        <w:t xml:space="preserve">no consta actividad alguna entre </w:t>
      </w:r>
      <w:r>
        <w:rPr>
          <w:rFonts w:cs="Arial"/>
        </w:rPr>
        <w:t xml:space="preserve">la realización, luego </w:t>
      </w:r>
      <w:r w:rsidRPr="00942DC6">
        <w:rPr>
          <w:rFonts w:cs="Arial"/>
        </w:rPr>
        <w:t xml:space="preserve">del </w:t>
      </w:r>
      <w:r w:rsidRPr="00942DC6">
        <w:t>16 de septiembre de 2005</w:t>
      </w:r>
      <w:r>
        <w:t>, de la</w:t>
      </w:r>
      <w:r>
        <w:rPr>
          <w:rFonts w:cs="Cambria"/>
          <w:szCs w:val="20"/>
        </w:rPr>
        <w:t xml:space="preserve"> </w:t>
      </w:r>
      <w:r w:rsidRPr="00C011CF">
        <w:rPr>
          <w:rFonts w:cs="Cambria"/>
          <w:szCs w:val="20"/>
        </w:rPr>
        <w:t>diligencia</w:t>
      </w:r>
      <w:r>
        <w:rPr>
          <w:rFonts w:cs="Cambria"/>
          <w:szCs w:val="20"/>
        </w:rPr>
        <w:t>,</w:t>
      </w:r>
      <w:r w:rsidRPr="00C011CF">
        <w:rPr>
          <w:rFonts w:cs="Cambria"/>
          <w:szCs w:val="20"/>
        </w:rPr>
        <w:t xml:space="preserve"> </w:t>
      </w:r>
      <w:r>
        <w:rPr>
          <w:rFonts w:cs="Cambria"/>
          <w:szCs w:val="20"/>
        </w:rPr>
        <w:t xml:space="preserve">autorizada en esa fecha, </w:t>
      </w:r>
      <w:r w:rsidRPr="00C011CF">
        <w:rPr>
          <w:rFonts w:cs="Cambria"/>
          <w:szCs w:val="20"/>
        </w:rPr>
        <w:t>de exhumación del cadáver y toma de muestras de ADN</w:t>
      </w:r>
      <w:r>
        <w:rPr>
          <w:rFonts w:cs="Cambria"/>
          <w:szCs w:val="20"/>
        </w:rPr>
        <w:t xml:space="preserve"> (</w:t>
      </w:r>
      <w:r>
        <w:rPr>
          <w:rFonts w:cs="Cambria"/>
          <w:i/>
          <w:szCs w:val="20"/>
        </w:rPr>
        <w:t>supra</w:t>
      </w:r>
      <w:r>
        <w:rPr>
          <w:rFonts w:cs="Cambria"/>
          <w:szCs w:val="20"/>
        </w:rPr>
        <w:t xml:space="preserve"> párr. 48)</w:t>
      </w:r>
      <w:r>
        <w:t>, hasta el</w:t>
      </w:r>
      <w:r w:rsidRPr="00942DC6">
        <w:t xml:space="preserve"> 21 de mayo de 2007</w:t>
      </w:r>
      <w:r>
        <w:t>, com</w:t>
      </w:r>
      <w:r w:rsidR="000E38E5">
        <w:t>o tampoco en los siguientes perí</w:t>
      </w:r>
      <w:r>
        <w:t>odos:</w:t>
      </w:r>
      <w:r w:rsidRPr="00942DC6">
        <w:t xml:space="preserve"> 21 de mayo de 2007 a 11 de enero de 2008; </w:t>
      </w:r>
      <w:r w:rsidRPr="000D12CD">
        <w:t>22</w:t>
      </w:r>
      <w:r w:rsidRPr="00942DC6">
        <w:t xml:space="preserve"> de </w:t>
      </w:r>
      <w:r>
        <w:t>mayo</w:t>
      </w:r>
      <w:r w:rsidRPr="00942DC6">
        <w:t xml:space="preserve"> de 2008 a 16 de febrero de 2009; 19 de agosto de 2010 a</w:t>
      </w:r>
      <w:r>
        <w:t xml:space="preserve"> 2012; desde el inicio del año 2013 hasta e</w:t>
      </w:r>
      <w:r w:rsidRPr="00942DC6">
        <w:t>l 13 de diciembre de</w:t>
      </w:r>
      <w:r>
        <w:t>l mismo año</w:t>
      </w:r>
      <w:r w:rsidRPr="00942DC6">
        <w:t xml:space="preserve">; 6 de junio de 2014 a 22 de abril de 2015, y </w:t>
      </w:r>
      <w:r>
        <w:t xml:space="preserve">28 de julio </w:t>
      </w:r>
      <w:r w:rsidRPr="00942DC6">
        <w:t xml:space="preserve">de 2015 a 15 de febrero de 2016. </w:t>
      </w:r>
      <w:r>
        <w:t>Desde la última fecha señalada,</w:t>
      </w:r>
      <w:r w:rsidRPr="00942DC6">
        <w:t xml:space="preserve"> la Corte no ha sido informada sobre actividad en la</w:t>
      </w:r>
      <w:r>
        <w:t>s</w:t>
      </w:r>
      <w:r w:rsidRPr="00942DC6">
        <w:t xml:space="preserve"> </w:t>
      </w:r>
      <w:r>
        <w:t xml:space="preserve">actuaciones internas relativas a la </w:t>
      </w:r>
      <w:r w:rsidRPr="00942DC6">
        <w:t>investigación</w:t>
      </w:r>
      <w:r>
        <w:t xml:space="preserve"> del homicidio. En vista de </w:t>
      </w:r>
      <w:r w:rsidRPr="00942DC6">
        <w:t xml:space="preserve">lo anterior, </w:t>
      </w:r>
      <w:r>
        <w:t>si solo se considera períodos de inactividad mayores de seis meses,</w:t>
      </w:r>
      <w:r w:rsidRPr="00942DC6">
        <w:t xml:space="preserve"> </w:t>
      </w:r>
      <w:r>
        <w:t xml:space="preserve">al momento de emitirse esta Sentencia </w:t>
      </w:r>
      <w:r w:rsidRPr="00942DC6">
        <w:t>ha habido</w:t>
      </w:r>
      <w:r>
        <w:t>, al menos,</w:t>
      </w:r>
      <w:r w:rsidRPr="00942DC6">
        <w:t xml:space="preserve"> un tiempo mayor a </w:t>
      </w:r>
      <w:r>
        <w:t xml:space="preserve">seis años y siete meses </w:t>
      </w:r>
      <w:r w:rsidRPr="00942DC6">
        <w:t>de inactividad absoluta</w:t>
      </w:r>
      <w:r w:rsidRPr="00C438C1">
        <w:rPr>
          <w:rStyle w:val="FootnoteReference"/>
          <w:sz w:val="20"/>
          <w:szCs w:val="20"/>
        </w:rPr>
        <w:footnoteReference w:id="180"/>
      </w:r>
      <w:r w:rsidRPr="005D079B">
        <w:rPr>
          <w:szCs w:val="20"/>
        </w:rPr>
        <w:t>.</w:t>
      </w:r>
    </w:p>
    <w:p w14:paraId="560695A1" w14:textId="77777777" w:rsidR="004635E5" w:rsidRPr="00942DC6" w:rsidRDefault="004635E5" w:rsidP="004635E5">
      <w:pPr>
        <w:tabs>
          <w:tab w:val="left" w:pos="-142"/>
        </w:tabs>
        <w:rPr>
          <w:lang w:val="es-CR" w:eastAsia="es-MX"/>
        </w:rPr>
      </w:pPr>
    </w:p>
    <w:p w14:paraId="55A72FB5" w14:textId="17710115" w:rsidR="004635E5" w:rsidRDefault="004635E5" w:rsidP="004635E5">
      <w:pPr>
        <w:pStyle w:val="PrrafodeSentencia"/>
        <w:numPr>
          <w:ilvl w:val="0"/>
          <w:numId w:val="3"/>
        </w:numPr>
        <w:tabs>
          <w:tab w:val="clear" w:pos="567"/>
          <w:tab w:val="left" w:pos="-142"/>
        </w:tabs>
        <w:ind w:left="0" w:firstLine="0"/>
        <w:rPr>
          <w:rFonts w:eastAsia="Calibri" w:cs="Calibri"/>
          <w:spacing w:val="0"/>
          <w:sz w:val="16"/>
          <w:szCs w:val="16"/>
          <w:lang w:val="es-MX" w:eastAsia="en-US"/>
        </w:rPr>
      </w:pPr>
      <w:r w:rsidRPr="00942DC6">
        <w:t>D</w:t>
      </w:r>
      <w:r>
        <w:t xml:space="preserve">ado </w:t>
      </w:r>
      <w:r w:rsidRPr="00942DC6">
        <w:t xml:space="preserve">lo anterior, lo que en definitiva generó la prolongación del proceso </w:t>
      </w:r>
      <w:r>
        <w:t xml:space="preserve">ha sido </w:t>
      </w:r>
      <w:r w:rsidRPr="00942DC6">
        <w:t>distintos per</w:t>
      </w:r>
      <w:r>
        <w:t>í</w:t>
      </w:r>
      <w:r w:rsidRPr="00942DC6">
        <w:t xml:space="preserve">odos de inactividad de las autoridades. </w:t>
      </w:r>
      <w:r>
        <w:t>Por lo tanto, l</w:t>
      </w:r>
      <w:r w:rsidRPr="00942DC6">
        <w:t xml:space="preserve">a Corte </w:t>
      </w:r>
      <w:r>
        <w:t>considera</w:t>
      </w:r>
      <w:r w:rsidRPr="00942DC6">
        <w:t xml:space="preserve"> que el per</w:t>
      </w:r>
      <w:r>
        <w:t>í</w:t>
      </w:r>
      <w:r w:rsidRPr="00942DC6">
        <w:t xml:space="preserve">odo de </w:t>
      </w:r>
      <w:r>
        <w:t>cerca de 16 años</w:t>
      </w:r>
      <w:r w:rsidRPr="00942DC6">
        <w:t xml:space="preserve"> que ha demorado la investigación en el presente caso constituye una vulneración al plazo razonable. </w:t>
      </w:r>
    </w:p>
    <w:p w14:paraId="09DE1404" w14:textId="77777777" w:rsidR="004635E5" w:rsidRDefault="004635E5" w:rsidP="004635E5"/>
    <w:p w14:paraId="27B28817" w14:textId="77777777" w:rsidR="004635E5" w:rsidRPr="00693523" w:rsidRDefault="004635E5" w:rsidP="004635E5">
      <w:pPr>
        <w:pStyle w:val="ListParagraph"/>
        <w:numPr>
          <w:ilvl w:val="0"/>
          <w:numId w:val="0"/>
        </w:numPr>
        <w:tabs>
          <w:tab w:val="left" w:pos="-142"/>
        </w:tabs>
        <w:ind w:left="567"/>
        <w:outlineLvl w:val="2"/>
        <w:rPr>
          <w:i/>
          <w:lang w:val="es-CR"/>
        </w:rPr>
      </w:pPr>
      <w:bookmarkStart w:id="279" w:name="_Toc498512831"/>
      <w:r>
        <w:rPr>
          <w:i/>
          <w:lang w:val="es-CR"/>
        </w:rPr>
        <w:t>B.3</w:t>
      </w:r>
      <w:r w:rsidRPr="005E5DAB">
        <w:rPr>
          <w:i/>
          <w:lang w:val="es-CR"/>
        </w:rPr>
        <w:t xml:space="preserve">. </w:t>
      </w:r>
      <w:r w:rsidRPr="00693523">
        <w:rPr>
          <w:i/>
          <w:u w:val="single"/>
          <w:lang w:val="es-CR"/>
        </w:rPr>
        <w:t>Conclusión</w:t>
      </w:r>
      <w:bookmarkEnd w:id="279"/>
      <w:r w:rsidRPr="00693523">
        <w:rPr>
          <w:i/>
          <w:u w:val="single"/>
          <w:lang w:val="es-CR"/>
        </w:rPr>
        <w:t xml:space="preserve"> </w:t>
      </w:r>
    </w:p>
    <w:p w14:paraId="071B9B66" w14:textId="77777777" w:rsidR="004635E5" w:rsidRDefault="004635E5" w:rsidP="004635E5">
      <w:pPr>
        <w:rPr>
          <w:lang w:val="es-CR"/>
        </w:rPr>
      </w:pPr>
    </w:p>
    <w:p w14:paraId="75E6862B" w14:textId="77777777" w:rsidR="009E425D" w:rsidRDefault="004635E5" w:rsidP="009E425D">
      <w:pPr>
        <w:pStyle w:val="PrrafodeSentencia"/>
        <w:numPr>
          <w:ilvl w:val="0"/>
          <w:numId w:val="3"/>
        </w:numPr>
        <w:tabs>
          <w:tab w:val="clear" w:pos="567"/>
          <w:tab w:val="left" w:pos="0"/>
        </w:tabs>
        <w:ind w:left="0" w:firstLine="0"/>
      </w:pPr>
      <w:r w:rsidRPr="00765C89">
        <w:t>Lo expuesto evidencia que el Estado no realizó una investigación diligente que permita, en un plazo razonable, avanzar en la determinació</w:t>
      </w:r>
      <w:r>
        <w:t>n de los hechos y, en su caso, d</w:t>
      </w:r>
      <w:r w:rsidRPr="00765C89">
        <w:t xml:space="preserve">e las consecuencias legales correspondientes. </w:t>
      </w:r>
      <w:r>
        <w:t>Luego de cerca de 16 años, el homicidio</w:t>
      </w:r>
      <w:r w:rsidRPr="00765C89">
        <w:t xml:space="preserve"> permanece en la impunidad</w:t>
      </w:r>
      <w:r w:rsidRPr="00EB3627">
        <w:rPr>
          <w:rStyle w:val="FootnoteReference"/>
          <w:sz w:val="20"/>
          <w:szCs w:val="20"/>
        </w:rPr>
        <w:footnoteReference w:id="181"/>
      </w:r>
      <w:r w:rsidRPr="00765C89">
        <w:t xml:space="preserve">. </w:t>
      </w:r>
      <w:r w:rsidRPr="00765C89">
        <w:lastRenderedPageBreak/>
        <w:t xml:space="preserve">La Corte resalta la particular gravedad de lo anterior. En efecto, de conformidad a lo que más adelante se indica </w:t>
      </w:r>
      <w:r w:rsidRPr="009E704D">
        <w:t>(</w:t>
      </w:r>
      <w:r w:rsidRPr="009E704D">
        <w:rPr>
          <w:i/>
        </w:rPr>
        <w:t>infra</w:t>
      </w:r>
      <w:r w:rsidR="009E704D" w:rsidRPr="009E704D">
        <w:t xml:space="preserve"> párr. 158</w:t>
      </w:r>
      <w:r w:rsidRPr="009E704D">
        <w:t>),</w:t>
      </w:r>
      <w:r w:rsidRPr="00765C89">
        <w:t xml:space="preserve"> debe tenerse en cuenta que un homicidio presuntamente vinculado a la actividad política es un hecho que afecta no solo a la víctima o sus familiares, sino también al conjunto de la población que ve menoscabada sus posibilidades de participación política. Dadas las características del hecho, se hacía evidente, entonces, la particular necesidad de que las autoridades a cargo de la investigación procedieran con diligencia y premura en la indagación de los hechos y las perso</w:t>
      </w:r>
      <w:r w:rsidR="009E425D">
        <w:t xml:space="preserve">nas posiblemente responsables. </w:t>
      </w:r>
    </w:p>
    <w:p w14:paraId="0F6E84BB" w14:textId="77777777" w:rsidR="009E425D" w:rsidRPr="009E425D" w:rsidRDefault="009E425D" w:rsidP="009E425D">
      <w:pPr>
        <w:rPr>
          <w:lang w:val="es-CR" w:eastAsia="es-MX"/>
        </w:rPr>
      </w:pPr>
    </w:p>
    <w:p w14:paraId="38091D76" w14:textId="1B028301" w:rsidR="004635E5" w:rsidRPr="009E425D" w:rsidRDefault="004635E5" w:rsidP="009E425D">
      <w:pPr>
        <w:pStyle w:val="PrrafodeSentencia"/>
        <w:numPr>
          <w:ilvl w:val="0"/>
          <w:numId w:val="3"/>
        </w:numPr>
        <w:tabs>
          <w:tab w:val="clear" w:pos="567"/>
          <w:tab w:val="left" w:pos="0"/>
        </w:tabs>
        <w:ind w:left="0" w:firstLine="0"/>
      </w:pPr>
      <w:r w:rsidRPr="009E425D">
        <w:rPr>
          <w:rFonts w:cs="Arial"/>
        </w:rPr>
        <w:t>Por lo tanto, la Corte concluye que el Estado ha violado los artículos 25.1 y 8.1 Convención Americana, en relación al artículo 1.1 de la Convención</w:t>
      </w:r>
      <w:r w:rsidRPr="0034048B">
        <w:t xml:space="preserve">, en perjuicio de los familiares del señor </w:t>
      </w:r>
      <w:r>
        <w:t xml:space="preserve">Ángel </w:t>
      </w:r>
      <w:r w:rsidRPr="0034048B">
        <w:t>Pacheco León</w:t>
      </w:r>
      <w:r w:rsidRPr="009E425D">
        <w:rPr>
          <w:rFonts w:eastAsia="Verdana"/>
        </w:rPr>
        <w:t xml:space="preserve">: </w:t>
      </w:r>
      <w:r w:rsidR="004D0607">
        <w:t xml:space="preserve">Blanca Rosa Herrera Rodríguez, Cinthia </w:t>
      </w:r>
      <w:proofErr w:type="spellStart"/>
      <w:r w:rsidR="009E425D">
        <w:t>Mirella</w:t>
      </w:r>
      <w:proofErr w:type="spellEnd"/>
      <w:r w:rsidR="009E425D">
        <w:t xml:space="preserve"> </w:t>
      </w:r>
      <w:r w:rsidR="004D0607">
        <w:t xml:space="preserve">Pacheco </w:t>
      </w:r>
      <w:proofErr w:type="spellStart"/>
      <w:r w:rsidR="004D0607">
        <w:t>Devicente</w:t>
      </w:r>
      <w:proofErr w:type="spellEnd"/>
      <w:r w:rsidR="004D0607">
        <w:t xml:space="preserve">, Tania Melissa Pacheco López, Bianca </w:t>
      </w:r>
      <w:proofErr w:type="spellStart"/>
      <w:r w:rsidR="009E425D">
        <w:t>Gisselle</w:t>
      </w:r>
      <w:proofErr w:type="spellEnd"/>
      <w:r w:rsidR="009E425D">
        <w:t xml:space="preserve"> </w:t>
      </w:r>
      <w:r w:rsidR="004D0607">
        <w:t xml:space="preserve">Pacheco Herrera, </w:t>
      </w:r>
      <w:proofErr w:type="spellStart"/>
      <w:r w:rsidR="004D0607">
        <w:t>Jimy</w:t>
      </w:r>
      <w:proofErr w:type="spellEnd"/>
      <w:r w:rsidR="004D0607">
        <w:t xml:space="preserve"> </w:t>
      </w:r>
      <w:r w:rsidR="004D0607" w:rsidRPr="009E425D">
        <w:rPr>
          <w:lang w:val="es-ES"/>
        </w:rPr>
        <w:t xml:space="preserve">Javier </w:t>
      </w:r>
      <w:r w:rsidR="004D0607">
        <w:t xml:space="preserve">Pacheco </w:t>
      </w:r>
      <w:r w:rsidR="004D0607" w:rsidRPr="009E425D">
        <w:rPr>
          <w:lang w:val="es-ES"/>
        </w:rPr>
        <w:t>Ortiz</w:t>
      </w:r>
      <w:r w:rsidR="004D0607">
        <w:t xml:space="preserve">, Miguel Ángel Pacheco </w:t>
      </w:r>
      <w:proofErr w:type="spellStart"/>
      <w:r w:rsidR="004D0607">
        <w:t>Devicente</w:t>
      </w:r>
      <w:proofErr w:type="spellEnd"/>
      <w:r w:rsidR="004D0607">
        <w:t xml:space="preserve">, Juan Carlos Pacheco </w:t>
      </w:r>
      <w:proofErr w:type="spellStart"/>
      <w:r w:rsidR="004D0607">
        <w:t>Euceda</w:t>
      </w:r>
      <w:proofErr w:type="spellEnd"/>
      <w:r w:rsidR="004D0607">
        <w:t xml:space="preserve">, Andrea Pacheco López, María Otilia Pacheco, Concepción Pacheco, Blanca Pacheco, María Regina Pacheco, </w:t>
      </w:r>
      <w:r w:rsidR="004D0607" w:rsidRPr="004D0607">
        <w:t xml:space="preserve">Santos Norma Pacheco, </w:t>
      </w:r>
      <w:proofErr w:type="spellStart"/>
      <w:r w:rsidR="004D0607" w:rsidRPr="004D0607">
        <w:t>Marleny</w:t>
      </w:r>
      <w:proofErr w:type="spellEnd"/>
      <w:r w:rsidR="004D0607" w:rsidRPr="004D0607">
        <w:t xml:space="preserve"> Pacheco</w:t>
      </w:r>
      <w:r w:rsidR="004D0607">
        <w:t xml:space="preserve"> Posadas</w:t>
      </w:r>
      <w:r w:rsidR="004D0607" w:rsidRPr="004D0607">
        <w:t xml:space="preserve">, </w:t>
      </w:r>
      <w:r w:rsidR="004D0607" w:rsidRPr="009E425D">
        <w:rPr>
          <w:lang w:val="es-ES"/>
        </w:rPr>
        <w:t xml:space="preserve">Elsa </w:t>
      </w:r>
      <w:r w:rsidR="004D0607" w:rsidRPr="004D0607">
        <w:t xml:space="preserve">Yamileth </w:t>
      </w:r>
      <w:proofErr w:type="spellStart"/>
      <w:r w:rsidR="004D0607" w:rsidRPr="009E425D">
        <w:rPr>
          <w:lang w:val="es-ES"/>
        </w:rPr>
        <w:t>Almendarez</w:t>
      </w:r>
      <w:proofErr w:type="spellEnd"/>
      <w:r w:rsidR="004D0607" w:rsidRPr="009E425D">
        <w:rPr>
          <w:lang w:val="es-ES"/>
        </w:rPr>
        <w:t xml:space="preserve"> Pacheco</w:t>
      </w:r>
      <w:r w:rsidR="004D0607" w:rsidRPr="004D0607">
        <w:t xml:space="preserve">, Jaqueline </w:t>
      </w:r>
      <w:r w:rsidR="004D0607" w:rsidRPr="009E425D">
        <w:rPr>
          <w:lang w:val="es-ES"/>
        </w:rPr>
        <w:t xml:space="preserve">L. </w:t>
      </w:r>
      <w:proofErr w:type="spellStart"/>
      <w:r w:rsidR="004D0607" w:rsidRPr="009E425D">
        <w:rPr>
          <w:lang w:val="es-ES"/>
        </w:rPr>
        <w:t>Almendarez</w:t>
      </w:r>
      <w:proofErr w:type="spellEnd"/>
      <w:r w:rsidR="004D0607" w:rsidRPr="009E425D">
        <w:rPr>
          <w:lang w:val="es-ES"/>
        </w:rPr>
        <w:t xml:space="preserve"> Pacheco</w:t>
      </w:r>
      <w:r w:rsidR="004D0607">
        <w:t xml:space="preserve">, José Pacheco, Francisco Pacheco y Jorge Pacheco. </w:t>
      </w:r>
    </w:p>
    <w:p w14:paraId="1401343E" w14:textId="77777777" w:rsidR="004D0607" w:rsidRPr="004635E5" w:rsidRDefault="004D0607" w:rsidP="00693523">
      <w:pPr>
        <w:pStyle w:val="ListParagraph"/>
        <w:numPr>
          <w:ilvl w:val="0"/>
          <w:numId w:val="0"/>
        </w:numPr>
        <w:rPr>
          <w:lang w:val="es-CR"/>
        </w:rPr>
      </w:pPr>
    </w:p>
    <w:p w14:paraId="4ED34401" w14:textId="2C81E69E" w:rsidR="00693523" w:rsidRPr="005B781A" w:rsidRDefault="00693523" w:rsidP="005B781A">
      <w:pPr>
        <w:pStyle w:val="Heading1"/>
        <w:rPr>
          <w:szCs w:val="20"/>
          <w:lang w:val="es-CR"/>
        </w:rPr>
      </w:pPr>
      <w:bookmarkStart w:id="280" w:name="_Toc480742220"/>
      <w:bookmarkStart w:id="281" w:name="_Toc488134454"/>
      <w:bookmarkStart w:id="282" w:name="_Toc489523914"/>
      <w:bookmarkStart w:id="283" w:name="_Toc493512910"/>
      <w:bookmarkStart w:id="284" w:name="_Toc498512832"/>
      <w:r w:rsidRPr="005B781A">
        <w:rPr>
          <w:szCs w:val="20"/>
          <w:lang w:val="es-CR"/>
        </w:rPr>
        <w:t>V</w:t>
      </w:r>
      <w:r w:rsidR="008009BB">
        <w:rPr>
          <w:szCs w:val="20"/>
          <w:lang w:val="es-CR"/>
        </w:rPr>
        <w:t>I</w:t>
      </w:r>
      <w:r w:rsidRPr="005B781A">
        <w:rPr>
          <w:szCs w:val="20"/>
          <w:lang w:val="es-CR"/>
        </w:rPr>
        <w:t>.</w:t>
      </w:r>
      <w:r w:rsidR="00DD58F9">
        <w:rPr>
          <w:szCs w:val="20"/>
          <w:lang w:val="es-CR"/>
        </w:rPr>
        <w:t>2</w:t>
      </w:r>
      <w:bookmarkEnd w:id="280"/>
      <w:bookmarkEnd w:id="281"/>
      <w:bookmarkEnd w:id="282"/>
      <w:bookmarkEnd w:id="283"/>
      <w:bookmarkEnd w:id="284"/>
    </w:p>
    <w:p w14:paraId="19E4B434" w14:textId="7703EF62" w:rsidR="00693523" w:rsidRPr="002C5FBD" w:rsidRDefault="00693523" w:rsidP="008A40CA">
      <w:pPr>
        <w:pStyle w:val="Heading1"/>
        <w:rPr>
          <w:b w:val="0"/>
          <w:szCs w:val="20"/>
          <w:lang w:val="es-CR"/>
        </w:rPr>
      </w:pPr>
      <w:bookmarkStart w:id="285" w:name="_Toc480742221"/>
      <w:bookmarkStart w:id="286" w:name="_Toc488134455"/>
      <w:bookmarkStart w:id="287" w:name="_Toc489523915"/>
      <w:bookmarkStart w:id="288" w:name="_Toc493512911"/>
      <w:bookmarkStart w:id="289" w:name="_Toc498512833"/>
      <w:r w:rsidRPr="005B781A">
        <w:rPr>
          <w:szCs w:val="20"/>
          <w:lang w:val="es-CR"/>
        </w:rPr>
        <w:t>DERECHO A LA VIDA Y DERECHOS POLÍTICOS</w:t>
      </w:r>
      <w:bookmarkEnd w:id="285"/>
      <w:bookmarkEnd w:id="286"/>
      <w:bookmarkEnd w:id="287"/>
      <w:bookmarkEnd w:id="288"/>
      <w:bookmarkEnd w:id="289"/>
      <w:r w:rsidRPr="005B781A">
        <w:rPr>
          <w:szCs w:val="20"/>
          <w:lang w:val="es-CR"/>
        </w:rPr>
        <w:t xml:space="preserve"> </w:t>
      </w:r>
    </w:p>
    <w:p w14:paraId="75E2008F" w14:textId="77777777" w:rsidR="00693523" w:rsidRPr="00693523" w:rsidRDefault="00693523" w:rsidP="00693523">
      <w:pPr>
        <w:rPr>
          <w:lang w:val="es-CR" w:eastAsia="es-MX"/>
        </w:rPr>
      </w:pPr>
    </w:p>
    <w:p w14:paraId="7A3C6DB3" w14:textId="4AF5B4C7" w:rsidR="00693523" w:rsidRPr="00BD09A7" w:rsidRDefault="0095595D" w:rsidP="00C732FC">
      <w:pPr>
        <w:pStyle w:val="PrrafodeSentencia"/>
        <w:tabs>
          <w:tab w:val="clear" w:pos="567"/>
          <w:tab w:val="left" w:pos="-284"/>
        </w:tabs>
        <w:ind w:left="0" w:firstLine="0"/>
        <w:rPr>
          <w:rFonts w:cs="Arial"/>
        </w:rPr>
      </w:pPr>
      <w:r w:rsidRPr="00693523">
        <w:t xml:space="preserve">En el presente apartado, </w:t>
      </w:r>
      <w:r w:rsidR="00112A4E">
        <w:t>l</w:t>
      </w:r>
      <w:r w:rsidRPr="00693523">
        <w:t>a Corte abordará el examen de las alegadas violaciones al derecho a la vida y a los derechos políticos</w:t>
      </w:r>
      <w:r w:rsidR="00FB3697">
        <w:t>,</w:t>
      </w:r>
      <w:r w:rsidRPr="00693523">
        <w:t xml:space="preserve"> en perjuicio del</w:t>
      </w:r>
      <w:r w:rsidR="00BD09A7">
        <w:t xml:space="preserve"> señor Pacheco. S</w:t>
      </w:r>
      <w:r w:rsidRPr="00693523">
        <w:t xml:space="preserve">e realizará un análisis conjunto de </w:t>
      </w:r>
      <w:r w:rsidR="00BD09A7">
        <w:t xml:space="preserve">ambas </w:t>
      </w:r>
      <w:r w:rsidRPr="00693523">
        <w:t xml:space="preserve">supuestas violaciones dado que </w:t>
      </w:r>
      <w:r w:rsidR="00112A4E">
        <w:t>este Tribunal</w:t>
      </w:r>
      <w:r w:rsidRPr="00693523">
        <w:t xml:space="preserve"> advierte que argumentos respectivos a </w:t>
      </w:r>
      <w:r w:rsidR="00BD09A7">
        <w:t>los derechos políticos</w:t>
      </w:r>
      <w:r w:rsidRPr="00693523">
        <w:t xml:space="preserve"> se relacionan con la pretendida responsabilidad estatal por la muerte del señor Pacheco León. </w:t>
      </w:r>
      <w:r w:rsidR="00BD09A7">
        <w:t xml:space="preserve">Por otra parte, </w:t>
      </w:r>
      <w:r w:rsidRPr="00693523">
        <w:t>la investigación de los hechos fue examinada con base en los artículos 8</w:t>
      </w:r>
      <w:r w:rsidR="0098080A">
        <w:t>.1</w:t>
      </w:r>
      <w:r w:rsidRPr="00693523">
        <w:t xml:space="preserve"> y 25</w:t>
      </w:r>
      <w:r w:rsidR="0098080A">
        <w:t>.1</w:t>
      </w:r>
      <w:r w:rsidRPr="00693523">
        <w:t xml:space="preserve"> de la Convención (</w:t>
      </w:r>
      <w:r w:rsidRPr="00BD09A7">
        <w:rPr>
          <w:i/>
        </w:rPr>
        <w:t>supra</w:t>
      </w:r>
      <w:r w:rsidRPr="00693523">
        <w:t xml:space="preserve"> </w:t>
      </w:r>
      <w:proofErr w:type="spellStart"/>
      <w:r w:rsidRPr="00693523">
        <w:t>párr</w:t>
      </w:r>
      <w:r w:rsidR="005B1F57">
        <w:t>s</w:t>
      </w:r>
      <w:proofErr w:type="spellEnd"/>
      <w:r w:rsidRPr="00693523">
        <w:t xml:space="preserve">. </w:t>
      </w:r>
      <w:r w:rsidR="000D12CD">
        <w:t>61 y 73</w:t>
      </w:r>
      <w:r w:rsidR="005B1F57">
        <w:t xml:space="preserve"> a 12</w:t>
      </w:r>
      <w:r w:rsidR="000D12CD">
        <w:t>9, y nota a pie de página 117</w:t>
      </w:r>
      <w:r w:rsidRPr="00693523">
        <w:t xml:space="preserve">). </w:t>
      </w:r>
      <w:r w:rsidR="00BD09A7">
        <w:t xml:space="preserve">Por eso, </w:t>
      </w:r>
      <w:r w:rsidRPr="00693523">
        <w:t xml:space="preserve">a continuación no se expondrán ni considerarán los argumentos de los representantes </w:t>
      </w:r>
      <w:r w:rsidR="00BD09A7">
        <w:t xml:space="preserve">sobre el </w:t>
      </w:r>
      <w:r w:rsidRPr="00693523">
        <w:t xml:space="preserve">incumplimiento del deber estatal de investigar como una aducida inobservancia del deber de garantizar el derecho a la vida. </w:t>
      </w:r>
    </w:p>
    <w:p w14:paraId="7B4960B0" w14:textId="77777777" w:rsidR="00693523" w:rsidRPr="00402208" w:rsidRDefault="00693523" w:rsidP="00693523">
      <w:pPr>
        <w:pStyle w:val="ListParagraph"/>
        <w:numPr>
          <w:ilvl w:val="0"/>
          <w:numId w:val="0"/>
        </w:numPr>
        <w:rPr>
          <w:b/>
          <w:i/>
          <w:lang w:val="es-CR"/>
        </w:rPr>
      </w:pPr>
    </w:p>
    <w:p w14:paraId="490F3919" w14:textId="77777777" w:rsidR="00693523" w:rsidRPr="00693523" w:rsidRDefault="00693523" w:rsidP="00A1177F">
      <w:pPr>
        <w:pStyle w:val="ListParagraph"/>
        <w:numPr>
          <w:ilvl w:val="0"/>
          <w:numId w:val="19"/>
        </w:numPr>
        <w:ind w:left="284" w:hanging="11"/>
        <w:contextualSpacing/>
        <w:outlineLvl w:val="1"/>
        <w:rPr>
          <w:b/>
          <w:i/>
          <w:lang w:val="es-CR"/>
        </w:rPr>
      </w:pPr>
      <w:bookmarkStart w:id="290" w:name="_Toc488134456"/>
      <w:bookmarkStart w:id="291" w:name="_Toc489523916"/>
      <w:bookmarkStart w:id="292" w:name="_Toc493512912"/>
      <w:bookmarkStart w:id="293" w:name="_Toc498512834"/>
      <w:r w:rsidRPr="00693523">
        <w:rPr>
          <w:b/>
          <w:i/>
          <w:lang w:val="es-CR"/>
        </w:rPr>
        <w:t>Argumentos de la Comisión y de las partes</w:t>
      </w:r>
      <w:bookmarkEnd w:id="290"/>
      <w:bookmarkEnd w:id="291"/>
      <w:bookmarkEnd w:id="292"/>
      <w:bookmarkEnd w:id="293"/>
    </w:p>
    <w:p w14:paraId="680E42FB" w14:textId="77777777" w:rsidR="00693523" w:rsidRPr="00693523" w:rsidRDefault="00693523" w:rsidP="00693523">
      <w:pPr>
        <w:rPr>
          <w:lang w:val="es-CR" w:eastAsia="es-MX"/>
        </w:rPr>
      </w:pPr>
    </w:p>
    <w:p w14:paraId="062C7B4B" w14:textId="77777777" w:rsidR="00CE5E22" w:rsidRDefault="0095595D" w:rsidP="002D5A5C">
      <w:pPr>
        <w:pStyle w:val="PrrafodeSentencia"/>
        <w:tabs>
          <w:tab w:val="clear" w:pos="567"/>
        </w:tabs>
        <w:ind w:left="0" w:firstLine="0"/>
        <w:rPr>
          <w:b/>
        </w:rPr>
      </w:pPr>
      <w:r w:rsidRPr="00693523">
        <w:t xml:space="preserve">La </w:t>
      </w:r>
      <w:r w:rsidRPr="00693523">
        <w:rPr>
          <w:b/>
          <w:i/>
        </w:rPr>
        <w:t>Comisión</w:t>
      </w:r>
      <w:r w:rsidRPr="00C011CF">
        <w:t xml:space="preserve"> </w:t>
      </w:r>
      <w:r w:rsidR="00CE5E22" w:rsidRPr="00C011CF">
        <w:t xml:space="preserve">sostuvo que </w:t>
      </w:r>
    </w:p>
    <w:p w14:paraId="73829322" w14:textId="77777777" w:rsidR="00CE5E22" w:rsidRDefault="00CE5E22" w:rsidP="00C011CF"/>
    <w:p w14:paraId="7353639A" w14:textId="6C7CF775" w:rsidR="00CE5E22" w:rsidRPr="00C011CF" w:rsidRDefault="00CE5E22" w:rsidP="00C011CF">
      <w:pPr>
        <w:ind w:left="567" w:right="674"/>
        <w:rPr>
          <w:sz w:val="16"/>
          <w:szCs w:val="16"/>
        </w:rPr>
      </w:pPr>
      <w:proofErr w:type="gramStart"/>
      <w:r w:rsidRPr="00C011CF">
        <w:rPr>
          <w:sz w:val="16"/>
          <w:szCs w:val="16"/>
          <w:lang w:val="es-CR" w:eastAsia="es-MX"/>
        </w:rPr>
        <w:t>la</w:t>
      </w:r>
      <w:proofErr w:type="gramEnd"/>
      <w:r w:rsidRPr="00C011CF">
        <w:rPr>
          <w:sz w:val="16"/>
          <w:szCs w:val="16"/>
          <w:lang w:val="es-CR" w:eastAsia="es-MX"/>
        </w:rPr>
        <w:t xml:space="preserve"> atribución de responsabilidad al Estado por la muerte del señor Pacheco León se sustenta en que, pese a la existencia de múltiples indicios de participación de agentes estatales y la existencia de un móvil político, éstos no han sido desvirtuados por el Estado a través de una investigación seria, efectiva e imparcial. […] A la luz de lo anterior […] el Estado de Honduras es responsable por el incumplimiento del deber de respetar el derecho a la vida del señor Ángel Pacheco León. Asimismo, y en virtud del carácter selectivo de su </w:t>
      </w:r>
      <w:r w:rsidR="001600D1">
        <w:rPr>
          <w:sz w:val="16"/>
          <w:szCs w:val="16"/>
          <w:lang w:val="es-CR" w:eastAsia="es-MX"/>
        </w:rPr>
        <w:t>[homicidio]</w:t>
      </w:r>
      <w:r w:rsidRPr="00C011CF">
        <w:rPr>
          <w:sz w:val="16"/>
          <w:szCs w:val="16"/>
          <w:lang w:val="es-CR" w:eastAsia="es-MX"/>
        </w:rPr>
        <w:t xml:space="preserve"> vinculado con el ejercicio de su candidatura como diputado del Congreso Nacional, [el Estado] </w:t>
      </w:r>
      <w:proofErr w:type="spellStart"/>
      <w:r w:rsidRPr="00C011CF">
        <w:rPr>
          <w:sz w:val="16"/>
          <w:szCs w:val="16"/>
          <w:lang w:val="es-CR" w:eastAsia="es-MX"/>
        </w:rPr>
        <w:t>viol</w:t>
      </w:r>
      <w:proofErr w:type="spellEnd"/>
      <w:r w:rsidRPr="00C011CF">
        <w:rPr>
          <w:sz w:val="16"/>
          <w:szCs w:val="16"/>
          <w:lang w:val="es-CR" w:eastAsia="es-MX"/>
        </w:rPr>
        <w:t>[</w:t>
      </w:r>
      <w:proofErr w:type="spellStart"/>
      <w:r w:rsidRPr="00C011CF">
        <w:rPr>
          <w:sz w:val="16"/>
          <w:szCs w:val="16"/>
          <w:lang w:val="es-CR" w:eastAsia="es-MX"/>
        </w:rPr>
        <w:t>ó</w:t>
      </w:r>
      <w:proofErr w:type="spellEnd"/>
      <w:r w:rsidRPr="00C011CF">
        <w:rPr>
          <w:sz w:val="16"/>
          <w:szCs w:val="16"/>
          <w:lang w:val="es-CR" w:eastAsia="es-MX"/>
        </w:rPr>
        <w:t>] los derechos políticos del señor Pacheco León.</w:t>
      </w:r>
      <w:r>
        <w:rPr>
          <w:sz w:val="16"/>
          <w:szCs w:val="16"/>
          <w:lang w:val="es-CR" w:eastAsia="es-MX"/>
        </w:rPr>
        <w:t xml:space="preserve"> </w:t>
      </w:r>
    </w:p>
    <w:p w14:paraId="61210CA5" w14:textId="77777777" w:rsidR="00CE5E22" w:rsidRPr="00C011CF" w:rsidRDefault="00CE5E22" w:rsidP="00C011CF"/>
    <w:p w14:paraId="4BEEFFF7" w14:textId="6DDD6057" w:rsidR="00693523" w:rsidRDefault="00CE5E22" w:rsidP="002D5A5C">
      <w:pPr>
        <w:pStyle w:val="PrrafodeSentencia"/>
        <w:tabs>
          <w:tab w:val="clear" w:pos="567"/>
          <w:tab w:val="left" w:pos="-142"/>
        </w:tabs>
        <w:ind w:left="0" w:firstLine="0"/>
      </w:pPr>
      <w:r>
        <w:t>La Comisión explicó que, a su entender,</w:t>
      </w:r>
      <w:r w:rsidR="0095595D" w:rsidRPr="00693523">
        <w:rPr>
          <w:b/>
        </w:rPr>
        <w:t xml:space="preserve"> </w:t>
      </w:r>
      <w:r w:rsidR="0095595D" w:rsidRPr="00693523">
        <w:t xml:space="preserve">existen indicios de agentes estatales como los autores del atentado contra la vida del señor Pacheco. Mencionó, al respecto a personas quienes al momento de los hechos eran el alcalde de </w:t>
      </w:r>
      <w:proofErr w:type="spellStart"/>
      <w:r w:rsidR="0095595D" w:rsidRPr="00693523">
        <w:t>Amapala</w:t>
      </w:r>
      <w:proofErr w:type="spellEnd"/>
      <w:r w:rsidR="0095595D" w:rsidRPr="00693523">
        <w:t>,</w:t>
      </w:r>
      <w:r w:rsidR="0095595D" w:rsidRPr="00F262A7">
        <w:rPr>
          <w:b/>
        </w:rPr>
        <w:t xml:space="preserve"> </w:t>
      </w:r>
      <w:r w:rsidR="009901C7" w:rsidRPr="00F07B77">
        <w:t xml:space="preserve">dos </w:t>
      </w:r>
      <w:r w:rsidR="0095595D" w:rsidRPr="00693523">
        <w:t>diputados, y un agente policial. Señaló que dichos indicios fueron “</w:t>
      </w:r>
      <w:proofErr w:type="spellStart"/>
      <w:proofErr w:type="gramStart"/>
      <w:r w:rsidR="0095595D" w:rsidRPr="00693523">
        <w:t>recab</w:t>
      </w:r>
      <w:proofErr w:type="spellEnd"/>
      <w:r w:rsidR="0095595D" w:rsidRPr="00693523">
        <w:t>[</w:t>
      </w:r>
      <w:proofErr w:type="spellStart"/>
      <w:proofErr w:type="gramEnd"/>
      <w:r w:rsidR="0095595D" w:rsidRPr="00693523">
        <w:t>ados</w:t>
      </w:r>
      <w:proofErr w:type="spellEnd"/>
      <w:r w:rsidR="0095595D" w:rsidRPr="00693523">
        <w:t>] en el propio proceso penal” y se en</w:t>
      </w:r>
      <w:r w:rsidR="00AD7709">
        <w:t>c</w:t>
      </w:r>
      <w:r w:rsidR="0095595D" w:rsidRPr="00693523">
        <w:t xml:space="preserve">uentran en “declaraciones de familiares del señor Pacheco y miembros del Partido Nacional” y “declaraciones e informes de oficiales estatales de la DGIC”. </w:t>
      </w:r>
      <w:r w:rsidR="002032A4">
        <w:t xml:space="preserve"> </w:t>
      </w:r>
      <w:r w:rsidR="0095595D" w:rsidRPr="00693523">
        <w:t xml:space="preserve">Expresó que a lo anterior </w:t>
      </w:r>
    </w:p>
    <w:p w14:paraId="2ADE8165" w14:textId="77777777" w:rsidR="00693523" w:rsidRDefault="00693523" w:rsidP="00693523">
      <w:pPr>
        <w:rPr>
          <w:lang w:val="es-CR" w:eastAsia="es-MX"/>
        </w:rPr>
      </w:pPr>
    </w:p>
    <w:p w14:paraId="3516D14A" w14:textId="695C9614" w:rsidR="00693523" w:rsidRPr="00693523" w:rsidRDefault="00693523" w:rsidP="004D0607">
      <w:pPr>
        <w:pStyle w:val="ListParagraph"/>
        <w:numPr>
          <w:ilvl w:val="0"/>
          <w:numId w:val="0"/>
        </w:numPr>
        <w:ind w:left="567" w:right="674"/>
        <w:rPr>
          <w:sz w:val="16"/>
          <w:szCs w:val="16"/>
          <w:lang w:val="es-CR"/>
        </w:rPr>
      </w:pPr>
      <w:proofErr w:type="gramStart"/>
      <w:r w:rsidRPr="0055166D">
        <w:rPr>
          <w:sz w:val="16"/>
          <w:szCs w:val="16"/>
          <w:lang w:val="es-CR"/>
        </w:rPr>
        <w:t>se</w:t>
      </w:r>
      <w:proofErr w:type="gramEnd"/>
      <w:r w:rsidRPr="0055166D">
        <w:rPr>
          <w:sz w:val="16"/>
          <w:szCs w:val="16"/>
          <w:lang w:val="es-CR"/>
        </w:rPr>
        <w:t xml:space="preserve"> suman las acciones que tuvieron como efecto encubrir la información relativa a las autorías intelectuales y autoría material, tales como la falta de toma de declaraciones de dichas personas, la falta de diligencias y seguimiento para identificar su responsabilidad penal, la falta de protección a testigos que tenían miedo de declarar, los vacíos procesales e incluso la eliminación del grupo especial de investigación del caso.</w:t>
      </w:r>
      <w:r w:rsidR="002032A4">
        <w:rPr>
          <w:sz w:val="16"/>
          <w:szCs w:val="16"/>
          <w:lang w:val="es-CR"/>
        </w:rPr>
        <w:t xml:space="preserve"> </w:t>
      </w:r>
    </w:p>
    <w:p w14:paraId="4767D64E" w14:textId="77777777" w:rsidR="00693523" w:rsidRPr="00693523" w:rsidRDefault="00693523" w:rsidP="00693523">
      <w:pPr>
        <w:rPr>
          <w:lang w:val="es-CR" w:eastAsia="es-MX"/>
        </w:rPr>
      </w:pPr>
    </w:p>
    <w:p w14:paraId="759540AE" w14:textId="21DFF6A4" w:rsidR="00693523" w:rsidRPr="00817D8A" w:rsidRDefault="0095595D" w:rsidP="002D5A5C">
      <w:pPr>
        <w:pStyle w:val="PrrafodeSentencia"/>
        <w:tabs>
          <w:tab w:val="clear" w:pos="567"/>
          <w:tab w:val="left" w:pos="-284"/>
        </w:tabs>
        <w:ind w:left="0" w:firstLine="0"/>
        <w:rPr>
          <w:b/>
        </w:rPr>
      </w:pPr>
      <w:r w:rsidRPr="00693523">
        <w:lastRenderedPageBreak/>
        <w:t xml:space="preserve">La Comisión indicó que en aquellos casos que existen indicios de participación directa e indirecta de agentes estatales en el </w:t>
      </w:r>
      <w:r w:rsidR="001600D1">
        <w:t>homicidio</w:t>
      </w:r>
      <w:r w:rsidRPr="00693523">
        <w:t xml:space="preserve"> de una persona, que implicarían una atribución directa de responsabilidad internacional del Estado, correspondía a las autoridades a cargo de la investigación desplegar todos los esfuerzos necesarios para esclarecer las posibles responsabilidades o vínculos de autoridades estatales en una violación del derecho a la vida. Sostuvo que si el Estado no ha determinado las responsabilidades correspondientes, es procedente dar valor probatorio a la serie de indicios que surgen del expediente sobre la participación de agentes estatales en los hecho</w:t>
      </w:r>
      <w:r w:rsidRPr="003C01A9">
        <w:rPr>
          <w:szCs w:val="20"/>
        </w:rPr>
        <w:t>s</w:t>
      </w:r>
      <w:r w:rsidRPr="003C01A9">
        <w:rPr>
          <w:rStyle w:val="FootnoteReference"/>
          <w:sz w:val="20"/>
          <w:szCs w:val="20"/>
        </w:rPr>
        <w:footnoteReference w:id="182"/>
      </w:r>
      <w:r w:rsidRPr="003C01A9">
        <w:rPr>
          <w:szCs w:val="20"/>
        </w:rPr>
        <w:t>.</w:t>
      </w:r>
      <w:r w:rsidRPr="00693523">
        <w:t xml:space="preserve"> </w:t>
      </w:r>
      <w:r w:rsidR="00817D8A">
        <w:t>C</w:t>
      </w:r>
      <w:r w:rsidRPr="00693523">
        <w:t>onsider</w:t>
      </w:r>
      <w:r w:rsidR="004E2691">
        <w:t>ó</w:t>
      </w:r>
      <w:r w:rsidRPr="00693523">
        <w:t xml:space="preserve"> que “el Estado no satisfizo la carga de desvirtuar los indicios sobre participación directa, aquiescencia o colaboración de agentes estatales. Además, la posible participación de agentes estatales en funciones y ex – agentes podría sugerir la actuación de estructuras de poder en la zona, las cuales tampoco fueron investigadas”.</w:t>
      </w:r>
      <w:r w:rsidRPr="00693523">
        <w:rPr>
          <w:b/>
        </w:rPr>
        <w:t xml:space="preserve"> </w:t>
      </w:r>
      <w:r w:rsidRPr="00693523">
        <w:t>La Comisión concluyó que “el Estado tiene responsabilidad internacional por incumplimiento del deber de respetar la vida del señor Ángel Pacheco León, consagrado en el artículo 4.1 de la Convención Americana, en relación con las obligaciones establecidas en el artí</w:t>
      </w:r>
      <w:r w:rsidR="000065E5">
        <w:t>culo 1.1 del mismo instrumento.</w:t>
      </w:r>
    </w:p>
    <w:p w14:paraId="79DF44F3" w14:textId="77777777" w:rsidR="00693523" w:rsidRPr="00693523" w:rsidRDefault="00693523" w:rsidP="00693523">
      <w:pPr>
        <w:rPr>
          <w:lang w:val="es-CR" w:eastAsia="es-MX"/>
        </w:rPr>
      </w:pPr>
    </w:p>
    <w:p w14:paraId="0565144B" w14:textId="27624C52" w:rsidR="00693523" w:rsidRDefault="0095595D" w:rsidP="002D5A5C">
      <w:pPr>
        <w:pStyle w:val="PrrafodeSentencia"/>
        <w:tabs>
          <w:tab w:val="clear" w:pos="567"/>
          <w:tab w:val="left" w:pos="-284"/>
        </w:tabs>
        <w:ind w:left="0" w:firstLine="0"/>
        <w:rPr>
          <w:rFonts w:cs="Cambria"/>
          <w:b/>
        </w:rPr>
      </w:pPr>
      <w:r w:rsidRPr="00693523">
        <w:t>En cuanto a los derechos políticos la Comisión</w:t>
      </w:r>
      <w:r w:rsidRPr="00693523">
        <w:rPr>
          <w:b/>
        </w:rPr>
        <w:t xml:space="preserve"> </w:t>
      </w:r>
      <w:r w:rsidRPr="00693523">
        <w:t>reiteró que, a su entender, existen elementos suficientes no desvirtuados por el Estado mediante una investigación seria y diligente, que permiten inferir la participación de al menos cuatro agentes estatales en la muerte de Pacheco León. A su vez constata que luego de que Pacheco León ganara las elecciones primarias, este fue víctima de distintas presiones y amenazas, que tenían por objeto que retirara su candidatura al Congreso Nacional.</w:t>
      </w:r>
      <w:r w:rsidR="00CB7CC5">
        <w:t xml:space="preserve"> </w:t>
      </w:r>
      <w:r w:rsidRPr="00693523">
        <w:rPr>
          <w:rFonts w:cs="Cambria"/>
        </w:rPr>
        <w:t xml:space="preserve">Estimó </w:t>
      </w:r>
      <w:r w:rsidR="002032A4">
        <w:rPr>
          <w:rFonts w:cs="Cambria"/>
        </w:rPr>
        <w:t>“</w:t>
      </w:r>
      <w:r w:rsidRPr="00693523">
        <w:rPr>
          <w:rFonts w:cs="Cambria"/>
        </w:rPr>
        <w:t xml:space="preserve">que, en la misma línea del análisis respecto del derecho a la vida, la falta de seguimiento a las líneas de investigación relacionadas con este móvil, que a su vez involucraba a agentes estatales, tiene efectos en el análisis de la responsabilidad del Estado respecto de los derechos políticos”. Por ello, en conclusión, consideró que el Estado </w:t>
      </w:r>
      <w:r w:rsidR="002032A4">
        <w:rPr>
          <w:rFonts w:cs="Cambria"/>
        </w:rPr>
        <w:t>“</w:t>
      </w:r>
      <w:r w:rsidRPr="00693523">
        <w:rPr>
          <w:rFonts w:cs="Cambria"/>
        </w:rPr>
        <w:t xml:space="preserve">es responsable internacionalmente por la violación del artículo 23 de la Convención Americana, en relación con el artículo 1.1 de la misma, en perjuicio de Ángel Pacheco León”. </w:t>
      </w:r>
    </w:p>
    <w:p w14:paraId="11C83806" w14:textId="77777777" w:rsidR="00693523" w:rsidRPr="00693523" w:rsidRDefault="00693523" w:rsidP="00693523">
      <w:pPr>
        <w:rPr>
          <w:lang w:val="es-CR" w:eastAsia="es-MX"/>
        </w:rPr>
      </w:pPr>
    </w:p>
    <w:p w14:paraId="4919E930" w14:textId="185BF49C" w:rsidR="0094428F" w:rsidRPr="00C011CF" w:rsidRDefault="0095595D" w:rsidP="002D5A5C">
      <w:pPr>
        <w:pStyle w:val="PrrafodeSentencia"/>
        <w:tabs>
          <w:tab w:val="clear" w:pos="567"/>
          <w:tab w:val="left" w:pos="-284"/>
        </w:tabs>
        <w:autoSpaceDE w:val="0"/>
        <w:autoSpaceDN w:val="0"/>
        <w:adjustRightInd w:val="0"/>
        <w:ind w:left="0" w:firstLine="0"/>
        <w:rPr>
          <w:b/>
          <w:i/>
          <w:szCs w:val="20"/>
        </w:rPr>
      </w:pPr>
      <w:r w:rsidRPr="00C011CF">
        <w:rPr>
          <w:szCs w:val="20"/>
        </w:rPr>
        <w:t xml:space="preserve">Los </w:t>
      </w:r>
      <w:r w:rsidRPr="00C011CF">
        <w:rPr>
          <w:b/>
          <w:i/>
          <w:szCs w:val="20"/>
        </w:rPr>
        <w:t>representantes</w:t>
      </w:r>
      <w:r w:rsidR="00E92BEC" w:rsidRPr="00C011CF">
        <w:rPr>
          <w:szCs w:val="20"/>
        </w:rPr>
        <w:t xml:space="preserve">, como se ha señalado </w:t>
      </w:r>
      <w:r w:rsidR="00E92BEC" w:rsidRPr="00783116">
        <w:rPr>
          <w:szCs w:val="20"/>
        </w:rPr>
        <w:t>(</w:t>
      </w:r>
      <w:r w:rsidR="00E92BEC" w:rsidRPr="00783116">
        <w:rPr>
          <w:i/>
          <w:szCs w:val="20"/>
        </w:rPr>
        <w:t>supra</w:t>
      </w:r>
      <w:r w:rsidR="00E92BEC" w:rsidRPr="00783116">
        <w:rPr>
          <w:b/>
          <w:szCs w:val="20"/>
        </w:rPr>
        <w:t xml:space="preserve"> </w:t>
      </w:r>
      <w:r w:rsidR="00E92BEC" w:rsidRPr="00783116">
        <w:rPr>
          <w:szCs w:val="20"/>
        </w:rPr>
        <w:t xml:space="preserve">párr. </w:t>
      </w:r>
      <w:r w:rsidR="00783116" w:rsidRPr="00783116">
        <w:rPr>
          <w:szCs w:val="20"/>
        </w:rPr>
        <w:t>60 y nota a pie de página 117</w:t>
      </w:r>
      <w:r w:rsidR="00E92BEC" w:rsidRPr="00783116">
        <w:rPr>
          <w:szCs w:val="20"/>
        </w:rPr>
        <w:t>),</w:t>
      </w:r>
      <w:r w:rsidR="00E92BEC" w:rsidRPr="00C011CF">
        <w:rPr>
          <w:szCs w:val="20"/>
        </w:rPr>
        <w:t xml:space="preserve"> en su escrito de solicitudes y argumentos vincularon sus alegatos sobre la supuesta violación al derecho a la vida </w:t>
      </w:r>
      <w:r w:rsidR="004E2691">
        <w:rPr>
          <w:szCs w:val="20"/>
        </w:rPr>
        <w:t xml:space="preserve">debido </w:t>
      </w:r>
      <w:r w:rsidR="00E92BEC" w:rsidRPr="00C011CF">
        <w:rPr>
          <w:szCs w:val="20"/>
        </w:rPr>
        <w:t xml:space="preserve">al modo en que se condujo la investigación de la muerte, entendiendo que constituyó una afrenta al deber de garantía. Ahora bien, en sus alegatos finales escritos, al presentar argumentos relativos al derecho a la vida, expresaron que </w:t>
      </w:r>
    </w:p>
    <w:p w14:paraId="0213BA52" w14:textId="77777777" w:rsidR="0094428F" w:rsidRDefault="0094428F" w:rsidP="00C011CF">
      <w:pPr>
        <w:pStyle w:val="PrrafodeSentencia"/>
        <w:numPr>
          <w:ilvl w:val="0"/>
          <w:numId w:val="0"/>
        </w:numPr>
        <w:autoSpaceDE w:val="0"/>
        <w:autoSpaceDN w:val="0"/>
        <w:adjustRightInd w:val="0"/>
        <w:rPr>
          <w:szCs w:val="20"/>
        </w:rPr>
      </w:pPr>
    </w:p>
    <w:p w14:paraId="6398DEC3" w14:textId="3A853943" w:rsidR="002032A4" w:rsidRDefault="00E92BEC" w:rsidP="00C011CF">
      <w:pPr>
        <w:pStyle w:val="PrrafodeSentencia"/>
        <w:numPr>
          <w:ilvl w:val="0"/>
          <w:numId w:val="0"/>
        </w:numPr>
        <w:autoSpaceDE w:val="0"/>
        <w:autoSpaceDN w:val="0"/>
        <w:adjustRightInd w:val="0"/>
        <w:ind w:left="567" w:right="674"/>
        <w:rPr>
          <w:rFonts w:eastAsiaTheme="minorHAnsi" w:cs="Arial"/>
          <w:sz w:val="16"/>
          <w:szCs w:val="16"/>
        </w:rPr>
      </w:pPr>
      <w:r w:rsidRPr="00812C0F">
        <w:rPr>
          <w:sz w:val="16"/>
          <w:szCs w:val="16"/>
        </w:rPr>
        <w:t>[</w:t>
      </w:r>
      <w:proofErr w:type="gramStart"/>
      <w:r w:rsidRPr="00812C0F">
        <w:rPr>
          <w:sz w:val="16"/>
          <w:szCs w:val="16"/>
        </w:rPr>
        <w:t>h]</w:t>
      </w:r>
      <w:proofErr w:type="spellStart"/>
      <w:proofErr w:type="gramEnd"/>
      <w:r w:rsidRPr="00812C0F">
        <w:rPr>
          <w:sz w:val="16"/>
          <w:szCs w:val="16"/>
        </w:rPr>
        <w:t>a</w:t>
      </w:r>
      <w:proofErr w:type="spellEnd"/>
      <w:r w:rsidRPr="00812C0F">
        <w:rPr>
          <w:sz w:val="16"/>
          <w:szCs w:val="16"/>
        </w:rPr>
        <w:t xml:space="preserve"> </w:t>
      </w:r>
      <w:r w:rsidRPr="00812C0F">
        <w:rPr>
          <w:rFonts w:eastAsiaTheme="minorHAnsi" w:cs="Arial"/>
          <w:sz w:val="16"/>
          <w:szCs w:val="16"/>
        </w:rPr>
        <w:t>sido probado […] que Ángel Pacheco León fue [</w:t>
      </w:r>
      <w:r w:rsidR="004C18EC">
        <w:rPr>
          <w:rFonts w:eastAsiaTheme="minorHAnsi" w:cs="Arial"/>
          <w:sz w:val="16"/>
          <w:szCs w:val="16"/>
        </w:rPr>
        <w:t>muerto</w:t>
      </w:r>
      <w:r w:rsidRPr="00812C0F">
        <w:rPr>
          <w:rFonts w:eastAsiaTheme="minorHAnsi" w:cs="Arial"/>
          <w:sz w:val="16"/>
          <w:szCs w:val="16"/>
        </w:rPr>
        <w:t>…] por un sujeto armado, presuntamente un [p]</w:t>
      </w:r>
      <w:proofErr w:type="spellStart"/>
      <w:r w:rsidRPr="00812C0F">
        <w:rPr>
          <w:rFonts w:eastAsiaTheme="minorHAnsi" w:cs="Arial"/>
          <w:sz w:val="16"/>
          <w:szCs w:val="16"/>
        </w:rPr>
        <w:t>olicía</w:t>
      </w:r>
      <w:proofErr w:type="spellEnd"/>
      <w:r w:rsidRPr="00812C0F">
        <w:rPr>
          <w:rFonts w:eastAsiaTheme="minorHAnsi" w:cs="Arial"/>
          <w:sz w:val="16"/>
          <w:szCs w:val="16"/>
        </w:rPr>
        <w:t>[;</w:t>
      </w:r>
      <w:r w:rsidR="00536AFC">
        <w:rPr>
          <w:rFonts w:eastAsiaTheme="minorHAnsi" w:cs="Arial"/>
          <w:sz w:val="16"/>
          <w:szCs w:val="16"/>
        </w:rPr>
        <w:t xml:space="preserve"> </w:t>
      </w:r>
      <w:r w:rsidRPr="00812C0F">
        <w:rPr>
          <w:rFonts w:eastAsiaTheme="minorHAnsi" w:cs="Arial"/>
          <w:sz w:val="16"/>
          <w:szCs w:val="16"/>
        </w:rPr>
        <w:t>q]</w:t>
      </w:r>
      <w:proofErr w:type="spellStart"/>
      <w:r w:rsidRPr="00812C0F">
        <w:rPr>
          <w:rFonts w:eastAsiaTheme="minorHAnsi" w:cs="Arial"/>
          <w:sz w:val="16"/>
          <w:szCs w:val="16"/>
        </w:rPr>
        <w:t>ue</w:t>
      </w:r>
      <w:proofErr w:type="spellEnd"/>
      <w:r w:rsidRPr="00812C0F">
        <w:rPr>
          <w:rFonts w:eastAsiaTheme="minorHAnsi" w:cs="Arial"/>
          <w:sz w:val="16"/>
          <w:szCs w:val="16"/>
        </w:rPr>
        <w:t xml:space="preserve"> el crimen fue planificado y coordinado por un grupo de políticos tradicionales entre los que se encontraban dos diputados y un alcalde, un ex miembro de las fuerzas armadas y un ex diputado[</w:t>
      </w:r>
      <w:r w:rsidR="0094428F" w:rsidRPr="00812C0F">
        <w:rPr>
          <w:rFonts w:eastAsiaTheme="minorHAnsi" w:cs="Arial"/>
          <w:sz w:val="16"/>
          <w:szCs w:val="16"/>
        </w:rPr>
        <w:t>,</w:t>
      </w:r>
      <w:r w:rsidRPr="00812C0F">
        <w:rPr>
          <w:rFonts w:eastAsiaTheme="minorHAnsi" w:cs="Arial"/>
          <w:sz w:val="16"/>
          <w:szCs w:val="16"/>
        </w:rPr>
        <w:t xml:space="preserve">…] y </w:t>
      </w:r>
    </w:p>
    <w:p w14:paraId="49DF9423" w14:textId="4960B04F" w:rsidR="00E92BEC" w:rsidRDefault="002032A4" w:rsidP="00C011CF">
      <w:pPr>
        <w:pStyle w:val="PrrafodeSentencia"/>
        <w:numPr>
          <w:ilvl w:val="0"/>
          <w:numId w:val="0"/>
        </w:numPr>
        <w:autoSpaceDE w:val="0"/>
        <w:autoSpaceDN w:val="0"/>
        <w:adjustRightInd w:val="0"/>
        <w:ind w:left="567" w:right="674"/>
        <w:rPr>
          <w:b/>
          <w:sz w:val="16"/>
          <w:szCs w:val="16"/>
        </w:rPr>
      </w:pPr>
      <w:r>
        <w:rPr>
          <w:rFonts w:eastAsiaTheme="minorHAnsi" w:cs="Arial"/>
          <w:sz w:val="16"/>
          <w:szCs w:val="16"/>
        </w:rPr>
        <w:t xml:space="preserve">[…] </w:t>
      </w:r>
      <w:r w:rsidR="00E92BEC" w:rsidRPr="00812C0F">
        <w:rPr>
          <w:rFonts w:eastAsiaTheme="minorHAnsi" w:cs="Arial"/>
          <w:sz w:val="16"/>
          <w:szCs w:val="16"/>
        </w:rPr>
        <w:t>que “[l]a planeación y ejecución de Ángel Pacheco no habría podido consumarse sin el conocimiento u órdenes de mandos superiores de la estructura policial.</w:t>
      </w:r>
      <w:r w:rsidR="00E92BEC" w:rsidRPr="00C011CF">
        <w:rPr>
          <w:rFonts w:eastAsiaTheme="minorHAnsi" w:cs="Arial"/>
          <w:sz w:val="16"/>
          <w:szCs w:val="16"/>
        </w:rPr>
        <w:t xml:space="preserve"> […] Varios testigos a lo largo del proceso han relatado que se encontraba cerca una </w:t>
      </w:r>
      <w:r w:rsidR="00AD7709">
        <w:rPr>
          <w:rFonts w:eastAsiaTheme="minorHAnsi" w:cs="Arial"/>
          <w:sz w:val="16"/>
          <w:szCs w:val="16"/>
        </w:rPr>
        <w:t>patrulla policial que no realizó</w:t>
      </w:r>
      <w:r w:rsidR="00E92BEC" w:rsidRPr="00C011CF">
        <w:rPr>
          <w:rFonts w:eastAsiaTheme="minorHAnsi" w:cs="Arial"/>
          <w:sz w:val="16"/>
          <w:szCs w:val="16"/>
        </w:rPr>
        <w:t xml:space="preserve"> acción alguna no obstante que los hermanos Pacheco […] les solicitaron apoyo</w:t>
      </w:r>
      <w:r w:rsidR="00E92BEC" w:rsidRPr="0094428F">
        <w:rPr>
          <w:rStyle w:val="FootnoteReference"/>
          <w:rFonts w:eastAsiaTheme="minorHAnsi"/>
        </w:rPr>
        <w:footnoteReference w:id="183"/>
      </w:r>
      <w:r w:rsidR="00E92BEC" w:rsidRPr="00C011CF">
        <w:rPr>
          <w:rFonts w:eastAsiaTheme="minorHAnsi" w:cs="Arial"/>
          <w:sz w:val="16"/>
          <w:szCs w:val="16"/>
        </w:rPr>
        <w:t>.</w:t>
      </w:r>
    </w:p>
    <w:p w14:paraId="2142CCF9" w14:textId="77777777" w:rsidR="00D65268" w:rsidRDefault="00D65268" w:rsidP="00C011CF">
      <w:pPr>
        <w:rPr>
          <w:shd w:val="clear" w:color="auto" w:fill="FF0000"/>
          <w:lang w:val="es-CR" w:eastAsia="es-MX"/>
        </w:rPr>
      </w:pPr>
    </w:p>
    <w:p w14:paraId="1ABE372A" w14:textId="3F8C6568" w:rsidR="00693523" w:rsidRPr="00C011CF" w:rsidRDefault="00663568" w:rsidP="00C732FC">
      <w:pPr>
        <w:pStyle w:val="PrrafodeSentencia"/>
        <w:tabs>
          <w:tab w:val="clear" w:pos="567"/>
          <w:tab w:val="left" w:pos="0"/>
        </w:tabs>
        <w:autoSpaceDE w:val="0"/>
        <w:autoSpaceDN w:val="0"/>
        <w:adjustRightInd w:val="0"/>
        <w:ind w:left="0" w:firstLine="0"/>
        <w:rPr>
          <w:rFonts w:ascii="Arial" w:eastAsiaTheme="minorHAnsi" w:hAnsi="Arial" w:cs="Arial"/>
          <w:sz w:val="24"/>
          <w:szCs w:val="24"/>
        </w:rPr>
      </w:pPr>
      <w:r>
        <w:t>S</w:t>
      </w:r>
      <w:r w:rsidR="0095595D" w:rsidRPr="00693523">
        <w:t>eñalaron que “la ejecución de Ángel Pacheco y la persecución a su familia tiene</w:t>
      </w:r>
      <w:r w:rsidR="002032A4">
        <w:t>n</w:t>
      </w:r>
      <w:r w:rsidR="0095595D" w:rsidRPr="00693523">
        <w:t xml:space="preserve"> como motivación la actividad política”.</w:t>
      </w:r>
      <w:r w:rsidRPr="00BB75BC">
        <w:rPr>
          <w:b/>
        </w:rPr>
        <w:t xml:space="preserve"> </w:t>
      </w:r>
      <w:r>
        <w:rPr>
          <w:b/>
        </w:rPr>
        <w:t xml:space="preserve"> </w:t>
      </w:r>
      <w:r>
        <w:t>Precisaron que, a su entender</w:t>
      </w:r>
      <w:r w:rsidRPr="00C011CF">
        <w:rPr>
          <w:szCs w:val="20"/>
        </w:rPr>
        <w:t>, “[e]</w:t>
      </w:r>
      <w:r w:rsidRPr="00C011CF">
        <w:rPr>
          <w:rFonts w:eastAsiaTheme="minorHAnsi" w:cs="Arial"/>
          <w:szCs w:val="20"/>
        </w:rPr>
        <w:t xml:space="preserve">l </w:t>
      </w:r>
      <w:r w:rsidR="001600D1">
        <w:rPr>
          <w:rFonts w:eastAsiaTheme="minorHAnsi" w:cs="Arial"/>
          <w:szCs w:val="20"/>
        </w:rPr>
        <w:t>[homicidio]</w:t>
      </w:r>
      <w:r w:rsidRPr="00C011CF">
        <w:rPr>
          <w:rFonts w:eastAsiaTheme="minorHAnsi" w:cs="Arial"/>
          <w:szCs w:val="20"/>
        </w:rPr>
        <w:t xml:space="preserve"> de Ángel Pacheco representa una violación a sus derechos políticos y constituye un ataque a los valores de un sistema democrático; porque fue ejecutado para</w:t>
      </w:r>
      <w:r w:rsidR="00CB0808">
        <w:rPr>
          <w:rFonts w:eastAsiaTheme="minorHAnsi" w:cs="Arial"/>
          <w:szCs w:val="20"/>
        </w:rPr>
        <w:t xml:space="preserve"> impedir su actividad política”</w:t>
      </w:r>
      <w:r>
        <w:rPr>
          <w:rFonts w:ascii="Arial" w:eastAsiaTheme="minorHAnsi" w:hAnsi="Arial" w:cs="Arial"/>
          <w:sz w:val="24"/>
          <w:szCs w:val="24"/>
        </w:rPr>
        <w:t xml:space="preserve">. </w:t>
      </w:r>
      <w:r w:rsidR="0095595D" w:rsidRPr="00693523">
        <w:t xml:space="preserve">Consideraron que el Estado tenía la obligación de generar las condiciones para que </w:t>
      </w:r>
      <w:r w:rsidR="00FB3697">
        <w:t xml:space="preserve">el señor </w:t>
      </w:r>
      <w:r w:rsidR="0095595D" w:rsidRPr="00693523">
        <w:t xml:space="preserve">Pacheco León ejerciera libremente sus actividades políticas “en un ambiente sin violencia, sin hostigamientos y sin peligro”. Adujeron que “los actos intimidatorios contra Ángel Pacheco León, como impedir la circulación al aire de sus anuncios propagandísticos en la radio de la zona, borrar su propaganda y amenazarle a él y perseguir y procesar criminalmente a sus seguidores, en forma sistemática violaron en forma </w:t>
      </w:r>
      <w:r w:rsidR="0095595D" w:rsidRPr="00693523">
        <w:lastRenderedPageBreak/>
        <w:t>directa el ejercicio de sus</w:t>
      </w:r>
      <w:r w:rsidR="00CB0808">
        <w:t xml:space="preserve"> derechos políticos”.</w:t>
      </w:r>
      <w:r w:rsidR="0095595D" w:rsidRPr="00663568">
        <w:rPr>
          <w:b/>
        </w:rPr>
        <w:t xml:space="preserve"> </w:t>
      </w:r>
      <w:r w:rsidR="0095595D" w:rsidRPr="00693523">
        <w:t>Agregaron que “[e]n el caso concreto, los simpatizantes y activistas de Ángel Pacheco León abandonaron la actividad política posterior a su muerte”</w:t>
      </w:r>
      <w:r w:rsidR="00DE7831">
        <w:t>.</w:t>
      </w:r>
      <w:r w:rsidR="0095595D" w:rsidRPr="00663568">
        <w:rPr>
          <w:b/>
        </w:rPr>
        <w:t xml:space="preserve"> </w:t>
      </w:r>
    </w:p>
    <w:p w14:paraId="0E56FD69" w14:textId="77777777" w:rsidR="00693523" w:rsidRPr="00693523" w:rsidRDefault="00693523" w:rsidP="00C732FC">
      <w:pPr>
        <w:tabs>
          <w:tab w:val="left" w:pos="0"/>
        </w:tabs>
        <w:rPr>
          <w:lang w:val="es-CR" w:eastAsia="es-MX"/>
        </w:rPr>
      </w:pPr>
    </w:p>
    <w:p w14:paraId="3A444CA2" w14:textId="06F20A61" w:rsidR="00693523" w:rsidRDefault="0095595D" w:rsidP="00C732FC">
      <w:pPr>
        <w:pStyle w:val="PrrafodeSentencia"/>
        <w:tabs>
          <w:tab w:val="clear" w:pos="567"/>
          <w:tab w:val="left" w:pos="0"/>
        </w:tabs>
        <w:ind w:left="0" w:firstLine="0"/>
        <w:rPr>
          <w:b/>
        </w:rPr>
      </w:pPr>
      <w:r w:rsidRPr="00693523">
        <w:t>Los representantes</w:t>
      </w:r>
      <w:r w:rsidR="00E92BEC">
        <w:t xml:space="preserve">, al alegar </w:t>
      </w:r>
      <w:r w:rsidR="002A6827">
        <w:t xml:space="preserve">en su escrito de solicitudes y argumentos </w:t>
      </w:r>
      <w:r w:rsidR="00E92BEC">
        <w:t>sobre la supuesta violación a derechos políticos,</w:t>
      </w:r>
      <w:r w:rsidRPr="00693523">
        <w:t xml:space="preserve"> concluyeron que el crimen “estuvo motivado en [las] actividades políticas realizadas en el departamento de </w:t>
      </w:r>
      <w:proofErr w:type="gramStart"/>
      <w:r w:rsidRPr="00693523">
        <w:t>Valle[</w:t>
      </w:r>
      <w:proofErr w:type="gramEnd"/>
      <w:r w:rsidRPr="00693523">
        <w:t xml:space="preserve">; la] ejecución [del señor Pacheco] presuntamente fue realizada por agentes del Estado”. </w:t>
      </w:r>
      <w:r w:rsidR="00564ABB">
        <w:t>Agregaron que “es coincidente” con “crímenes por razones políticas” la “</w:t>
      </w:r>
      <w:proofErr w:type="gramStart"/>
      <w:r w:rsidR="00564ABB">
        <w:t>indica[</w:t>
      </w:r>
      <w:proofErr w:type="spellStart"/>
      <w:proofErr w:type="gramEnd"/>
      <w:r w:rsidR="00564ABB">
        <w:t>ción</w:t>
      </w:r>
      <w:proofErr w:type="spellEnd"/>
      <w:r w:rsidR="00564ABB">
        <w:t>]” de un “patrón de impunidad” a partir del “</w:t>
      </w:r>
      <w:r w:rsidR="00564ABB" w:rsidRPr="00693523">
        <w:t>archivo del expediente y las irregularidades en las investigaciones así como la persecución a [los] seguidores [del señor Pacheco]</w:t>
      </w:r>
      <w:r w:rsidR="00564ABB">
        <w:t>”</w:t>
      </w:r>
      <w:r w:rsidR="00DE7831">
        <w:t>.</w:t>
      </w:r>
      <w:r w:rsidR="00564ABB">
        <w:t xml:space="preserve"> </w:t>
      </w:r>
      <w:r w:rsidRPr="00693523">
        <w:t>Solicitaron a la Corte que declare responsable al Estado por violar los derechos políticos consagrados en el artículo 23.1 de la Convención, en relación con el artículo 1.1 de la misma</w:t>
      </w:r>
      <w:r w:rsidRPr="00BA4624">
        <w:rPr>
          <w:rStyle w:val="FootnoteReference"/>
          <w:sz w:val="20"/>
          <w:szCs w:val="20"/>
        </w:rPr>
        <w:footnoteReference w:id="184"/>
      </w:r>
      <w:r w:rsidRPr="00BA4624">
        <w:rPr>
          <w:szCs w:val="20"/>
        </w:rPr>
        <w:t xml:space="preserve">. </w:t>
      </w:r>
    </w:p>
    <w:p w14:paraId="693CB220" w14:textId="77777777" w:rsidR="00693523" w:rsidRPr="00693523" w:rsidRDefault="00693523" w:rsidP="00C732FC">
      <w:pPr>
        <w:tabs>
          <w:tab w:val="left" w:pos="0"/>
        </w:tabs>
        <w:rPr>
          <w:lang w:val="es-CR" w:eastAsia="es-MX"/>
        </w:rPr>
      </w:pPr>
    </w:p>
    <w:p w14:paraId="588A5635" w14:textId="081B26FE" w:rsidR="00693523" w:rsidRDefault="0095595D" w:rsidP="00C732FC">
      <w:pPr>
        <w:pStyle w:val="PrrafodeSentencia"/>
        <w:tabs>
          <w:tab w:val="clear" w:pos="567"/>
          <w:tab w:val="left" w:pos="0"/>
        </w:tabs>
        <w:ind w:left="0" w:firstLine="0"/>
        <w:rPr>
          <w:rFonts w:cs="Arial"/>
        </w:rPr>
      </w:pPr>
      <w:r w:rsidRPr="00693523">
        <w:t xml:space="preserve">El </w:t>
      </w:r>
      <w:r w:rsidRPr="00693523">
        <w:rPr>
          <w:b/>
          <w:i/>
        </w:rPr>
        <w:t>Estado</w:t>
      </w:r>
      <w:r w:rsidRPr="00693523">
        <w:t xml:space="preserve"> expresó que el caso no puede relacionarse con </w:t>
      </w:r>
      <w:r w:rsidRPr="00693523">
        <w:rPr>
          <w:rFonts w:cs="Arial"/>
        </w:rPr>
        <w:t>alguna actuación o patrón de ejecución extrajudicial tolerado, permitido o impulsado por Honduras.</w:t>
      </w:r>
    </w:p>
    <w:p w14:paraId="4E1A0E43" w14:textId="77777777" w:rsidR="00693523" w:rsidRPr="00693523" w:rsidRDefault="00693523" w:rsidP="00C732FC">
      <w:pPr>
        <w:tabs>
          <w:tab w:val="left" w:pos="0"/>
        </w:tabs>
        <w:rPr>
          <w:lang w:val="es-CR" w:eastAsia="es-MX"/>
        </w:rPr>
      </w:pPr>
    </w:p>
    <w:p w14:paraId="58A20677" w14:textId="1FED9A9A" w:rsidR="00693523" w:rsidRDefault="0095595D" w:rsidP="00C732FC">
      <w:pPr>
        <w:pStyle w:val="PrrafodeSentencia"/>
        <w:tabs>
          <w:tab w:val="clear" w:pos="567"/>
          <w:tab w:val="left" w:pos="0"/>
        </w:tabs>
        <w:ind w:left="0" w:firstLine="0"/>
        <w:rPr>
          <w:rFonts w:cs="Arial"/>
          <w:b/>
        </w:rPr>
      </w:pPr>
      <w:r w:rsidRPr="00693523">
        <w:rPr>
          <w:rFonts w:cs="Arial"/>
        </w:rPr>
        <w:t>Por otra parte, aseveró que</w:t>
      </w:r>
      <w:r w:rsidRPr="00693523">
        <w:t xml:space="preserve"> </w:t>
      </w:r>
      <w:r w:rsidRPr="00693523">
        <w:rPr>
          <w:rFonts w:cs="Arial"/>
        </w:rPr>
        <w:t xml:space="preserve">no incumplió su obligación de prevenir la muerte de Ángel Pacheco, en vista de que no hubo denuncia previa interpuesta ante órgano estatal competente, mediante la que el </w:t>
      </w:r>
      <w:r w:rsidR="00DE7831">
        <w:rPr>
          <w:rFonts w:cs="Arial"/>
        </w:rPr>
        <w:t>E</w:t>
      </w:r>
      <w:r w:rsidRPr="00693523">
        <w:rPr>
          <w:rFonts w:cs="Arial"/>
        </w:rPr>
        <w:t>stado pudiera haber tenido conocimiento de alguna situación de riesgo respecto de él o necesidad de brindarle medidas de protección.</w:t>
      </w:r>
      <w:r w:rsidR="00D31EAD">
        <w:rPr>
          <w:rFonts w:cs="Arial"/>
          <w:b/>
          <w:sz w:val="16"/>
          <w:szCs w:val="16"/>
        </w:rPr>
        <w:t xml:space="preserve"> </w:t>
      </w:r>
      <w:r w:rsidR="00AD7709">
        <w:rPr>
          <w:rFonts w:cs="Arial"/>
          <w:szCs w:val="20"/>
        </w:rPr>
        <w:t>En sus ale</w:t>
      </w:r>
      <w:r w:rsidR="00D31EAD" w:rsidRPr="00C011CF">
        <w:rPr>
          <w:rFonts w:cs="Arial"/>
          <w:szCs w:val="20"/>
        </w:rPr>
        <w:t>gatos finales escritos, resaltó que las decl</w:t>
      </w:r>
      <w:r w:rsidR="00C56ADF">
        <w:rPr>
          <w:rFonts w:cs="Arial"/>
          <w:szCs w:val="20"/>
        </w:rPr>
        <w:t xml:space="preserve">araciones de </w:t>
      </w:r>
      <w:r w:rsidR="00C56ADF" w:rsidRPr="00C011CF">
        <w:rPr>
          <w:szCs w:val="20"/>
        </w:rPr>
        <w:t xml:space="preserve">José Pacheco y </w:t>
      </w:r>
      <w:proofErr w:type="spellStart"/>
      <w:r w:rsidR="00C56ADF" w:rsidRPr="00C011CF">
        <w:rPr>
          <w:szCs w:val="20"/>
        </w:rPr>
        <w:t>Jimy</w:t>
      </w:r>
      <w:proofErr w:type="spellEnd"/>
      <w:r w:rsidR="00C56ADF" w:rsidRPr="00C011CF">
        <w:rPr>
          <w:szCs w:val="20"/>
        </w:rPr>
        <w:t xml:space="preserve"> Pacheco</w:t>
      </w:r>
      <w:r w:rsidR="00C56ADF" w:rsidRPr="00C011CF">
        <w:rPr>
          <w:rFonts w:cs="Arial"/>
          <w:szCs w:val="20"/>
        </w:rPr>
        <w:t xml:space="preserve"> </w:t>
      </w:r>
      <w:r w:rsidR="00D31EAD" w:rsidRPr="00C011CF">
        <w:rPr>
          <w:rFonts w:cs="Arial"/>
          <w:szCs w:val="20"/>
        </w:rPr>
        <w:t>recibidas en la audiencia pública evidencian que el señor Pacheco no denunció haber recibido amenazas.</w:t>
      </w:r>
    </w:p>
    <w:p w14:paraId="5ADEF32C" w14:textId="77777777" w:rsidR="00693523" w:rsidRPr="00693523" w:rsidRDefault="00693523" w:rsidP="00C732FC">
      <w:pPr>
        <w:tabs>
          <w:tab w:val="left" w:pos="0"/>
        </w:tabs>
        <w:rPr>
          <w:lang w:val="es-CR" w:eastAsia="es-MX"/>
        </w:rPr>
      </w:pPr>
    </w:p>
    <w:p w14:paraId="3623C710" w14:textId="631BBDB7" w:rsidR="00693523" w:rsidRPr="000065E5" w:rsidRDefault="0095595D" w:rsidP="00C732FC">
      <w:pPr>
        <w:pStyle w:val="PrrafodeSentencia"/>
        <w:tabs>
          <w:tab w:val="clear" w:pos="567"/>
          <w:tab w:val="left" w:pos="0"/>
        </w:tabs>
        <w:ind w:left="0" w:firstLine="0"/>
        <w:rPr>
          <w:rFonts w:cs="Arial"/>
          <w:b/>
        </w:rPr>
      </w:pPr>
      <w:r w:rsidRPr="00693523">
        <w:rPr>
          <w:rFonts w:cs="Arial"/>
        </w:rPr>
        <w:t xml:space="preserve">En </w:t>
      </w:r>
      <w:proofErr w:type="spellStart"/>
      <w:r w:rsidRPr="00693523">
        <w:rPr>
          <w:rFonts w:cs="Arial"/>
        </w:rPr>
        <w:t>en</w:t>
      </w:r>
      <w:proofErr w:type="spellEnd"/>
      <w:r w:rsidRPr="00693523">
        <w:rPr>
          <w:rFonts w:cs="Arial"/>
        </w:rPr>
        <w:t xml:space="preserve"> lo relativo a la supuesta participación de agentes estatales, Honduras indicó que “no existen indicios que indiquen con inferencia racional esa participación”. Agregó que, en todo caso, se pretende inferir la supuesta participación de agentes estatales por diferencias de orden político con Ángel Pacheco León, por las aspiraciones que tenía éste de ser diputado, y que las mencionadas diferencias refieren a los intereses personales de las personas aludidas, y no a su c</w:t>
      </w:r>
      <w:r w:rsidR="003C01A9">
        <w:rPr>
          <w:rFonts w:cs="Arial"/>
        </w:rPr>
        <w:t xml:space="preserve">ondición de agentes del Estado. </w:t>
      </w:r>
      <w:r w:rsidRPr="00693523">
        <w:rPr>
          <w:rFonts w:cs="Arial"/>
        </w:rPr>
        <w:t>Consideró que los cargos que detentaban las personas supuestamente implicadas no eran un medio necesario para poder llevar a cabo la muerte de Pacheco León. Finalmente, sobre la posible responsabilidad de</w:t>
      </w:r>
      <w:r w:rsidR="00C23749">
        <w:rPr>
          <w:rFonts w:cs="Arial"/>
        </w:rPr>
        <w:t>l</w:t>
      </w:r>
      <w:r w:rsidR="00FB3697">
        <w:rPr>
          <w:rFonts w:cs="Arial"/>
        </w:rPr>
        <w:t xml:space="preserve"> </w:t>
      </w:r>
      <w:r w:rsidRPr="00693523">
        <w:rPr>
          <w:rFonts w:cs="Arial"/>
        </w:rPr>
        <w:t xml:space="preserve">policía </w:t>
      </w:r>
      <w:r w:rsidR="002032A4" w:rsidRPr="00F07B77">
        <w:rPr>
          <w:rFonts w:cs="Arial"/>
        </w:rPr>
        <w:t>SM</w:t>
      </w:r>
      <w:r w:rsidR="002032A4">
        <w:rPr>
          <w:rFonts w:cs="Arial"/>
        </w:rPr>
        <w:t xml:space="preserve"> </w:t>
      </w:r>
      <w:r w:rsidRPr="00693523">
        <w:rPr>
          <w:rFonts w:cs="Arial"/>
        </w:rPr>
        <w:t xml:space="preserve">como autor material de la muerte de Ángel Pacheco, </w:t>
      </w:r>
      <w:r w:rsidR="007B1D85">
        <w:rPr>
          <w:rFonts w:cs="Arial"/>
        </w:rPr>
        <w:t xml:space="preserve">destacó que </w:t>
      </w:r>
      <w:r w:rsidRPr="00693523">
        <w:rPr>
          <w:rFonts w:cs="Arial"/>
        </w:rPr>
        <w:t>se le tomaron dos declaraciones, el 30 de septiembre de 2004 y el 11 de enero de 2008, ante la DGIC. Lo anterior demuestra que sí se realizaron diligencias investigativas en relación al mencionado agente policial.</w:t>
      </w:r>
      <w:r w:rsidR="002032A4">
        <w:rPr>
          <w:rFonts w:cs="Arial"/>
        </w:rPr>
        <w:t xml:space="preserve"> </w:t>
      </w:r>
    </w:p>
    <w:p w14:paraId="15986FC1" w14:textId="77777777" w:rsidR="00693523" w:rsidRPr="00693523" w:rsidRDefault="00693523" w:rsidP="00C732FC">
      <w:pPr>
        <w:tabs>
          <w:tab w:val="left" w:pos="0"/>
        </w:tabs>
        <w:rPr>
          <w:lang w:val="es-CR" w:eastAsia="es-MX"/>
        </w:rPr>
      </w:pPr>
    </w:p>
    <w:p w14:paraId="140408C5" w14:textId="28958968" w:rsidR="00693523" w:rsidRDefault="0095595D" w:rsidP="00C732FC">
      <w:pPr>
        <w:pStyle w:val="PrrafodeSentencia"/>
        <w:tabs>
          <w:tab w:val="clear" w:pos="567"/>
          <w:tab w:val="left" w:pos="0"/>
        </w:tabs>
        <w:ind w:left="0" w:firstLine="0"/>
        <w:rPr>
          <w:rFonts w:cs="Arial"/>
          <w:b/>
        </w:rPr>
      </w:pPr>
      <w:r w:rsidRPr="00693523">
        <w:rPr>
          <w:rFonts w:cs="Arial"/>
        </w:rPr>
        <w:t xml:space="preserve">En </w:t>
      </w:r>
      <w:r w:rsidR="00FB3697">
        <w:rPr>
          <w:rFonts w:cs="Arial"/>
        </w:rPr>
        <w:t>razón</w:t>
      </w:r>
      <w:r w:rsidRPr="00693523">
        <w:rPr>
          <w:rFonts w:cs="Arial"/>
        </w:rPr>
        <w:t xml:space="preserve"> de todo lo anterior, solicitó a la Corte declarar que el Estado no es responsable por la violación</w:t>
      </w:r>
      <w:r w:rsidR="00F9505E">
        <w:rPr>
          <w:rFonts w:cs="Arial"/>
        </w:rPr>
        <w:t xml:space="preserve"> al artículo 4 de la Convención</w:t>
      </w:r>
      <w:r w:rsidRPr="00693523">
        <w:rPr>
          <w:rFonts w:cs="Arial"/>
        </w:rPr>
        <w:t xml:space="preserve">. </w:t>
      </w:r>
    </w:p>
    <w:p w14:paraId="79D1363E" w14:textId="77777777" w:rsidR="00693523" w:rsidRPr="00693523" w:rsidRDefault="00693523" w:rsidP="00C732FC">
      <w:pPr>
        <w:tabs>
          <w:tab w:val="left" w:pos="0"/>
        </w:tabs>
        <w:rPr>
          <w:lang w:val="es-CR" w:eastAsia="es-MX"/>
        </w:rPr>
      </w:pPr>
    </w:p>
    <w:p w14:paraId="2678ACA5" w14:textId="3F8444EA" w:rsidR="006554FA" w:rsidRDefault="0095595D" w:rsidP="004610BF">
      <w:pPr>
        <w:pStyle w:val="PrrafodeSentencia"/>
        <w:tabs>
          <w:tab w:val="clear" w:pos="567"/>
          <w:tab w:val="left" w:pos="0"/>
        </w:tabs>
        <w:ind w:left="0" w:firstLine="0"/>
        <w:rPr>
          <w:szCs w:val="20"/>
        </w:rPr>
      </w:pPr>
      <w:r w:rsidRPr="005D079B">
        <w:rPr>
          <w:szCs w:val="20"/>
        </w:rPr>
        <w:t xml:space="preserve">Respecto a los derechos políticos, el Estado adujo, por una parte, que el señor Pacheco “nunca actuó como Diputado y, menos aún, se cometieron arbitrariedades al momento de su inscripción” como candidato a ese puesto. </w:t>
      </w:r>
      <w:r w:rsidRPr="004D0607">
        <w:rPr>
          <w:szCs w:val="20"/>
        </w:rPr>
        <w:t xml:space="preserve">Por otra parte sostuvo que siendo que con la privación del derecho a la vida se suprime a la </w:t>
      </w:r>
      <w:r w:rsidRPr="00F07B77">
        <w:rPr>
          <w:szCs w:val="20"/>
        </w:rPr>
        <w:t>persona humana, no cabe por tal motivo concluir la violación a otros derechos. Por tanto, sostuvo que la muerte del señor Pacheco no implicó una violación a sus derechos políticos.</w:t>
      </w:r>
      <w:r w:rsidRPr="005D079B">
        <w:rPr>
          <w:szCs w:val="20"/>
        </w:rPr>
        <w:t xml:space="preserve"> </w:t>
      </w:r>
      <w:r w:rsidR="00293709" w:rsidRPr="00C438C1">
        <w:rPr>
          <w:szCs w:val="20"/>
        </w:rPr>
        <w:t>Agregó que dado que luego de la muerte del señor Pacheco el partido político al que él pertenecía nombró en su lugar a su hermano, se evidencia que nunca exist</w:t>
      </w:r>
      <w:r w:rsidR="00BA4624">
        <w:rPr>
          <w:szCs w:val="20"/>
        </w:rPr>
        <w:t>ió la supuesta conspiración de o</w:t>
      </w:r>
      <w:r w:rsidR="00293709" w:rsidRPr="00C438C1">
        <w:rPr>
          <w:szCs w:val="20"/>
        </w:rPr>
        <w:t>rden político para matar al señor Pacheco y que “[no] se trató de un crimen se</w:t>
      </w:r>
      <w:r w:rsidR="000065E5">
        <w:rPr>
          <w:szCs w:val="20"/>
        </w:rPr>
        <w:t>lectivo por razones políticas”.</w:t>
      </w:r>
      <w:r w:rsidR="00A43FB7">
        <w:rPr>
          <w:b/>
          <w:sz w:val="16"/>
          <w:szCs w:val="16"/>
        </w:rPr>
        <w:t xml:space="preserve"> </w:t>
      </w:r>
      <w:r w:rsidR="00AD7709" w:rsidRPr="005D079B">
        <w:rPr>
          <w:szCs w:val="20"/>
        </w:rPr>
        <w:t>Fin</w:t>
      </w:r>
      <w:r w:rsidR="00293709" w:rsidRPr="00C438C1">
        <w:rPr>
          <w:szCs w:val="20"/>
        </w:rPr>
        <w:t>almente, adujo que “las dificultades [en] la investigación […] no son hechos que vulneren derecho</w:t>
      </w:r>
      <w:r w:rsidR="00DE7831">
        <w:rPr>
          <w:szCs w:val="20"/>
        </w:rPr>
        <w:t>s</w:t>
      </w:r>
      <w:r w:rsidR="00A43FB7">
        <w:rPr>
          <w:szCs w:val="20"/>
        </w:rPr>
        <w:t xml:space="preserve"> políticos”.</w:t>
      </w:r>
      <w:r w:rsidR="00293709" w:rsidRPr="005D079B">
        <w:rPr>
          <w:szCs w:val="20"/>
        </w:rPr>
        <w:t xml:space="preserve"> </w:t>
      </w:r>
      <w:r w:rsidRPr="00C438C1">
        <w:rPr>
          <w:szCs w:val="20"/>
        </w:rPr>
        <w:t xml:space="preserve">El Estado solicitó que no se declare </w:t>
      </w:r>
      <w:r w:rsidR="00293709" w:rsidRPr="00C438C1">
        <w:rPr>
          <w:szCs w:val="20"/>
        </w:rPr>
        <w:t>responsable a Honduras</w:t>
      </w:r>
      <w:r w:rsidRPr="00C438C1">
        <w:rPr>
          <w:szCs w:val="20"/>
        </w:rPr>
        <w:t xml:space="preserve"> por la vulneración a</w:t>
      </w:r>
      <w:r w:rsidR="00A43FB7">
        <w:rPr>
          <w:szCs w:val="20"/>
        </w:rPr>
        <w:t>l artículo 23 de la Convención.</w:t>
      </w:r>
    </w:p>
    <w:p w14:paraId="7826593E" w14:textId="77777777" w:rsidR="00062B10" w:rsidRPr="00062B10" w:rsidRDefault="00062B10" w:rsidP="00062B10">
      <w:pPr>
        <w:rPr>
          <w:lang w:val="es-CR" w:eastAsia="es-MX"/>
        </w:rPr>
      </w:pPr>
    </w:p>
    <w:p w14:paraId="7E840211" w14:textId="77777777" w:rsidR="006554FA" w:rsidRPr="006554FA" w:rsidRDefault="006554FA" w:rsidP="00A1177F">
      <w:pPr>
        <w:pStyle w:val="ListParagraph"/>
        <w:numPr>
          <w:ilvl w:val="0"/>
          <w:numId w:val="19"/>
        </w:numPr>
        <w:spacing w:line="276" w:lineRule="auto"/>
        <w:ind w:left="284" w:firstLine="0"/>
        <w:contextualSpacing/>
        <w:jc w:val="left"/>
        <w:outlineLvl w:val="1"/>
        <w:rPr>
          <w:rFonts w:cs="Arial"/>
          <w:b/>
          <w:i/>
          <w:lang w:val="es-CR"/>
        </w:rPr>
      </w:pPr>
      <w:bookmarkStart w:id="294" w:name="_Toc488134457"/>
      <w:bookmarkStart w:id="295" w:name="_Toc489523917"/>
      <w:bookmarkStart w:id="296" w:name="_Toc493512913"/>
      <w:bookmarkStart w:id="297" w:name="_Toc498512835"/>
      <w:r w:rsidRPr="006554FA">
        <w:rPr>
          <w:rFonts w:cs="Arial"/>
          <w:b/>
          <w:i/>
          <w:lang w:val="es-CR"/>
        </w:rPr>
        <w:lastRenderedPageBreak/>
        <w:t>Consideraciones de la Corte</w:t>
      </w:r>
      <w:bookmarkEnd w:id="294"/>
      <w:bookmarkEnd w:id="295"/>
      <w:bookmarkEnd w:id="296"/>
      <w:bookmarkEnd w:id="297"/>
      <w:r w:rsidRPr="006554FA">
        <w:rPr>
          <w:rFonts w:cs="Arial"/>
          <w:b/>
          <w:i/>
          <w:lang w:val="es-CR"/>
        </w:rPr>
        <w:t xml:space="preserve"> </w:t>
      </w:r>
    </w:p>
    <w:p w14:paraId="295034FF" w14:textId="77777777" w:rsidR="006554FA" w:rsidRPr="006554FA" w:rsidRDefault="006554FA" w:rsidP="006554FA">
      <w:pPr>
        <w:rPr>
          <w:lang w:val="es-CR" w:eastAsia="es-MX"/>
        </w:rPr>
      </w:pPr>
    </w:p>
    <w:p w14:paraId="050DE6FE" w14:textId="646E6201" w:rsidR="00623BB5" w:rsidRPr="00AD3D4F" w:rsidRDefault="00B36430" w:rsidP="00B36430">
      <w:pPr>
        <w:pStyle w:val="PrrafodeSentencia"/>
        <w:tabs>
          <w:tab w:val="clear" w:pos="567"/>
        </w:tabs>
        <w:ind w:left="0" w:firstLine="0"/>
        <w:rPr>
          <w:rFonts w:cs="Arial"/>
        </w:rPr>
      </w:pPr>
      <w:r w:rsidRPr="00AD3D4F">
        <w:rPr>
          <w:rFonts w:cs="Arial"/>
        </w:rPr>
        <w:t>A continuación</w:t>
      </w:r>
      <w:r w:rsidR="00580AAA" w:rsidRPr="00AD3D4F">
        <w:rPr>
          <w:rFonts w:cs="Arial"/>
        </w:rPr>
        <w:t xml:space="preserve"> </w:t>
      </w:r>
      <w:r w:rsidR="00E61173" w:rsidRPr="00AD3D4F">
        <w:rPr>
          <w:rFonts w:cs="Arial"/>
        </w:rPr>
        <w:t>se exponen conceptos sobre el derecho a la vida y los derechos políticos</w:t>
      </w:r>
      <w:r w:rsidR="00623BB5" w:rsidRPr="00AD3D4F">
        <w:rPr>
          <w:rFonts w:cs="Arial"/>
        </w:rPr>
        <w:t xml:space="preserve">, así como sobre la vinculación que entre ambos puede presentarse en ciertas circunstancias. Luego se examina si en el caso, en relación con la muerte del señor Pacheco, se han incumplido las obligaciones de </w:t>
      </w:r>
      <w:r w:rsidR="00942DF7">
        <w:rPr>
          <w:rFonts w:cs="Arial"/>
        </w:rPr>
        <w:t xml:space="preserve">respeto o </w:t>
      </w:r>
      <w:r w:rsidR="00623BB5" w:rsidRPr="00AD3D4F">
        <w:rPr>
          <w:rFonts w:cs="Arial"/>
        </w:rPr>
        <w:t xml:space="preserve">garantía de los derechos mencionados. En cuanto al deber de respeto, se analiza si puede considerarse acreditada la intervención de agentes estatales respecto a la lesión de los derechos y si hay elementos de convicción suficientes para aseverar que, a tal efecto, hubo una </w:t>
      </w:r>
      <w:proofErr w:type="spellStart"/>
      <w:r w:rsidR="00623BB5" w:rsidRPr="00AD3D4F">
        <w:rPr>
          <w:rFonts w:cs="Arial"/>
        </w:rPr>
        <w:t>instumentalización</w:t>
      </w:r>
      <w:proofErr w:type="spellEnd"/>
      <w:r w:rsidR="00623BB5" w:rsidRPr="00AD3D4F">
        <w:rPr>
          <w:rFonts w:cs="Arial"/>
        </w:rPr>
        <w:t xml:space="preserve"> del poder público. Por último, se abordan otros alegatos sobre la lesión a derechos políticos.   </w:t>
      </w:r>
    </w:p>
    <w:p w14:paraId="01635546" w14:textId="323A7E49" w:rsidR="00E61173" w:rsidRDefault="00E61173" w:rsidP="00580AAA">
      <w:pPr>
        <w:pStyle w:val="PrrafodeSentencia"/>
        <w:numPr>
          <w:ilvl w:val="0"/>
          <w:numId w:val="0"/>
        </w:numPr>
        <w:ind w:left="360" w:hanging="360"/>
        <w:rPr>
          <w:rFonts w:cs="Arial"/>
        </w:rPr>
      </w:pPr>
    </w:p>
    <w:p w14:paraId="5ACB1E58" w14:textId="77777777" w:rsidR="006554FA" w:rsidRPr="006554FA" w:rsidRDefault="0095595D" w:rsidP="00A43FB7">
      <w:pPr>
        <w:pStyle w:val="PrrafodeSentencia"/>
        <w:tabs>
          <w:tab w:val="clear" w:pos="567"/>
        </w:tabs>
        <w:ind w:left="0" w:firstLine="0"/>
        <w:rPr>
          <w:rFonts w:cs="Arial"/>
        </w:rPr>
      </w:pPr>
      <w:r w:rsidRPr="006554FA">
        <w:rPr>
          <w:rFonts w:cs="Arial"/>
        </w:rPr>
        <w:t xml:space="preserve">La Corte ha explicado que </w:t>
      </w:r>
    </w:p>
    <w:p w14:paraId="3D57ED7D" w14:textId="77777777" w:rsidR="006554FA" w:rsidRDefault="006554FA" w:rsidP="006554FA">
      <w:pPr>
        <w:pStyle w:val="ListParagraph"/>
        <w:numPr>
          <w:ilvl w:val="0"/>
          <w:numId w:val="0"/>
        </w:numPr>
        <w:rPr>
          <w:rFonts w:cs="Arial"/>
          <w:lang w:val="es-CR"/>
        </w:rPr>
      </w:pPr>
    </w:p>
    <w:p w14:paraId="713E9957" w14:textId="77777777" w:rsidR="006554FA" w:rsidRPr="006554FA" w:rsidRDefault="006554FA" w:rsidP="004D0607">
      <w:pPr>
        <w:autoSpaceDE w:val="0"/>
        <w:autoSpaceDN w:val="0"/>
        <w:adjustRightInd w:val="0"/>
        <w:ind w:left="567" w:right="674"/>
        <w:rPr>
          <w:rFonts w:cs="Arial"/>
          <w:sz w:val="16"/>
          <w:szCs w:val="16"/>
        </w:rPr>
      </w:pPr>
      <w:proofErr w:type="gramStart"/>
      <w:r w:rsidRPr="00E65BE3">
        <w:rPr>
          <w:rFonts w:cs="Arial"/>
          <w:sz w:val="16"/>
          <w:szCs w:val="16"/>
        </w:rPr>
        <w:t>el</w:t>
      </w:r>
      <w:proofErr w:type="gramEnd"/>
      <w:r w:rsidRPr="00E65BE3">
        <w:rPr>
          <w:rFonts w:cs="Arial"/>
          <w:sz w:val="16"/>
          <w:szCs w:val="16"/>
        </w:rPr>
        <w:t xml:space="preserve"> derecho a la vida juega un papel fundamental en la Convención Americana, por ser el presupuesto esencial para el ejercicio de los demás derechos. Los Estados tienen la obligación de garantizar la creación de las condiciones que se requieran para que no se produzcan violaciones de este derecho inalienable y, en particular, el deber de impedir que sus agentes atenten contra él. La observancia del artículo 4, relacionado con el artículo 1.1 de la Convención Americana, no solo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Pr>
          <w:rStyle w:val="FootnoteReference"/>
          <w:rFonts w:cs="Arial"/>
        </w:rPr>
        <w:footnoteReference w:id="185"/>
      </w:r>
      <w:r w:rsidRPr="00E65BE3">
        <w:rPr>
          <w:rFonts w:cs="Arial"/>
          <w:sz w:val="16"/>
          <w:szCs w:val="16"/>
        </w:rPr>
        <w:t>.</w:t>
      </w:r>
    </w:p>
    <w:p w14:paraId="098DA302" w14:textId="77777777" w:rsidR="006554FA" w:rsidRPr="006554FA" w:rsidRDefault="006554FA" w:rsidP="006554FA">
      <w:pPr>
        <w:rPr>
          <w:lang w:val="es-CR" w:eastAsia="es-MX"/>
        </w:rPr>
      </w:pPr>
    </w:p>
    <w:p w14:paraId="19B335B5" w14:textId="77777777" w:rsidR="006554FA" w:rsidRDefault="0095595D" w:rsidP="002D5A5C">
      <w:pPr>
        <w:pStyle w:val="PrrafodeSentencia"/>
        <w:tabs>
          <w:tab w:val="clear" w:pos="567"/>
          <w:tab w:val="left" w:pos="-567"/>
        </w:tabs>
        <w:ind w:left="0" w:firstLine="0"/>
      </w:pPr>
      <w:r w:rsidRPr="006554FA">
        <w:t>Por otra parte, 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ii) a votar y a ser elegido en elecciones periódicas auténticas, realizadas por sufragio universal e igual y por voto secreto que garantice la libre expresión de los electores, y iii) a acceder a las funciones públicas de su país</w:t>
      </w:r>
      <w:r w:rsidRPr="00C438C1">
        <w:rPr>
          <w:rStyle w:val="FootnoteReference"/>
          <w:sz w:val="20"/>
          <w:szCs w:val="20"/>
        </w:rPr>
        <w:footnoteReference w:id="186"/>
      </w:r>
      <w:r w:rsidRPr="005D079B">
        <w:rPr>
          <w:szCs w:val="20"/>
        </w:rPr>
        <w:t xml:space="preserve">. </w:t>
      </w:r>
    </w:p>
    <w:p w14:paraId="0B201A27" w14:textId="77777777" w:rsidR="006554FA" w:rsidRPr="006554FA" w:rsidRDefault="006554FA" w:rsidP="00C732FC">
      <w:pPr>
        <w:rPr>
          <w:lang w:val="es-CR" w:eastAsia="es-MX"/>
        </w:rPr>
      </w:pPr>
    </w:p>
    <w:p w14:paraId="523DAC3D" w14:textId="3A49F22B" w:rsidR="000874BF" w:rsidRPr="00783116" w:rsidRDefault="00CB7CC5" w:rsidP="000874BF">
      <w:pPr>
        <w:pStyle w:val="PrrafodeSentencia"/>
        <w:ind w:left="0" w:firstLine="0"/>
        <w:rPr>
          <w:szCs w:val="20"/>
        </w:rPr>
      </w:pPr>
      <w:r>
        <w:t>E</w:t>
      </w:r>
      <w:r w:rsidR="0095595D" w:rsidRPr="006554FA">
        <w:t xml:space="preserve">n términos generales, asiste razón al Estado cuando señala que de una violación al derecho a la vida no se desprende una violación a otros derechos convencionales </w:t>
      </w:r>
      <w:r w:rsidR="0095595D" w:rsidRPr="004D0607">
        <w:t>(</w:t>
      </w:r>
      <w:r w:rsidR="0095595D" w:rsidRPr="004D0607">
        <w:rPr>
          <w:i/>
        </w:rPr>
        <w:t>supra</w:t>
      </w:r>
      <w:r w:rsidR="0095595D" w:rsidRPr="004D0607">
        <w:t xml:space="preserve"> párr. </w:t>
      </w:r>
      <w:r w:rsidR="007B4F22" w:rsidRPr="004D0607">
        <w:t>1</w:t>
      </w:r>
      <w:r w:rsidR="00783116" w:rsidRPr="004D0607">
        <w:t>42</w:t>
      </w:r>
      <w:r w:rsidR="0095595D" w:rsidRPr="004D0607">
        <w:t>).</w:t>
      </w:r>
      <w:r w:rsidR="0095595D" w:rsidRPr="006554FA">
        <w:t xml:space="preserve"> No obstante, en lo que atañe a este caso, debe recordarse que conforme la Corte ya ha señalado</w:t>
      </w:r>
      <w:r w:rsidR="00CB43BB">
        <w:t xml:space="preserve">, </w:t>
      </w:r>
      <w:r w:rsidR="0095595D" w:rsidRPr="00783116">
        <w:t xml:space="preserve">cuando el objetivo del atentado contra la vida es impedir el ejercicio de otros derechos, </w:t>
      </w:r>
      <w:r w:rsidR="00C92A66" w:rsidRPr="00783116">
        <w:t xml:space="preserve">inclusive políticos, </w:t>
      </w:r>
      <w:r w:rsidR="0095595D" w:rsidRPr="00783116">
        <w:t>tales derechos pueden verse afectados</w:t>
      </w:r>
      <w:r w:rsidR="0095595D" w:rsidRPr="00783116">
        <w:rPr>
          <w:rStyle w:val="FootnoteReference"/>
          <w:sz w:val="20"/>
          <w:szCs w:val="20"/>
        </w:rPr>
        <w:footnoteReference w:id="187"/>
      </w:r>
      <w:r w:rsidR="0095595D" w:rsidRPr="00783116">
        <w:rPr>
          <w:szCs w:val="20"/>
        </w:rPr>
        <w:t xml:space="preserve">. </w:t>
      </w:r>
    </w:p>
    <w:p w14:paraId="10E96EAE" w14:textId="77777777" w:rsidR="000874BF" w:rsidRPr="00783116" w:rsidRDefault="000874BF" w:rsidP="000874BF">
      <w:pPr>
        <w:rPr>
          <w:lang w:val="es-CR" w:eastAsia="es-MX"/>
        </w:rPr>
      </w:pPr>
    </w:p>
    <w:p w14:paraId="41CCCA14" w14:textId="5054884B" w:rsidR="00942DF7" w:rsidRPr="00783116" w:rsidRDefault="00F87A48" w:rsidP="00942DF7">
      <w:pPr>
        <w:pStyle w:val="PrrafodeSentencia"/>
        <w:ind w:left="0" w:firstLine="0"/>
        <w:rPr>
          <w:rFonts w:cs="Arial"/>
        </w:rPr>
      </w:pPr>
      <w:r w:rsidRPr="00783116">
        <w:rPr>
          <w:rFonts w:cs="Arial"/>
        </w:rPr>
        <w:t>En relación con la alegada violación del derecho a la vida</w:t>
      </w:r>
      <w:r w:rsidR="000065E5" w:rsidRPr="00783116">
        <w:rPr>
          <w:rFonts w:cs="Arial"/>
        </w:rPr>
        <w:t>,</w:t>
      </w:r>
      <w:r w:rsidR="00942DF7" w:rsidRPr="00783116">
        <w:rPr>
          <w:rFonts w:cs="Arial"/>
        </w:rPr>
        <w:t xml:space="preserve"> </w:t>
      </w:r>
      <w:r w:rsidR="004B1879" w:rsidRPr="00783116">
        <w:rPr>
          <w:rFonts w:cs="Arial"/>
        </w:rPr>
        <w:t>debe resaltarse que l</w:t>
      </w:r>
      <w:r w:rsidR="00942DF7" w:rsidRPr="00783116">
        <w:rPr>
          <w:rFonts w:cs="Arial"/>
        </w:rPr>
        <w:t>os representantes no adujeron una violación al deber de respetar</w:t>
      </w:r>
      <w:r w:rsidR="007B06E9" w:rsidRPr="00783116">
        <w:rPr>
          <w:rFonts w:cs="Arial"/>
        </w:rPr>
        <w:t>lo</w:t>
      </w:r>
      <w:r w:rsidR="00942DF7" w:rsidRPr="00783116">
        <w:rPr>
          <w:rFonts w:cs="Arial"/>
        </w:rPr>
        <w:t xml:space="preserve"> en su escrito de solicitudes y argumentos</w:t>
      </w:r>
      <w:r w:rsidR="00942DF7" w:rsidRPr="00783116">
        <w:rPr>
          <w:rStyle w:val="FootnoteReference"/>
          <w:sz w:val="20"/>
          <w:szCs w:val="20"/>
        </w:rPr>
        <w:footnoteReference w:id="188"/>
      </w:r>
      <w:r w:rsidR="00BC0398" w:rsidRPr="00783116">
        <w:rPr>
          <w:rFonts w:cs="Arial"/>
        </w:rPr>
        <w:t>, no obstante en los alegatos finales escritos afirma</w:t>
      </w:r>
      <w:r w:rsidR="00BA4624">
        <w:rPr>
          <w:rFonts w:cs="Arial"/>
        </w:rPr>
        <w:t>ro</w:t>
      </w:r>
      <w:r w:rsidR="00BC0398" w:rsidRPr="00783116">
        <w:rPr>
          <w:rFonts w:cs="Arial"/>
        </w:rPr>
        <w:t>n que agentes estatales participaron en la planeación y en la ejecución del homicidio del señor Pacheco León</w:t>
      </w:r>
      <w:r w:rsidR="00942DF7" w:rsidRPr="00783116">
        <w:rPr>
          <w:rFonts w:cs="Arial"/>
        </w:rPr>
        <w:t xml:space="preserve">. </w:t>
      </w:r>
      <w:r w:rsidR="00BC0398" w:rsidRPr="00783116">
        <w:rPr>
          <w:rFonts w:cs="Arial"/>
        </w:rPr>
        <w:t>Por su parte l</w:t>
      </w:r>
      <w:r w:rsidR="00942DF7" w:rsidRPr="00783116">
        <w:rPr>
          <w:rFonts w:cs="Arial"/>
        </w:rPr>
        <w:t xml:space="preserve">a Comisión </w:t>
      </w:r>
      <w:r w:rsidR="00BC0398" w:rsidRPr="00783116">
        <w:rPr>
          <w:rFonts w:cs="Arial"/>
        </w:rPr>
        <w:t>sostuvo</w:t>
      </w:r>
      <w:r w:rsidR="00942DF7" w:rsidRPr="00783116">
        <w:rPr>
          <w:rFonts w:cs="Arial"/>
        </w:rPr>
        <w:t xml:space="preserve"> que existen indicios de que ciertas personas que al momento de los hechos eran agentes estatales, habrían estado implicadas en la muerte del señor Pacheco (</w:t>
      </w:r>
      <w:r w:rsidR="00942DF7" w:rsidRPr="00783116">
        <w:rPr>
          <w:rFonts w:cs="Arial"/>
          <w:i/>
        </w:rPr>
        <w:t>supra</w:t>
      </w:r>
      <w:r w:rsidR="00942DF7" w:rsidRPr="00783116">
        <w:rPr>
          <w:rFonts w:cs="Arial"/>
        </w:rPr>
        <w:t xml:space="preserve"> párr. 1</w:t>
      </w:r>
      <w:r w:rsidR="00783116" w:rsidRPr="00783116">
        <w:rPr>
          <w:rFonts w:cs="Arial"/>
        </w:rPr>
        <w:t>3</w:t>
      </w:r>
      <w:r w:rsidR="00942DF7" w:rsidRPr="00783116">
        <w:rPr>
          <w:rFonts w:cs="Arial"/>
        </w:rPr>
        <w:t xml:space="preserve">2). </w:t>
      </w:r>
    </w:p>
    <w:p w14:paraId="6BBE2C39" w14:textId="77777777" w:rsidR="000874BF" w:rsidRPr="00783116" w:rsidRDefault="000874BF" w:rsidP="000874BF">
      <w:pPr>
        <w:rPr>
          <w:lang w:val="es-CR" w:eastAsia="es-MX"/>
        </w:rPr>
      </w:pPr>
    </w:p>
    <w:p w14:paraId="6871467E" w14:textId="4FC25599" w:rsidR="00942DF7" w:rsidRPr="00150171" w:rsidRDefault="00942DF7" w:rsidP="000874BF">
      <w:pPr>
        <w:pStyle w:val="PrrafodeSentencia"/>
        <w:tabs>
          <w:tab w:val="clear" w:pos="567"/>
          <w:tab w:val="left" w:pos="0"/>
        </w:tabs>
        <w:ind w:left="0" w:firstLine="0"/>
      </w:pPr>
      <w:r w:rsidRPr="00783116">
        <w:t>La Corte ha advertido la gravedad de la impunidad en el presente caso (</w:t>
      </w:r>
      <w:r w:rsidRPr="00783116">
        <w:rPr>
          <w:i/>
        </w:rPr>
        <w:t>supra</w:t>
      </w:r>
      <w:r w:rsidRPr="00783116">
        <w:t xml:space="preserve"> párr. </w:t>
      </w:r>
      <w:r w:rsidR="00783116" w:rsidRPr="00783116">
        <w:t>128</w:t>
      </w:r>
      <w:r w:rsidRPr="00783116">
        <w:t>)</w:t>
      </w:r>
      <w:r w:rsidRPr="00150171">
        <w:t xml:space="preserve"> </w:t>
      </w:r>
      <w:r w:rsidR="00773AD1">
        <w:t>puesto</w:t>
      </w:r>
      <w:r w:rsidRPr="00150171">
        <w:t xml:space="preserve"> que, transcurridos cerca de 16 años, la investigación no ha concluido y no ha determinado personas responsables de la muerte d</w:t>
      </w:r>
      <w:r w:rsidR="007B06E9">
        <w:t xml:space="preserve">el señor Pacheco. No obstante, </w:t>
      </w:r>
      <w:r w:rsidRPr="00150171">
        <w:rPr>
          <w:color w:val="000000"/>
        </w:rPr>
        <w:t xml:space="preserve">el hecho de que la impunidad de un caso impida conocer lo sucedido, no puede llevar </w:t>
      </w:r>
      <w:r w:rsidR="007B06E9">
        <w:rPr>
          <w:color w:val="000000"/>
        </w:rPr>
        <w:t xml:space="preserve">siempre </w:t>
      </w:r>
      <w:r w:rsidRPr="00150171">
        <w:rPr>
          <w:color w:val="000000"/>
        </w:rPr>
        <w:t xml:space="preserve">a este Tribunal a condenar </w:t>
      </w:r>
      <w:r w:rsidRPr="00150171">
        <w:rPr>
          <w:color w:val="000000"/>
        </w:rPr>
        <w:lastRenderedPageBreak/>
        <w:t>automáticamente al Estado por el incu</w:t>
      </w:r>
      <w:r w:rsidR="007B06E9">
        <w:rPr>
          <w:color w:val="000000"/>
        </w:rPr>
        <w:t>mplimiento del deber de respeto</w:t>
      </w:r>
      <w:r w:rsidRPr="004B1879">
        <w:rPr>
          <w:rStyle w:val="FootnoteReference"/>
          <w:color w:val="000000"/>
          <w:sz w:val="20"/>
          <w:szCs w:val="20"/>
        </w:rPr>
        <w:footnoteReference w:id="189"/>
      </w:r>
      <w:r w:rsidR="004B1879">
        <w:rPr>
          <w:color w:val="000000"/>
        </w:rPr>
        <w:t xml:space="preserve">. Además, </w:t>
      </w:r>
      <w:r w:rsidRPr="00150171">
        <w:t xml:space="preserve">no </w:t>
      </w:r>
      <w:r w:rsidR="004B1879">
        <w:rPr>
          <w:lang w:val="es-ES"/>
        </w:rPr>
        <w:t>le corresponde a la Corte</w:t>
      </w:r>
      <w:r w:rsidRPr="00150171">
        <w:rPr>
          <w:lang w:val="es-ES"/>
        </w:rPr>
        <w:t xml:space="preserve"> </w:t>
      </w:r>
      <w:r w:rsidR="004B1879">
        <w:rPr>
          <w:lang w:val="es-ES"/>
        </w:rPr>
        <w:t>“</w:t>
      </w:r>
      <w:r w:rsidRPr="00150171">
        <w:rPr>
          <w:lang w:val="es-ES"/>
        </w:rPr>
        <w:t>analizar las hipótesis de autoría manejadas durante la investigación de los hechos […] y, en consecuencia, determinar responsabilidades individuales, cuya definición compete a los tribunales penales internos, sino evaluar las acciones u omisiones de agentes estatales”</w:t>
      </w:r>
      <w:r w:rsidRPr="004B1879">
        <w:rPr>
          <w:rStyle w:val="FootnoteReference"/>
          <w:sz w:val="20"/>
          <w:szCs w:val="20"/>
        </w:rPr>
        <w:footnoteReference w:id="190"/>
      </w:r>
      <w:r w:rsidRPr="00150171">
        <w:t>.</w:t>
      </w:r>
    </w:p>
    <w:p w14:paraId="5CAA38D2" w14:textId="77777777" w:rsidR="00942DF7" w:rsidRPr="00150171" w:rsidRDefault="00942DF7" w:rsidP="00942DF7">
      <w:pPr>
        <w:pStyle w:val="PrrafodeSentencia"/>
        <w:numPr>
          <w:ilvl w:val="0"/>
          <w:numId w:val="0"/>
        </w:numPr>
        <w:rPr>
          <w:b/>
        </w:rPr>
      </w:pPr>
    </w:p>
    <w:p w14:paraId="67D2A905" w14:textId="2A1984AF" w:rsidR="000874BF" w:rsidRDefault="00BC0398" w:rsidP="00942DF7">
      <w:pPr>
        <w:pStyle w:val="PrrafodeSentencia"/>
        <w:tabs>
          <w:tab w:val="clear" w:pos="567"/>
          <w:tab w:val="left" w:pos="0"/>
        </w:tabs>
        <w:ind w:left="0" w:firstLine="0"/>
        <w:rPr>
          <w:rFonts w:cs="Arial"/>
        </w:rPr>
      </w:pPr>
      <w:r>
        <w:t>Pero también este Tribunal ha señalado que</w:t>
      </w:r>
      <w:r w:rsidR="00942DF7" w:rsidRPr="00150171">
        <w:t xml:space="preserve"> las falencias en la investigación interna o su falta de conclusión no obstan a que la Corte determine que el Estado irrespetó el derecho a la vida, siempre que existan elementos de juicio suficientes que permitan arribar a esa conclusión. </w:t>
      </w:r>
      <w:r w:rsidR="004B1879">
        <w:rPr>
          <w:lang w:val="es-PE"/>
        </w:rPr>
        <w:t xml:space="preserve">La Corte en otros casos </w:t>
      </w:r>
      <w:r w:rsidR="00942DF7" w:rsidRPr="00150171">
        <w:rPr>
          <w:rFonts w:cs="Arial"/>
        </w:rPr>
        <w:t>ha determinado violado el derecho a la vida a partir de indicios de participación en los hechos estatales no desvirtuados por investigaciones internas</w:t>
      </w:r>
      <w:r w:rsidR="00942DF7" w:rsidRPr="00B32B84">
        <w:rPr>
          <w:rStyle w:val="FootnoteReference"/>
          <w:sz w:val="20"/>
          <w:szCs w:val="20"/>
        </w:rPr>
        <w:footnoteReference w:id="191"/>
      </w:r>
      <w:r w:rsidR="00942DF7" w:rsidRPr="00150171">
        <w:rPr>
          <w:rFonts w:cs="Arial"/>
        </w:rPr>
        <w:t xml:space="preserve">. No obstante, se trató de circunstancias en que los indicios resultaban claros en cuanto a que personas pertenecientes a la estructura estatal, valiéndose en algún modo de la misma, habían tenido una intervención relevante en los hechos violatorios. </w:t>
      </w:r>
    </w:p>
    <w:p w14:paraId="3D1470C0" w14:textId="77777777" w:rsidR="000874BF" w:rsidRPr="000874BF" w:rsidRDefault="000874BF" w:rsidP="000874BF">
      <w:pPr>
        <w:rPr>
          <w:lang w:val="es-CR" w:eastAsia="es-MX"/>
        </w:rPr>
      </w:pPr>
    </w:p>
    <w:p w14:paraId="28ADC0E4" w14:textId="79A7F929" w:rsidR="000874BF" w:rsidRDefault="00942DF7" w:rsidP="00942DF7">
      <w:pPr>
        <w:pStyle w:val="PrrafodeSentencia"/>
        <w:tabs>
          <w:tab w:val="clear" w:pos="567"/>
          <w:tab w:val="left" w:pos="0"/>
        </w:tabs>
        <w:ind w:left="0" w:firstLine="0"/>
        <w:rPr>
          <w:lang w:val="es-CL"/>
        </w:rPr>
      </w:pPr>
      <w:r w:rsidRPr="000874BF">
        <w:rPr>
          <w:lang w:val="es-CL"/>
        </w:rPr>
        <w:t>En este caso, determinadas aseveraciones efectuadas por los representantes (</w:t>
      </w:r>
      <w:r w:rsidRPr="000874BF">
        <w:rPr>
          <w:i/>
          <w:lang w:val="es-CL"/>
        </w:rPr>
        <w:t>supra</w:t>
      </w:r>
      <w:r w:rsidR="00783116">
        <w:rPr>
          <w:lang w:val="es-CL"/>
        </w:rPr>
        <w:t xml:space="preserve"> párr. 135</w:t>
      </w:r>
      <w:r w:rsidRPr="000874BF">
        <w:rPr>
          <w:lang w:val="es-CL"/>
        </w:rPr>
        <w:t xml:space="preserve">) no resultan suficientemente acreditadas. Así, no surge de los hechos que el homicidio no hubiera podido concretarse sin órdenes o conocimiento de mandos superiores de la estructura policial. Los representantes parecen desprender esta afirmación de la aducida falta de acción de </w:t>
      </w:r>
      <w:r w:rsidRPr="00F07B77">
        <w:rPr>
          <w:lang w:val="es-CL"/>
        </w:rPr>
        <w:t>una</w:t>
      </w:r>
      <w:r w:rsidR="00047AE7" w:rsidRPr="00F07B77">
        <w:rPr>
          <w:lang w:val="es-CL"/>
        </w:rPr>
        <w:t>s</w:t>
      </w:r>
      <w:r w:rsidRPr="00F07B77">
        <w:rPr>
          <w:lang w:val="es-CL"/>
        </w:rPr>
        <w:t xml:space="preserve"> patrulla</w:t>
      </w:r>
      <w:r w:rsidR="00047AE7" w:rsidRPr="00F07B77">
        <w:rPr>
          <w:lang w:val="es-CL"/>
        </w:rPr>
        <w:t>s</w:t>
      </w:r>
      <w:r w:rsidRPr="00F07B77">
        <w:rPr>
          <w:lang w:val="es-CL"/>
        </w:rPr>
        <w:t xml:space="preserve"> policial</w:t>
      </w:r>
      <w:r w:rsidR="00047AE7" w:rsidRPr="00F07B77">
        <w:rPr>
          <w:lang w:val="es-CL"/>
        </w:rPr>
        <w:t>es</w:t>
      </w:r>
      <w:r w:rsidRPr="00F07B77">
        <w:rPr>
          <w:lang w:val="es-CL"/>
        </w:rPr>
        <w:t xml:space="preserve"> que </w:t>
      </w:r>
      <w:r w:rsidR="00BC0398" w:rsidRPr="00F07B77">
        <w:rPr>
          <w:lang w:val="es-CL"/>
        </w:rPr>
        <w:t xml:space="preserve">supuestamente </w:t>
      </w:r>
      <w:r w:rsidRPr="00F07B77">
        <w:rPr>
          <w:lang w:val="es-CL"/>
        </w:rPr>
        <w:t>se encontraba</w:t>
      </w:r>
      <w:r w:rsidR="00047AE7" w:rsidRPr="00F07B77">
        <w:rPr>
          <w:lang w:val="es-CL"/>
        </w:rPr>
        <w:t>n</w:t>
      </w:r>
      <w:r w:rsidRPr="00F07B77">
        <w:rPr>
          <w:lang w:val="es-CL"/>
        </w:rPr>
        <w:t xml:space="preserve"> cerca del lugar del hecho. Pese a la alusión de los representantes sobre varios testigos que observaron esto, </w:t>
      </w:r>
      <w:r w:rsidR="00960FDC" w:rsidRPr="00F07B77">
        <w:rPr>
          <w:lang w:val="es-CL"/>
        </w:rPr>
        <w:t xml:space="preserve">es </w:t>
      </w:r>
      <w:proofErr w:type="spellStart"/>
      <w:r w:rsidRPr="00F07B77">
        <w:rPr>
          <w:lang w:val="es-CL"/>
        </w:rPr>
        <w:t>Jimy</w:t>
      </w:r>
      <w:proofErr w:type="spellEnd"/>
      <w:r w:rsidRPr="00F07B77">
        <w:rPr>
          <w:lang w:val="es-CL"/>
        </w:rPr>
        <w:t xml:space="preserve"> Pacheco </w:t>
      </w:r>
      <w:r w:rsidR="00960FDC" w:rsidRPr="00F07B77">
        <w:rPr>
          <w:lang w:val="es-CL"/>
        </w:rPr>
        <w:t xml:space="preserve">en su declaración rendida </w:t>
      </w:r>
      <w:r w:rsidRPr="00F07B77">
        <w:rPr>
          <w:lang w:val="es-CL"/>
        </w:rPr>
        <w:t>ante la Corte que da cuenta de esa circunstancia</w:t>
      </w:r>
      <w:r w:rsidR="00424B1C" w:rsidRPr="00F07B77">
        <w:rPr>
          <w:lang w:val="es-CL"/>
        </w:rPr>
        <w:t>,</w:t>
      </w:r>
      <w:r w:rsidR="00047AE7" w:rsidRPr="00F07B77">
        <w:rPr>
          <w:lang w:val="es-CL"/>
        </w:rPr>
        <w:t xml:space="preserve"> refiriéndose a una patrulla</w:t>
      </w:r>
      <w:r w:rsidR="009D1972" w:rsidRPr="00F07B77">
        <w:rPr>
          <w:rStyle w:val="FootnoteReference"/>
          <w:sz w:val="20"/>
          <w:szCs w:val="20"/>
          <w:lang w:val="es-CL"/>
        </w:rPr>
        <w:footnoteReference w:id="192"/>
      </w:r>
      <w:r w:rsidRPr="00F07B77">
        <w:rPr>
          <w:lang w:val="es-CL"/>
        </w:rPr>
        <w:t>.</w:t>
      </w:r>
      <w:r w:rsidRPr="000874BF">
        <w:rPr>
          <w:lang w:val="es-CL"/>
        </w:rPr>
        <w:t xml:space="preserve"> En cualquier caso, la Corte entiende que la sola conducta de </w:t>
      </w:r>
      <w:r w:rsidR="00BA4624">
        <w:rPr>
          <w:lang w:val="es-CL"/>
        </w:rPr>
        <w:t xml:space="preserve">persona policial que conducía </w:t>
      </w:r>
      <w:r w:rsidRPr="000874BF">
        <w:rPr>
          <w:lang w:val="es-CL"/>
        </w:rPr>
        <w:t xml:space="preserve">una patrulla policial no resulta suficiente para desprender el involucramiento de la “estructura policial” como tal, o de sus “mandos superiores” en el homicidio. </w:t>
      </w:r>
    </w:p>
    <w:p w14:paraId="656BF736" w14:textId="77777777" w:rsidR="000874BF" w:rsidRPr="000874BF" w:rsidRDefault="000874BF" w:rsidP="000874BF">
      <w:pPr>
        <w:rPr>
          <w:lang w:val="es-CL" w:eastAsia="es-MX"/>
        </w:rPr>
      </w:pPr>
    </w:p>
    <w:p w14:paraId="294FB8E5" w14:textId="7406068A" w:rsidR="000874BF" w:rsidRPr="000874BF" w:rsidRDefault="00942DF7" w:rsidP="000874BF">
      <w:pPr>
        <w:pStyle w:val="PrrafodeSentencia"/>
        <w:tabs>
          <w:tab w:val="clear" w:pos="567"/>
          <w:tab w:val="left" w:pos="0"/>
        </w:tabs>
        <w:ind w:left="0" w:firstLine="0"/>
        <w:rPr>
          <w:strike/>
          <w:lang w:val="es-PE"/>
        </w:rPr>
      </w:pPr>
      <w:r w:rsidRPr="000874BF">
        <w:rPr>
          <w:lang w:val="es-CL"/>
        </w:rPr>
        <w:t>Los representantes también afirmaron que “ha sido probado” que dos diputados y un alcalde “</w:t>
      </w:r>
      <w:proofErr w:type="gramStart"/>
      <w:r w:rsidRPr="000874BF">
        <w:rPr>
          <w:lang w:val="es-CL"/>
        </w:rPr>
        <w:t>planifica[</w:t>
      </w:r>
      <w:proofErr w:type="gramEnd"/>
      <w:r w:rsidRPr="000874BF">
        <w:rPr>
          <w:lang w:val="es-CL"/>
        </w:rPr>
        <w:t>ron] y coordina[ron]” el homicidio y que fue “presuntamente un policía” quien lo ejecutó. Como surge de los hechos (</w:t>
      </w:r>
      <w:r w:rsidRPr="000874BF">
        <w:rPr>
          <w:i/>
          <w:lang w:val="es-CL"/>
        </w:rPr>
        <w:t>supra</w:t>
      </w:r>
      <w:r w:rsidRPr="000874BF">
        <w:rPr>
          <w:lang w:val="es-CL"/>
        </w:rPr>
        <w:t xml:space="preserve"> párr. </w:t>
      </w:r>
      <w:r w:rsidR="00783116">
        <w:rPr>
          <w:lang w:val="es-CL"/>
        </w:rPr>
        <w:t>97</w:t>
      </w:r>
      <w:r w:rsidRPr="000874BF">
        <w:rPr>
          <w:lang w:val="es-CL"/>
        </w:rPr>
        <w:t>) hubo indicios sobre la intervención de tales personas. No obstante también hubo señalamientos sobre otras personas que no eran agentes estatales (</w:t>
      </w:r>
      <w:r w:rsidRPr="000874BF">
        <w:rPr>
          <w:i/>
          <w:lang w:val="es-CL"/>
        </w:rPr>
        <w:t>supra</w:t>
      </w:r>
      <w:r w:rsidRPr="000874BF">
        <w:rPr>
          <w:lang w:val="es-CL"/>
        </w:rPr>
        <w:t xml:space="preserve"> </w:t>
      </w:r>
      <w:proofErr w:type="spellStart"/>
      <w:r w:rsidRPr="000874BF">
        <w:rPr>
          <w:lang w:val="es-CL"/>
        </w:rPr>
        <w:t>párr</w:t>
      </w:r>
      <w:r w:rsidR="00783116">
        <w:rPr>
          <w:lang w:val="es-CL"/>
        </w:rPr>
        <w:t>s</w:t>
      </w:r>
      <w:proofErr w:type="spellEnd"/>
      <w:r w:rsidRPr="000874BF">
        <w:rPr>
          <w:lang w:val="es-CL"/>
        </w:rPr>
        <w:t xml:space="preserve">. </w:t>
      </w:r>
      <w:r w:rsidR="00783116">
        <w:rPr>
          <w:lang w:val="es-CL"/>
        </w:rPr>
        <w:t>97 a 99</w:t>
      </w:r>
      <w:r w:rsidRPr="000874BF">
        <w:rPr>
          <w:lang w:val="es-CL"/>
        </w:rPr>
        <w:t xml:space="preserve">). </w:t>
      </w:r>
    </w:p>
    <w:p w14:paraId="1DD4C871" w14:textId="08F5F1D0" w:rsidR="000874BF" w:rsidRDefault="000874BF" w:rsidP="000874BF">
      <w:pPr>
        <w:pStyle w:val="PrrafodeSentencia"/>
        <w:numPr>
          <w:ilvl w:val="0"/>
          <w:numId w:val="0"/>
        </w:numPr>
        <w:tabs>
          <w:tab w:val="clear" w:pos="567"/>
          <w:tab w:val="left" w:pos="0"/>
        </w:tabs>
        <w:rPr>
          <w:strike/>
          <w:lang w:val="es-PE"/>
        </w:rPr>
      </w:pPr>
    </w:p>
    <w:p w14:paraId="41592C99" w14:textId="3330CE2C" w:rsidR="0098080A" w:rsidRPr="000065E5" w:rsidRDefault="00942DF7" w:rsidP="000874BF">
      <w:pPr>
        <w:pStyle w:val="PrrafodeSentencia"/>
        <w:tabs>
          <w:tab w:val="clear" w:pos="567"/>
          <w:tab w:val="left" w:pos="0"/>
        </w:tabs>
        <w:ind w:left="0" w:firstLine="0"/>
        <w:rPr>
          <w:strike/>
          <w:lang w:val="es-PE"/>
        </w:rPr>
      </w:pPr>
      <w:r w:rsidRPr="000874BF">
        <w:rPr>
          <w:szCs w:val="20"/>
        </w:rPr>
        <w:t xml:space="preserve">Los representantes, al igual que la Comisión, adujeron que el homicidio tuvo un móvil político. La Corte destaca que, en efecto, en el </w:t>
      </w:r>
      <w:r w:rsidRPr="000874BF">
        <w:rPr>
          <w:rFonts w:cs="Calibri"/>
          <w:szCs w:val="20"/>
        </w:rPr>
        <w:t>á</w:t>
      </w:r>
      <w:r w:rsidRPr="000874BF">
        <w:rPr>
          <w:szCs w:val="20"/>
        </w:rPr>
        <w:t>mbito de la investigaci</w:t>
      </w:r>
      <w:r w:rsidRPr="000874BF">
        <w:rPr>
          <w:rFonts w:cs="Calibri"/>
          <w:szCs w:val="20"/>
        </w:rPr>
        <w:t>ó</w:t>
      </w:r>
      <w:r w:rsidRPr="000874BF">
        <w:rPr>
          <w:szCs w:val="20"/>
        </w:rPr>
        <w:t xml:space="preserve">n interna, surgieron señalamientos sobre personas que, estando relacionadas con la actividad política del señor Pacheco, habrían proferido amenazas o, de otro modo, mostrado conductas hostiles hacia </w:t>
      </w:r>
      <w:r w:rsidRPr="00783116">
        <w:rPr>
          <w:szCs w:val="20"/>
        </w:rPr>
        <w:t>él (</w:t>
      </w:r>
      <w:r w:rsidRPr="00783116">
        <w:rPr>
          <w:i/>
          <w:szCs w:val="20"/>
        </w:rPr>
        <w:t>supra</w:t>
      </w:r>
      <w:r w:rsidRPr="00783116">
        <w:rPr>
          <w:szCs w:val="20"/>
        </w:rPr>
        <w:t xml:space="preserve"> </w:t>
      </w:r>
      <w:proofErr w:type="spellStart"/>
      <w:r w:rsidRPr="00783116">
        <w:rPr>
          <w:szCs w:val="20"/>
        </w:rPr>
        <w:t>párrs</w:t>
      </w:r>
      <w:proofErr w:type="spellEnd"/>
      <w:r w:rsidRPr="00783116">
        <w:rPr>
          <w:szCs w:val="20"/>
        </w:rPr>
        <w:t xml:space="preserve">. </w:t>
      </w:r>
      <w:r w:rsidR="00783116" w:rsidRPr="00783116">
        <w:rPr>
          <w:szCs w:val="20"/>
        </w:rPr>
        <w:t>96, a 98, 101, 102, 103 y 105</w:t>
      </w:r>
      <w:r w:rsidRPr="00783116">
        <w:rPr>
          <w:szCs w:val="20"/>
        </w:rPr>
        <w:t>). Algunas declaraciones aducían la supuesta actuació</w:t>
      </w:r>
      <w:r w:rsidRPr="000874BF">
        <w:rPr>
          <w:szCs w:val="20"/>
        </w:rPr>
        <w:t xml:space="preserve">n conjunta de distintas personas, algunas agentes estatales y otras que no lo eran, en la planificación del homicidio. Ello, no obstante, no permite </w:t>
      </w:r>
      <w:r w:rsidRPr="000874BF">
        <w:rPr>
          <w:i/>
          <w:szCs w:val="20"/>
        </w:rPr>
        <w:t>per se</w:t>
      </w:r>
      <w:r w:rsidRPr="000874BF">
        <w:rPr>
          <w:szCs w:val="20"/>
        </w:rPr>
        <w:t xml:space="preserve"> descartar otras posibilidades. Además, si bien la conexión del homicidio con la actividad política-partidaria resulta plausible, ello no </w:t>
      </w:r>
      <w:r w:rsidR="00BC0398" w:rsidRPr="000874BF">
        <w:rPr>
          <w:szCs w:val="20"/>
        </w:rPr>
        <w:t xml:space="preserve">establece de manera </w:t>
      </w:r>
      <w:proofErr w:type="spellStart"/>
      <w:r w:rsidR="00BC0398" w:rsidRPr="000874BF">
        <w:rPr>
          <w:szCs w:val="20"/>
        </w:rPr>
        <w:t>autómatica</w:t>
      </w:r>
      <w:proofErr w:type="spellEnd"/>
      <w:r w:rsidR="00BC0398" w:rsidRPr="000874BF">
        <w:rPr>
          <w:szCs w:val="20"/>
        </w:rPr>
        <w:t xml:space="preserve"> </w:t>
      </w:r>
      <w:r w:rsidRPr="000874BF">
        <w:rPr>
          <w:szCs w:val="20"/>
        </w:rPr>
        <w:t xml:space="preserve">una relación entre el homicidio y </w:t>
      </w:r>
      <w:r w:rsidR="00BC0398" w:rsidRPr="000874BF">
        <w:rPr>
          <w:szCs w:val="20"/>
        </w:rPr>
        <w:t>la responsabilidad estatal</w:t>
      </w:r>
      <w:r w:rsidRPr="000874BF">
        <w:rPr>
          <w:szCs w:val="20"/>
        </w:rPr>
        <w:t xml:space="preserve">. Al respecto, la </w:t>
      </w:r>
      <w:r w:rsidRPr="00055317">
        <w:rPr>
          <w:szCs w:val="20"/>
        </w:rPr>
        <w:t>Corte</w:t>
      </w:r>
      <w:r w:rsidR="00BC0398" w:rsidRPr="000065E5">
        <w:rPr>
          <w:rFonts w:cs="Arial"/>
          <w:szCs w:val="20"/>
        </w:rPr>
        <w:t xml:space="preserve"> </w:t>
      </w:r>
      <w:r w:rsidRPr="00055317">
        <w:rPr>
          <w:rFonts w:cs="Arial"/>
          <w:szCs w:val="20"/>
        </w:rPr>
        <w:t>a</w:t>
      </w:r>
      <w:r w:rsidRPr="00625588">
        <w:rPr>
          <w:rFonts w:cs="Arial"/>
          <w:szCs w:val="20"/>
        </w:rPr>
        <w:t>dvierte</w:t>
      </w:r>
      <w:r w:rsidRPr="000874BF">
        <w:rPr>
          <w:rFonts w:cs="Arial"/>
          <w:szCs w:val="20"/>
        </w:rPr>
        <w:t xml:space="preserve"> el argumento estatal de que los cargos que detentaban las personas supuestamente implicadas no fueron un medio necesario para poder llevar a cabo la muerte de Pacheco León</w:t>
      </w:r>
      <w:r w:rsidRPr="000874BF">
        <w:rPr>
          <w:szCs w:val="20"/>
        </w:rPr>
        <w:t xml:space="preserve"> (</w:t>
      </w:r>
      <w:r w:rsidRPr="000874BF">
        <w:rPr>
          <w:i/>
          <w:szCs w:val="20"/>
        </w:rPr>
        <w:t>supra</w:t>
      </w:r>
      <w:r w:rsidRPr="000874BF">
        <w:rPr>
          <w:szCs w:val="20"/>
        </w:rPr>
        <w:t xml:space="preserve"> párr. 1</w:t>
      </w:r>
      <w:r w:rsidR="00783116">
        <w:rPr>
          <w:szCs w:val="20"/>
        </w:rPr>
        <w:t>40</w:t>
      </w:r>
      <w:r w:rsidRPr="000874BF">
        <w:rPr>
          <w:szCs w:val="20"/>
        </w:rPr>
        <w:t xml:space="preserve">), cuestión sobre la cual los representantes y la Comisión no desarrollaron argumentos. En definitiva, considerando lo expuesto, la Corte concluye que no cuenta con </w:t>
      </w:r>
      <w:r w:rsidRPr="000874BF">
        <w:rPr>
          <w:szCs w:val="20"/>
        </w:rPr>
        <w:lastRenderedPageBreak/>
        <w:t>elementos para determinar la responsabilidad estatal a partir de entender que los autores del homicidio fueran agentes estatales que actuaran bajo el amparo del poder estatal</w:t>
      </w:r>
      <w:r w:rsidRPr="000065E5">
        <w:rPr>
          <w:rStyle w:val="FootnoteReference"/>
          <w:sz w:val="20"/>
          <w:szCs w:val="20"/>
        </w:rPr>
        <w:footnoteReference w:id="193"/>
      </w:r>
      <w:r w:rsidRPr="0098080A">
        <w:rPr>
          <w:szCs w:val="20"/>
        </w:rPr>
        <w:t>.</w:t>
      </w:r>
    </w:p>
    <w:p w14:paraId="125A577B" w14:textId="1510C419" w:rsidR="000874BF" w:rsidRPr="000874BF" w:rsidRDefault="00942DF7" w:rsidP="000065E5">
      <w:pPr>
        <w:pStyle w:val="PrrafodeSentencia"/>
        <w:numPr>
          <w:ilvl w:val="0"/>
          <w:numId w:val="0"/>
        </w:numPr>
        <w:tabs>
          <w:tab w:val="clear" w:pos="567"/>
          <w:tab w:val="left" w:pos="0"/>
        </w:tabs>
        <w:rPr>
          <w:strike/>
          <w:lang w:val="es-PE"/>
        </w:rPr>
      </w:pPr>
      <w:r w:rsidRPr="000874BF">
        <w:rPr>
          <w:szCs w:val="20"/>
        </w:rPr>
        <w:t xml:space="preserve"> </w:t>
      </w:r>
    </w:p>
    <w:p w14:paraId="1763E653" w14:textId="77777777" w:rsidR="000874BF" w:rsidRDefault="00942DF7" w:rsidP="00942DF7">
      <w:pPr>
        <w:pStyle w:val="PrrafodeSentencia"/>
        <w:tabs>
          <w:tab w:val="clear" w:pos="567"/>
          <w:tab w:val="left" w:pos="0"/>
        </w:tabs>
        <w:ind w:left="0" w:firstLine="0"/>
        <w:rPr>
          <w:lang w:val="es-PE"/>
        </w:rPr>
      </w:pPr>
      <w:r w:rsidRPr="000874BF">
        <w:rPr>
          <w:lang w:val="es-PE"/>
        </w:rPr>
        <w:t xml:space="preserve">Este Tribunal no está afirmando, como algo cierto o indubitable, que no exista una relación entre el poder estatal y la muerte del señor Pacheco. La Corte sólo concluye que ello no ha sido demostrado en el marco el proceso judicial internacional y que no puede, por tanto, atribuir responsabilidad a Honduras por incumplir su deber de respetar la vida del señor Pacheco.  </w:t>
      </w:r>
    </w:p>
    <w:p w14:paraId="05CAC4A3" w14:textId="77777777" w:rsidR="000874BF" w:rsidRPr="000874BF" w:rsidRDefault="000874BF" w:rsidP="000874BF">
      <w:pPr>
        <w:rPr>
          <w:lang w:val="es-PE" w:eastAsia="es-MX"/>
        </w:rPr>
      </w:pPr>
    </w:p>
    <w:p w14:paraId="1B7F4D23" w14:textId="6E87BC44" w:rsidR="00942DF7" w:rsidRPr="000874BF" w:rsidRDefault="00942DF7" w:rsidP="00942DF7">
      <w:pPr>
        <w:pStyle w:val="PrrafodeSentencia"/>
        <w:tabs>
          <w:tab w:val="clear" w:pos="567"/>
          <w:tab w:val="left" w:pos="0"/>
        </w:tabs>
        <w:ind w:left="0" w:firstLine="0"/>
        <w:rPr>
          <w:strike/>
          <w:lang w:val="es-PE"/>
        </w:rPr>
      </w:pPr>
      <w:r w:rsidRPr="000874BF">
        <w:t xml:space="preserve">Sentado lo anterior, debe examinarse la observancia del deber de garantía, considerando la posible conexión del derecho a la vida y el ejercicio de los derechos políticos. </w:t>
      </w:r>
    </w:p>
    <w:p w14:paraId="15B08865" w14:textId="77777777" w:rsidR="00942DF7" w:rsidRDefault="00942DF7" w:rsidP="00C732FC">
      <w:pPr>
        <w:rPr>
          <w:lang w:val="es-CR" w:eastAsia="es-MX"/>
        </w:rPr>
      </w:pPr>
    </w:p>
    <w:p w14:paraId="5215BB3C" w14:textId="64F739C7" w:rsidR="00942DF7" w:rsidRDefault="00942DF7" w:rsidP="00942DF7">
      <w:pPr>
        <w:pStyle w:val="PrrafodeSentencia"/>
        <w:numPr>
          <w:ilvl w:val="0"/>
          <w:numId w:val="3"/>
        </w:numPr>
        <w:ind w:left="0" w:firstLine="0"/>
      </w:pPr>
      <w:r w:rsidRPr="006554FA">
        <w:t>En ese sentido, los derechos políticos implican</w:t>
      </w:r>
      <w:r w:rsidR="00C23749">
        <w:t xml:space="preserve"> el</w:t>
      </w:r>
      <w:r w:rsidRPr="006554FA">
        <w:t xml:space="preserve"> “derecho a tener una oportunidad real de ejercer el cargo para el cual el funcionario ha sido electo. Para esto, el Estado tiene la responsabilidad de adoptar medidas efectivas para garantizar las condiciones necesarias para su pleno ejercicio”</w:t>
      </w:r>
      <w:r w:rsidRPr="00C438C1">
        <w:rPr>
          <w:rStyle w:val="FootnoteReference"/>
          <w:szCs w:val="20"/>
        </w:rPr>
        <w:footnoteReference w:id="194"/>
      </w:r>
      <w:r w:rsidRPr="006554FA">
        <w:t>. Entre los deberes que la creación de tales condiciones efectivas conllevan, se encuentra</w:t>
      </w:r>
      <w:r>
        <w:t>, de ser el caso,</w:t>
      </w:r>
      <w:r w:rsidRPr="006554FA">
        <w:t xml:space="preserve"> </w:t>
      </w:r>
      <w:r w:rsidRPr="000874BF">
        <w:t>prevenir afrentas a la vida de una persona por su actividad política</w:t>
      </w:r>
      <w:r w:rsidR="000874BF" w:rsidRPr="000874BF">
        <w:t>.</w:t>
      </w:r>
      <w:r w:rsidR="000874BF">
        <w:t xml:space="preserve"> </w:t>
      </w:r>
      <w:r w:rsidRPr="006554FA">
        <w:t xml:space="preserve">La Corte entiende que las consideraciones anteriores son extensivas también a las etapas previas a la designación de una persona en un cargo público, tales como campañas electorales u otras instancias de postulación a tales cargos, pues en dichas etapas también se manifiesta el ejercicio de los derechos políticos, siendo las mismas necesarias para el acceso a la función pública. Por tanto, si bien es cierto lo señalado por el Estado en cuanto a </w:t>
      </w:r>
      <w:r>
        <w:t xml:space="preserve">que </w:t>
      </w:r>
      <w:r w:rsidRPr="006554FA">
        <w:t>el señor Pacheco León no había asumido como diputado y, conforme también adujo Honduras, tampoco cons</w:t>
      </w:r>
      <w:r w:rsidR="00C23749">
        <w:t xml:space="preserve">ta que hubiera problemas en </w:t>
      </w:r>
      <w:r w:rsidRPr="006554FA">
        <w:t xml:space="preserve">la inscripción de la candidatura correspondiente, ello no obsta a que se examine si se vulneraron sus derechos políticos ni a considerar, de ser el caso, que ello puede estar asociado a la inobservancia de </w:t>
      </w:r>
      <w:r w:rsidRPr="00942DF7">
        <w:t>deberes</w:t>
      </w:r>
      <w:r w:rsidRPr="006554FA">
        <w:t xml:space="preserve"> respecto al derecho a la vida. </w:t>
      </w:r>
    </w:p>
    <w:p w14:paraId="329699A8" w14:textId="77777777" w:rsidR="00942DF7" w:rsidRPr="006554FA" w:rsidRDefault="00942DF7" w:rsidP="00C732FC">
      <w:pPr>
        <w:rPr>
          <w:lang w:val="es-CR" w:eastAsia="es-MX"/>
        </w:rPr>
      </w:pPr>
    </w:p>
    <w:p w14:paraId="1D2C460A" w14:textId="77777777" w:rsidR="000874BF" w:rsidRDefault="0095595D" w:rsidP="00942DF7">
      <w:pPr>
        <w:pStyle w:val="PrrafodeSentencia"/>
        <w:ind w:left="0" w:firstLine="0"/>
        <w:rPr>
          <w:rFonts w:eastAsiaTheme="minorEastAsia"/>
          <w:lang w:eastAsia="zh-CN"/>
        </w:rPr>
      </w:pPr>
      <w:r w:rsidRPr="006554FA">
        <w:t xml:space="preserve">En relación con el deber de garantía, este Tribunal ha señalado que </w:t>
      </w:r>
      <w:r w:rsidRPr="006554FA">
        <w:rPr>
          <w:color w:val="000000"/>
        </w:rPr>
        <w:t xml:space="preserve">del artículo 1.1. de la Convención derivan deberes especiales, determinables en función de las particulares necesidades de protección del sujeto de derecho, ya sea por su </w:t>
      </w:r>
      <w:r w:rsidRPr="006554FA">
        <w:t>condición personal o por la situación específica en que se encuentre</w:t>
      </w:r>
      <w:r w:rsidRPr="00C438C1">
        <w:rPr>
          <w:rStyle w:val="FootnoteReference"/>
          <w:sz w:val="20"/>
          <w:szCs w:val="20"/>
        </w:rPr>
        <w:footnoteReference w:id="195"/>
      </w:r>
      <w:r w:rsidRPr="005D079B">
        <w:rPr>
          <w:szCs w:val="20"/>
        </w:rPr>
        <w:t>.</w:t>
      </w:r>
      <w:r w:rsidRPr="006554FA">
        <w:t xml:space="preserve"> Así, de la obligación de garantía se desprende un deber de medio o de comportamiento, no de resultado, de prevenir que particulares vulneren bienes protegidos por derechos plasmados en el </w:t>
      </w:r>
      <w:r w:rsidRPr="005D079B">
        <w:rPr>
          <w:szCs w:val="20"/>
        </w:rPr>
        <w:t>tratado</w:t>
      </w:r>
      <w:r w:rsidRPr="00C438C1">
        <w:rPr>
          <w:rStyle w:val="FootnoteReference"/>
          <w:sz w:val="20"/>
          <w:szCs w:val="20"/>
        </w:rPr>
        <w:footnoteReference w:id="196"/>
      </w:r>
      <w:r w:rsidRPr="005D079B">
        <w:rPr>
          <w:szCs w:val="20"/>
        </w:rPr>
        <w:t>. Por otra parte, la Corte ha dicho también que “</w:t>
      </w:r>
      <w:r w:rsidRPr="00C438C1">
        <w:rPr>
          <w:rFonts w:eastAsiaTheme="minorEastAsia"/>
          <w:szCs w:val="20"/>
          <w:lang w:eastAsia="zh-CN"/>
        </w:rPr>
        <w:t>es indispensable que el Estado genere las condiciones y mecanismos óptimos</w:t>
      </w:r>
      <w:r w:rsidRPr="00C438C1">
        <w:rPr>
          <w:szCs w:val="20"/>
        </w:rPr>
        <w:t xml:space="preserve"> </w:t>
      </w:r>
      <w:r w:rsidRPr="00C438C1">
        <w:rPr>
          <w:rFonts w:eastAsiaTheme="minorEastAsia"/>
          <w:szCs w:val="20"/>
          <w:lang w:eastAsia="zh-CN"/>
        </w:rPr>
        <w:t>para que [los] derechos políticos puedan ser ejercidos de forma efectiva</w:t>
      </w:r>
      <w:r w:rsidR="00A43FB7" w:rsidRPr="005D079B">
        <w:rPr>
          <w:rFonts w:eastAsiaTheme="minorEastAsia"/>
          <w:szCs w:val="20"/>
          <w:lang w:eastAsia="zh-CN"/>
        </w:rPr>
        <w:t>”</w:t>
      </w:r>
      <w:r w:rsidRPr="00C438C1">
        <w:rPr>
          <w:rStyle w:val="FootnoteReference"/>
          <w:rFonts w:eastAsiaTheme="minorEastAsia"/>
          <w:sz w:val="20"/>
          <w:szCs w:val="20"/>
          <w:lang w:eastAsia="zh-CN"/>
        </w:rPr>
        <w:footnoteReference w:id="197"/>
      </w:r>
      <w:r w:rsidRPr="005D079B">
        <w:rPr>
          <w:rFonts w:eastAsiaTheme="minorEastAsia"/>
          <w:szCs w:val="20"/>
          <w:lang w:eastAsia="zh-CN"/>
        </w:rPr>
        <w:t>.</w:t>
      </w:r>
      <w:r w:rsidRPr="006554FA">
        <w:rPr>
          <w:rFonts w:eastAsiaTheme="minorEastAsia"/>
          <w:lang w:eastAsia="zh-CN"/>
        </w:rPr>
        <w:t xml:space="preserve"> </w:t>
      </w:r>
    </w:p>
    <w:p w14:paraId="04FF9A10" w14:textId="77777777" w:rsidR="000874BF" w:rsidRPr="000874BF" w:rsidRDefault="000874BF" w:rsidP="000874BF">
      <w:pPr>
        <w:rPr>
          <w:lang w:val="es-CR" w:eastAsia="zh-CN"/>
        </w:rPr>
      </w:pPr>
    </w:p>
    <w:p w14:paraId="01CF6D3F" w14:textId="4687BE41" w:rsidR="00942DF7" w:rsidRPr="000874BF" w:rsidRDefault="00942DF7" w:rsidP="00942DF7">
      <w:pPr>
        <w:pStyle w:val="PrrafodeSentencia"/>
        <w:ind w:left="0" w:firstLine="0"/>
        <w:rPr>
          <w:rFonts w:eastAsiaTheme="minorEastAsia"/>
          <w:lang w:eastAsia="zh-CN"/>
        </w:rPr>
      </w:pPr>
      <w:r w:rsidRPr="000874BF">
        <w:t xml:space="preserve">Al respecto, la Corte ha tenido oportunidad de señalar que determinadas personas, por sus actividades, pueden estar en una situación de particular </w:t>
      </w:r>
      <w:proofErr w:type="spellStart"/>
      <w:r w:rsidRPr="000874BF">
        <w:t>vulnerabiliad</w:t>
      </w:r>
      <w:proofErr w:type="spellEnd"/>
      <w:r w:rsidRPr="000874BF">
        <w:t xml:space="preserve"> y requerir especial protección por parte del Estado. </w:t>
      </w:r>
      <w:proofErr w:type="spellStart"/>
      <w:r w:rsidRPr="000874BF">
        <w:t>Asi</w:t>
      </w:r>
      <w:proofErr w:type="spellEnd"/>
      <w:r w:rsidRPr="000874BF">
        <w:t>, la Corte ha se ha referido a obligaciones especiales de prevención y protección en beneficio de líderes políticos en situaciones de riesgo</w:t>
      </w:r>
      <w:r w:rsidRPr="000874BF">
        <w:rPr>
          <w:rStyle w:val="FootnoteReference"/>
          <w:sz w:val="20"/>
          <w:szCs w:val="20"/>
        </w:rPr>
        <w:footnoteReference w:id="198"/>
      </w:r>
      <w:r w:rsidRPr="000874BF">
        <w:t xml:space="preserve"> y, además, ha dicho que </w:t>
      </w:r>
    </w:p>
    <w:p w14:paraId="0D9EC7EE" w14:textId="77777777" w:rsidR="00942DF7" w:rsidRPr="000874BF" w:rsidRDefault="00942DF7" w:rsidP="00942DF7">
      <w:pPr>
        <w:rPr>
          <w:lang w:val="es-CR" w:eastAsia="es-MX"/>
        </w:rPr>
      </w:pPr>
    </w:p>
    <w:p w14:paraId="1F68B83A" w14:textId="77777777" w:rsidR="00942DF7" w:rsidRPr="000874BF" w:rsidRDefault="00942DF7" w:rsidP="00942DF7">
      <w:pPr>
        <w:ind w:left="567" w:right="674"/>
        <w:rPr>
          <w:sz w:val="16"/>
          <w:szCs w:val="16"/>
          <w:lang w:val="es-CR" w:eastAsia="es-MX"/>
        </w:rPr>
      </w:pPr>
      <w:r w:rsidRPr="000874BF">
        <w:rPr>
          <w:sz w:val="16"/>
          <w:szCs w:val="16"/>
          <w:lang w:val="es-CR" w:eastAsia="es-MX"/>
        </w:rPr>
        <w:t xml:space="preserve">los Estados deben facilitar los medios necesarios para que las personas defensoras de derechos humanos o que cumplan una función pública respecto de la cual se encuentren amenazados o en situación de </w:t>
      </w:r>
      <w:r w:rsidRPr="000874BF">
        <w:rPr>
          <w:sz w:val="16"/>
          <w:szCs w:val="16"/>
          <w:lang w:val="es-CR" w:eastAsia="es-MX"/>
        </w:rPr>
        <w:lastRenderedPageBreak/>
        <w:t>riesgo o denuncien violaciones a derechos humanos, puedan realizar libremente sus actividades; protegerlos cuando son objeto de amenazas para evitar los atentados a su vida e integridad; generar las condiciones para la erradicación de violaciones por parte de agentes estatales o de particulares [y] abstenerse de imponer obstáculos que dificulten la realización de su labor</w:t>
      </w:r>
      <w:r w:rsidRPr="000874BF">
        <w:rPr>
          <w:rStyle w:val="FootnoteReference"/>
          <w:lang w:val="es-CR" w:eastAsia="es-MX"/>
        </w:rPr>
        <w:footnoteReference w:id="199"/>
      </w:r>
      <w:r w:rsidRPr="000874BF">
        <w:rPr>
          <w:sz w:val="16"/>
          <w:szCs w:val="16"/>
          <w:lang w:val="es-CR" w:eastAsia="es-MX"/>
        </w:rPr>
        <w:t>.</w:t>
      </w:r>
    </w:p>
    <w:p w14:paraId="0F704D7C" w14:textId="77777777" w:rsidR="00942DF7" w:rsidRPr="000C41F4" w:rsidRDefault="00942DF7" w:rsidP="00942DF7">
      <w:pPr>
        <w:rPr>
          <w:b/>
          <w:lang w:val="es-CR" w:eastAsia="es-MX"/>
        </w:rPr>
      </w:pPr>
    </w:p>
    <w:p w14:paraId="62593B4D" w14:textId="626ECE4C" w:rsidR="00942DF7" w:rsidRPr="00DF73F1" w:rsidRDefault="001274DD" w:rsidP="000874BF">
      <w:pPr>
        <w:pStyle w:val="PrrafodeSentencia"/>
        <w:tabs>
          <w:tab w:val="clear" w:pos="567"/>
          <w:tab w:val="left" w:pos="0"/>
        </w:tabs>
        <w:ind w:left="0" w:firstLine="0"/>
      </w:pPr>
      <w:r>
        <w:t xml:space="preserve"> </w:t>
      </w:r>
      <w:r w:rsidR="00942DF7" w:rsidRPr="000C41F4">
        <w:t>La Corte recuerda además, que los Estados tienen el deber de “organizar, llevar a cabo y garantizar procesos electorales libres y justos”</w:t>
      </w:r>
      <w:r w:rsidR="00942DF7" w:rsidRPr="00437D27">
        <w:rPr>
          <w:rStyle w:val="FootnoteReference"/>
          <w:sz w:val="20"/>
          <w:szCs w:val="20"/>
        </w:rPr>
        <w:footnoteReference w:id="200"/>
      </w:r>
      <w:r w:rsidR="00942DF7" w:rsidRPr="000C41F4">
        <w:t xml:space="preserve">, y que, con base en el artículo 23 de la Convención, el ejercicio de los derechos políticos tiene una dimensión </w:t>
      </w:r>
      <w:r w:rsidR="00DF73F1" w:rsidRPr="00557544">
        <w:t>social</w:t>
      </w:r>
      <w:r w:rsidR="007B06E9" w:rsidRPr="000065E5">
        <w:rPr>
          <w:rStyle w:val="FootnoteReference"/>
          <w:sz w:val="20"/>
          <w:szCs w:val="20"/>
        </w:rPr>
        <w:footnoteReference w:id="201"/>
      </w:r>
      <w:r w:rsidR="00942DF7" w:rsidRPr="0002313F">
        <w:rPr>
          <w:szCs w:val="20"/>
        </w:rPr>
        <w:t>,</w:t>
      </w:r>
      <w:r w:rsidR="00942DF7" w:rsidRPr="000C41F4">
        <w:t xml:space="preserve"> pues el derecho a ser elegido en elecciones periódicas y auténticas involucra el derecho a la participación política no solo de la persona que se presenta a un cargo</w:t>
      </w:r>
      <w:r w:rsidR="00942DF7" w:rsidRPr="00C50EC5">
        <w:t>, sino también el de otras personas a participar por medio de representantes libremente elegidos.</w:t>
      </w:r>
      <w:r w:rsidR="00942DF7" w:rsidRPr="000C41F4">
        <w:t xml:space="preserve"> En términos generales, entonces, existe una obligación de los Estados de proveer medidas eficaces para garantizar la realización de procesos electorales adecuados, y estas pueden implicar acciones de seguridad o protección respecto a candidatos u otras personas intervinientes en dichos procesos</w:t>
      </w:r>
      <w:r w:rsidR="00307A79" w:rsidRPr="000065E5">
        <w:t>.</w:t>
      </w:r>
      <w:r w:rsidR="00942DF7" w:rsidRPr="00DF73F1">
        <w:t xml:space="preserve"> </w:t>
      </w:r>
    </w:p>
    <w:p w14:paraId="55B4B4A6" w14:textId="77777777" w:rsidR="00942DF7" w:rsidRPr="006554FA" w:rsidRDefault="00942DF7" w:rsidP="00C732FC">
      <w:pPr>
        <w:rPr>
          <w:lang w:val="es-CR" w:eastAsia="es-MX"/>
        </w:rPr>
      </w:pPr>
    </w:p>
    <w:p w14:paraId="6426682B" w14:textId="665EA10B" w:rsidR="006554FA" w:rsidRDefault="00942DF7" w:rsidP="00C732FC">
      <w:pPr>
        <w:pStyle w:val="PrrafodeSentencia"/>
        <w:ind w:left="0" w:firstLine="0"/>
      </w:pPr>
      <w:r w:rsidRPr="000874BF">
        <w:t>Ahora bien, sin perjuicio del deber general señalado, a efectos de determina</w:t>
      </w:r>
      <w:r w:rsidR="00BA4624">
        <w:t>r la responsabilidad estatal en</w:t>
      </w:r>
      <w:r w:rsidRPr="000874BF">
        <w:t xml:space="preserve"> un caso determinado, resulta necesario que se acredite, en primer lugar, el conocimiento por parte del Estado de la situación puntual de riesgo. En ese sentido, e</w:t>
      </w:r>
      <w:r w:rsidR="0095595D" w:rsidRPr="000874BF">
        <w:t>n</w:t>
      </w:r>
      <w:r w:rsidR="0095595D" w:rsidRPr="00591893">
        <w:t xml:space="preserve"> relación al caso</w:t>
      </w:r>
      <w:r w:rsidR="00515EB3">
        <w:t>,</w:t>
      </w:r>
      <w:r w:rsidR="0095595D" w:rsidRPr="00591893">
        <w:t xml:space="preserve"> </w:t>
      </w:r>
      <w:r w:rsidR="00515EB3">
        <w:t>e</w:t>
      </w:r>
      <w:r w:rsidR="0095595D" w:rsidRPr="00591893">
        <w:t xml:space="preserve">n cuanto al riesgo específico en relación con el señor Pacheco, cabe recordar que </w:t>
      </w:r>
      <w:r w:rsidR="0095595D" w:rsidRPr="006554FA">
        <w:t>las obligaciones convencionales de garantía a cargo de los Estados no implican una responsabilidad ilimitada frente a cualquier acto o hecho de particulares, pues los deberes de adoptar medidas de prevención y protección se encuentran condicionados al conocimiento de una situación de riesgo real e inmediato para un individuo o grupo de individuos determinado y a las posibilidades razonables de prevenir o evitar ese riesgo</w:t>
      </w:r>
      <w:r w:rsidR="0095595D" w:rsidRPr="00C438C1">
        <w:rPr>
          <w:rStyle w:val="FootnoteReference"/>
          <w:sz w:val="20"/>
          <w:szCs w:val="20"/>
        </w:rPr>
        <w:footnoteReference w:id="202"/>
      </w:r>
      <w:r w:rsidR="0095595D" w:rsidRPr="006554FA">
        <w:t>. En el presente caso, ni la Comisión ni los representantes adujeron una vulneración al deber de prevenir la muerte del señor Pacheco, ni surge de los hechos que antes de e</w:t>
      </w:r>
      <w:r w:rsidR="007B06E9">
        <w:t xml:space="preserve">se hecho el Estado hubiere </w:t>
      </w:r>
      <w:r w:rsidR="0095595D" w:rsidRPr="006554FA">
        <w:t xml:space="preserve">tomado conocimiento sobre el riesgo que él padecía. Por tanto, Honduras no puede ser considerado responsable por no haber prevenido la muerte del señor Pacheco. </w:t>
      </w:r>
    </w:p>
    <w:p w14:paraId="4373E741" w14:textId="77777777" w:rsidR="00991CC5" w:rsidRPr="007B06E9" w:rsidRDefault="00991CC5" w:rsidP="00C732FC">
      <w:pPr>
        <w:rPr>
          <w:lang w:val="es-CR" w:eastAsia="es-MX"/>
        </w:rPr>
      </w:pPr>
    </w:p>
    <w:p w14:paraId="507B70EB" w14:textId="77777777" w:rsidR="00191E35" w:rsidRDefault="0095595D" w:rsidP="00C732FC">
      <w:pPr>
        <w:pStyle w:val="PrrafodeSentencia"/>
        <w:ind w:left="0" w:firstLine="0"/>
      </w:pPr>
      <w:r w:rsidRPr="006554FA">
        <w:rPr>
          <w:color w:val="000000"/>
        </w:rPr>
        <w:t>Finalmente, la Corte advierte que los representantes, entre</w:t>
      </w:r>
      <w:r w:rsidR="00AD7709">
        <w:rPr>
          <w:color w:val="000000"/>
        </w:rPr>
        <w:t xml:space="preserve"> sus argumentos sobre la </w:t>
      </w:r>
      <w:r w:rsidRPr="006554FA">
        <w:rPr>
          <w:color w:val="000000"/>
        </w:rPr>
        <w:t>a</w:t>
      </w:r>
      <w:r w:rsidR="00AD7709">
        <w:rPr>
          <w:color w:val="000000"/>
        </w:rPr>
        <w:t>legada</w:t>
      </w:r>
      <w:r w:rsidRPr="006554FA">
        <w:rPr>
          <w:color w:val="000000"/>
        </w:rPr>
        <w:t xml:space="preserve"> violación de los derechos políticos refirieron a la supuesta “persecución de [la] familia” del señor Pacheco, así como a que “</w:t>
      </w:r>
      <w:r w:rsidRPr="006554FA">
        <w:t>los simpatizantes y activistas de Ángel Pacheco León abandonaron la actividad política posterior a su muerte”. No obstante, tales hechos de persecución y abandono de la actividad política no forman parte del marco fáctico del caso y además, pese a aducir los mismos, los representantes refirieron la violación de los derechos políticos en perjuicio sólo del señor Pacheco, no respecto de otras personas. También los representantes alegaron una supuesta “viola[</w:t>
      </w:r>
      <w:proofErr w:type="spellStart"/>
      <w:r w:rsidRPr="006554FA">
        <w:t>ción</w:t>
      </w:r>
      <w:proofErr w:type="spellEnd"/>
      <w:r w:rsidRPr="006554FA">
        <w:t>]” en “forma sistemática [y] directa [del] ejercicio de [los] derechos políticos” del señor Pacheco a partir “de actos intimidatorios contra [él], como impedir la circulación al aire de sus anuncios propagandísticos en la radio de la zona, borrar su propaganda y amenazarle […] y perseguir y procesar criminalmente a sus seguidores”. A excepción de la referencia a “actos intimidatorios” y “</w:t>
      </w:r>
      <w:proofErr w:type="spellStart"/>
      <w:proofErr w:type="gramStart"/>
      <w:r w:rsidRPr="006554FA">
        <w:t>amenaz</w:t>
      </w:r>
      <w:proofErr w:type="spellEnd"/>
      <w:r w:rsidRPr="006554FA">
        <w:t>[</w:t>
      </w:r>
      <w:proofErr w:type="gramEnd"/>
      <w:r w:rsidRPr="006554FA">
        <w:t xml:space="preserve">as]”, las demás circunstancias referidas no forman parte del marco fáctico del caso. </w:t>
      </w:r>
    </w:p>
    <w:p w14:paraId="2AA7CC14" w14:textId="77777777" w:rsidR="00191E35" w:rsidRPr="00191E35" w:rsidRDefault="00191E35" w:rsidP="00C732FC">
      <w:pPr>
        <w:rPr>
          <w:lang w:val="es-CR" w:eastAsia="es-MX"/>
        </w:rPr>
      </w:pPr>
    </w:p>
    <w:p w14:paraId="5CA75BEB" w14:textId="389D2CCD" w:rsidR="00F63539" w:rsidRDefault="0095595D" w:rsidP="00A936F2">
      <w:pPr>
        <w:pStyle w:val="PrrafodeSentencia"/>
        <w:tabs>
          <w:tab w:val="clear" w:pos="567"/>
          <w:tab w:val="left" w:pos="-567"/>
        </w:tabs>
        <w:ind w:left="0" w:firstLine="0"/>
      </w:pPr>
      <w:r w:rsidRPr="006554FA">
        <w:t>En cuanto a las amenazas y actos intimidatorios</w:t>
      </w:r>
      <w:r w:rsidR="00191E35">
        <w:t>, la Corte tiene por acreditado que hubo señalamientos que indicaron la comisión de tales hechos (</w:t>
      </w:r>
      <w:r w:rsidR="00191E35">
        <w:rPr>
          <w:i/>
        </w:rPr>
        <w:t>supra</w:t>
      </w:r>
      <w:r w:rsidR="004C18EC">
        <w:t xml:space="preserve"> </w:t>
      </w:r>
      <w:proofErr w:type="spellStart"/>
      <w:r w:rsidR="004C18EC">
        <w:t>párrs</w:t>
      </w:r>
      <w:proofErr w:type="spellEnd"/>
      <w:r w:rsidR="004C18EC">
        <w:t xml:space="preserve">. </w:t>
      </w:r>
      <w:r w:rsidR="00783116">
        <w:t>27, 96, 97, 101,</w:t>
      </w:r>
      <w:r w:rsidR="00C83315">
        <w:t xml:space="preserve"> 103</w:t>
      </w:r>
      <w:r w:rsidR="00783116">
        <w:t xml:space="preserve"> y 105</w:t>
      </w:r>
      <w:r w:rsidR="004C18EC">
        <w:t xml:space="preserve">). </w:t>
      </w:r>
      <w:r w:rsidR="004C18EC">
        <w:lastRenderedPageBreak/>
        <w:t>Sin embargo</w:t>
      </w:r>
      <w:r w:rsidR="00191E35">
        <w:t>, por una parte,</w:t>
      </w:r>
      <w:r w:rsidR="002F629A">
        <w:t xml:space="preserve"> </w:t>
      </w:r>
      <w:r w:rsidRPr="006554FA">
        <w:t xml:space="preserve">ya fue determinado que no consta que el Estado tuviera conocimiento previo a la muerte del señor Pacheco de circunstancias específicas que generasen un riesgo para él. </w:t>
      </w:r>
      <w:r w:rsidR="00F6359E">
        <w:t xml:space="preserve">Además, en las circunstancias propias del caso, </w:t>
      </w:r>
      <w:r w:rsidR="00BF5742">
        <w:t xml:space="preserve">dichos señalamientos no son suficientes para determinar una violación a los derechos políticos. </w:t>
      </w:r>
      <w:r w:rsidR="002035FF">
        <w:t>L</w:t>
      </w:r>
      <w:r w:rsidR="00BF5742">
        <w:t>a Corte no encu</w:t>
      </w:r>
      <w:r w:rsidR="00DE7831">
        <w:t>e</w:t>
      </w:r>
      <w:r w:rsidR="00BF5742">
        <w:t xml:space="preserve">ntra fundamentos suficientes para asumir que el poder estatal fuera un factor determinante para la realización de amenazas o actos intimidatorios, o para la posibilidad de su concreción. </w:t>
      </w:r>
      <w:r w:rsidR="004C18EC">
        <w:t>Adicionalmente</w:t>
      </w:r>
      <w:r w:rsidR="00F63539">
        <w:t xml:space="preserve">, cabe notar que no consta que </w:t>
      </w:r>
      <w:r w:rsidR="00F63539" w:rsidRPr="00A936F2">
        <w:t>previamente a su muerte</w:t>
      </w:r>
      <w:r w:rsidR="00F63539">
        <w:t xml:space="preserve"> las actividades políticas del señor Pacheco se hubieren visto afectadas o limitadas</w:t>
      </w:r>
      <w:r w:rsidR="00F63539" w:rsidRPr="00A43FB7">
        <w:rPr>
          <w:rStyle w:val="FootnoteReference"/>
          <w:sz w:val="20"/>
          <w:szCs w:val="20"/>
        </w:rPr>
        <w:footnoteReference w:id="203"/>
      </w:r>
      <w:r w:rsidR="00F63539" w:rsidRPr="00A43FB7">
        <w:rPr>
          <w:szCs w:val="20"/>
        </w:rPr>
        <w:t>.</w:t>
      </w:r>
      <w:r w:rsidR="00F63539">
        <w:t xml:space="preserve"> </w:t>
      </w:r>
    </w:p>
    <w:p w14:paraId="585C186B" w14:textId="77777777" w:rsidR="00F6359E" w:rsidRPr="006554FA" w:rsidRDefault="00F6359E" w:rsidP="003D3134">
      <w:pPr>
        <w:pStyle w:val="PrrafodeSentencia"/>
        <w:numPr>
          <w:ilvl w:val="0"/>
          <w:numId w:val="0"/>
        </w:numPr>
      </w:pPr>
    </w:p>
    <w:p w14:paraId="60219F0F" w14:textId="3A1D0A81" w:rsidR="00C82C5A" w:rsidRPr="00C82C5A" w:rsidRDefault="0095595D" w:rsidP="00C732FC">
      <w:pPr>
        <w:pStyle w:val="PrrafodeSentencia"/>
        <w:ind w:left="0" w:firstLine="0"/>
      </w:pPr>
      <w:r w:rsidRPr="006554FA">
        <w:t xml:space="preserve">Por </w:t>
      </w:r>
      <w:r w:rsidR="00D77316">
        <w:t xml:space="preserve">todo </w:t>
      </w:r>
      <w:r w:rsidRPr="006554FA">
        <w:t>lo expuesto, la Corte concluye que el Estado no es responsable por la viol</w:t>
      </w:r>
      <w:r w:rsidR="004C18EC">
        <w:t>ación del derecho a la vida y de lo</w:t>
      </w:r>
      <w:r w:rsidR="00A43FB7">
        <w:t>s derechos políticos, consagrados</w:t>
      </w:r>
      <w:r w:rsidR="004C18EC">
        <w:t xml:space="preserve">, respectivamente, en los </w:t>
      </w:r>
      <w:r w:rsidRPr="006554FA">
        <w:t>artículos 4</w:t>
      </w:r>
      <w:r w:rsidR="0098080A">
        <w:t>.1</w:t>
      </w:r>
      <w:r w:rsidRPr="006554FA">
        <w:t xml:space="preserve"> y 23</w:t>
      </w:r>
      <w:r w:rsidR="0098080A">
        <w:t>.1</w:t>
      </w:r>
      <w:r w:rsidRPr="006554FA">
        <w:t xml:space="preserve"> de la Convención Americana</w:t>
      </w:r>
      <w:r w:rsidR="00DE7831">
        <w:t xml:space="preserve">, </w:t>
      </w:r>
      <w:r w:rsidR="00D77316">
        <w:t>en perjuicio de Ángel Pacheco León</w:t>
      </w:r>
      <w:r w:rsidRPr="006554FA">
        <w:t xml:space="preserve">. </w:t>
      </w:r>
    </w:p>
    <w:p w14:paraId="04DFD94C" w14:textId="77777777" w:rsidR="00C82C5A" w:rsidRPr="00591893" w:rsidRDefault="00C82C5A" w:rsidP="00C82C5A">
      <w:pPr>
        <w:pStyle w:val="ListParagraph"/>
        <w:numPr>
          <w:ilvl w:val="0"/>
          <w:numId w:val="0"/>
        </w:numPr>
      </w:pPr>
    </w:p>
    <w:p w14:paraId="1A9FD9BB" w14:textId="3BEEB325" w:rsidR="00C82C5A" w:rsidRPr="00591893" w:rsidRDefault="00C82C5A" w:rsidP="00B31FC6">
      <w:pPr>
        <w:pStyle w:val="ListParagraph"/>
        <w:numPr>
          <w:ilvl w:val="0"/>
          <w:numId w:val="0"/>
        </w:numPr>
        <w:jc w:val="center"/>
        <w:outlineLvl w:val="0"/>
        <w:rPr>
          <w:b/>
        </w:rPr>
      </w:pPr>
      <w:bookmarkStart w:id="298" w:name="_Toc488134458"/>
      <w:bookmarkStart w:id="299" w:name="_Toc489523918"/>
      <w:bookmarkStart w:id="300" w:name="_Toc493512914"/>
      <w:bookmarkStart w:id="301" w:name="_Toc498512836"/>
      <w:r>
        <w:rPr>
          <w:b/>
        </w:rPr>
        <w:t>V</w:t>
      </w:r>
      <w:r w:rsidR="008009BB">
        <w:rPr>
          <w:b/>
        </w:rPr>
        <w:t>I</w:t>
      </w:r>
      <w:r>
        <w:rPr>
          <w:b/>
        </w:rPr>
        <w:t xml:space="preserve">. </w:t>
      </w:r>
      <w:bookmarkEnd w:id="298"/>
      <w:bookmarkEnd w:id="299"/>
      <w:bookmarkEnd w:id="300"/>
      <w:r w:rsidR="00AB194C">
        <w:rPr>
          <w:b/>
        </w:rPr>
        <w:t>3</w:t>
      </w:r>
      <w:bookmarkEnd w:id="301"/>
    </w:p>
    <w:p w14:paraId="0170995A" w14:textId="318668B0" w:rsidR="00C82C5A" w:rsidRDefault="00C82C5A" w:rsidP="00B31FC6">
      <w:pPr>
        <w:pStyle w:val="ListParagraph"/>
        <w:numPr>
          <w:ilvl w:val="0"/>
          <w:numId w:val="0"/>
        </w:numPr>
        <w:jc w:val="center"/>
        <w:outlineLvl w:val="0"/>
        <w:rPr>
          <w:b/>
        </w:rPr>
      </w:pPr>
      <w:bookmarkStart w:id="302" w:name="_Toc488134459"/>
      <w:bookmarkStart w:id="303" w:name="_Toc489523919"/>
      <w:bookmarkStart w:id="304" w:name="_Toc493512915"/>
      <w:bookmarkStart w:id="305" w:name="_Toc498512837"/>
      <w:r w:rsidRPr="00591893">
        <w:rPr>
          <w:b/>
        </w:rPr>
        <w:t>DERECHO A LA INTEGRIDAD PERSONAL</w:t>
      </w:r>
      <w:bookmarkEnd w:id="302"/>
      <w:bookmarkEnd w:id="303"/>
      <w:bookmarkEnd w:id="304"/>
      <w:bookmarkEnd w:id="305"/>
      <w:r w:rsidR="00EE0D8F">
        <w:rPr>
          <w:b/>
        </w:rPr>
        <w:t>,</w:t>
      </w:r>
      <w:r w:rsidR="00EE0D8F" w:rsidRPr="00EE0D8F">
        <w:rPr>
          <w:lang w:val="es-CR"/>
        </w:rPr>
        <w:t xml:space="preserve"> </w:t>
      </w:r>
      <w:r w:rsidR="00EE0D8F" w:rsidRPr="000065E5">
        <w:rPr>
          <w:b/>
          <w:lang w:val="es-CR"/>
        </w:rPr>
        <w:t>EN RELACIÓN CON LAS OBLIGACIONES GENERALES DE RESPETAR Y GARANTIZAR LOS DERECHOS</w:t>
      </w:r>
    </w:p>
    <w:p w14:paraId="57B7D0EF" w14:textId="77777777" w:rsidR="00C82C5A" w:rsidRPr="00C82C5A" w:rsidRDefault="00C82C5A" w:rsidP="00C82C5A">
      <w:pPr>
        <w:rPr>
          <w:lang w:val="es-CR" w:eastAsia="es-MX"/>
        </w:rPr>
      </w:pPr>
    </w:p>
    <w:p w14:paraId="41D7465A" w14:textId="715E9E79" w:rsidR="00C82C5A" w:rsidRDefault="0095595D" w:rsidP="002D5A5C">
      <w:pPr>
        <w:pStyle w:val="PrrafodeSentencia"/>
        <w:tabs>
          <w:tab w:val="clear" w:pos="567"/>
          <w:tab w:val="left" w:pos="-142"/>
        </w:tabs>
        <w:ind w:left="0" w:firstLine="0"/>
      </w:pPr>
      <w:r w:rsidRPr="00C82C5A">
        <w:t>A continuación, la Corte examinará los alegatos sobre la sup</w:t>
      </w:r>
      <w:r w:rsidR="00AD7709">
        <w:t>u</w:t>
      </w:r>
      <w:r w:rsidRPr="00C82C5A">
        <w:t xml:space="preserve">esta vulneración a la integridad personal en perjuicio </w:t>
      </w:r>
      <w:r w:rsidR="007702F5" w:rsidRPr="00C82C5A">
        <w:t>de los familiares</w:t>
      </w:r>
      <w:r w:rsidRPr="00C82C5A">
        <w:t xml:space="preserve"> del señor Pacheco. Al respecto, este Tribunal </w:t>
      </w:r>
      <w:r w:rsidR="002D4958">
        <w:t xml:space="preserve">recuerda </w:t>
      </w:r>
      <w:r w:rsidRPr="00C82C5A">
        <w:t>que no declaró v</w:t>
      </w:r>
      <w:r w:rsidR="00AD7709">
        <w:t>iolado el derecho a la vida ni l</w:t>
      </w:r>
      <w:r w:rsidRPr="00C82C5A">
        <w:t xml:space="preserve">os derechos políticos, por lo que no expondrá ni analizará argumentos de la Comisión o los representantes sobre alegadas afectaciones a la integridad personal derivadas de tales violaciones. </w:t>
      </w:r>
    </w:p>
    <w:p w14:paraId="168A85D1" w14:textId="77777777" w:rsidR="003572B9" w:rsidRDefault="003572B9" w:rsidP="00C82C5A">
      <w:pPr>
        <w:pStyle w:val="ListParagraph"/>
        <w:numPr>
          <w:ilvl w:val="0"/>
          <w:numId w:val="0"/>
        </w:numPr>
        <w:rPr>
          <w:lang w:val="es-CR"/>
        </w:rPr>
      </w:pPr>
    </w:p>
    <w:p w14:paraId="5B3C6D08" w14:textId="77777777" w:rsidR="00C82C5A" w:rsidRPr="00C82C5A" w:rsidRDefault="00C82C5A" w:rsidP="006D1953">
      <w:pPr>
        <w:pStyle w:val="ListParagraph"/>
        <w:widowControl/>
        <w:numPr>
          <w:ilvl w:val="0"/>
          <w:numId w:val="20"/>
        </w:numPr>
        <w:ind w:left="284" w:right="0" w:hanging="11"/>
        <w:contextualSpacing/>
        <w:outlineLvl w:val="1"/>
        <w:rPr>
          <w:b/>
          <w:i/>
          <w:lang w:val="es-CR"/>
        </w:rPr>
      </w:pPr>
      <w:bookmarkStart w:id="306" w:name="_Toc488134461"/>
      <w:bookmarkStart w:id="307" w:name="_Toc489523921"/>
      <w:bookmarkStart w:id="308" w:name="_Toc493512916"/>
      <w:bookmarkStart w:id="309" w:name="_Toc498512838"/>
      <w:r w:rsidRPr="00D630D7">
        <w:rPr>
          <w:b/>
          <w:i/>
          <w:lang w:val="es-CR"/>
        </w:rPr>
        <w:t>Argumentos de la Comisión y de las partes</w:t>
      </w:r>
      <w:bookmarkEnd w:id="306"/>
      <w:bookmarkEnd w:id="307"/>
      <w:bookmarkEnd w:id="308"/>
      <w:bookmarkEnd w:id="309"/>
    </w:p>
    <w:p w14:paraId="6032CA63" w14:textId="77777777" w:rsidR="00663568" w:rsidRDefault="00663568" w:rsidP="002A776C">
      <w:pPr>
        <w:tabs>
          <w:tab w:val="left" w:pos="-142"/>
        </w:tabs>
      </w:pPr>
    </w:p>
    <w:p w14:paraId="565C5A60" w14:textId="7AB90F86" w:rsidR="00F63539" w:rsidRDefault="00F63539" w:rsidP="00A7167A">
      <w:pPr>
        <w:pStyle w:val="PrrafodeSentencia"/>
        <w:tabs>
          <w:tab w:val="clear" w:pos="567"/>
          <w:tab w:val="left" w:pos="0"/>
        </w:tabs>
        <w:ind w:left="0" w:firstLine="0"/>
      </w:pPr>
      <w:r>
        <w:t xml:space="preserve">La </w:t>
      </w:r>
      <w:r>
        <w:rPr>
          <w:b/>
          <w:i/>
        </w:rPr>
        <w:t>Comisión</w:t>
      </w:r>
      <w:r>
        <w:t xml:space="preserve"> adujo que la ausencia de una investigación completa y efectiva sobre los hechos ocurridos a Ángel Pacheco León constituye una fuente de sufrimiento y angustia, ya que no conocer la verdad configura en sí misma una afectación a la integridad psíquica y moral de los familiares del señor Pacheco León. Además adujo que las distintas amenazas y hechos pondrían en riesgo la integridad de José Pacheco y otros miembros de su familia</w:t>
      </w:r>
      <w:r w:rsidRPr="000065E5">
        <w:rPr>
          <w:vertAlign w:val="superscript"/>
        </w:rPr>
        <w:footnoteReference w:id="204"/>
      </w:r>
      <w:r w:rsidRPr="000065E5">
        <w:t xml:space="preserve">, </w:t>
      </w:r>
      <w:r>
        <w:t>las cuales</w:t>
      </w:r>
      <w:r>
        <w:rPr>
          <w:b/>
        </w:rPr>
        <w:t xml:space="preserve"> </w:t>
      </w:r>
      <w:r>
        <w:t xml:space="preserve">“habrían sido denunciadas ante instancias </w:t>
      </w:r>
      <w:proofErr w:type="gramStart"/>
      <w:r>
        <w:t>judiciales[</w:t>
      </w:r>
      <w:proofErr w:type="gramEnd"/>
      <w:r>
        <w:t>, y que n]</w:t>
      </w:r>
      <w:proofErr w:type="spellStart"/>
      <w:r>
        <w:t>o</w:t>
      </w:r>
      <w:proofErr w:type="spellEnd"/>
      <w:r>
        <w:t xml:space="preserve"> obstante, […] el Estado no habría a</w:t>
      </w:r>
      <w:r w:rsidR="000065E5">
        <w:t>doptado medidas de protección”.</w:t>
      </w:r>
      <w:r>
        <w:t xml:space="preserve"> </w:t>
      </w:r>
      <w:r>
        <w:rPr>
          <w:rFonts w:cs="Cambria"/>
        </w:rPr>
        <w:t xml:space="preserve">La Comisión entendió que la “denegación de justicia y la falta de protección efectiva frente a las denuncias de amenazas”, afectaron la integridad personal de los miembros de la familia del señor Pacheco León. Concluyó que el Estado violó el artículo 5.1 de la Convención, en relación con el artículo 1.1 de la misma, en perjuicio de los familiares del señor Pacheco León. </w:t>
      </w:r>
    </w:p>
    <w:p w14:paraId="785B277E" w14:textId="77777777" w:rsidR="00F63539" w:rsidRDefault="00F63539" w:rsidP="002A776C">
      <w:pPr>
        <w:tabs>
          <w:tab w:val="left" w:pos="-142"/>
        </w:tabs>
      </w:pPr>
    </w:p>
    <w:p w14:paraId="6BBD9C6D" w14:textId="690061F6" w:rsidR="00F63539" w:rsidRDefault="00F63539" w:rsidP="00A7167A">
      <w:pPr>
        <w:pStyle w:val="PrrafodeSentencia"/>
        <w:tabs>
          <w:tab w:val="left" w:pos="-142"/>
        </w:tabs>
        <w:ind w:left="0" w:firstLine="0"/>
        <w:rPr>
          <w:rFonts w:eastAsia="Verdana"/>
          <w:b/>
          <w:szCs w:val="20"/>
        </w:rPr>
      </w:pPr>
      <w:r>
        <w:rPr>
          <w:szCs w:val="20"/>
        </w:rPr>
        <w:t xml:space="preserve">Los </w:t>
      </w:r>
      <w:r>
        <w:rPr>
          <w:b/>
          <w:i/>
          <w:szCs w:val="20"/>
        </w:rPr>
        <w:t xml:space="preserve">representantes </w:t>
      </w:r>
      <w:r>
        <w:rPr>
          <w:szCs w:val="20"/>
        </w:rPr>
        <w:t>sostuvieron que “los familiares de Ángel Pacheco León […] son familiares directos, por lo que debería presumirse su sufrimiento producto […] de la impunidad en la que estos hechos han permanecido hasta el momento”</w:t>
      </w:r>
      <w:r>
        <w:rPr>
          <w:rFonts w:cs="Arial"/>
          <w:szCs w:val="20"/>
        </w:rPr>
        <w:t>, pues “[p]</w:t>
      </w:r>
      <w:proofErr w:type="spellStart"/>
      <w:r>
        <w:rPr>
          <w:rFonts w:cs="Arial"/>
          <w:szCs w:val="20"/>
        </w:rPr>
        <w:t>or</w:t>
      </w:r>
      <w:proofErr w:type="spellEnd"/>
      <w:r>
        <w:rPr>
          <w:rFonts w:cs="Arial"/>
          <w:szCs w:val="20"/>
        </w:rPr>
        <w:t xml:space="preserve"> catorce […] años […] han impulsado esfuerzos para que se investigue en forma seria e imparcial los hechos”</w:t>
      </w:r>
      <w:r w:rsidRPr="000D2732">
        <w:rPr>
          <w:rStyle w:val="FootnoteReference"/>
          <w:sz w:val="20"/>
          <w:szCs w:val="20"/>
        </w:rPr>
        <w:footnoteReference w:id="205"/>
      </w:r>
      <w:r w:rsidR="000065E5">
        <w:rPr>
          <w:rFonts w:cs="Arial"/>
          <w:szCs w:val="20"/>
        </w:rPr>
        <w:t>.</w:t>
      </w:r>
      <w:r>
        <w:rPr>
          <w:rFonts w:cs="Arial"/>
          <w:szCs w:val="20"/>
        </w:rPr>
        <w:t xml:space="preserve"> Agregaron que </w:t>
      </w:r>
      <w:r>
        <w:rPr>
          <w:rFonts w:eastAsia="Verdana"/>
          <w:szCs w:val="20"/>
        </w:rPr>
        <w:t xml:space="preserve"> “su madre, </w:t>
      </w:r>
      <w:r w:rsidR="0051656F">
        <w:rPr>
          <w:rFonts w:eastAsia="Verdana"/>
          <w:szCs w:val="20"/>
        </w:rPr>
        <w:t>[compañera]</w:t>
      </w:r>
      <w:r>
        <w:rPr>
          <w:rFonts w:eastAsia="Verdana"/>
          <w:szCs w:val="20"/>
        </w:rPr>
        <w:t xml:space="preserve">, hijos e hijas, hermanos y </w:t>
      </w:r>
      <w:proofErr w:type="spellStart"/>
      <w:r>
        <w:rPr>
          <w:rFonts w:eastAsia="Verdana"/>
          <w:szCs w:val="20"/>
        </w:rPr>
        <w:t>herman</w:t>
      </w:r>
      <w:proofErr w:type="spellEnd"/>
      <w:r>
        <w:rPr>
          <w:rFonts w:eastAsia="Verdana"/>
          <w:szCs w:val="20"/>
        </w:rPr>
        <w:t xml:space="preserve">[a]s, […] han sufrido de la falta de efectividad de las medidas adoptadas para esclarecer los hechos y sancionar a los </w:t>
      </w:r>
      <w:proofErr w:type="gramStart"/>
      <w:r>
        <w:rPr>
          <w:rFonts w:eastAsia="Verdana"/>
          <w:szCs w:val="20"/>
        </w:rPr>
        <w:t>responsables[</w:t>
      </w:r>
      <w:proofErr w:type="gramEnd"/>
      <w:r>
        <w:rPr>
          <w:rFonts w:eastAsia="Verdana"/>
          <w:szCs w:val="20"/>
        </w:rPr>
        <w:t>, así  como por el] temor constante, angustia, separación familiar y amenazas desde el inicio de la investigación”.</w:t>
      </w:r>
      <w:r>
        <w:rPr>
          <w:rFonts w:eastAsia="Verdana"/>
          <w:sz w:val="16"/>
          <w:szCs w:val="16"/>
        </w:rPr>
        <w:t xml:space="preserve"> </w:t>
      </w:r>
    </w:p>
    <w:p w14:paraId="0541787B" w14:textId="77777777" w:rsidR="00FF282F" w:rsidRPr="00C82C5A" w:rsidRDefault="00FF282F" w:rsidP="00C82C5A">
      <w:pPr>
        <w:rPr>
          <w:lang w:val="es-CR" w:eastAsia="es-MX"/>
        </w:rPr>
      </w:pPr>
    </w:p>
    <w:p w14:paraId="3BB7B5F7" w14:textId="77777777" w:rsidR="00C82C5A" w:rsidRDefault="0095595D" w:rsidP="002D5A5C">
      <w:pPr>
        <w:pStyle w:val="PrrafodeSentencia"/>
        <w:tabs>
          <w:tab w:val="clear" w:pos="567"/>
          <w:tab w:val="left" w:pos="-284"/>
        </w:tabs>
        <w:ind w:left="0" w:firstLine="0"/>
      </w:pPr>
      <w:r w:rsidRPr="00C82C5A">
        <w:lastRenderedPageBreak/>
        <w:t xml:space="preserve">En particular, indicaron que: </w:t>
      </w:r>
    </w:p>
    <w:p w14:paraId="11CC8FD0" w14:textId="73E783FD" w:rsidR="00C82C5A" w:rsidRDefault="00C82C5A" w:rsidP="00A936F2">
      <w:pPr>
        <w:pStyle w:val="ListParagraph"/>
        <w:numPr>
          <w:ilvl w:val="0"/>
          <w:numId w:val="0"/>
        </w:numPr>
        <w:ind w:left="720"/>
        <w:rPr>
          <w:rFonts w:cs="Arial"/>
          <w:lang w:val="es-CR"/>
        </w:rPr>
      </w:pPr>
      <w:r>
        <w:rPr>
          <w:rFonts w:cs="Arial"/>
          <w:lang w:val="es-CR"/>
        </w:rPr>
        <w:t>a</w:t>
      </w:r>
      <w:r w:rsidRPr="008B46E8">
        <w:rPr>
          <w:rFonts w:cs="Arial"/>
          <w:lang w:val="es-CR"/>
        </w:rPr>
        <w:t>) José Pacheco</w:t>
      </w:r>
      <w:r w:rsidRPr="00B92A60">
        <w:rPr>
          <w:rFonts w:cs="Arial"/>
          <w:lang w:val="es-CR"/>
        </w:rPr>
        <w:t xml:space="preserve">, </w:t>
      </w:r>
      <w:r w:rsidR="006A1837">
        <w:rPr>
          <w:lang w:val="es-CR"/>
        </w:rPr>
        <w:t>“</w:t>
      </w:r>
      <w:proofErr w:type="spellStart"/>
      <w:r w:rsidR="00B92A60" w:rsidRPr="00A936F2">
        <w:rPr>
          <w:lang w:val="es-CR"/>
        </w:rPr>
        <w:t>asumi</w:t>
      </w:r>
      <w:proofErr w:type="spellEnd"/>
      <w:r w:rsidR="006A1837">
        <w:rPr>
          <w:lang w:val="es-CR"/>
        </w:rPr>
        <w:t>[</w:t>
      </w:r>
      <w:proofErr w:type="spellStart"/>
      <w:r w:rsidR="006A1837">
        <w:rPr>
          <w:lang w:val="es-CR"/>
        </w:rPr>
        <w:t>ó</w:t>
      </w:r>
      <w:proofErr w:type="spellEnd"/>
      <w:r w:rsidR="006A1837">
        <w:rPr>
          <w:lang w:val="es-CR"/>
        </w:rPr>
        <w:t>]</w:t>
      </w:r>
      <w:r w:rsidR="00B92A60" w:rsidRPr="00A936F2">
        <w:rPr>
          <w:lang w:val="es-CR"/>
        </w:rPr>
        <w:t xml:space="preserve"> la primera diputaci</w:t>
      </w:r>
      <w:r w:rsidR="00B92A60" w:rsidRPr="00A936F2">
        <w:rPr>
          <w:rFonts w:cs="Calibri"/>
          <w:lang w:val="es-CR"/>
        </w:rPr>
        <w:t>ó</w:t>
      </w:r>
      <w:r w:rsidR="00B92A60" w:rsidRPr="00A936F2">
        <w:rPr>
          <w:lang w:val="es-CR"/>
        </w:rPr>
        <w:t xml:space="preserve">n por el Departamento de Valle, para lo que emocionalmente no estaba preparado, se vio obligado a compartir el cargo con el principal sospechoso del </w:t>
      </w:r>
      <w:r w:rsidR="001600D1">
        <w:rPr>
          <w:lang w:val="es-CR"/>
        </w:rPr>
        <w:t>[homicidio]</w:t>
      </w:r>
      <w:r w:rsidR="00B92A60" w:rsidRPr="00A936F2">
        <w:rPr>
          <w:lang w:val="es-CR"/>
        </w:rPr>
        <w:t xml:space="preserve"> de su hermano [</w:t>
      </w:r>
      <w:r w:rsidR="00B92A60" w:rsidRPr="00A936F2">
        <w:rPr>
          <w:rFonts w:cs="Calibri"/>
          <w:lang w:val="es-CR"/>
        </w:rPr>
        <w:t>…</w:t>
      </w:r>
      <w:r w:rsidR="00B92A60" w:rsidRPr="00A936F2">
        <w:rPr>
          <w:lang w:val="es-CR"/>
        </w:rPr>
        <w:t>y f</w:t>
      </w:r>
      <w:proofErr w:type="gramStart"/>
      <w:r w:rsidR="00B92A60" w:rsidRPr="00A936F2">
        <w:rPr>
          <w:lang w:val="es-CR"/>
        </w:rPr>
        <w:t>]</w:t>
      </w:r>
      <w:proofErr w:type="spellStart"/>
      <w:r w:rsidR="00B92A60" w:rsidRPr="00A936F2">
        <w:rPr>
          <w:lang w:val="es-CR"/>
        </w:rPr>
        <w:t>ue</w:t>
      </w:r>
      <w:proofErr w:type="spellEnd"/>
      <w:proofErr w:type="gramEnd"/>
      <w:r w:rsidR="00B92A60" w:rsidRPr="00A936F2">
        <w:rPr>
          <w:lang w:val="es-CR"/>
        </w:rPr>
        <w:t xml:space="preserve"> sujeto de marginaci</w:t>
      </w:r>
      <w:r w:rsidR="00B92A60" w:rsidRPr="00A936F2">
        <w:rPr>
          <w:rFonts w:cs="Calibri"/>
          <w:lang w:val="es-CR"/>
        </w:rPr>
        <w:t>ó</w:t>
      </w:r>
      <w:r w:rsidR="00B92A60" w:rsidRPr="00A936F2">
        <w:rPr>
          <w:lang w:val="es-CR"/>
        </w:rPr>
        <w:t>n y discriminaci</w:t>
      </w:r>
      <w:r w:rsidR="00B92A60" w:rsidRPr="00A936F2">
        <w:rPr>
          <w:rFonts w:cs="Calibri"/>
          <w:lang w:val="es-CR"/>
        </w:rPr>
        <w:t>ó</w:t>
      </w:r>
      <w:r w:rsidR="00B92A60" w:rsidRPr="00A936F2">
        <w:rPr>
          <w:lang w:val="es-CR"/>
        </w:rPr>
        <w:t>n, no se le otorgaron fondos para desarrollar proyectos sociales”</w:t>
      </w:r>
      <w:r w:rsidR="009E704D">
        <w:rPr>
          <w:lang w:val="es-CR"/>
        </w:rPr>
        <w:t>.</w:t>
      </w:r>
      <w:r w:rsidR="006A1837">
        <w:rPr>
          <w:lang w:val="es-CR"/>
        </w:rPr>
        <w:t xml:space="preserve"> A</w:t>
      </w:r>
      <w:r w:rsidR="00B92A60" w:rsidRPr="00A936F2">
        <w:rPr>
          <w:lang w:val="es-CR"/>
        </w:rPr>
        <w:t>demás</w:t>
      </w:r>
      <w:r w:rsidR="00B92A60" w:rsidRPr="00B92A60">
        <w:rPr>
          <w:rFonts w:cs="Arial"/>
          <w:lang w:val="es-CR"/>
        </w:rPr>
        <w:t xml:space="preserve"> </w:t>
      </w:r>
      <w:r w:rsidRPr="008B46E8">
        <w:rPr>
          <w:rFonts w:cs="Arial"/>
          <w:lang w:val="es-CR"/>
        </w:rPr>
        <w:t xml:space="preserve">“por su trabajo de diputado fue víctima de amenazas persistentes, personas desconocidas siguieron </w:t>
      </w:r>
      <w:r w:rsidR="00C23749">
        <w:rPr>
          <w:rFonts w:cs="Arial"/>
          <w:lang w:val="es-CR"/>
        </w:rPr>
        <w:t xml:space="preserve">a </w:t>
      </w:r>
      <w:r w:rsidRPr="008B46E8">
        <w:rPr>
          <w:rFonts w:cs="Arial"/>
          <w:lang w:val="es-CR"/>
        </w:rPr>
        <w:t>sus hijas en la universidad y [sufrió] violaciones de su vida privad[a]”</w:t>
      </w:r>
      <w:r w:rsidR="00384CC6">
        <w:rPr>
          <w:rFonts w:cs="Arial"/>
          <w:lang w:val="es-CR"/>
        </w:rPr>
        <w:t xml:space="preserve"> (</w:t>
      </w:r>
      <w:r w:rsidR="00384CC6">
        <w:rPr>
          <w:rFonts w:cs="Arial"/>
          <w:i/>
          <w:lang w:val="es-CR"/>
        </w:rPr>
        <w:t>infra</w:t>
      </w:r>
      <w:r w:rsidR="00384CC6">
        <w:rPr>
          <w:rFonts w:cs="Arial"/>
          <w:lang w:val="es-CR"/>
        </w:rPr>
        <w:t xml:space="preserve"> </w:t>
      </w:r>
      <w:proofErr w:type="spellStart"/>
      <w:r w:rsidR="00384CC6">
        <w:rPr>
          <w:rFonts w:cs="Arial"/>
          <w:lang w:val="es-CR"/>
        </w:rPr>
        <w:t>párr</w:t>
      </w:r>
      <w:r w:rsidR="009E704D">
        <w:rPr>
          <w:rFonts w:cs="Arial"/>
          <w:lang w:val="es-CR"/>
        </w:rPr>
        <w:t>s</w:t>
      </w:r>
      <w:proofErr w:type="spellEnd"/>
      <w:r w:rsidR="00384CC6">
        <w:rPr>
          <w:rFonts w:cs="Arial"/>
          <w:lang w:val="es-CR"/>
        </w:rPr>
        <w:t xml:space="preserve">. </w:t>
      </w:r>
      <w:r w:rsidR="00ED488C">
        <w:rPr>
          <w:rFonts w:cs="Arial"/>
          <w:lang w:val="es-CR"/>
        </w:rPr>
        <w:t>1</w:t>
      </w:r>
      <w:r w:rsidR="009E704D">
        <w:rPr>
          <w:rFonts w:cs="Arial"/>
          <w:lang w:val="es-CR"/>
        </w:rPr>
        <w:t>72 a 174</w:t>
      </w:r>
      <w:r w:rsidR="00384CC6">
        <w:rPr>
          <w:rFonts w:cs="Arial"/>
          <w:lang w:val="es-CR"/>
        </w:rPr>
        <w:t>)</w:t>
      </w:r>
      <w:r w:rsidR="006A1837">
        <w:rPr>
          <w:rFonts w:cs="Arial"/>
          <w:lang w:val="es-CR"/>
        </w:rPr>
        <w:t>, y</w:t>
      </w:r>
      <w:r w:rsidRPr="008B46E8">
        <w:rPr>
          <w:rFonts w:cs="Arial"/>
          <w:lang w:val="es-CR"/>
        </w:rPr>
        <w:t xml:space="preserve"> solicitó medidas de protección que no fueron otorgadas</w:t>
      </w:r>
      <w:r w:rsidRPr="005D079B">
        <w:rPr>
          <w:rStyle w:val="FootnoteReference"/>
          <w:rFonts w:cs="Arial"/>
          <w:sz w:val="20"/>
          <w:szCs w:val="20"/>
          <w:lang w:val="es-CR"/>
        </w:rPr>
        <w:footnoteReference w:id="206"/>
      </w:r>
      <w:r w:rsidR="006A1837">
        <w:rPr>
          <w:rFonts w:cs="Arial"/>
          <w:lang w:val="es-CR"/>
        </w:rPr>
        <w:t>.</w:t>
      </w:r>
      <w:r w:rsidRPr="008B46E8">
        <w:rPr>
          <w:rFonts w:cs="Arial"/>
          <w:lang w:val="es-CR"/>
        </w:rPr>
        <w:t xml:space="preserve">  </w:t>
      </w:r>
      <w:r w:rsidR="006A1837">
        <w:rPr>
          <w:rFonts w:cs="Arial"/>
          <w:lang w:val="es-CR"/>
        </w:rPr>
        <w:t>P</w:t>
      </w:r>
      <w:r w:rsidRPr="008B46E8">
        <w:rPr>
          <w:rFonts w:cs="Arial"/>
          <w:lang w:val="es-CR"/>
        </w:rPr>
        <w:t>or otra parte, “asumió la responsabilidad en representación de la familia de presentar las reclamaciones y formalizaciones de las peticiones ante las instancias del Estado”</w:t>
      </w:r>
      <w:r w:rsidR="00B92A60" w:rsidRPr="000D2732">
        <w:rPr>
          <w:rStyle w:val="FootnoteReference"/>
          <w:sz w:val="20"/>
          <w:szCs w:val="20"/>
          <w:lang w:val="es-CR"/>
        </w:rPr>
        <w:footnoteReference w:id="207"/>
      </w:r>
      <w:r w:rsidR="00B92A60">
        <w:rPr>
          <w:rFonts w:cs="Arial"/>
          <w:lang w:val="es-CR"/>
        </w:rPr>
        <w:t>.</w:t>
      </w:r>
      <w:r w:rsidRPr="008B46E8">
        <w:rPr>
          <w:rFonts w:cs="Arial"/>
          <w:lang w:val="es-CR"/>
        </w:rPr>
        <w:t xml:space="preserve">  </w:t>
      </w:r>
    </w:p>
    <w:p w14:paraId="6FB5D22F" w14:textId="35C94287" w:rsidR="00C82C5A" w:rsidRDefault="00C82C5A" w:rsidP="00A936F2">
      <w:pPr>
        <w:pStyle w:val="ListParagraph"/>
        <w:numPr>
          <w:ilvl w:val="0"/>
          <w:numId w:val="0"/>
        </w:numPr>
        <w:ind w:left="720"/>
        <w:rPr>
          <w:rFonts w:cs="Arial"/>
          <w:lang w:val="es-CR"/>
        </w:rPr>
      </w:pPr>
      <w:r>
        <w:rPr>
          <w:lang w:val="es-CR"/>
        </w:rPr>
        <w:t>b</w:t>
      </w:r>
      <w:r w:rsidRPr="008B46E8">
        <w:rPr>
          <w:lang w:val="es-CR"/>
        </w:rPr>
        <w:t>) “</w:t>
      </w:r>
      <w:proofErr w:type="spellStart"/>
      <w:r w:rsidRPr="008B46E8">
        <w:rPr>
          <w:rFonts w:cs="Arial"/>
          <w:lang w:val="es-CR"/>
        </w:rPr>
        <w:t>Jimy</w:t>
      </w:r>
      <w:proofErr w:type="spellEnd"/>
      <w:r w:rsidRPr="008B46E8">
        <w:rPr>
          <w:rFonts w:cs="Arial"/>
          <w:lang w:val="es-CR"/>
        </w:rPr>
        <w:t xml:space="preserve"> </w:t>
      </w:r>
      <w:proofErr w:type="gramStart"/>
      <w:r w:rsidRPr="008B46E8">
        <w:rPr>
          <w:rFonts w:cs="Arial"/>
          <w:lang w:val="es-CR"/>
        </w:rPr>
        <w:t>Pacheco[</w:t>
      </w:r>
      <w:proofErr w:type="gramEnd"/>
      <w:r w:rsidRPr="008B46E8">
        <w:rPr>
          <w:rFonts w:cs="Arial"/>
          <w:lang w:val="es-CR"/>
        </w:rPr>
        <w:t>,] siendo solo un niño se vio</w:t>
      </w:r>
      <w:r>
        <w:rPr>
          <w:rFonts w:cs="Arial"/>
          <w:lang w:val="es-CR"/>
        </w:rPr>
        <w:t xml:space="preserve"> </w:t>
      </w:r>
      <w:r w:rsidRPr="008B46E8">
        <w:rPr>
          <w:rFonts w:cs="Arial"/>
          <w:lang w:val="es-CR"/>
        </w:rPr>
        <w:t>enfrentado a rendir declaraciones una y otra vez”</w:t>
      </w:r>
      <w:r w:rsidR="006A1837">
        <w:rPr>
          <w:rFonts w:cs="Arial"/>
          <w:lang w:val="es-CR"/>
        </w:rPr>
        <w:t>.</w:t>
      </w:r>
      <w:r w:rsidRPr="008B46E8">
        <w:rPr>
          <w:rFonts w:cs="Arial"/>
          <w:lang w:val="es-CR"/>
        </w:rPr>
        <w:t xml:space="preserve"> </w:t>
      </w:r>
    </w:p>
    <w:p w14:paraId="2D4D5B0C" w14:textId="22F0E2AB" w:rsidR="00C82C5A" w:rsidRDefault="00C82C5A" w:rsidP="00A936F2">
      <w:pPr>
        <w:pStyle w:val="ListParagraph"/>
        <w:numPr>
          <w:ilvl w:val="0"/>
          <w:numId w:val="0"/>
        </w:numPr>
        <w:ind w:left="720"/>
        <w:rPr>
          <w:rFonts w:cs="Arial"/>
          <w:lang w:val="es-CR"/>
        </w:rPr>
      </w:pPr>
      <w:r w:rsidRPr="008B46E8">
        <w:rPr>
          <w:rFonts w:cs="Arial"/>
          <w:lang w:val="es-CR"/>
        </w:rPr>
        <w:t xml:space="preserve">c) “Cintia </w:t>
      </w:r>
      <w:proofErr w:type="spellStart"/>
      <w:r w:rsidRPr="008B46E8">
        <w:rPr>
          <w:rFonts w:cs="Arial"/>
          <w:lang w:val="es-CR"/>
        </w:rPr>
        <w:t>Mirella</w:t>
      </w:r>
      <w:proofErr w:type="spellEnd"/>
      <w:r w:rsidRPr="008B46E8">
        <w:rPr>
          <w:rFonts w:cs="Arial"/>
          <w:lang w:val="es-CR"/>
        </w:rPr>
        <w:t xml:space="preserve"> Pacheco </w:t>
      </w:r>
      <w:proofErr w:type="spellStart"/>
      <w:r w:rsidRPr="008B46E8">
        <w:rPr>
          <w:rFonts w:cs="Arial"/>
          <w:lang w:val="es-CR"/>
        </w:rPr>
        <w:t>Deviciente</w:t>
      </w:r>
      <w:proofErr w:type="spellEnd"/>
      <w:r w:rsidRPr="008B46E8">
        <w:rPr>
          <w:rFonts w:cs="Arial"/>
          <w:lang w:val="es-CR"/>
        </w:rPr>
        <w:t xml:space="preserve"> […]</w:t>
      </w:r>
      <w:r w:rsidR="00AD7709">
        <w:rPr>
          <w:rFonts w:cs="Arial"/>
          <w:lang w:val="es-CR"/>
        </w:rPr>
        <w:t xml:space="preserve"> </w:t>
      </w:r>
      <w:r w:rsidRPr="008B46E8">
        <w:rPr>
          <w:rFonts w:cs="Arial"/>
          <w:lang w:val="es-CR"/>
        </w:rPr>
        <w:t>fue perseguida varias veces por hombres desconocidos […] entró en depresión y tomaba pastillas para dormir, […] bajo mucho de peso, llegando a pesar 85 libras, […] sin saber que estaba embarazada[; d]</w:t>
      </w:r>
      <w:proofErr w:type="spellStart"/>
      <w:r w:rsidRPr="008B46E8">
        <w:rPr>
          <w:rFonts w:cs="Arial"/>
          <w:lang w:val="es-CR"/>
        </w:rPr>
        <w:t>ebido</w:t>
      </w:r>
      <w:proofErr w:type="spellEnd"/>
      <w:r w:rsidRPr="008B46E8">
        <w:rPr>
          <w:rFonts w:cs="Arial"/>
          <w:lang w:val="es-CR"/>
        </w:rPr>
        <w:t xml:space="preserve"> [a]l trauma que ella paso, su niño tiene problemas de aprendizaje y síndrome de [a]</w:t>
      </w:r>
      <w:proofErr w:type="spellStart"/>
      <w:r w:rsidRPr="008B46E8">
        <w:rPr>
          <w:rFonts w:cs="Arial"/>
          <w:lang w:val="es-CR"/>
        </w:rPr>
        <w:t>utismo</w:t>
      </w:r>
      <w:proofErr w:type="spellEnd"/>
      <w:r w:rsidRPr="008B46E8">
        <w:rPr>
          <w:rFonts w:cs="Arial"/>
          <w:lang w:val="es-CR"/>
        </w:rPr>
        <w:t>”</w:t>
      </w:r>
      <w:r w:rsidR="003018BD">
        <w:rPr>
          <w:rFonts w:cs="Arial"/>
          <w:lang w:val="es-CR"/>
        </w:rPr>
        <w:t>.</w:t>
      </w:r>
      <w:r w:rsidRPr="008B46E8">
        <w:rPr>
          <w:rFonts w:cs="Arial"/>
          <w:lang w:val="es-CR"/>
        </w:rPr>
        <w:t xml:space="preserve"> </w:t>
      </w:r>
    </w:p>
    <w:p w14:paraId="0BAAAC83" w14:textId="1E200A08" w:rsidR="00C82C5A" w:rsidRDefault="00C82C5A" w:rsidP="00A936F2">
      <w:pPr>
        <w:pStyle w:val="ListParagraph"/>
        <w:numPr>
          <w:ilvl w:val="0"/>
          <w:numId w:val="0"/>
        </w:numPr>
        <w:ind w:left="720"/>
        <w:rPr>
          <w:lang w:val="es-CR"/>
        </w:rPr>
      </w:pPr>
      <w:r w:rsidRPr="008B46E8">
        <w:rPr>
          <w:rFonts w:cs="Arial"/>
          <w:lang w:val="es-CR"/>
        </w:rPr>
        <w:t xml:space="preserve">d) </w:t>
      </w:r>
      <w:r w:rsidR="006A1837">
        <w:rPr>
          <w:rFonts w:cs="Arial"/>
          <w:lang w:val="es-CR"/>
        </w:rPr>
        <w:t>L</w:t>
      </w:r>
      <w:r w:rsidRPr="008B46E8">
        <w:rPr>
          <w:rFonts w:cs="Arial"/>
          <w:lang w:val="es-CR"/>
        </w:rPr>
        <w:t>a falta de acceso a la justicia ha contribuido a agravar [el] estado de salud” de Andrea Pacheco López</w:t>
      </w:r>
      <w:r w:rsidRPr="005D079B">
        <w:rPr>
          <w:rStyle w:val="FootnoteReference"/>
          <w:rFonts w:cs="Arial"/>
          <w:sz w:val="20"/>
          <w:szCs w:val="20"/>
          <w:lang w:val="es-CR"/>
        </w:rPr>
        <w:footnoteReference w:id="208"/>
      </w:r>
      <w:r w:rsidRPr="008B46E8">
        <w:rPr>
          <w:rFonts w:cs="Arial"/>
          <w:lang w:val="es-CR"/>
        </w:rPr>
        <w:t xml:space="preserve"> y, además, ella “tiene 85 años y ha experimentado el temor de que le ocurra algo a sus hijos y nietos. Como producto de la desi</w:t>
      </w:r>
      <w:r w:rsidR="00AD7709">
        <w:rPr>
          <w:rFonts w:cs="Arial"/>
          <w:lang w:val="es-CR"/>
        </w:rPr>
        <w:t>ntegración que se produjo en el núcleo familiar de Ángel Pacheco León, dejó</w:t>
      </w:r>
      <w:r w:rsidRPr="008B46E8">
        <w:rPr>
          <w:rFonts w:cs="Arial"/>
          <w:lang w:val="es-CR"/>
        </w:rPr>
        <w:t xml:space="preserve"> de compartir con sus nietos, los hijos </w:t>
      </w:r>
      <w:proofErr w:type="gramStart"/>
      <w:r w:rsidRPr="008B46E8">
        <w:rPr>
          <w:rFonts w:cs="Arial"/>
          <w:lang w:val="es-CR"/>
        </w:rPr>
        <w:t>de[</w:t>
      </w:r>
      <w:proofErr w:type="gramEnd"/>
      <w:r w:rsidRPr="008B46E8">
        <w:rPr>
          <w:rFonts w:cs="Arial"/>
          <w:lang w:val="es-CR"/>
        </w:rPr>
        <w:t>l señor Pacheco]”</w:t>
      </w:r>
      <w:r>
        <w:rPr>
          <w:rFonts w:cs="Arial"/>
          <w:lang w:val="es-CR"/>
        </w:rPr>
        <w:t>.</w:t>
      </w:r>
      <w:r w:rsidRPr="008B46E8">
        <w:rPr>
          <w:rFonts w:cs="Arial"/>
          <w:lang w:val="es-CR"/>
        </w:rPr>
        <w:t xml:space="preserve"> </w:t>
      </w:r>
    </w:p>
    <w:p w14:paraId="504C9516" w14:textId="77777777" w:rsidR="00384CC6" w:rsidRDefault="00384CC6" w:rsidP="00384CC6">
      <w:pPr>
        <w:rPr>
          <w:szCs w:val="20"/>
          <w:lang w:eastAsia="es-MX"/>
        </w:rPr>
      </w:pPr>
    </w:p>
    <w:p w14:paraId="25003B98" w14:textId="1310DCEE" w:rsidR="00384CC6" w:rsidRDefault="00384CC6" w:rsidP="00A7167A">
      <w:pPr>
        <w:pStyle w:val="PrrafodeSentencia"/>
        <w:tabs>
          <w:tab w:val="left" w:pos="-142"/>
        </w:tabs>
        <w:ind w:left="0" w:firstLine="0"/>
        <w:rPr>
          <w:rFonts w:cs="Arial"/>
          <w:szCs w:val="20"/>
        </w:rPr>
      </w:pPr>
      <w:r>
        <w:rPr>
          <w:rFonts w:cs="Arial"/>
          <w:szCs w:val="20"/>
        </w:rPr>
        <w:t xml:space="preserve">Los representantes </w:t>
      </w:r>
      <w:r>
        <w:rPr>
          <w:szCs w:val="20"/>
        </w:rPr>
        <w:t xml:space="preserve">solicitaron a la Corte que declare al Estado responsable por la violación del artículo 5 de la Convención, </w:t>
      </w:r>
      <w:r w:rsidR="000065E5">
        <w:rPr>
          <w:szCs w:val="20"/>
        </w:rPr>
        <w:t>en perjuicio de los familiares.</w:t>
      </w:r>
    </w:p>
    <w:p w14:paraId="267EBC5D" w14:textId="77777777" w:rsidR="00384CC6" w:rsidRPr="009B4223" w:rsidRDefault="00384CC6" w:rsidP="00A7167A">
      <w:pPr>
        <w:rPr>
          <w:lang w:val="es-CR"/>
        </w:rPr>
      </w:pPr>
    </w:p>
    <w:p w14:paraId="36F612B7" w14:textId="5C458FC5" w:rsidR="00384CC6" w:rsidRDefault="00384CC6" w:rsidP="00A7167A">
      <w:pPr>
        <w:pStyle w:val="PrrafodeSentencia"/>
        <w:ind w:left="0" w:firstLine="0"/>
        <w:rPr>
          <w:rFonts w:cs="Arial"/>
          <w:b/>
          <w:sz w:val="16"/>
          <w:szCs w:val="16"/>
        </w:rPr>
      </w:pPr>
      <w:r>
        <w:rPr>
          <w:rFonts w:eastAsia="Verdana"/>
          <w:szCs w:val="20"/>
        </w:rPr>
        <w:t>El</w:t>
      </w:r>
      <w:r>
        <w:rPr>
          <w:rFonts w:eastAsia="Verdana"/>
          <w:b/>
          <w:i/>
          <w:szCs w:val="20"/>
        </w:rPr>
        <w:t xml:space="preserve"> Estado</w:t>
      </w:r>
      <w:r>
        <w:rPr>
          <w:rFonts w:eastAsia="Verdana"/>
          <w:szCs w:val="20"/>
        </w:rPr>
        <w:t xml:space="preserve"> adujo que </w:t>
      </w:r>
      <w:r>
        <w:rPr>
          <w:rFonts w:cs="Arial"/>
          <w:szCs w:val="20"/>
        </w:rPr>
        <w:t>“si bien puede reconocer que han surgido dificultades que han demorado el proceso de investigación […]</w:t>
      </w:r>
      <w:r>
        <w:rPr>
          <w:rFonts w:cs="Arial"/>
          <w:i/>
          <w:iCs/>
          <w:szCs w:val="20"/>
        </w:rPr>
        <w:t xml:space="preserve">, </w:t>
      </w:r>
      <w:r>
        <w:rPr>
          <w:rFonts w:cs="Arial"/>
          <w:szCs w:val="20"/>
        </w:rPr>
        <w:t xml:space="preserve">no puede aceptar […] que esto haya generado las supuestas violaciones a [los] familiares [del señor Pacheco], debido a que no existe prueba alguna de que hayan surgido amenazas o que estas fueran denunciadas por los familiares de la víctima”. </w:t>
      </w:r>
      <w:r w:rsidR="003018BD">
        <w:rPr>
          <w:rFonts w:cs="Arial"/>
          <w:szCs w:val="20"/>
        </w:rPr>
        <w:t>Indic</w:t>
      </w:r>
      <w:r>
        <w:rPr>
          <w:rFonts w:cs="Arial"/>
          <w:szCs w:val="20"/>
        </w:rPr>
        <w:t xml:space="preserve">ó </w:t>
      </w:r>
      <w:r>
        <w:rPr>
          <w:szCs w:val="20"/>
        </w:rPr>
        <w:t>que no todos los familiares del señor Pacheco se encontraban en su círculo íntimo, y que a efectos de determinar si existe una violación a la integridad psíquica y moral se debe tomar en cuenta elementos tales como la proximidad del vínculo familiar, las circunstancias particulares de la relación con la víctima, si el familiar fue testigo de los hechos, o la forma en que el familiar en cuestión se involucró en los intentos por obtener información. Señaló que José Pacheco se invol</w:t>
      </w:r>
      <w:r w:rsidR="00F07B77">
        <w:rPr>
          <w:szCs w:val="20"/>
        </w:rPr>
        <w:t>ucró en la búsqueda de justicia</w:t>
      </w:r>
      <w:r>
        <w:rPr>
          <w:szCs w:val="20"/>
        </w:rPr>
        <w:t>.</w:t>
      </w:r>
      <w:r>
        <w:rPr>
          <w:b/>
          <w:szCs w:val="20"/>
        </w:rPr>
        <w:t xml:space="preserve"> </w:t>
      </w:r>
      <w:r>
        <w:rPr>
          <w:szCs w:val="20"/>
        </w:rPr>
        <w:t>Consideró que los representantes “no lograron acreditar” la participación de “la gran mayoría de [sus] hermanos” en “la búsqueda de la verdad en el caso […] ni [en] las circunstancias particulares de la relación con [el señor Pacheco]”.</w:t>
      </w:r>
      <w:r w:rsidRPr="00EC73BA">
        <w:rPr>
          <w:szCs w:val="20"/>
        </w:rPr>
        <w:t xml:space="preserve"> </w:t>
      </w:r>
      <w:r>
        <w:rPr>
          <w:rFonts w:cs="Arial"/>
          <w:szCs w:val="20"/>
        </w:rPr>
        <w:t>En consecuencia, el Estado solicitó que no se</w:t>
      </w:r>
      <w:r w:rsidR="00C23749">
        <w:rPr>
          <w:rFonts w:cs="Arial"/>
          <w:szCs w:val="20"/>
        </w:rPr>
        <w:t xml:space="preserve"> lo</w:t>
      </w:r>
      <w:r>
        <w:rPr>
          <w:rFonts w:cs="Arial"/>
          <w:szCs w:val="20"/>
        </w:rPr>
        <w:t xml:space="preserve"> declare responsable de la violación al</w:t>
      </w:r>
      <w:r w:rsidR="000065E5">
        <w:rPr>
          <w:rFonts w:cs="Arial"/>
          <w:szCs w:val="20"/>
        </w:rPr>
        <w:t xml:space="preserve"> artículo 5.1 de la Convención.</w:t>
      </w:r>
    </w:p>
    <w:p w14:paraId="3E416C83" w14:textId="77777777" w:rsidR="007702F5" w:rsidRDefault="007702F5" w:rsidP="007702F5">
      <w:pPr>
        <w:rPr>
          <w:lang w:val="es-CR" w:eastAsia="es-MX"/>
        </w:rPr>
      </w:pPr>
    </w:p>
    <w:p w14:paraId="13C5E900" w14:textId="77777777" w:rsidR="002913F6" w:rsidRDefault="002913F6" w:rsidP="007702F5">
      <w:pPr>
        <w:rPr>
          <w:lang w:val="es-CR" w:eastAsia="es-MX"/>
        </w:rPr>
      </w:pPr>
    </w:p>
    <w:p w14:paraId="2A886A16" w14:textId="77777777" w:rsidR="002913F6" w:rsidRDefault="002913F6" w:rsidP="007702F5">
      <w:pPr>
        <w:rPr>
          <w:lang w:val="es-CR" w:eastAsia="es-MX"/>
        </w:rPr>
      </w:pPr>
    </w:p>
    <w:p w14:paraId="4E5A939A" w14:textId="77777777" w:rsidR="002913F6" w:rsidRDefault="002913F6" w:rsidP="007702F5">
      <w:pPr>
        <w:rPr>
          <w:lang w:val="es-CR" w:eastAsia="es-MX"/>
        </w:rPr>
      </w:pPr>
    </w:p>
    <w:p w14:paraId="6EECA0F3" w14:textId="77777777" w:rsidR="00C82C5A" w:rsidRPr="00C82C5A" w:rsidRDefault="00C82C5A" w:rsidP="006D1953">
      <w:pPr>
        <w:pStyle w:val="ListParagraph"/>
        <w:numPr>
          <w:ilvl w:val="0"/>
          <w:numId w:val="20"/>
        </w:numPr>
        <w:spacing w:line="276" w:lineRule="auto"/>
        <w:ind w:left="284" w:firstLine="0"/>
        <w:contextualSpacing/>
        <w:outlineLvl w:val="1"/>
        <w:rPr>
          <w:b/>
          <w:i/>
          <w:lang w:val="es-CR"/>
        </w:rPr>
      </w:pPr>
      <w:bookmarkStart w:id="310" w:name="_Toc488134462"/>
      <w:bookmarkStart w:id="311" w:name="_Toc489523922"/>
      <w:bookmarkStart w:id="312" w:name="_Toc493512917"/>
      <w:bookmarkStart w:id="313" w:name="_Toc498512839"/>
      <w:r w:rsidRPr="00C82C5A">
        <w:rPr>
          <w:b/>
          <w:i/>
          <w:lang w:val="es-CR"/>
        </w:rPr>
        <w:lastRenderedPageBreak/>
        <w:t>Consideraciones de la Corte</w:t>
      </w:r>
      <w:bookmarkEnd w:id="310"/>
      <w:bookmarkEnd w:id="311"/>
      <w:bookmarkEnd w:id="312"/>
      <w:bookmarkEnd w:id="313"/>
    </w:p>
    <w:p w14:paraId="06E76F6F" w14:textId="77777777" w:rsidR="00C82C5A" w:rsidRPr="00C82C5A" w:rsidRDefault="00C82C5A" w:rsidP="00C82C5A">
      <w:pPr>
        <w:rPr>
          <w:lang w:val="es-CR" w:eastAsia="es-MX"/>
        </w:rPr>
      </w:pPr>
    </w:p>
    <w:p w14:paraId="77AAB130" w14:textId="77777777" w:rsidR="00D17996" w:rsidRDefault="00D17996" w:rsidP="002A776C">
      <w:pPr>
        <w:pStyle w:val="PrrafodeSentencia"/>
        <w:tabs>
          <w:tab w:val="clear" w:pos="567"/>
          <w:tab w:val="left" w:pos="-142"/>
        </w:tabs>
        <w:ind w:left="0" w:firstLine="0"/>
        <w:rPr>
          <w:rFonts w:cs="Arial"/>
        </w:rPr>
      </w:pPr>
      <w:r w:rsidRPr="00C82C5A">
        <w:rPr>
          <w:rFonts w:cs="Arial"/>
        </w:rPr>
        <w:t>La Corte advierte que en el presente caso se ha alegado que familiares del señor Pacheco León vieron lesionada su integridad personal a causa del modo en que se ha desarrollado la investigación de la muerte del señor Pacheco León y también por amenazas, hostigamientos u otro tipo de actos cometidos contra algunos de</w:t>
      </w:r>
      <w:r w:rsidR="002A735A">
        <w:rPr>
          <w:rFonts w:cs="Arial"/>
        </w:rPr>
        <w:t xml:space="preserve"> ellos</w:t>
      </w:r>
      <w:r w:rsidRPr="00C82C5A">
        <w:rPr>
          <w:rFonts w:cs="Arial"/>
        </w:rPr>
        <w:t>. Es pertinente dejar sentado que ambos tipos de argumentos se refieren a aducidas violaciones producidas directamente por el actuar estatal en relación con los familiares del señor Pache</w:t>
      </w:r>
      <w:r>
        <w:rPr>
          <w:rFonts w:cs="Arial"/>
        </w:rPr>
        <w:t>c</w:t>
      </w:r>
      <w:r w:rsidRPr="00C82C5A">
        <w:rPr>
          <w:rFonts w:cs="Arial"/>
        </w:rPr>
        <w:t xml:space="preserve">o, quien no ha sido declarado víctima de violaciones a sus derechos. Por lo tanto, la argüida vulneración a la integridad personal de los familiares del señor Pacheco no puede analizarse vinculada a hechos sucedidos a éste. </w:t>
      </w:r>
    </w:p>
    <w:p w14:paraId="6A5C83A8" w14:textId="77777777" w:rsidR="00D17996" w:rsidRPr="00D17996" w:rsidRDefault="00D17996" w:rsidP="002A776C">
      <w:pPr>
        <w:tabs>
          <w:tab w:val="left" w:pos="-142"/>
        </w:tabs>
        <w:rPr>
          <w:lang w:val="es-CR" w:eastAsia="es-MX"/>
        </w:rPr>
      </w:pPr>
    </w:p>
    <w:p w14:paraId="7A33C2BB" w14:textId="5198AA24" w:rsidR="00D17996" w:rsidRDefault="00D17996" w:rsidP="002A776C">
      <w:pPr>
        <w:pStyle w:val="PrrafodeSentencia"/>
        <w:tabs>
          <w:tab w:val="clear" w:pos="567"/>
          <w:tab w:val="left" w:pos="-142"/>
        </w:tabs>
        <w:ind w:left="0" w:firstLine="0"/>
        <w:rPr>
          <w:rFonts w:eastAsia="Verdana"/>
        </w:rPr>
      </w:pPr>
      <w:r>
        <w:rPr>
          <w:rFonts w:eastAsia="Verdana"/>
        </w:rPr>
        <w:t>Ahora bien, d</w:t>
      </w:r>
      <w:r w:rsidR="0095595D" w:rsidRPr="00C82C5A">
        <w:rPr>
          <w:rFonts w:eastAsia="Verdana"/>
        </w:rPr>
        <w:t>e con</w:t>
      </w:r>
      <w:r>
        <w:rPr>
          <w:rFonts w:eastAsia="Verdana"/>
        </w:rPr>
        <w:t>formidad a lo señalado por este Tribunal</w:t>
      </w:r>
      <w:r w:rsidR="0095595D" w:rsidRPr="00C82C5A">
        <w:rPr>
          <w:rFonts w:eastAsia="Verdana"/>
        </w:rPr>
        <w:t>, se puede declarar violado el derecho a la integridad personal de una persona a partir de actuaciones u omisiones de las autoridades en relación con la investigación de hechos perpetrados contra sus seres queridos</w:t>
      </w:r>
      <w:r w:rsidR="0095595D" w:rsidRPr="005D079B">
        <w:rPr>
          <w:rStyle w:val="FootnoteReference"/>
          <w:rFonts w:cs="Times"/>
          <w:sz w:val="20"/>
          <w:szCs w:val="20"/>
        </w:rPr>
        <w:footnoteReference w:id="209"/>
      </w:r>
      <w:r w:rsidR="0095595D" w:rsidRPr="00C438C1">
        <w:rPr>
          <w:rFonts w:eastAsia="Verdana"/>
          <w:szCs w:val="20"/>
        </w:rPr>
        <w:t>,</w:t>
      </w:r>
      <w:r w:rsidR="0095595D" w:rsidRPr="00C82C5A">
        <w:rPr>
          <w:rFonts w:eastAsia="Verdana"/>
        </w:rPr>
        <w:t xml:space="preserve"> </w:t>
      </w:r>
      <w:r w:rsidR="0095595D" w:rsidRPr="00C82C5A">
        <w:rPr>
          <w:rFonts w:cs="Times"/>
        </w:rPr>
        <w:t>tomando en cuenta, entre otros elementos, las gestiones realizadas para obtener justicia y la existencia de un estrecho vínculo familiar</w:t>
      </w:r>
      <w:r w:rsidR="0095595D" w:rsidRPr="005D079B">
        <w:rPr>
          <w:rStyle w:val="FootnoteReference"/>
          <w:rFonts w:cs="Times"/>
          <w:sz w:val="20"/>
          <w:szCs w:val="20"/>
        </w:rPr>
        <w:footnoteReference w:id="210"/>
      </w:r>
      <w:r w:rsidR="0095595D" w:rsidRPr="00C82C5A">
        <w:rPr>
          <w:rFonts w:cs="Times"/>
        </w:rPr>
        <w:t>.</w:t>
      </w:r>
      <w:r w:rsidR="0095595D" w:rsidRPr="00C82C5A">
        <w:rPr>
          <w:rFonts w:eastAsia="Verdana"/>
        </w:rPr>
        <w:t xml:space="preserve"> Por otra parte, en el caso </w:t>
      </w:r>
      <w:r w:rsidR="0095595D" w:rsidRPr="00C82C5A">
        <w:rPr>
          <w:rFonts w:eastAsia="Verdana"/>
          <w:i/>
        </w:rPr>
        <w:t>Defensor de Derechos Humanos y otros Vs. Guatemala</w:t>
      </w:r>
      <w:r w:rsidR="0095595D" w:rsidRPr="00C82C5A">
        <w:rPr>
          <w:rFonts w:eastAsia="Verdana"/>
        </w:rPr>
        <w:t xml:space="preserve"> la Corte tuvo en consideración la existencia de amenazas a partir del deber de prevenir afectaciones a la integridad personal</w:t>
      </w:r>
      <w:r w:rsidR="0095595D">
        <w:rPr>
          <w:rFonts w:eastAsia="Verdana"/>
          <w:vertAlign w:val="superscript"/>
        </w:rPr>
        <w:footnoteReference w:id="211"/>
      </w:r>
      <w:r w:rsidR="0095595D" w:rsidRPr="00C82C5A">
        <w:rPr>
          <w:rFonts w:eastAsia="Verdana"/>
        </w:rPr>
        <w:t xml:space="preserve">. </w:t>
      </w:r>
      <w:r>
        <w:rPr>
          <w:rFonts w:eastAsia="Verdana"/>
        </w:rPr>
        <w:t>Por tanto, debe examinarse si, conforme a la prueba existente respecto a cada un</w:t>
      </w:r>
      <w:r w:rsidR="003A3C7B">
        <w:rPr>
          <w:rFonts w:eastAsia="Verdana"/>
        </w:rPr>
        <w:t>o</w:t>
      </w:r>
      <w:r>
        <w:rPr>
          <w:rFonts w:eastAsia="Verdana"/>
        </w:rPr>
        <w:t xml:space="preserve"> de l</w:t>
      </w:r>
      <w:r w:rsidR="003A3C7B">
        <w:rPr>
          <w:rFonts w:eastAsia="Verdana"/>
        </w:rPr>
        <w:t>o</w:t>
      </w:r>
      <w:r>
        <w:rPr>
          <w:rFonts w:eastAsia="Verdana"/>
        </w:rPr>
        <w:t>s familiares del señor Pacheco</w:t>
      </w:r>
      <w:r w:rsidR="007A2062" w:rsidRPr="00C438C1">
        <w:rPr>
          <w:rStyle w:val="FootnoteReference"/>
          <w:rFonts w:eastAsia="Verdana"/>
          <w:sz w:val="22"/>
          <w:szCs w:val="22"/>
        </w:rPr>
        <w:footnoteReference w:id="212"/>
      </w:r>
      <w:r w:rsidRPr="00C438C1">
        <w:rPr>
          <w:rFonts w:eastAsia="Verdana"/>
          <w:sz w:val="22"/>
        </w:rPr>
        <w:t>,</w:t>
      </w:r>
      <w:r>
        <w:rPr>
          <w:rFonts w:eastAsia="Verdana"/>
        </w:rPr>
        <w:t xml:space="preserve"> l</w:t>
      </w:r>
      <w:r w:rsidRPr="00C82C5A">
        <w:t>as dificultades en la investigación judicial de los hechos, así como las amenazas, hostigamientos y otros actos aducidos implicaron una lesión a la integridad personal</w:t>
      </w:r>
      <w:r w:rsidR="007A2062">
        <w:t>.</w:t>
      </w:r>
    </w:p>
    <w:p w14:paraId="2EC2860E" w14:textId="77777777" w:rsidR="00C82C5A" w:rsidRPr="00C82C5A" w:rsidRDefault="00C82C5A" w:rsidP="002A776C">
      <w:pPr>
        <w:tabs>
          <w:tab w:val="left" w:pos="-142"/>
        </w:tabs>
        <w:rPr>
          <w:lang w:val="es-CR" w:eastAsia="es-MX"/>
        </w:rPr>
      </w:pPr>
    </w:p>
    <w:p w14:paraId="779DA651" w14:textId="5C8E9227" w:rsidR="00C82C5A" w:rsidRDefault="00A068BD" w:rsidP="002A776C">
      <w:pPr>
        <w:pStyle w:val="PrrafodeSentencia"/>
        <w:tabs>
          <w:tab w:val="clear" w:pos="567"/>
          <w:tab w:val="left" w:pos="-142"/>
        </w:tabs>
        <w:ind w:left="0" w:firstLine="0"/>
        <w:rPr>
          <w:rFonts w:eastAsia="Times New Roman" w:cs="Cambria"/>
          <w:lang w:eastAsia="es-CR"/>
        </w:rPr>
      </w:pPr>
      <w:r w:rsidRPr="00137D01">
        <w:rPr>
          <w:rFonts w:eastAsia="Times New Roman" w:cs="Cambria"/>
          <w:lang w:eastAsia="es-CR"/>
        </w:rPr>
        <w:t>C</w:t>
      </w:r>
      <w:r w:rsidR="0095595D" w:rsidRPr="00137D01">
        <w:rPr>
          <w:rFonts w:eastAsia="Times New Roman" w:cs="Cambria"/>
          <w:lang w:eastAsia="es-CR"/>
        </w:rPr>
        <w:t>a</w:t>
      </w:r>
      <w:r w:rsidR="0095595D" w:rsidRPr="00C82C5A">
        <w:rPr>
          <w:rFonts w:eastAsia="Times New Roman" w:cs="Cambria"/>
          <w:lang w:eastAsia="es-CR"/>
        </w:rPr>
        <w:t>be considerar el señalamiento de hechos cometidos contra José Pacheco y algunos</w:t>
      </w:r>
      <w:r w:rsidR="00C0775A">
        <w:rPr>
          <w:rFonts w:eastAsia="Times New Roman" w:cs="Cambria"/>
          <w:lang w:eastAsia="es-CR"/>
        </w:rPr>
        <w:t xml:space="preserve"> de sus</w:t>
      </w:r>
      <w:r w:rsidR="0095595D" w:rsidRPr="00C82C5A">
        <w:rPr>
          <w:rFonts w:eastAsia="Times New Roman" w:cs="Cambria"/>
          <w:lang w:eastAsia="es-CR"/>
        </w:rPr>
        <w:t xml:space="preserve"> familiares, luego de que el primero asumiera el cargo de diputado.</w:t>
      </w:r>
    </w:p>
    <w:p w14:paraId="76026C74" w14:textId="77777777" w:rsidR="00C82C5A" w:rsidRPr="00C82C5A" w:rsidRDefault="00C82C5A" w:rsidP="002A776C">
      <w:pPr>
        <w:tabs>
          <w:tab w:val="left" w:pos="-142"/>
        </w:tabs>
        <w:rPr>
          <w:lang w:val="es-CR" w:eastAsia="es-CR"/>
        </w:rPr>
      </w:pPr>
    </w:p>
    <w:p w14:paraId="2358AD5C" w14:textId="60B8B1E1" w:rsidR="006020E2" w:rsidRPr="006020E2" w:rsidRDefault="007A2062" w:rsidP="006020E2">
      <w:pPr>
        <w:pStyle w:val="PrrafodeSentencia"/>
        <w:tabs>
          <w:tab w:val="clear" w:pos="567"/>
          <w:tab w:val="left" w:pos="-426"/>
        </w:tabs>
        <w:ind w:left="0" w:firstLine="0"/>
      </w:pPr>
      <w:r>
        <w:rPr>
          <w:rFonts w:eastAsia="Times New Roman" w:cs="Cambria"/>
          <w:lang w:eastAsia="es-CR"/>
        </w:rPr>
        <w:t>Al respecto, d</w:t>
      </w:r>
      <w:r w:rsidR="0095595D" w:rsidRPr="00C82C5A">
        <w:rPr>
          <w:rFonts w:eastAsia="Times New Roman" w:cs="Cambria"/>
          <w:lang w:eastAsia="es-CR"/>
        </w:rPr>
        <w:t xml:space="preserve">e acuerdo al marco fáctico del caso, en el Informe de Fondo surgen </w:t>
      </w:r>
      <w:r w:rsidR="00544372" w:rsidRPr="00557544">
        <w:rPr>
          <w:rFonts w:eastAsia="Times New Roman" w:cs="Cambria"/>
          <w:lang w:eastAsia="es-CR"/>
        </w:rPr>
        <w:t>varios</w:t>
      </w:r>
      <w:r w:rsidR="00544372">
        <w:rPr>
          <w:rFonts w:eastAsia="Times New Roman" w:cs="Cambria"/>
          <w:lang w:eastAsia="es-CR"/>
        </w:rPr>
        <w:t xml:space="preserve"> </w:t>
      </w:r>
      <w:r w:rsidR="0095595D" w:rsidRPr="00C82C5A">
        <w:rPr>
          <w:rFonts w:eastAsia="Times New Roman" w:cs="Cambria"/>
          <w:lang w:eastAsia="es-CR"/>
        </w:rPr>
        <w:t xml:space="preserve">hechos, entre </w:t>
      </w:r>
      <w:r w:rsidR="0095595D" w:rsidRPr="00C82C5A">
        <w:rPr>
          <w:rFonts w:cs="Cambria"/>
          <w:lang w:eastAsia="es-CR"/>
        </w:rPr>
        <w:t xml:space="preserve">el </w:t>
      </w:r>
      <w:r w:rsidR="0095595D" w:rsidRPr="00C82C5A">
        <w:rPr>
          <w:rFonts w:eastAsia="Times New Roman" w:cs="Cambria"/>
          <w:lang w:eastAsia="es-CR"/>
        </w:rPr>
        <w:t xml:space="preserve">27 de septiembre de 2002 y el 28 de mayo de 2012, y se indica que “todos </w:t>
      </w:r>
      <w:r w:rsidR="0095595D" w:rsidRPr="00C82C5A">
        <w:rPr>
          <w:rFonts w:cs="Cambria"/>
          <w:lang w:eastAsia="es-CR"/>
        </w:rPr>
        <w:t xml:space="preserve">[…] </w:t>
      </w:r>
      <w:r w:rsidR="0095595D" w:rsidRPr="00C82C5A">
        <w:rPr>
          <w:rFonts w:eastAsia="Times New Roman" w:cs="Cambria"/>
          <w:lang w:eastAsia="es-CR"/>
        </w:rPr>
        <w:t>fueron denunciados por José Pacheco a través de siete denuncias</w:t>
      </w:r>
      <w:r w:rsidR="0095595D" w:rsidRPr="00C05C12">
        <w:rPr>
          <w:rFonts w:eastAsia="Verdana"/>
          <w:vertAlign w:val="superscript"/>
        </w:rPr>
        <w:footnoteReference w:id="213"/>
      </w:r>
      <w:r w:rsidR="00881461">
        <w:rPr>
          <w:rFonts w:eastAsia="Times New Roman" w:cs="Cambria"/>
          <w:lang w:eastAsia="es-CR"/>
        </w:rPr>
        <w:t>.</w:t>
      </w:r>
      <w:r w:rsidR="0095595D" w:rsidRPr="00C82C5A">
        <w:rPr>
          <w:rFonts w:eastAsia="Times New Roman" w:cs="Cambria"/>
          <w:lang w:eastAsia="es-CR"/>
        </w:rPr>
        <w:t xml:space="preserve"> </w:t>
      </w:r>
      <w:r w:rsidR="006020E2" w:rsidRPr="00C82C5A">
        <w:t>Por</w:t>
      </w:r>
      <w:r w:rsidR="006020E2">
        <w:t xml:space="preserve"> su parte, el Estado negó que esos hechos fueran denunciados y</w:t>
      </w:r>
      <w:r w:rsidR="00C05C12">
        <w:t xml:space="preserve"> </w:t>
      </w:r>
      <w:r w:rsidR="006020E2" w:rsidRPr="00C82C5A">
        <w:t xml:space="preserve">de acuerdo a prueba aportada por </w:t>
      </w:r>
      <w:r w:rsidR="006020E2">
        <w:t>Honduras</w:t>
      </w:r>
      <w:r w:rsidR="006020E2" w:rsidRPr="00C82C5A">
        <w:t xml:space="preserve">, el 27 de </w:t>
      </w:r>
      <w:r w:rsidR="006020E2" w:rsidRPr="00C82C5A">
        <w:lastRenderedPageBreak/>
        <w:t>noviembre de 2014 el Ministerio Público emitió una constancia en que aseveró que “no se encuentra [r]</w:t>
      </w:r>
      <w:proofErr w:type="spellStart"/>
      <w:r w:rsidR="006020E2" w:rsidRPr="00C82C5A">
        <w:t>egistrada</w:t>
      </w:r>
      <w:proofErr w:type="spellEnd"/>
      <w:r w:rsidR="006020E2" w:rsidRPr="00C82C5A">
        <w:t xml:space="preserve"> ninguna denuncia que [haya] sido interpuesta por familiares del señor Pacheco León</w:t>
      </w:r>
      <w:r w:rsidR="006020E2">
        <w:t xml:space="preserve"> </w:t>
      </w:r>
      <w:r w:rsidR="006020E2" w:rsidRPr="00C82C5A">
        <w:t>[…p</w:t>
      </w:r>
      <w:proofErr w:type="gramStart"/>
      <w:r w:rsidR="006020E2" w:rsidRPr="00C82C5A">
        <w:t>]</w:t>
      </w:r>
      <w:proofErr w:type="spellStart"/>
      <w:r w:rsidR="006020E2" w:rsidRPr="00C82C5A">
        <w:t>or</w:t>
      </w:r>
      <w:proofErr w:type="spellEnd"/>
      <w:proofErr w:type="gramEnd"/>
      <w:r w:rsidR="006020E2" w:rsidRPr="00C82C5A">
        <w:t xml:space="preserve"> el </w:t>
      </w:r>
      <w:r w:rsidR="009F2FB7" w:rsidRPr="00137D01">
        <w:t>[d]</w:t>
      </w:r>
      <w:proofErr w:type="spellStart"/>
      <w:r w:rsidR="006020E2" w:rsidRPr="00C82C5A">
        <w:t>elito</w:t>
      </w:r>
      <w:proofErr w:type="spellEnd"/>
      <w:r w:rsidR="006020E2" w:rsidRPr="00C82C5A">
        <w:t xml:space="preserve"> de [a]</w:t>
      </w:r>
      <w:proofErr w:type="spellStart"/>
      <w:r w:rsidR="006020E2" w:rsidRPr="00C82C5A">
        <w:t>menazas</w:t>
      </w:r>
      <w:proofErr w:type="spellEnd"/>
      <w:r w:rsidR="006020E2" w:rsidRPr="00C82C5A">
        <w:t>”</w:t>
      </w:r>
      <w:r w:rsidR="006020E2" w:rsidRPr="005D079B">
        <w:rPr>
          <w:rStyle w:val="FootnoteReference"/>
          <w:sz w:val="20"/>
          <w:szCs w:val="20"/>
        </w:rPr>
        <w:footnoteReference w:id="214"/>
      </w:r>
      <w:r w:rsidR="006020E2" w:rsidRPr="00C438C1">
        <w:rPr>
          <w:szCs w:val="20"/>
        </w:rPr>
        <w:t>.</w:t>
      </w:r>
      <w:r w:rsidR="006020E2" w:rsidRPr="00C82C5A">
        <w:t xml:space="preserve"> </w:t>
      </w:r>
      <w:r w:rsidR="006020E2">
        <w:t xml:space="preserve">Además, el </w:t>
      </w:r>
      <w:r w:rsidR="006020E2" w:rsidRPr="00C82C5A">
        <w:t>28 de julio de 2015 el Fiscal interviniente en la investigación de la muerte del señor Pacheco Le</w:t>
      </w:r>
      <w:r w:rsidR="006020E2">
        <w:t>ó</w:t>
      </w:r>
      <w:r w:rsidR="006020E2" w:rsidRPr="00C82C5A">
        <w:t xml:space="preserve">n expresó que “[e]n cuanto a las denuncias de amenazas contra familiares del hoy occiso, no obra ninguna diligencia en el expediente administrativo por este delito, pues hasta la fecha no se </w:t>
      </w:r>
      <w:proofErr w:type="gramStart"/>
      <w:r w:rsidR="006020E2" w:rsidRPr="00C82C5A">
        <w:t>ha[</w:t>
      </w:r>
      <w:proofErr w:type="spellStart"/>
      <w:proofErr w:type="gramEnd"/>
      <w:r w:rsidR="006020E2" w:rsidRPr="00C82C5A">
        <w:t>bía</w:t>
      </w:r>
      <w:proofErr w:type="spellEnd"/>
      <w:r w:rsidR="006020E2" w:rsidRPr="00C82C5A">
        <w:t xml:space="preserve">] </w:t>
      </w:r>
      <w:r w:rsidR="006020E2" w:rsidRPr="006020E2">
        <w:t>ampliado los hechos originales, ni se ha[</w:t>
      </w:r>
      <w:proofErr w:type="spellStart"/>
      <w:r w:rsidR="006020E2" w:rsidRPr="006020E2">
        <w:t>bía</w:t>
      </w:r>
      <w:proofErr w:type="spellEnd"/>
      <w:r w:rsidR="006020E2" w:rsidRPr="006020E2">
        <w:t>] recibido nuevas denuncias por amenazas”</w:t>
      </w:r>
      <w:r w:rsidR="006020E2" w:rsidRPr="006020E2">
        <w:rPr>
          <w:rStyle w:val="FootnoteReference"/>
          <w:sz w:val="20"/>
          <w:szCs w:val="20"/>
        </w:rPr>
        <w:footnoteReference w:id="215"/>
      </w:r>
      <w:r w:rsidR="006020E2" w:rsidRPr="006020E2">
        <w:rPr>
          <w:szCs w:val="20"/>
        </w:rPr>
        <w:t>.</w:t>
      </w:r>
      <w:r w:rsidR="006020E2" w:rsidRPr="006020E2">
        <w:t xml:space="preserve"> </w:t>
      </w:r>
    </w:p>
    <w:p w14:paraId="78CA44AB" w14:textId="77777777" w:rsidR="006020E2" w:rsidRPr="00A936F2" w:rsidRDefault="006020E2" w:rsidP="00A936F2">
      <w:pPr>
        <w:pStyle w:val="PrrafodeSentencia"/>
        <w:numPr>
          <w:ilvl w:val="0"/>
          <w:numId w:val="0"/>
        </w:numPr>
        <w:tabs>
          <w:tab w:val="clear" w:pos="567"/>
          <w:tab w:val="left" w:pos="-142"/>
        </w:tabs>
        <w:rPr>
          <w:rFonts w:cs="Cambria"/>
          <w:lang w:eastAsia="es-CR"/>
        </w:rPr>
      </w:pPr>
    </w:p>
    <w:p w14:paraId="3C2FD820" w14:textId="19F501E1" w:rsidR="00C82C5A" w:rsidRPr="004D0607" w:rsidRDefault="006020E2" w:rsidP="00A936F2">
      <w:pPr>
        <w:pStyle w:val="PrrafodeSentencia"/>
        <w:tabs>
          <w:tab w:val="clear" w:pos="567"/>
          <w:tab w:val="left" w:pos="-142"/>
        </w:tabs>
        <w:ind w:left="0" w:firstLine="0"/>
        <w:rPr>
          <w:rFonts w:eastAsia="Times New Roman"/>
          <w:szCs w:val="20"/>
          <w:lang w:eastAsia="es-CR"/>
        </w:rPr>
      </w:pPr>
      <w:r w:rsidRPr="004D0607">
        <w:rPr>
          <w:rFonts w:eastAsia="Times New Roman" w:cs="Cambria"/>
          <w:lang w:eastAsia="es-CR"/>
        </w:rPr>
        <w:t xml:space="preserve">En atención a lo expuesto, siendo que el Estado expresamente </w:t>
      </w:r>
      <w:proofErr w:type="spellStart"/>
      <w:r w:rsidRPr="004D0607">
        <w:rPr>
          <w:rFonts w:eastAsia="Times New Roman" w:cs="Cambria"/>
          <w:lang w:eastAsia="es-CR"/>
        </w:rPr>
        <w:t>ha</w:t>
      </w:r>
      <w:proofErr w:type="spellEnd"/>
      <w:r w:rsidRPr="004D0607">
        <w:rPr>
          <w:rFonts w:eastAsia="Times New Roman" w:cs="Cambria"/>
          <w:lang w:eastAsia="es-CR"/>
        </w:rPr>
        <w:t xml:space="preserve"> controvertido</w:t>
      </w:r>
      <w:r w:rsidR="007A576C" w:rsidRPr="004D0607">
        <w:rPr>
          <w:rFonts w:eastAsia="Times New Roman" w:cs="Cambria"/>
          <w:lang w:eastAsia="es-CR"/>
        </w:rPr>
        <w:t xml:space="preserve"> que existieran denuncias y</w:t>
      </w:r>
      <w:r w:rsidRPr="004D0607">
        <w:rPr>
          <w:rFonts w:eastAsia="Times New Roman" w:cs="Cambria"/>
          <w:lang w:eastAsia="es-CR"/>
        </w:rPr>
        <w:t xml:space="preserve"> presentado documentación interna en ese sentido, la Corte solo considerará </w:t>
      </w:r>
      <w:r w:rsidR="00DB0D15" w:rsidRPr="00557544">
        <w:rPr>
          <w:rFonts w:eastAsia="Times New Roman" w:cs="Cambria"/>
          <w:lang w:eastAsia="es-CR"/>
        </w:rPr>
        <w:t xml:space="preserve">una denuncia que puede entenderse como referida a una amenaza, </w:t>
      </w:r>
      <w:r w:rsidRPr="00557544">
        <w:rPr>
          <w:rFonts w:eastAsia="Times New Roman" w:cs="Cambria"/>
          <w:lang w:eastAsia="es-CR"/>
        </w:rPr>
        <w:t>respecto de</w:t>
      </w:r>
      <w:r w:rsidR="00DB0D15" w:rsidRPr="00557544">
        <w:rPr>
          <w:rFonts w:eastAsia="Times New Roman" w:cs="Cambria"/>
          <w:lang w:eastAsia="es-CR"/>
        </w:rPr>
        <w:t xml:space="preserve"> </w:t>
      </w:r>
      <w:r w:rsidRPr="00557544">
        <w:rPr>
          <w:rFonts w:eastAsia="Times New Roman" w:cs="Cambria"/>
          <w:lang w:eastAsia="es-CR"/>
        </w:rPr>
        <w:t>l</w:t>
      </w:r>
      <w:r w:rsidR="00DB0D15" w:rsidRPr="00557544">
        <w:rPr>
          <w:rFonts w:eastAsia="Times New Roman" w:cs="Cambria"/>
          <w:lang w:eastAsia="es-CR"/>
        </w:rPr>
        <w:t>a</w:t>
      </w:r>
      <w:r w:rsidRPr="00557544">
        <w:rPr>
          <w:rFonts w:eastAsia="Times New Roman" w:cs="Cambria"/>
          <w:lang w:eastAsia="es-CR"/>
        </w:rPr>
        <w:t xml:space="preserve"> que sí obra constancia de su denuncia en el ámbito interno</w:t>
      </w:r>
      <w:r w:rsidR="00DB0D15" w:rsidRPr="00557544">
        <w:rPr>
          <w:rFonts w:eastAsia="Times New Roman" w:cs="Cambria"/>
          <w:lang w:eastAsia="es-CR"/>
        </w:rPr>
        <w:t>, y que indica que</w:t>
      </w:r>
      <w:r w:rsidRPr="00557544">
        <w:rPr>
          <w:rFonts w:eastAsia="Times New Roman" w:cs="Cambria"/>
          <w:lang w:eastAsia="es-CR"/>
        </w:rPr>
        <w:t xml:space="preserve"> </w:t>
      </w:r>
      <w:r w:rsidR="00C82C5A" w:rsidRPr="00557544">
        <w:t>el 24 de abril de 2003 el señor José Pacheco se encontraba saliendo de su domicilio y observó en la puerta del lado izquierdo de su vehículo un letrero que decía “MUERTO”</w:t>
      </w:r>
      <w:r w:rsidR="00C82C5A" w:rsidRPr="00557544">
        <w:rPr>
          <w:rStyle w:val="FootnoteReference"/>
          <w:rFonts w:cs="Cambria"/>
          <w:sz w:val="20"/>
          <w:szCs w:val="20"/>
        </w:rPr>
        <w:footnoteReference w:id="216"/>
      </w:r>
      <w:r w:rsidRPr="00557544">
        <w:t>.</w:t>
      </w:r>
      <w:r w:rsidR="00C82C5A" w:rsidRPr="00557544">
        <w:t xml:space="preserve"> </w:t>
      </w:r>
      <w:r w:rsidR="00DB0D15" w:rsidRPr="00557544">
        <w:t>Asim</w:t>
      </w:r>
      <w:r w:rsidR="00EC73BA" w:rsidRPr="00557544">
        <w:t>is</w:t>
      </w:r>
      <w:r w:rsidR="00DB0D15" w:rsidRPr="00557544">
        <w:t xml:space="preserve">mo, este Tribunal tendrá en cuenta que fue denunciado también que </w:t>
      </w:r>
      <w:r w:rsidR="00DB0D15" w:rsidRPr="00557544">
        <w:rPr>
          <w:rFonts w:cs="Cambria"/>
        </w:rPr>
        <w:t>el 27 septiembre 2002 entraron al domicilio de José Pacheco y se llevaron dinero y documentos relacionados con la muerte de Ángel Pacheco</w:t>
      </w:r>
      <w:r w:rsidR="00DB0D15" w:rsidRPr="00557544">
        <w:rPr>
          <w:rStyle w:val="FootnoteReference"/>
          <w:rFonts w:cs="Cambria"/>
          <w:sz w:val="20"/>
          <w:szCs w:val="20"/>
        </w:rPr>
        <w:footnoteReference w:id="217"/>
      </w:r>
      <w:r w:rsidR="00DB0D15" w:rsidRPr="00557544">
        <w:rPr>
          <w:rFonts w:cs="Cambria"/>
        </w:rPr>
        <w:t xml:space="preserve">, y que </w:t>
      </w:r>
      <w:r w:rsidR="00DB0D15" w:rsidRPr="00557544">
        <w:rPr>
          <w:rFonts w:cs="Cambria"/>
          <w:szCs w:val="20"/>
        </w:rPr>
        <w:t>el 17 de mayo de 2003 el vehículo del señor José Pacheco fue abierto de manera violenta por personas desconocidas, quienes también le robaron una cámara de video donde filmaba sus actividades políticas</w:t>
      </w:r>
      <w:r w:rsidR="00DB0D15" w:rsidRPr="00557544">
        <w:rPr>
          <w:rStyle w:val="FootnoteReference"/>
          <w:sz w:val="20"/>
          <w:szCs w:val="20"/>
        </w:rPr>
        <w:footnoteReference w:id="218"/>
      </w:r>
      <w:r w:rsidR="00DB0D15" w:rsidRPr="00557544">
        <w:rPr>
          <w:rFonts w:cs="Cambria"/>
          <w:szCs w:val="20"/>
        </w:rPr>
        <w:t>.</w:t>
      </w:r>
    </w:p>
    <w:p w14:paraId="16CA49E5" w14:textId="77777777" w:rsidR="00F70A5C" w:rsidRPr="00F70A5C" w:rsidRDefault="00F70A5C" w:rsidP="00A936F2">
      <w:pPr>
        <w:pStyle w:val="ListParagraph"/>
        <w:widowControl/>
        <w:numPr>
          <w:ilvl w:val="0"/>
          <w:numId w:val="0"/>
        </w:numPr>
        <w:ind w:left="735" w:right="0"/>
        <w:contextualSpacing/>
        <w:rPr>
          <w:rFonts w:eastAsia="Times New Roman" w:cs="Cambria"/>
          <w:lang w:eastAsia="es-CR"/>
        </w:rPr>
      </w:pPr>
    </w:p>
    <w:p w14:paraId="0C81F569" w14:textId="77777777" w:rsidR="009E425D" w:rsidRDefault="00C82C5A" w:rsidP="009E425D">
      <w:pPr>
        <w:pStyle w:val="PrrafodeSentencia"/>
        <w:tabs>
          <w:tab w:val="clear" w:pos="567"/>
          <w:tab w:val="left" w:pos="-426"/>
        </w:tabs>
        <w:ind w:left="0" w:firstLine="0"/>
        <w:rPr>
          <w:rFonts w:eastAsia="Times New Roman" w:cs="Cambria"/>
          <w:szCs w:val="20"/>
          <w:lang w:eastAsia="es-CR"/>
        </w:rPr>
      </w:pPr>
      <w:r w:rsidRPr="00C05C12">
        <w:rPr>
          <w:rFonts w:eastAsia="Times New Roman" w:cs="Cambria"/>
          <w:szCs w:val="20"/>
          <w:lang w:eastAsia="es-CR"/>
        </w:rPr>
        <w:t>En el Informe de F</w:t>
      </w:r>
      <w:r w:rsidR="0095595D" w:rsidRPr="00C05C12">
        <w:rPr>
          <w:rFonts w:eastAsia="Times New Roman" w:cs="Cambria"/>
          <w:szCs w:val="20"/>
          <w:lang w:eastAsia="es-CR"/>
        </w:rPr>
        <w:t xml:space="preserve">ondo se indica que según COFADEH </w:t>
      </w:r>
      <w:r w:rsidR="00C2719A">
        <w:rPr>
          <w:rFonts w:eastAsia="Times New Roman" w:cs="Cambria"/>
          <w:szCs w:val="20"/>
          <w:lang w:eastAsia="es-CR"/>
        </w:rPr>
        <w:t>“</w:t>
      </w:r>
      <w:r w:rsidR="0095595D" w:rsidRPr="00C05C12">
        <w:rPr>
          <w:rFonts w:eastAsia="Times New Roman" w:cs="Cambria"/>
          <w:szCs w:val="20"/>
          <w:lang w:eastAsia="es-CR"/>
        </w:rPr>
        <w:t xml:space="preserve">estas denuncias no dieron lugar a ningún </w:t>
      </w:r>
      <w:r w:rsidR="0095595D" w:rsidRPr="005D079B">
        <w:rPr>
          <w:rFonts w:eastAsia="Times New Roman" w:cs="Cambria"/>
          <w:szCs w:val="20"/>
          <w:lang w:eastAsia="es-CR"/>
        </w:rPr>
        <w:t>tipo de protección”</w:t>
      </w:r>
      <w:r w:rsidR="0095595D" w:rsidRPr="00C438C1">
        <w:rPr>
          <w:rStyle w:val="FootnoteReference"/>
          <w:rFonts w:eastAsia="Times New Roman" w:cs="Cambria"/>
          <w:sz w:val="20"/>
          <w:szCs w:val="20"/>
          <w:lang w:eastAsia="es-CR"/>
        </w:rPr>
        <w:footnoteReference w:id="219"/>
      </w:r>
      <w:r w:rsidR="0095595D" w:rsidRPr="00C438C1">
        <w:rPr>
          <w:rFonts w:cs="Cambria"/>
          <w:szCs w:val="20"/>
          <w:lang w:eastAsia="es-CR"/>
        </w:rPr>
        <w:t>, y que d</w:t>
      </w:r>
      <w:r w:rsidR="0095595D" w:rsidRPr="00C438C1">
        <w:rPr>
          <w:rFonts w:eastAsia="Times New Roman" w:cs="Cambria"/>
          <w:szCs w:val="20"/>
          <w:lang w:eastAsia="es-CR"/>
        </w:rPr>
        <w:t>e acuerdo a lo informado por COFADEH, después de asumir el cargo José Pacheco solicitó medidas de protección a autoridades internas, por temor a que le pasara lo mismo que a su hermano</w:t>
      </w:r>
      <w:r w:rsidR="0095595D" w:rsidRPr="00C438C1">
        <w:rPr>
          <w:rStyle w:val="FootnoteReference"/>
          <w:rFonts w:eastAsia="Times New Roman" w:cs="Cambria"/>
          <w:sz w:val="20"/>
          <w:szCs w:val="20"/>
          <w:lang w:eastAsia="es-CR"/>
        </w:rPr>
        <w:footnoteReference w:id="220"/>
      </w:r>
      <w:r w:rsidR="0095595D" w:rsidRPr="00C438C1">
        <w:rPr>
          <w:rFonts w:eastAsia="Times New Roman" w:cs="Cambria"/>
          <w:szCs w:val="20"/>
          <w:lang w:eastAsia="es-CR"/>
        </w:rPr>
        <w:t>; si bien reiteró el pedido en distintas ocasiones, nunca fue atendido</w:t>
      </w:r>
      <w:r w:rsidR="0095595D" w:rsidRPr="00C438C1">
        <w:rPr>
          <w:rStyle w:val="FootnoteReference"/>
          <w:rFonts w:eastAsia="Times New Roman" w:cs="Cambria"/>
          <w:sz w:val="20"/>
          <w:szCs w:val="20"/>
          <w:lang w:eastAsia="es-CR"/>
        </w:rPr>
        <w:footnoteReference w:id="221"/>
      </w:r>
      <w:r w:rsidR="0095595D" w:rsidRPr="00C438C1">
        <w:rPr>
          <w:rFonts w:eastAsia="Times New Roman" w:cs="Cambria"/>
          <w:szCs w:val="20"/>
          <w:lang w:eastAsia="es-CR"/>
        </w:rPr>
        <w:t>.</w:t>
      </w:r>
    </w:p>
    <w:p w14:paraId="3BBAD6FC" w14:textId="77777777" w:rsidR="009E425D" w:rsidRPr="009E425D" w:rsidRDefault="009E425D" w:rsidP="009E425D">
      <w:pPr>
        <w:rPr>
          <w:lang w:val="es-CR" w:eastAsia="es-CR"/>
        </w:rPr>
      </w:pPr>
    </w:p>
    <w:p w14:paraId="28881627" w14:textId="5358B4AE" w:rsidR="006A7962" w:rsidRPr="009E425D" w:rsidRDefault="008D1CD9" w:rsidP="009E425D">
      <w:pPr>
        <w:pStyle w:val="PrrafodeSentencia"/>
        <w:tabs>
          <w:tab w:val="clear" w:pos="567"/>
          <w:tab w:val="left" w:pos="-426"/>
        </w:tabs>
        <w:ind w:left="0" w:firstLine="0"/>
        <w:rPr>
          <w:rFonts w:eastAsia="Times New Roman" w:cs="Cambria"/>
          <w:lang w:eastAsia="es-CR"/>
        </w:rPr>
      </w:pPr>
      <w:r w:rsidRPr="009E425D">
        <w:rPr>
          <w:rFonts w:cs="Arial"/>
        </w:rPr>
        <w:t xml:space="preserve">Ahora bien, </w:t>
      </w:r>
      <w:r w:rsidR="00B92A60" w:rsidRPr="009E425D">
        <w:rPr>
          <w:rFonts w:cs="Arial"/>
        </w:rPr>
        <w:t xml:space="preserve">en primer lugar, surge de los argumentos de los representantes que ellos relacionan estas denuncias de amenazas al ejercicio del cargo de diputado por parte de José </w:t>
      </w:r>
      <w:r w:rsidR="00B92A60" w:rsidRPr="009E425D">
        <w:rPr>
          <w:rFonts w:cs="Arial"/>
        </w:rPr>
        <w:lastRenderedPageBreak/>
        <w:t xml:space="preserve">Pacheco. Ello no puede entenderse </w:t>
      </w:r>
      <w:r w:rsidR="00DC7E55" w:rsidRPr="009E425D">
        <w:rPr>
          <w:rFonts w:cs="Arial"/>
        </w:rPr>
        <w:t>como una consecuencia p</w:t>
      </w:r>
      <w:r w:rsidR="00DC7E55" w:rsidRPr="009E425D">
        <w:rPr>
          <w:rFonts w:cs="Arial"/>
          <w:szCs w:val="20"/>
        </w:rPr>
        <w:t xml:space="preserve">erjudicial </w:t>
      </w:r>
      <w:r w:rsidR="00B92A60" w:rsidRPr="009E425D">
        <w:rPr>
          <w:szCs w:val="20"/>
        </w:rPr>
        <w:t>vinculad</w:t>
      </w:r>
      <w:r w:rsidR="00DC7E55" w:rsidRPr="009E425D">
        <w:rPr>
          <w:szCs w:val="20"/>
        </w:rPr>
        <w:t>a</w:t>
      </w:r>
      <w:r w:rsidR="00B92A60" w:rsidRPr="009E425D">
        <w:rPr>
          <w:szCs w:val="20"/>
        </w:rPr>
        <w:t xml:space="preserve"> a la b</w:t>
      </w:r>
      <w:r w:rsidR="00B92A60" w:rsidRPr="009E425D">
        <w:rPr>
          <w:rFonts w:cs="Calibri"/>
          <w:szCs w:val="20"/>
        </w:rPr>
        <w:t>ú</w:t>
      </w:r>
      <w:r w:rsidR="00B92A60" w:rsidRPr="009E425D">
        <w:rPr>
          <w:szCs w:val="20"/>
        </w:rPr>
        <w:t xml:space="preserve">squeda de justicia, </w:t>
      </w:r>
      <w:r w:rsidR="00DC7E55" w:rsidRPr="009E425D">
        <w:rPr>
          <w:szCs w:val="20"/>
        </w:rPr>
        <w:t xml:space="preserve">o a cualquier </w:t>
      </w:r>
      <w:r w:rsidR="00B92A60" w:rsidRPr="009E425D">
        <w:rPr>
          <w:szCs w:val="20"/>
        </w:rPr>
        <w:t>circunstancia alguna atinente al presente caso</w:t>
      </w:r>
      <w:r w:rsidR="00DC7E55" w:rsidRPr="009E425D">
        <w:rPr>
          <w:szCs w:val="20"/>
        </w:rPr>
        <w:t xml:space="preserve">, inclusive a la muerte o afectación </w:t>
      </w:r>
      <w:r w:rsidR="002B7F7C">
        <w:rPr>
          <w:szCs w:val="20"/>
        </w:rPr>
        <w:t xml:space="preserve">a la </w:t>
      </w:r>
      <w:r w:rsidR="00DC7E55" w:rsidRPr="009E425D">
        <w:rPr>
          <w:szCs w:val="20"/>
        </w:rPr>
        <w:t>actividad política del señor Ángel Pacheco Le</w:t>
      </w:r>
      <w:r w:rsidR="00C05C12" w:rsidRPr="009E425D">
        <w:rPr>
          <w:szCs w:val="20"/>
        </w:rPr>
        <w:t>ó</w:t>
      </w:r>
      <w:r w:rsidR="00DC7E55" w:rsidRPr="009E425D">
        <w:rPr>
          <w:szCs w:val="20"/>
        </w:rPr>
        <w:t xml:space="preserve">n, por lo que no se ha responsabilizado </w:t>
      </w:r>
      <w:r w:rsidR="00881461" w:rsidRPr="009E425D">
        <w:rPr>
          <w:szCs w:val="20"/>
        </w:rPr>
        <w:t>al Estado</w:t>
      </w:r>
      <w:r w:rsidR="00B92A60" w:rsidRPr="009E425D">
        <w:rPr>
          <w:szCs w:val="20"/>
        </w:rPr>
        <w:t xml:space="preserve">. </w:t>
      </w:r>
      <w:r w:rsidR="00DC7E55" w:rsidRPr="009E425D">
        <w:rPr>
          <w:szCs w:val="20"/>
        </w:rPr>
        <w:t>L</w:t>
      </w:r>
      <w:r w:rsidR="00B92A60" w:rsidRPr="009E425D">
        <w:rPr>
          <w:szCs w:val="20"/>
        </w:rPr>
        <w:t>a</w:t>
      </w:r>
      <w:r w:rsidR="00C05C12" w:rsidRPr="009E425D">
        <w:rPr>
          <w:szCs w:val="20"/>
        </w:rPr>
        <w:t xml:space="preserve"> aceptación del cargo de d</w:t>
      </w:r>
      <w:r w:rsidR="00B92A60" w:rsidRPr="009E425D">
        <w:rPr>
          <w:szCs w:val="20"/>
        </w:rPr>
        <w:t>iputado por parte de José Pacheco fue un acto voluntario. Por ello, no podría verse como un “daño” derivado de los hechos del caso</w:t>
      </w:r>
      <w:r w:rsidR="00DC7E55" w:rsidRPr="00972235">
        <w:rPr>
          <w:rStyle w:val="FootnoteReference"/>
          <w:sz w:val="20"/>
          <w:szCs w:val="20"/>
        </w:rPr>
        <w:footnoteReference w:id="222"/>
      </w:r>
      <w:r w:rsidR="00DC7E55" w:rsidRPr="009E425D">
        <w:rPr>
          <w:szCs w:val="20"/>
        </w:rPr>
        <w:t xml:space="preserve">. </w:t>
      </w:r>
      <w:r w:rsidR="00C05C12" w:rsidRPr="009E425D">
        <w:rPr>
          <w:rFonts w:cs="Arial"/>
        </w:rPr>
        <w:t>En segundo lugar</w:t>
      </w:r>
      <w:r w:rsidR="00DC7E55" w:rsidRPr="009E425D">
        <w:rPr>
          <w:rFonts w:cs="Arial"/>
        </w:rPr>
        <w:t xml:space="preserve">, </w:t>
      </w:r>
      <w:r w:rsidR="00A63CE7" w:rsidRPr="009E425D">
        <w:rPr>
          <w:rFonts w:cs="Arial"/>
        </w:rPr>
        <w:t xml:space="preserve">de las denuncias de los dos hechos pertinentes no </w:t>
      </w:r>
      <w:r w:rsidRPr="009E425D">
        <w:rPr>
          <w:rFonts w:cs="Arial"/>
        </w:rPr>
        <w:t xml:space="preserve">surge que los mismos fueran cometidos por agentes estatales. Por ello, no podría imputarse al Estado eventuales padecimientos derivados directamente de las circunstancias referidas. </w:t>
      </w:r>
      <w:r w:rsidR="00DC7E55" w:rsidRPr="009E425D">
        <w:rPr>
          <w:rFonts w:cs="Arial"/>
        </w:rPr>
        <w:t>En tercer término, en el marco de lo dicho, la falta de acreditación de la actividad que habría emprendido el Estad</w:t>
      </w:r>
      <w:r w:rsidR="007A576C" w:rsidRPr="009E425D">
        <w:rPr>
          <w:rFonts w:cs="Arial"/>
        </w:rPr>
        <w:t>o</w:t>
      </w:r>
      <w:r w:rsidR="00DC7E55" w:rsidRPr="009E425D">
        <w:rPr>
          <w:rFonts w:cs="Arial"/>
        </w:rPr>
        <w:t xml:space="preserve"> a partir de la recepción de las denuncias, a fin de investigarlas o brindar protección, resulta insuficiente para acreditar una afectación a la integridad personal por tal motivo. Además, </w:t>
      </w:r>
      <w:r w:rsidR="006A7962" w:rsidRPr="009E425D">
        <w:rPr>
          <w:rFonts w:cs="Arial"/>
        </w:rPr>
        <w:t xml:space="preserve">no hay prueba sobre la existencia de afectaciones </w:t>
      </w:r>
      <w:r w:rsidR="00DC7E55" w:rsidRPr="009E425D">
        <w:rPr>
          <w:rFonts w:cs="Arial"/>
        </w:rPr>
        <w:t xml:space="preserve">que pudieren </w:t>
      </w:r>
      <w:r w:rsidR="006A7962" w:rsidRPr="009E425D">
        <w:rPr>
          <w:rFonts w:cs="Arial"/>
        </w:rPr>
        <w:t>deriva</w:t>
      </w:r>
      <w:r w:rsidR="00DC7E55" w:rsidRPr="009E425D">
        <w:rPr>
          <w:rFonts w:cs="Arial"/>
        </w:rPr>
        <w:t>r</w:t>
      </w:r>
      <w:r w:rsidR="006A7962" w:rsidRPr="009E425D">
        <w:rPr>
          <w:rFonts w:cs="Arial"/>
        </w:rPr>
        <w:t xml:space="preserve"> de la </w:t>
      </w:r>
      <w:r w:rsidR="00DC7E55" w:rsidRPr="009E425D">
        <w:rPr>
          <w:rFonts w:cs="Arial"/>
        </w:rPr>
        <w:t xml:space="preserve">supuesta </w:t>
      </w:r>
      <w:r w:rsidR="006A7962" w:rsidRPr="009E425D">
        <w:rPr>
          <w:rFonts w:cs="Arial"/>
        </w:rPr>
        <w:t>inacción estatal.</w:t>
      </w:r>
    </w:p>
    <w:p w14:paraId="07C69962" w14:textId="77777777" w:rsidR="00C82C5A" w:rsidRPr="00C82C5A" w:rsidRDefault="00C82C5A" w:rsidP="002A776C">
      <w:pPr>
        <w:tabs>
          <w:tab w:val="left" w:pos="-426"/>
        </w:tabs>
        <w:rPr>
          <w:lang w:val="es-CR" w:eastAsia="es-MX"/>
        </w:rPr>
      </w:pPr>
    </w:p>
    <w:p w14:paraId="68F6F574" w14:textId="77777777" w:rsidR="00C82C5A" w:rsidRDefault="0095595D" w:rsidP="002A776C">
      <w:pPr>
        <w:pStyle w:val="PrrafodeSentencia"/>
        <w:tabs>
          <w:tab w:val="clear" w:pos="567"/>
          <w:tab w:val="left" w:pos="-426"/>
        </w:tabs>
        <w:ind w:left="0" w:firstLine="0"/>
        <w:rPr>
          <w:rFonts w:cs="Cambria"/>
        </w:rPr>
      </w:pPr>
      <w:r w:rsidRPr="00C82C5A">
        <w:rPr>
          <w:rFonts w:cs="Cambria"/>
        </w:rPr>
        <w:t xml:space="preserve">Establecido lo anterior, resta considerar si, conforme a la prueba existente, los familiares del señor Pacheco León tuvieron afectaciones a su integridad personal vinculadas a la investigación de los hechos. </w:t>
      </w:r>
    </w:p>
    <w:p w14:paraId="65334D76" w14:textId="77777777" w:rsidR="00C82C5A" w:rsidRPr="00C82C5A" w:rsidRDefault="00C82C5A" w:rsidP="002A776C">
      <w:pPr>
        <w:tabs>
          <w:tab w:val="left" w:pos="-426"/>
        </w:tabs>
        <w:rPr>
          <w:lang w:val="es-CR" w:eastAsia="es-MX"/>
        </w:rPr>
      </w:pPr>
    </w:p>
    <w:p w14:paraId="7C2F9E67" w14:textId="7A62C073" w:rsidR="00C82C5A" w:rsidRDefault="002D4958" w:rsidP="002A776C">
      <w:pPr>
        <w:pStyle w:val="PrrafodeSentencia"/>
        <w:tabs>
          <w:tab w:val="clear" w:pos="567"/>
          <w:tab w:val="left" w:pos="-426"/>
        </w:tabs>
        <w:ind w:left="0" w:firstLine="0"/>
        <w:rPr>
          <w:rFonts w:cs="Arial"/>
        </w:rPr>
      </w:pPr>
      <w:r>
        <w:rPr>
          <w:rFonts w:cs="Arial"/>
        </w:rPr>
        <w:t>D</w:t>
      </w:r>
      <w:r w:rsidR="0095595D" w:rsidRPr="00C82C5A">
        <w:rPr>
          <w:rFonts w:cs="Arial"/>
        </w:rPr>
        <w:t xml:space="preserve">ebe dejarse sentado que no resulta razonable asumir como acreditado, ni surge de la prueba, el </w:t>
      </w:r>
      <w:r w:rsidR="00C05C12">
        <w:rPr>
          <w:rFonts w:cs="Arial"/>
        </w:rPr>
        <w:t>supuesto</w:t>
      </w:r>
      <w:r w:rsidR="0095595D" w:rsidRPr="00C82C5A">
        <w:rPr>
          <w:rFonts w:cs="Arial"/>
        </w:rPr>
        <w:t xml:space="preserve"> nexo causal entre el modo en que se llevó a cabo </w:t>
      </w:r>
      <w:r w:rsidR="00F70A5C">
        <w:rPr>
          <w:rFonts w:cs="Arial"/>
        </w:rPr>
        <w:t>l</w:t>
      </w:r>
      <w:r w:rsidR="0095595D" w:rsidRPr="00C82C5A">
        <w:rPr>
          <w:rFonts w:cs="Arial"/>
        </w:rPr>
        <w:t>a investigación de los hechos y las siguientes circunstancias aducidas por los representantes: problemas de depresión y salud de Cint</w:t>
      </w:r>
      <w:r w:rsidR="002B7F7C">
        <w:rPr>
          <w:rFonts w:cs="Arial"/>
        </w:rPr>
        <w:t>h</w:t>
      </w:r>
      <w:r w:rsidR="0095595D" w:rsidRPr="00C82C5A">
        <w:rPr>
          <w:rFonts w:cs="Arial"/>
        </w:rPr>
        <w:t xml:space="preserve">ia </w:t>
      </w:r>
      <w:proofErr w:type="spellStart"/>
      <w:r w:rsidR="0095595D" w:rsidRPr="00C82C5A">
        <w:rPr>
          <w:rFonts w:cs="Arial"/>
        </w:rPr>
        <w:t>Mirella</w:t>
      </w:r>
      <w:proofErr w:type="spellEnd"/>
      <w:r w:rsidR="0095595D" w:rsidRPr="00C82C5A">
        <w:rPr>
          <w:rFonts w:cs="Arial"/>
        </w:rPr>
        <w:t xml:space="preserve"> Pacheco </w:t>
      </w:r>
      <w:proofErr w:type="spellStart"/>
      <w:r w:rsidR="0095595D" w:rsidRPr="00C82C5A">
        <w:rPr>
          <w:rFonts w:cs="Arial"/>
        </w:rPr>
        <w:t>Deviciente</w:t>
      </w:r>
      <w:proofErr w:type="spellEnd"/>
      <w:r w:rsidR="0095595D" w:rsidRPr="00C82C5A">
        <w:rPr>
          <w:rFonts w:cs="Arial"/>
        </w:rPr>
        <w:t xml:space="preserve"> y las circunstancias mencionadas atinentes a su hijo; los problemas puntuales de sueño y alimentación que tendría Andrea Pacheco López, así como el accidente de tránsito que habrí</w:t>
      </w:r>
      <w:r w:rsidR="00C82C5A">
        <w:rPr>
          <w:rFonts w:cs="Arial"/>
        </w:rPr>
        <w:t>a padecido y sus consecuencias.</w:t>
      </w:r>
    </w:p>
    <w:p w14:paraId="49DCBCE5" w14:textId="77777777" w:rsidR="00C82C5A" w:rsidRPr="00C82C5A" w:rsidRDefault="00C82C5A" w:rsidP="002A776C">
      <w:pPr>
        <w:tabs>
          <w:tab w:val="left" w:pos="-426"/>
        </w:tabs>
        <w:rPr>
          <w:lang w:val="es-CR" w:eastAsia="es-MX"/>
        </w:rPr>
      </w:pPr>
    </w:p>
    <w:p w14:paraId="34477130" w14:textId="397DF8C2" w:rsidR="00603542" w:rsidRDefault="002D4958" w:rsidP="002A776C">
      <w:pPr>
        <w:pStyle w:val="PrrafodeSentencia"/>
        <w:tabs>
          <w:tab w:val="clear" w:pos="567"/>
          <w:tab w:val="left" w:pos="-426"/>
        </w:tabs>
        <w:ind w:left="0" w:firstLine="0"/>
        <w:rPr>
          <w:rFonts w:cs="Arial"/>
          <w:b/>
        </w:rPr>
      </w:pPr>
      <w:r>
        <w:rPr>
          <w:rFonts w:cs="Arial"/>
        </w:rPr>
        <w:t>M</w:t>
      </w:r>
      <w:r w:rsidR="0095595D" w:rsidRPr="00C82C5A">
        <w:rPr>
          <w:rFonts w:cs="Arial"/>
        </w:rPr>
        <w:t xml:space="preserve">ás allá de lo </w:t>
      </w:r>
      <w:r w:rsidR="0095595D" w:rsidRPr="00847FCC">
        <w:rPr>
          <w:rFonts w:cs="Arial"/>
        </w:rPr>
        <w:t>anterior, Andrea Pacheco López, madre del señor Pacheco, declaró que se siente impotente dada la falta de investigación</w:t>
      </w:r>
      <w:r w:rsidR="00F31487" w:rsidRPr="00847FCC">
        <w:rPr>
          <w:rFonts w:cs="Arial"/>
        </w:rPr>
        <w:t>,</w:t>
      </w:r>
      <w:r w:rsidR="0095595D" w:rsidRPr="00847FCC">
        <w:rPr>
          <w:rFonts w:cs="Arial"/>
        </w:rPr>
        <w:t xml:space="preserve"> que </w:t>
      </w:r>
      <w:r w:rsidR="00F67103" w:rsidRPr="00847FCC">
        <w:rPr>
          <w:rFonts w:cs="Arial"/>
        </w:rPr>
        <w:t xml:space="preserve">ello “hace su dolor peor </w:t>
      </w:r>
      <w:proofErr w:type="spellStart"/>
      <w:r w:rsidR="00F67103" w:rsidRPr="00847FCC">
        <w:rPr>
          <w:rFonts w:cs="Arial"/>
        </w:rPr>
        <w:t>aun</w:t>
      </w:r>
      <w:proofErr w:type="spellEnd"/>
      <w:r w:rsidR="00F67103" w:rsidRPr="00847FCC">
        <w:rPr>
          <w:rFonts w:cs="Arial"/>
        </w:rPr>
        <w:t xml:space="preserve">”, que </w:t>
      </w:r>
      <w:r w:rsidR="0095595D" w:rsidRPr="00847FCC">
        <w:rPr>
          <w:rFonts w:cs="Arial"/>
        </w:rPr>
        <w:t>sufre porque los culpables de la muerte d</w:t>
      </w:r>
      <w:r w:rsidR="00294A60" w:rsidRPr="00847FCC">
        <w:rPr>
          <w:rFonts w:cs="Arial"/>
        </w:rPr>
        <w:t>e su hijo continúen en libertad, y que</w:t>
      </w:r>
      <w:r w:rsidR="00F31487" w:rsidRPr="00847FCC">
        <w:rPr>
          <w:rFonts w:cs="Arial"/>
        </w:rPr>
        <w:t xml:space="preserve"> </w:t>
      </w:r>
      <w:r w:rsidR="00294A60" w:rsidRPr="00847FCC">
        <w:rPr>
          <w:rFonts w:cs="Arial"/>
        </w:rPr>
        <w:t xml:space="preserve">ha experimentado temor de que le suceda algo a sus </w:t>
      </w:r>
      <w:r w:rsidR="00F31487" w:rsidRPr="00847FCC">
        <w:rPr>
          <w:rFonts w:cs="Arial"/>
        </w:rPr>
        <w:t>familiares</w:t>
      </w:r>
      <w:r w:rsidR="00BC6D23" w:rsidRPr="00847FCC">
        <w:rPr>
          <w:rFonts w:cs="Arial"/>
        </w:rPr>
        <w:t>. Además expresó que tuvo “</w:t>
      </w:r>
      <w:proofErr w:type="spellStart"/>
      <w:proofErr w:type="gramStart"/>
      <w:r w:rsidR="00BC6D23" w:rsidRPr="00847FCC">
        <w:rPr>
          <w:rFonts w:cs="Arial"/>
        </w:rPr>
        <w:t>sufri</w:t>
      </w:r>
      <w:proofErr w:type="spellEnd"/>
      <w:r w:rsidR="00BC6D23" w:rsidRPr="00847FCC">
        <w:rPr>
          <w:rFonts w:cs="Arial"/>
        </w:rPr>
        <w:t>[</w:t>
      </w:r>
      <w:proofErr w:type="spellStart"/>
      <w:proofErr w:type="gramEnd"/>
      <w:r w:rsidR="00BC6D23" w:rsidRPr="00847FCC">
        <w:rPr>
          <w:rFonts w:cs="Arial"/>
        </w:rPr>
        <w:t>mientos</w:t>
      </w:r>
      <w:proofErr w:type="spellEnd"/>
      <w:r w:rsidR="00BC6D23" w:rsidRPr="00847FCC">
        <w:rPr>
          <w:rFonts w:cs="Arial"/>
        </w:rPr>
        <w:t>…] emocionales” cuando exhumaron el cuerpo de su hijo</w:t>
      </w:r>
      <w:r w:rsidR="00F31487" w:rsidRPr="00C438C1">
        <w:rPr>
          <w:rStyle w:val="FootnoteReference"/>
          <w:sz w:val="20"/>
          <w:szCs w:val="20"/>
        </w:rPr>
        <w:footnoteReference w:id="223"/>
      </w:r>
      <w:r w:rsidR="00F31487" w:rsidRPr="005D079B">
        <w:rPr>
          <w:rFonts w:cs="Arial"/>
          <w:szCs w:val="20"/>
        </w:rPr>
        <w:t>.</w:t>
      </w:r>
      <w:r w:rsidR="00F31487" w:rsidRPr="00847FCC">
        <w:rPr>
          <w:rFonts w:cs="Arial"/>
          <w:b/>
        </w:rPr>
        <w:t xml:space="preserve"> </w:t>
      </w:r>
      <w:r w:rsidR="0095595D" w:rsidRPr="00C438C1">
        <w:rPr>
          <w:rFonts w:cs="Arial"/>
        </w:rPr>
        <w:t xml:space="preserve">Blanca Rosa Herrera Rodríguez, </w:t>
      </w:r>
      <w:r w:rsidR="00E73DA0" w:rsidRPr="00C438C1">
        <w:rPr>
          <w:rFonts w:cs="Arial"/>
        </w:rPr>
        <w:t xml:space="preserve">compañera </w:t>
      </w:r>
      <w:r w:rsidR="0095595D" w:rsidRPr="00847FCC">
        <w:rPr>
          <w:rFonts w:cs="Arial"/>
        </w:rPr>
        <w:t>del señor Pacheco</w:t>
      </w:r>
      <w:r w:rsidR="00140841">
        <w:rPr>
          <w:rFonts w:cs="Arial"/>
        </w:rPr>
        <w:t>,</w:t>
      </w:r>
      <w:r w:rsidRPr="00847FCC">
        <w:rPr>
          <w:rFonts w:cs="Arial"/>
        </w:rPr>
        <w:t xml:space="preserve"> manifestó</w:t>
      </w:r>
      <w:r w:rsidR="00107CC5">
        <w:rPr>
          <w:rFonts w:cs="Arial"/>
        </w:rPr>
        <w:t xml:space="preserve"> refiriéndose a gestiones</w:t>
      </w:r>
      <w:r w:rsidR="00AC3B3D" w:rsidRPr="00847FCC">
        <w:rPr>
          <w:rFonts w:cs="Arial"/>
        </w:rPr>
        <w:t xml:space="preserve"> </w:t>
      </w:r>
      <w:r w:rsidR="00140841">
        <w:rPr>
          <w:rFonts w:cs="Arial"/>
        </w:rPr>
        <w:t>“</w:t>
      </w:r>
      <w:r w:rsidR="00AC3B3D" w:rsidRPr="00847FCC">
        <w:rPr>
          <w:rFonts w:cs="Arial"/>
        </w:rPr>
        <w:t xml:space="preserve">para la obtención de investigaciones adecuadas”, que “José [Pacheco] iba a hacer todo”. Agregó </w:t>
      </w:r>
      <w:r w:rsidR="0095595D" w:rsidRPr="00847FCC">
        <w:rPr>
          <w:rFonts w:cs="Arial"/>
        </w:rPr>
        <w:t xml:space="preserve">que </w:t>
      </w:r>
      <w:r w:rsidR="00AC3B3D" w:rsidRPr="00847FCC">
        <w:rPr>
          <w:rFonts w:cs="Arial"/>
        </w:rPr>
        <w:t xml:space="preserve">ella </w:t>
      </w:r>
      <w:r w:rsidR="0095595D" w:rsidRPr="00847FCC">
        <w:rPr>
          <w:rFonts w:cs="Arial"/>
        </w:rPr>
        <w:t>sintió temor porque los culpables de la muerte estuvieran libres</w:t>
      </w:r>
      <w:r w:rsidR="00107CC5">
        <w:rPr>
          <w:rFonts w:cs="Arial"/>
        </w:rPr>
        <w:t>.</w:t>
      </w:r>
      <w:r w:rsidR="0095595D" w:rsidRPr="00EC73BA">
        <w:rPr>
          <w:rFonts w:cs="Arial"/>
        </w:rPr>
        <w:t xml:space="preserve"> </w:t>
      </w:r>
      <w:proofErr w:type="spellStart"/>
      <w:r w:rsidR="0095595D" w:rsidRPr="00C438C1">
        <w:rPr>
          <w:rFonts w:cs="Arial"/>
        </w:rPr>
        <w:t>Marleny</w:t>
      </w:r>
      <w:proofErr w:type="spellEnd"/>
      <w:r w:rsidR="0095595D" w:rsidRPr="00C438C1">
        <w:rPr>
          <w:rFonts w:cs="Arial"/>
        </w:rPr>
        <w:t xml:space="preserve"> Pacheco</w:t>
      </w:r>
      <w:r w:rsidR="002B7F7C">
        <w:rPr>
          <w:rFonts w:cs="Arial"/>
        </w:rPr>
        <w:t xml:space="preserve"> Posadas</w:t>
      </w:r>
      <w:r w:rsidR="0095595D" w:rsidRPr="00C438C1">
        <w:rPr>
          <w:rFonts w:cs="Arial"/>
        </w:rPr>
        <w:t xml:space="preserve">, </w:t>
      </w:r>
      <w:r w:rsidR="00AC3B3D" w:rsidRPr="00847FCC">
        <w:rPr>
          <w:rFonts w:cs="Arial"/>
        </w:rPr>
        <w:t xml:space="preserve">señaló que </w:t>
      </w:r>
      <w:r w:rsidR="001D4755" w:rsidRPr="00847FCC">
        <w:rPr>
          <w:rFonts w:cs="Arial"/>
        </w:rPr>
        <w:t>reside en Estados Unidos de América y que cerca de nueve veces viajó a Honduras para hacer gestiones</w:t>
      </w:r>
      <w:r w:rsidR="00775685" w:rsidRPr="00847FCC">
        <w:rPr>
          <w:rFonts w:cs="Arial"/>
        </w:rPr>
        <w:t>, que describió,</w:t>
      </w:r>
      <w:r w:rsidR="001D4755" w:rsidRPr="00847FCC">
        <w:rPr>
          <w:rFonts w:cs="Arial"/>
        </w:rPr>
        <w:t xml:space="preserve"> relacionadas con la investigación</w:t>
      </w:r>
      <w:r w:rsidR="00D958E7" w:rsidRPr="00C438C1">
        <w:rPr>
          <w:rStyle w:val="FootnoteReference"/>
          <w:sz w:val="20"/>
          <w:szCs w:val="20"/>
        </w:rPr>
        <w:footnoteReference w:id="224"/>
      </w:r>
      <w:r w:rsidR="00775685" w:rsidRPr="00847FCC">
        <w:rPr>
          <w:rFonts w:cs="Arial"/>
        </w:rPr>
        <w:t>. A</w:t>
      </w:r>
      <w:r w:rsidR="001D4755" w:rsidRPr="00847FCC">
        <w:rPr>
          <w:rFonts w:cs="Arial"/>
        </w:rPr>
        <w:t>demás,</w:t>
      </w:r>
      <w:r w:rsidR="00AC3B3D" w:rsidRPr="00847FCC">
        <w:rPr>
          <w:rFonts w:cs="Arial"/>
        </w:rPr>
        <w:t xml:space="preserve"> </w:t>
      </w:r>
      <w:r w:rsidR="0095595D" w:rsidRPr="00847FCC">
        <w:rPr>
          <w:rFonts w:cs="Arial"/>
        </w:rPr>
        <w:t>refiriéndose al conjunto de la familia, declaró que la impunidad existente “agudiza el dolor” por la muerte de su hermano.</w:t>
      </w:r>
    </w:p>
    <w:p w14:paraId="33CE09AB" w14:textId="77777777" w:rsidR="00F406A0" w:rsidRPr="00F406A0" w:rsidRDefault="00F406A0" w:rsidP="002A776C">
      <w:pPr>
        <w:tabs>
          <w:tab w:val="left" w:pos="-426"/>
        </w:tabs>
        <w:rPr>
          <w:lang w:val="es-CR" w:eastAsia="es-MX"/>
        </w:rPr>
      </w:pPr>
    </w:p>
    <w:p w14:paraId="0255A6B0" w14:textId="5E38EAA6" w:rsidR="00A473A0" w:rsidRDefault="0095595D" w:rsidP="002A776C">
      <w:pPr>
        <w:pStyle w:val="PrrafodeSentencia"/>
        <w:tabs>
          <w:tab w:val="clear" w:pos="567"/>
          <w:tab w:val="left" w:pos="-426"/>
        </w:tabs>
        <w:ind w:left="0" w:firstLine="0"/>
        <w:rPr>
          <w:rFonts w:cs="Arial"/>
          <w:b/>
          <w:sz w:val="16"/>
          <w:szCs w:val="16"/>
        </w:rPr>
      </w:pPr>
      <w:r w:rsidRPr="00C82C5A">
        <w:rPr>
          <w:rFonts w:cs="Arial"/>
        </w:rPr>
        <w:t>La perita Rodr</w:t>
      </w:r>
      <w:r w:rsidR="002D4958">
        <w:rPr>
          <w:rFonts w:cs="Arial"/>
        </w:rPr>
        <w:t>í</w:t>
      </w:r>
      <w:r w:rsidRPr="00C82C5A">
        <w:rPr>
          <w:rFonts w:cs="Arial"/>
        </w:rPr>
        <w:t>guez Matute</w:t>
      </w:r>
      <w:r w:rsidR="00D54229">
        <w:rPr>
          <w:rFonts w:cs="Arial"/>
        </w:rPr>
        <w:t xml:space="preserve">, en su </w:t>
      </w:r>
      <w:r w:rsidR="00D54229" w:rsidRPr="002B7F7C">
        <w:rPr>
          <w:rFonts w:cs="Arial"/>
          <w:i/>
        </w:rPr>
        <w:t>affidá</w:t>
      </w:r>
      <w:r w:rsidR="006A4E16" w:rsidRPr="002B7F7C">
        <w:rPr>
          <w:rFonts w:cs="Arial"/>
          <w:i/>
        </w:rPr>
        <w:t>vit</w:t>
      </w:r>
      <w:r w:rsidR="006A4E16">
        <w:rPr>
          <w:rFonts w:cs="Arial"/>
        </w:rPr>
        <w:t xml:space="preserve">, </w:t>
      </w:r>
      <w:r w:rsidRPr="00C82C5A">
        <w:rPr>
          <w:rFonts w:cs="Arial"/>
        </w:rPr>
        <w:t xml:space="preserve">expresó que “[l]a responsabilidad en la búsqueda de justicia la </w:t>
      </w:r>
      <w:proofErr w:type="spellStart"/>
      <w:r w:rsidRPr="00C82C5A">
        <w:rPr>
          <w:rFonts w:cs="Arial"/>
        </w:rPr>
        <w:t>asum</w:t>
      </w:r>
      <w:proofErr w:type="spellEnd"/>
      <w:r w:rsidRPr="00C82C5A">
        <w:rPr>
          <w:rFonts w:cs="Arial"/>
        </w:rPr>
        <w:t>[</w:t>
      </w:r>
      <w:proofErr w:type="spellStart"/>
      <w:r w:rsidRPr="00C82C5A">
        <w:rPr>
          <w:rFonts w:cs="Arial"/>
        </w:rPr>
        <w:t>ieron</w:t>
      </w:r>
      <w:proofErr w:type="spellEnd"/>
      <w:r w:rsidRPr="00C82C5A">
        <w:rPr>
          <w:rFonts w:cs="Arial"/>
        </w:rPr>
        <w:t xml:space="preserve">] en representación de la familia [los] hermanos [del señor Pacheco] </w:t>
      </w:r>
      <w:proofErr w:type="spellStart"/>
      <w:r w:rsidRPr="00C438C1">
        <w:rPr>
          <w:rFonts w:eastAsia="Calibri" w:cs="Arial"/>
          <w:spacing w:val="0"/>
          <w:lang w:val="es-MX" w:eastAsia="en-US"/>
        </w:rPr>
        <w:t>Marleny</w:t>
      </w:r>
      <w:proofErr w:type="spellEnd"/>
      <w:r w:rsidRPr="00C438C1">
        <w:rPr>
          <w:rFonts w:eastAsia="Calibri" w:cs="Arial"/>
          <w:spacing w:val="0"/>
          <w:lang w:val="es-MX" w:eastAsia="en-US"/>
        </w:rPr>
        <w:t xml:space="preserve"> </w:t>
      </w:r>
      <w:r w:rsidR="002B7F7C">
        <w:rPr>
          <w:rFonts w:eastAsia="Calibri" w:cs="Arial"/>
          <w:spacing w:val="0"/>
          <w:lang w:val="es-MX" w:eastAsia="en-US"/>
        </w:rPr>
        <w:t xml:space="preserve">Pacheco </w:t>
      </w:r>
      <w:r w:rsidRPr="00C438C1">
        <w:rPr>
          <w:rFonts w:eastAsia="Calibri" w:cs="Arial"/>
          <w:spacing w:val="0"/>
          <w:lang w:val="es-MX" w:eastAsia="en-US"/>
        </w:rPr>
        <w:t>Posadas y José Pacheco”, y que “[a]</w:t>
      </w:r>
      <w:proofErr w:type="spellStart"/>
      <w:r w:rsidRPr="00526F43">
        <w:rPr>
          <w:rFonts w:cs="Arial"/>
        </w:rPr>
        <w:t>nte</w:t>
      </w:r>
      <w:proofErr w:type="spellEnd"/>
      <w:r w:rsidRPr="00526F43">
        <w:rPr>
          <w:rFonts w:cs="Arial"/>
        </w:rPr>
        <w:t xml:space="preserve"> la precepción de que en el </w:t>
      </w:r>
      <w:proofErr w:type="spellStart"/>
      <w:r w:rsidRPr="00526F43">
        <w:rPr>
          <w:rFonts w:cs="Arial"/>
        </w:rPr>
        <w:t>departam</w:t>
      </w:r>
      <w:r w:rsidRPr="005D079B">
        <w:rPr>
          <w:rFonts w:eastAsia="Calibri" w:cs="Arial"/>
          <w:spacing w:val="0"/>
          <w:lang w:val="es-MX" w:eastAsia="en-US"/>
        </w:rPr>
        <w:t>ento</w:t>
      </w:r>
      <w:proofErr w:type="spellEnd"/>
      <w:r w:rsidRPr="005D079B">
        <w:rPr>
          <w:rFonts w:eastAsia="Calibri" w:cs="Arial"/>
          <w:spacing w:val="0"/>
          <w:lang w:val="es-MX" w:eastAsia="en-US"/>
        </w:rPr>
        <w:t xml:space="preserve"> de Valle existía conocimie</w:t>
      </w:r>
      <w:r w:rsidRPr="00C438C1">
        <w:rPr>
          <w:rFonts w:eastAsia="Calibri" w:cs="Arial"/>
          <w:spacing w:val="0"/>
          <w:lang w:val="es-MX" w:eastAsia="en-US"/>
        </w:rPr>
        <w:t>nto sobre las personas involucra</w:t>
      </w:r>
      <w:r w:rsidR="00CE1CA9">
        <w:rPr>
          <w:rFonts w:eastAsia="Calibri" w:cs="Arial"/>
          <w:spacing w:val="0"/>
          <w:lang w:val="es-MX" w:eastAsia="en-US"/>
        </w:rPr>
        <w:t>[</w:t>
      </w:r>
      <w:r w:rsidRPr="00C438C1">
        <w:rPr>
          <w:rFonts w:eastAsia="Calibri" w:cs="Arial"/>
          <w:spacing w:val="0"/>
          <w:lang w:val="es-MX" w:eastAsia="en-US"/>
        </w:rPr>
        <w:t>das</w:t>
      </w:r>
      <w:r w:rsidR="00CE1CA9">
        <w:rPr>
          <w:rFonts w:eastAsia="Calibri" w:cs="Arial"/>
          <w:spacing w:val="0"/>
          <w:lang w:val="es-MX" w:eastAsia="en-US"/>
        </w:rPr>
        <w:t>]</w:t>
      </w:r>
      <w:r w:rsidRPr="00C438C1">
        <w:rPr>
          <w:rFonts w:eastAsia="Calibri" w:cs="Arial"/>
          <w:spacing w:val="0"/>
          <w:lang w:val="es-MX" w:eastAsia="en-US"/>
        </w:rPr>
        <w:t xml:space="preserve"> en el </w:t>
      </w:r>
      <w:r w:rsidR="001600D1">
        <w:rPr>
          <w:rFonts w:eastAsia="Calibri" w:cs="Arial"/>
          <w:spacing w:val="0"/>
          <w:lang w:val="es-MX" w:eastAsia="en-US"/>
        </w:rPr>
        <w:t>[homicidio]</w:t>
      </w:r>
      <w:r w:rsidRPr="00C438C1">
        <w:rPr>
          <w:rFonts w:eastAsia="Calibri" w:cs="Arial"/>
          <w:spacing w:val="0"/>
          <w:lang w:val="es-MX" w:eastAsia="en-US"/>
        </w:rPr>
        <w:t xml:space="preserve"> de[l señor] Pacheco y que no avanzaba el proceso de investigación los sentimientos de tristeza y enojo lastimaban a la familia lo cual les hizo perder la confianza en la justicia”. Agregó que “</w:t>
      </w:r>
      <w:r w:rsidR="00CE1CA9">
        <w:rPr>
          <w:rFonts w:eastAsia="Calibri" w:cs="Arial"/>
          <w:spacing w:val="0"/>
          <w:lang w:val="es-MX" w:eastAsia="en-US"/>
        </w:rPr>
        <w:t>[</w:t>
      </w:r>
      <w:r w:rsidRPr="00C438C1">
        <w:rPr>
          <w:rFonts w:eastAsia="Calibri" w:cs="Arial"/>
          <w:spacing w:val="0"/>
          <w:lang w:val="es-MX" w:eastAsia="en-US"/>
        </w:rPr>
        <w:t>e</w:t>
      </w:r>
      <w:r w:rsidR="00CE1CA9">
        <w:rPr>
          <w:rFonts w:eastAsia="Calibri" w:cs="Arial"/>
          <w:spacing w:val="0"/>
          <w:lang w:val="es-MX" w:eastAsia="en-US"/>
        </w:rPr>
        <w:t>]</w:t>
      </w:r>
      <w:r w:rsidRPr="00C438C1">
        <w:rPr>
          <w:rFonts w:eastAsia="Calibri" w:cs="Arial"/>
          <w:spacing w:val="0"/>
          <w:lang w:val="es-MX" w:eastAsia="en-US"/>
        </w:rPr>
        <w:t xml:space="preserve">l temor se mantiene en las vidas de los </w:t>
      </w:r>
      <w:proofErr w:type="gramStart"/>
      <w:r w:rsidRPr="00C438C1">
        <w:rPr>
          <w:rFonts w:eastAsia="Calibri" w:cs="Arial"/>
          <w:spacing w:val="0"/>
          <w:lang w:val="es-MX" w:eastAsia="en-US"/>
        </w:rPr>
        <w:t>familiares</w:t>
      </w:r>
      <w:r w:rsidR="00CE1CA9">
        <w:rPr>
          <w:rFonts w:eastAsia="Calibri" w:cs="Arial"/>
          <w:spacing w:val="0"/>
          <w:lang w:val="es-MX" w:eastAsia="en-US"/>
        </w:rPr>
        <w:t>[</w:t>
      </w:r>
      <w:proofErr w:type="gramEnd"/>
      <w:r w:rsidR="002D4958" w:rsidRPr="00C438C1">
        <w:rPr>
          <w:rFonts w:eastAsia="Calibri" w:cs="Arial"/>
          <w:spacing w:val="0"/>
          <w:lang w:val="es-MX" w:eastAsia="en-US"/>
        </w:rPr>
        <w:t>,</w:t>
      </w:r>
      <w:r w:rsidR="00CE1CA9">
        <w:rPr>
          <w:rFonts w:eastAsia="Calibri" w:cs="Arial"/>
          <w:spacing w:val="0"/>
          <w:lang w:val="es-MX" w:eastAsia="en-US"/>
        </w:rPr>
        <w:t>]</w:t>
      </w:r>
      <w:r w:rsidRPr="00C438C1">
        <w:rPr>
          <w:rFonts w:eastAsia="Calibri" w:cs="Arial"/>
          <w:spacing w:val="0"/>
          <w:lang w:val="es-MX" w:eastAsia="en-US"/>
        </w:rPr>
        <w:t xml:space="preserve"> pues temen represalias de quien consideran el asesino intelectual, ya que esta persona podría agredirles para que se mantengan </w:t>
      </w:r>
      <w:r w:rsidRPr="00C438C1">
        <w:rPr>
          <w:rFonts w:eastAsia="Calibri" w:cs="Arial"/>
          <w:spacing w:val="0"/>
          <w:lang w:val="es-MX" w:eastAsia="en-US"/>
        </w:rPr>
        <w:lastRenderedPageBreak/>
        <w:t xml:space="preserve">callados. Para la familia hay una íntima relación entre la justicia en el caso […] y que puedan finalmente experimentar tranquilidad”. Señaló que </w:t>
      </w:r>
      <w:proofErr w:type="spellStart"/>
      <w:r w:rsidRPr="00C438C1">
        <w:rPr>
          <w:rFonts w:eastAsia="Calibri" w:cs="Arial"/>
          <w:spacing w:val="0"/>
          <w:lang w:val="es-MX" w:eastAsia="en-US"/>
        </w:rPr>
        <w:t>Jimy</w:t>
      </w:r>
      <w:proofErr w:type="spellEnd"/>
      <w:r w:rsidRPr="00C438C1">
        <w:rPr>
          <w:rFonts w:eastAsia="Calibri" w:cs="Arial"/>
          <w:spacing w:val="0"/>
          <w:lang w:val="es-MX" w:eastAsia="en-US"/>
        </w:rPr>
        <w:t xml:space="preserve"> Pacheco</w:t>
      </w:r>
      <w:r w:rsidRPr="00C82C5A">
        <w:rPr>
          <w:rFonts w:cs="Arial"/>
        </w:rPr>
        <w:t xml:space="preserve"> sufrió una “constante </w:t>
      </w:r>
      <w:proofErr w:type="spellStart"/>
      <w:r w:rsidRPr="00C82C5A">
        <w:rPr>
          <w:rFonts w:cs="Arial"/>
        </w:rPr>
        <w:t>revictimización</w:t>
      </w:r>
      <w:proofErr w:type="spellEnd"/>
      <w:r w:rsidRPr="00C82C5A">
        <w:rPr>
          <w:rFonts w:cs="Arial"/>
        </w:rPr>
        <w:t>” por la cantidad de veces que tuvo que declarar.</w:t>
      </w:r>
    </w:p>
    <w:p w14:paraId="2AE85EF1" w14:textId="77777777" w:rsidR="00A473A0" w:rsidRPr="00C438C1" w:rsidRDefault="00A473A0" w:rsidP="002A776C">
      <w:pPr>
        <w:tabs>
          <w:tab w:val="left" w:pos="-426"/>
        </w:tabs>
      </w:pPr>
    </w:p>
    <w:p w14:paraId="2F8F1573" w14:textId="06E6424E" w:rsidR="00847FCC" w:rsidRDefault="006A7962" w:rsidP="002A776C">
      <w:pPr>
        <w:pStyle w:val="PrrafodeSentencia"/>
        <w:tabs>
          <w:tab w:val="clear" w:pos="567"/>
          <w:tab w:val="left" w:pos="-426"/>
        </w:tabs>
        <w:ind w:left="0" w:firstLine="0"/>
        <w:rPr>
          <w:rFonts w:cs="Arial"/>
        </w:rPr>
      </w:pPr>
      <w:r w:rsidRPr="00C82C5A">
        <w:rPr>
          <w:rFonts w:cs="Arial"/>
        </w:rPr>
        <w:t>La Corte encuentra que</w:t>
      </w:r>
      <w:r w:rsidR="00F479C9">
        <w:rPr>
          <w:rFonts w:cs="Arial"/>
        </w:rPr>
        <w:t xml:space="preserve"> es</w:t>
      </w:r>
      <w:r w:rsidR="00F479C9" w:rsidRPr="00F479C9">
        <w:rPr>
          <w:rFonts w:cs="Arial"/>
          <w:b/>
        </w:rPr>
        <w:t xml:space="preserve"> </w:t>
      </w:r>
      <w:r w:rsidR="00F479C9" w:rsidRPr="00D57F12">
        <w:rPr>
          <w:rFonts w:cs="Arial"/>
        </w:rPr>
        <w:t>inconsistente</w:t>
      </w:r>
      <w:r w:rsidRPr="00C82C5A">
        <w:rPr>
          <w:rFonts w:cs="Arial"/>
        </w:rPr>
        <w:t xml:space="preserve"> la prueba concreta relativa a cada un</w:t>
      </w:r>
      <w:r>
        <w:rPr>
          <w:rFonts w:cs="Arial"/>
        </w:rPr>
        <w:t>o</w:t>
      </w:r>
      <w:r w:rsidRPr="00C82C5A">
        <w:rPr>
          <w:rFonts w:cs="Arial"/>
        </w:rPr>
        <w:t xml:space="preserve"> de </w:t>
      </w:r>
      <w:r>
        <w:rPr>
          <w:rFonts w:cs="Arial"/>
        </w:rPr>
        <w:t xml:space="preserve">los </w:t>
      </w:r>
      <w:r w:rsidRPr="00C82C5A">
        <w:rPr>
          <w:rFonts w:cs="Arial"/>
        </w:rPr>
        <w:t xml:space="preserve">familiares del señor Pacheco, en cuanto a afectaciones que se habrían producido como consecuencia del modo en que se condujeron las investigaciones. </w:t>
      </w:r>
      <w:r>
        <w:rPr>
          <w:rFonts w:cs="Arial"/>
        </w:rPr>
        <w:t>No obstante, la Corte toma en cuenta</w:t>
      </w:r>
      <w:r w:rsidR="00426B61">
        <w:rPr>
          <w:rFonts w:cs="Arial"/>
        </w:rPr>
        <w:t>, de acuerdo a lo expuesto,</w:t>
      </w:r>
      <w:r>
        <w:rPr>
          <w:rFonts w:cs="Arial"/>
        </w:rPr>
        <w:t xml:space="preserve"> </w:t>
      </w:r>
      <w:r w:rsidR="00426B61">
        <w:rPr>
          <w:rFonts w:cs="Arial"/>
        </w:rPr>
        <w:t xml:space="preserve">que </w:t>
      </w:r>
      <w:proofErr w:type="spellStart"/>
      <w:r w:rsidR="00426B61">
        <w:rPr>
          <w:rFonts w:cs="Arial"/>
        </w:rPr>
        <w:t>Marleny</w:t>
      </w:r>
      <w:proofErr w:type="spellEnd"/>
      <w:r w:rsidR="00426B61">
        <w:rPr>
          <w:rFonts w:cs="Arial"/>
        </w:rPr>
        <w:t xml:space="preserve"> Pacheco</w:t>
      </w:r>
      <w:r w:rsidR="002B7F7C">
        <w:rPr>
          <w:rFonts w:cs="Arial"/>
        </w:rPr>
        <w:t xml:space="preserve"> Posadas</w:t>
      </w:r>
      <w:r w:rsidR="00426B61">
        <w:rPr>
          <w:rFonts w:cs="Arial"/>
        </w:rPr>
        <w:t xml:space="preserve"> y José Pacheco asumieron la búsqueda de justicia, y la “</w:t>
      </w:r>
      <w:proofErr w:type="spellStart"/>
      <w:r w:rsidR="00426B61">
        <w:rPr>
          <w:rFonts w:cs="Arial"/>
        </w:rPr>
        <w:t>revictimización</w:t>
      </w:r>
      <w:proofErr w:type="spellEnd"/>
      <w:r w:rsidR="00426B61">
        <w:rPr>
          <w:rFonts w:cs="Arial"/>
        </w:rPr>
        <w:t xml:space="preserve">” que en el marco del proceso interno sufrió </w:t>
      </w:r>
      <w:proofErr w:type="spellStart"/>
      <w:r w:rsidR="00426B61">
        <w:rPr>
          <w:rFonts w:cs="Arial"/>
        </w:rPr>
        <w:t>Jimy</w:t>
      </w:r>
      <w:proofErr w:type="spellEnd"/>
      <w:r w:rsidR="00426B61">
        <w:rPr>
          <w:rFonts w:cs="Arial"/>
        </w:rPr>
        <w:t xml:space="preserve"> Pacheco. Además, nota los señalamientos de la madre y compañera del señor Pacheco, Andrea Pacheco</w:t>
      </w:r>
      <w:r w:rsidR="002B7F7C">
        <w:rPr>
          <w:rFonts w:cs="Arial"/>
        </w:rPr>
        <w:t xml:space="preserve"> López</w:t>
      </w:r>
      <w:r w:rsidR="00426B61">
        <w:rPr>
          <w:rFonts w:cs="Arial"/>
        </w:rPr>
        <w:t xml:space="preserve"> y Blanca Rosa Herrera Rodríguez, sobre la afectación emocional vinculada a la falta de resultado de la investigación. Las referencias </w:t>
      </w:r>
      <w:proofErr w:type="spellStart"/>
      <w:r w:rsidR="00426B61">
        <w:rPr>
          <w:rFonts w:cs="Arial"/>
        </w:rPr>
        <w:t>antendichas</w:t>
      </w:r>
      <w:proofErr w:type="spellEnd"/>
      <w:r w:rsidR="00426B61">
        <w:rPr>
          <w:rFonts w:cs="Arial"/>
        </w:rPr>
        <w:t xml:space="preserve">, aunadas al dictamen pericial de la señora </w:t>
      </w:r>
      <w:r w:rsidRPr="00C82C5A">
        <w:rPr>
          <w:rFonts w:cs="Arial"/>
        </w:rPr>
        <w:t>Rodr</w:t>
      </w:r>
      <w:r>
        <w:rPr>
          <w:rFonts w:cs="Arial"/>
        </w:rPr>
        <w:t>í</w:t>
      </w:r>
      <w:r w:rsidRPr="00C82C5A">
        <w:rPr>
          <w:rFonts w:cs="Arial"/>
        </w:rPr>
        <w:t>guez Matute</w:t>
      </w:r>
      <w:r w:rsidR="00426B61">
        <w:rPr>
          <w:rFonts w:cs="Arial"/>
        </w:rPr>
        <w:t>, permiten concluir que las personas aludidas vieron afectada su integridad personal a causa del modo en que el Estado condujo las actuaciones de investigación.</w:t>
      </w:r>
    </w:p>
    <w:p w14:paraId="1F36BBB7" w14:textId="687D983A" w:rsidR="00847FCC" w:rsidRPr="00C438C1" w:rsidRDefault="00847FCC" w:rsidP="002A776C">
      <w:pPr>
        <w:tabs>
          <w:tab w:val="left" w:pos="-426"/>
        </w:tabs>
        <w:rPr>
          <w:lang w:val="es-CR" w:eastAsia="es-MX"/>
        </w:rPr>
      </w:pPr>
    </w:p>
    <w:p w14:paraId="79FAFC57" w14:textId="4A8A6BF9" w:rsidR="005F515A" w:rsidRDefault="00426B61" w:rsidP="005F515A">
      <w:pPr>
        <w:pStyle w:val="PrrafodeSentencia"/>
        <w:tabs>
          <w:tab w:val="clear" w:pos="567"/>
          <w:tab w:val="left" w:pos="-426"/>
        </w:tabs>
        <w:ind w:left="0" w:firstLine="0"/>
      </w:pPr>
      <w:r>
        <w:t>En cuanto al resto de los familiares del señor Pacheco, debe enfatizarse que la Corte debe limitar su examen a las supuestas afectaciones relacionadas con la investigación de los hechos, y no a las causadas por la muerte del señor Pacheco</w:t>
      </w:r>
      <w:r w:rsidR="007B06E9">
        <w:t>. Al respecto, si bien la perita</w:t>
      </w:r>
      <w:r>
        <w:t xml:space="preserve"> Rodríguez Matute</w:t>
      </w:r>
      <w:r w:rsidR="006A7962" w:rsidRPr="00C82C5A">
        <w:t xml:space="preserve"> se refirió al grupo familiar en su conjunto</w:t>
      </w:r>
      <w:r w:rsidR="006A7962">
        <w:t xml:space="preserve">, </w:t>
      </w:r>
      <w:r>
        <w:t xml:space="preserve">sus aseveraciones al respecto </w:t>
      </w:r>
      <w:r w:rsidR="006A7962">
        <w:t>resulta</w:t>
      </w:r>
      <w:r>
        <w:t>n</w:t>
      </w:r>
      <w:r w:rsidR="006A7962">
        <w:t xml:space="preserve"> </w:t>
      </w:r>
      <w:proofErr w:type="spellStart"/>
      <w:r w:rsidR="006A7962">
        <w:t>impresisa</w:t>
      </w:r>
      <w:r>
        <w:t>s</w:t>
      </w:r>
      <w:proofErr w:type="spellEnd"/>
      <w:r>
        <w:t xml:space="preserve"> y genéricas</w:t>
      </w:r>
      <w:r w:rsidR="006A7962">
        <w:t xml:space="preserve">, </w:t>
      </w:r>
      <w:r>
        <w:t>y</w:t>
      </w:r>
      <w:r w:rsidR="006A7962">
        <w:t xml:space="preserve"> no permite</w:t>
      </w:r>
      <w:r>
        <w:t>n</w:t>
      </w:r>
      <w:r w:rsidR="006A7962">
        <w:t xml:space="preserve"> diferenciar las afectaciones derivadas de la investigación de los hechos de aquellas causadas por la muerte del señor Pacheco</w:t>
      </w:r>
      <w:r w:rsidR="00107825">
        <w:t xml:space="preserve">. Lo mismo cabe respecto a la alusión al “dolor” del conjunto de la </w:t>
      </w:r>
      <w:proofErr w:type="spellStart"/>
      <w:r w:rsidR="00107825">
        <w:t>famila</w:t>
      </w:r>
      <w:proofErr w:type="spellEnd"/>
      <w:r w:rsidR="00107825">
        <w:t xml:space="preserve"> efectuada por Marley Pacheco</w:t>
      </w:r>
      <w:r w:rsidR="002B7F7C">
        <w:t xml:space="preserve"> Posadas</w:t>
      </w:r>
      <w:r w:rsidR="00107825">
        <w:t xml:space="preserve"> (</w:t>
      </w:r>
      <w:r w:rsidR="00107825">
        <w:rPr>
          <w:i/>
        </w:rPr>
        <w:t>supra</w:t>
      </w:r>
      <w:r w:rsidR="00107825">
        <w:t xml:space="preserve"> párr. </w:t>
      </w:r>
      <w:r w:rsidR="00783116">
        <w:t>178</w:t>
      </w:r>
      <w:r w:rsidR="00107825">
        <w:t xml:space="preserve">). </w:t>
      </w:r>
    </w:p>
    <w:p w14:paraId="78305079" w14:textId="77777777" w:rsidR="005F515A" w:rsidRPr="00493F83" w:rsidRDefault="005F515A" w:rsidP="00972235"/>
    <w:p w14:paraId="2BF6C350" w14:textId="4E5BF68C" w:rsidR="008A633A" w:rsidRDefault="005F515A" w:rsidP="008A633A">
      <w:pPr>
        <w:pStyle w:val="PrrafodeSentencia"/>
        <w:tabs>
          <w:tab w:val="clear" w:pos="567"/>
          <w:tab w:val="left" w:pos="-426"/>
        </w:tabs>
        <w:ind w:left="0" w:firstLine="0"/>
      </w:pPr>
      <w:r>
        <w:t>Por</w:t>
      </w:r>
      <w:r w:rsidR="0095595D" w:rsidRPr="00C82C5A">
        <w:t xml:space="preserve"> lo </w:t>
      </w:r>
      <w:r>
        <w:t>señalado</w:t>
      </w:r>
      <w:r w:rsidR="00D54229">
        <w:t>, la Corte considera</w:t>
      </w:r>
      <w:r w:rsidR="0095595D" w:rsidRPr="00C82C5A">
        <w:t xml:space="preserve"> que el Estado ha violado el artículo 5.1 de la Convención Americana, en relación con el artículo 1.1 del tratado, en perjuicio de </w:t>
      </w:r>
      <w:r w:rsidR="00426B61">
        <w:rPr>
          <w:rFonts w:eastAsia="Verdana"/>
        </w:rPr>
        <w:t>Andrea Pacheco</w:t>
      </w:r>
      <w:r w:rsidR="008A633A">
        <w:rPr>
          <w:rFonts w:eastAsia="Verdana"/>
        </w:rPr>
        <w:t xml:space="preserve"> López</w:t>
      </w:r>
      <w:r w:rsidR="00426B61">
        <w:rPr>
          <w:rFonts w:eastAsia="Verdana"/>
        </w:rPr>
        <w:t>,</w:t>
      </w:r>
      <w:r w:rsidR="0095595D" w:rsidRPr="00C82C5A">
        <w:rPr>
          <w:rFonts w:eastAsia="Verdana"/>
        </w:rPr>
        <w:t xml:space="preserve"> Blanca Rosa Herrera</w:t>
      </w:r>
      <w:r w:rsidR="00426B61">
        <w:rPr>
          <w:rFonts w:eastAsia="Verdana"/>
        </w:rPr>
        <w:t xml:space="preserve"> Rodríguez,</w:t>
      </w:r>
      <w:r w:rsidR="0095595D" w:rsidRPr="00C82C5A">
        <w:rPr>
          <w:rFonts w:eastAsia="Verdana"/>
        </w:rPr>
        <w:t xml:space="preserve"> José</w:t>
      </w:r>
      <w:r w:rsidR="00426B61">
        <w:rPr>
          <w:rFonts w:eastAsia="Verdana"/>
        </w:rPr>
        <w:t xml:space="preserve"> Pacheco, </w:t>
      </w:r>
      <w:proofErr w:type="spellStart"/>
      <w:r w:rsidR="00426B61">
        <w:rPr>
          <w:rFonts w:eastAsia="Verdana"/>
        </w:rPr>
        <w:t>Marleny</w:t>
      </w:r>
      <w:proofErr w:type="spellEnd"/>
      <w:r w:rsidR="00426B61">
        <w:rPr>
          <w:rFonts w:eastAsia="Verdana"/>
        </w:rPr>
        <w:t xml:space="preserve"> Pacheco</w:t>
      </w:r>
      <w:r w:rsidR="008A633A">
        <w:rPr>
          <w:rFonts w:eastAsia="Verdana"/>
        </w:rPr>
        <w:t xml:space="preserve"> Posadas</w:t>
      </w:r>
      <w:r w:rsidR="00426B61">
        <w:rPr>
          <w:rFonts w:eastAsia="Verdana"/>
        </w:rPr>
        <w:t xml:space="preserve"> y </w:t>
      </w:r>
      <w:proofErr w:type="spellStart"/>
      <w:r w:rsidR="0095595D" w:rsidRPr="00C82C5A">
        <w:rPr>
          <w:rFonts w:eastAsia="Verdana"/>
        </w:rPr>
        <w:t>Jimy</w:t>
      </w:r>
      <w:proofErr w:type="spellEnd"/>
      <w:r w:rsidR="008A633A">
        <w:rPr>
          <w:rFonts w:eastAsia="Verdana"/>
        </w:rPr>
        <w:t xml:space="preserve"> Javier</w:t>
      </w:r>
      <w:r w:rsidR="0095595D" w:rsidRPr="00C82C5A">
        <w:rPr>
          <w:rFonts w:eastAsia="Verdana"/>
        </w:rPr>
        <w:t xml:space="preserve"> Pacheco</w:t>
      </w:r>
      <w:r w:rsidR="008A633A">
        <w:rPr>
          <w:rFonts w:eastAsia="Verdana"/>
        </w:rPr>
        <w:t xml:space="preserve"> Ortiz</w:t>
      </w:r>
      <w:r w:rsidR="00426B61">
        <w:rPr>
          <w:rFonts w:eastAsia="Verdana"/>
        </w:rPr>
        <w:t>.</w:t>
      </w:r>
      <w:r w:rsidR="0095595D" w:rsidRPr="00C82C5A">
        <w:rPr>
          <w:rFonts w:eastAsia="Verdana"/>
        </w:rPr>
        <w:t xml:space="preserve"> </w:t>
      </w:r>
      <w:r w:rsidR="00F479C9" w:rsidRPr="000874BF">
        <w:rPr>
          <w:rFonts w:eastAsia="Verdana"/>
        </w:rPr>
        <w:t xml:space="preserve">Por consiguiente, el Estado no ha violado el referido artículo </w:t>
      </w:r>
      <w:proofErr w:type="spellStart"/>
      <w:r w:rsidR="007229D1" w:rsidRPr="000874BF">
        <w:rPr>
          <w:rFonts w:eastAsia="Verdana"/>
        </w:rPr>
        <w:t>ar</w:t>
      </w:r>
      <w:r w:rsidR="007229D1" w:rsidRPr="00137D01">
        <w:rPr>
          <w:rFonts w:eastAsia="Verdana"/>
        </w:rPr>
        <w:t>tículo</w:t>
      </w:r>
      <w:proofErr w:type="spellEnd"/>
      <w:r w:rsidR="007229D1" w:rsidRPr="00137D01">
        <w:rPr>
          <w:rFonts w:eastAsia="Verdana"/>
        </w:rPr>
        <w:t xml:space="preserve"> 5.1 de la Convención </w:t>
      </w:r>
      <w:r w:rsidR="00F479C9" w:rsidRPr="00137D01">
        <w:rPr>
          <w:rFonts w:eastAsia="Verdana"/>
        </w:rPr>
        <w:t>respecto</w:t>
      </w:r>
      <w:r w:rsidR="00A515CC" w:rsidRPr="00137D01">
        <w:rPr>
          <w:rFonts w:eastAsia="Verdana"/>
        </w:rPr>
        <w:t xml:space="preserve"> a</w:t>
      </w:r>
      <w:r w:rsidR="00F479C9" w:rsidRPr="00137D01">
        <w:rPr>
          <w:rFonts w:eastAsia="Verdana"/>
        </w:rPr>
        <w:t xml:space="preserve"> </w:t>
      </w:r>
      <w:r w:rsidR="00A515CC" w:rsidRPr="00137D01">
        <w:rPr>
          <w:szCs w:val="20"/>
          <w:lang w:val="es-ES"/>
        </w:rPr>
        <w:t>los hijos y las hijas de Ángel Pacheco</w:t>
      </w:r>
      <w:r w:rsidR="002B7F7C">
        <w:rPr>
          <w:szCs w:val="20"/>
          <w:lang w:val="es-ES"/>
        </w:rPr>
        <w:t xml:space="preserve"> León</w:t>
      </w:r>
      <w:r w:rsidR="00A515CC" w:rsidRPr="00137D01">
        <w:rPr>
          <w:szCs w:val="20"/>
          <w:lang w:val="es-ES"/>
        </w:rPr>
        <w:t>, Miguel Ángel Pacheco</w:t>
      </w:r>
      <w:r w:rsidR="008A633A" w:rsidRPr="00137D01">
        <w:rPr>
          <w:szCs w:val="20"/>
          <w:lang w:val="es-ES"/>
        </w:rPr>
        <w:t xml:space="preserve"> </w:t>
      </w:r>
      <w:proofErr w:type="spellStart"/>
      <w:r w:rsidR="008A633A" w:rsidRPr="00137D01">
        <w:rPr>
          <w:szCs w:val="20"/>
          <w:lang w:val="es-ES"/>
        </w:rPr>
        <w:t>Devicente</w:t>
      </w:r>
      <w:proofErr w:type="spellEnd"/>
      <w:r w:rsidR="00A515CC" w:rsidRPr="00137D01">
        <w:rPr>
          <w:szCs w:val="20"/>
          <w:lang w:val="es-ES"/>
        </w:rPr>
        <w:t xml:space="preserve">, Cinthia </w:t>
      </w:r>
      <w:proofErr w:type="spellStart"/>
      <w:r w:rsidR="009E425D" w:rsidRPr="00137D01">
        <w:rPr>
          <w:szCs w:val="20"/>
          <w:lang w:val="es-ES"/>
        </w:rPr>
        <w:t>Mirella</w:t>
      </w:r>
      <w:proofErr w:type="spellEnd"/>
      <w:r w:rsidR="009E425D" w:rsidRPr="00137D01">
        <w:rPr>
          <w:szCs w:val="20"/>
          <w:lang w:val="es-ES"/>
        </w:rPr>
        <w:t xml:space="preserve"> </w:t>
      </w:r>
      <w:r w:rsidR="00A515CC" w:rsidRPr="00137D01">
        <w:rPr>
          <w:szCs w:val="20"/>
          <w:lang w:val="es-ES"/>
        </w:rPr>
        <w:t xml:space="preserve">Pacheco </w:t>
      </w:r>
      <w:proofErr w:type="spellStart"/>
      <w:r w:rsidR="00A515CC" w:rsidRPr="00137D01">
        <w:rPr>
          <w:szCs w:val="20"/>
          <w:lang w:val="es-ES"/>
        </w:rPr>
        <w:t>Devicente</w:t>
      </w:r>
      <w:proofErr w:type="spellEnd"/>
      <w:r w:rsidR="00A515CC" w:rsidRPr="00137D01">
        <w:rPr>
          <w:szCs w:val="20"/>
          <w:lang w:val="es-ES"/>
        </w:rPr>
        <w:t xml:space="preserve">, Tania </w:t>
      </w:r>
      <w:r w:rsidR="008A633A" w:rsidRPr="00137D01">
        <w:rPr>
          <w:szCs w:val="20"/>
          <w:lang w:val="es-ES"/>
        </w:rPr>
        <w:t xml:space="preserve">Melissa </w:t>
      </w:r>
      <w:r w:rsidR="00A515CC" w:rsidRPr="00137D01">
        <w:rPr>
          <w:szCs w:val="20"/>
          <w:lang w:val="es-ES"/>
        </w:rPr>
        <w:t xml:space="preserve">Pacheco López, Juan </w:t>
      </w:r>
      <w:r w:rsidR="008A633A" w:rsidRPr="00137D01">
        <w:rPr>
          <w:szCs w:val="20"/>
          <w:lang w:val="es-ES"/>
        </w:rPr>
        <w:t xml:space="preserve">Carlos </w:t>
      </w:r>
      <w:r w:rsidR="00A515CC" w:rsidRPr="00137D01">
        <w:rPr>
          <w:szCs w:val="20"/>
          <w:lang w:val="es-ES"/>
        </w:rPr>
        <w:t xml:space="preserve">Pacheco </w:t>
      </w:r>
      <w:proofErr w:type="spellStart"/>
      <w:r w:rsidR="00A515CC" w:rsidRPr="00137D01">
        <w:rPr>
          <w:szCs w:val="20"/>
          <w:lang w:val="es-ES"/>
        </w:rPr>
        <w:t>Euceda</w:t>
      </w:r>
      <w:proofErr w:type="spellEnd"/>
      <w:r w:rsidR="00A515CC" w:rsidRPr="00137D01">
        <w:rPr>
          <w:szCs w:val="20"/>
          <w:lang w:val="es-ES"/>
        </w:rPr>
        <w:t xml:space="preserve"> y Bianca </w:t>
      </w:r>
      <w:proofErr w:type="spellStart"/>
      <w:r w:rsidR="009E425D" w:rsidRPr="00137D01">
        <w:rPr>
          <w:szCs w:val="20"/>
          <w:lang w:val="es-ES"/>
        </w:rPr>
        <w:t>Gisselle</w:t>
      </w:r>
      <w:proofErr w:type="spellEnd"/>
      <w:r w:rsidR="009E425D" w:rsidRPr="00137D01">
        <w:rPr>
          <w:szCs w:val="20"/>
          <w:lang w:val="es-ES"/>
        </w:rPr>
        <w:t xml:space="preserve"> </w:t>
      </w:r>
      <w:r w:rsidR="00A515CC" w:rsidRPr="00137D01">
        <w:rPr>
          <w:szCs w:val="20"/>
          <w:lang w:val="es-ES"/>
        </w:rPr>
        <w:t>Pacheco Herrera</w:t>
      </w:r>
      <w:r w:rsidR="002B7F7C">
        <w:rPr>
          <w:szCs w:val="20"/>
          <w:lang w:val="es-ES"/>
        </w:rPr>
        <w:t>, ni de</w:t>
      </w:r>
      <w:r w:rsidR="00A515CC" w:rsidRPr="00137D01">
        <w:rPr>
          <w:szCs w:val="20"/>
          <w:lang w:val="es-ES"/>
        </w:rPr>
        <w:t xml:space="preserve"> </w:t>
      </w:r>
      <w:r w:rsidR="00F479C9" w:rsidRPr="00137D01">
        <w:rPr>
          <w:szCs w:val="20"/>
          <w:lang w:val="es-ES"/>
        </w:rPr>
        <w:t xml:space="preserve">las hermanas y </w:t>
      </w:r>
      <w:r w:rsidR="002B7F7C">
        <w:rPr>
          <w:szCs w:val="20"/>
          <w:lang w:val="es-ES"/>
        </w:rPr>
        <w:t xml:space="preserve">los </w:t>
      </w:r>
      <w:r w:rsidR="00F479C9" w:rsidRPr="00137D01">
        <w:rPr>
          <w:szCs w:val="20"/>
          <w:lang w:val="es-ES"/>
        </w:rPr>
        <w:t>hermanos de Ángel Pacheco</w:t>
      </w:r>
      <w:r w:rsidR="002B7F7C">
        <w:rPr>
          <w:szCs w:val="20"/>
          <w:lang w:val="es-ES"/>
        </w:rPr>
        <w:t xml:space="preserve"> León</w:t>
      </w:r>
      <w:r w:rsidR="00F479C9" w:rsidRPr="00137D01">
        <w:rPr>
          <w:szCs w:val="20"/>
          <w:lang w:val="es-ES"/>
        </w:rPr>
        <w:t xml:space="preserve">, </w:t>
      </w:r>
      <w:r w:rsidR="008A633A" w:rsidRPr="00137D01">
        <w:rPr>
          <w:szCs w:val="20"/>
          <w:lang w:val="es-ES"/>
        </w:rPr>
        <w:t xml:space="preserve">María </w:t>
      </w:r>
      <w:r w:rsidR="00F479C9" w:rsidRPr="00137D01">
        <w:rPr>
          <w:szCs w:val="20"/>
          <w:lang w:val="es-ES"/>
        </w:rPr>
        <w:t>Otili</w:t>
      </w:r>
      <w:r w:rsidR="008A633A" w:rsidRPr="00137D01">
        <w:rPr>
          <w:szCs w:val="20"/>
          <w:lang w:val="es-ES"/>
        </w:rPr>
        <w:t>a Pacheco</w:t>
      </w:r>
      <w:r w:rsidR="00F479C9" w:rsidRPr="00137D01">
        <w:rPr>
          <w:szCs w:val="20"/>
          <w:lang w:val="es-ES"/>
        </w:rPr>
        <w:t>, Concepción</w:t>
      </w:r>
      <w:r w:rsidR="008A633A" w:rsidRPr="00137D01">
        <w:rPr>
          <w:szCs w:val="20"/>
          <w:lang w:val="es-ES"/>
        </w:rPr>
        <w:t xml:space="preserve"> Pacheco</w:t>
      </w:r>
      <w:r w:rsidR="00F479C9" w:rsidRPr="00137D01">
        <w:rPr>
          <w:szCs w:val="20"/>
          <w:lang w:val="es-ES"/>
        </w:rPr>
        <w:t>, Blanca</w:t>
      </w:r>
      <w:r w:rsidR="008A633A" w:rsidRPr="00137D01">
        <w:rPr>
          <w:szCs w:val="20"/>
          <w:lang w:val="es-ES"/>
        </w:rPr>
        <w:t xml:space="preserve"> Pacheco</w:t>
      </w:r>
      <w:r w:rsidR="00F479C9" w:rsidRPr="00137D01">
        <w:rPr>
          <w:szCs w:val="20"/>
          <w:lang w:val="es-ES"/>
        </w:rPr>
        <w:t>, María</w:t>
      </w:r>
      <w:r w:rsidR="00A515CC" w:rsidRPr="00137D01">
        <w:rPr>
          <w:szCs w:val="20"/>
          <w:lang w:val="es-ES"/>
        </w:rPr>
        <w:t xml:space="preserve"> Regina</w:t>
      </w:r>
      <w:r w:rsidR="008A633A" w:rsidRPr="00137D01">
        <w:rPr>
          <w:szCs w:val="20"/>
          <w:lang w:val="es-ES"/>
        </w:rPr>
        <w:t xml:space="preserve"> Pacheco</w:t>
      </w:r>
      <w:r w:rsidR="00F479C9" w:rsidRPr="000874BF">
        <w:rPr>
          <w:szCs w:val="20"/>
          <w:lang w:val="es-ES"/>
        </w:rPr>
        <w:t>, Francisco</w:t>
      </w:r>
      <w:r w:rsidR="008A633A">
        <w:rPr>
          <w:szCs w:val="20"/>
          <w:lang w:val="es-ES"/>
        </w:rPr>
        <w:t xml:space="preserve"> Pacheco</w:t>
      </w:r>
      <w:r w:rsidR="00F479C9" w:rsidRPr="000874BF">
        <w:rPr>
          <w:szCs w:val="20"/>
          <w:lang w:val="es-ES"/>
        </w:rPr>
        <w:t xml:space="preserve">, </w:t>
      </w:r>
      <w:r w:rsidR="008A633A">
        <w:rPr>
          <w:szCs w:val="20"/>
          <w:lang w:val="es-ES"/>
        </w:rPr>
        <w:t xml:space="preserve">Santos </w:t>
      </w:r>
      <w:r w:rsidR="00F479C9" w:rsidRPr="000874BF">
        <w:rPr>
          <w:szCs w:val="20"/>
          <w:lang w:val="es-ES"/>
        </w:rPr>
        <w:t>Norma</w:t>
      </w:r>
      <w:r w:rsidR="008A633A">
        <w:rPr>
          <w:szCs w:val="20"/>
          <w:lang w:val="es-ES"/>
        </w:rPr>
        <w:t xml:space="preserve"> Pacheco</w:t>
      </w:r>
      <w:r w:rsidR="00F479C9" w:rsidRPr="000874BF">
        <w:rPr>
          <w:szCs w:val="20"/>
          <w:lang w:val="es-ES"/>
        </w:rPr>
        <w:t xml:space="preserve">, </w:t>
      </w:r>
      <w:r w:rsidR="008A633A">
        <w:rPr>
          <w:szCs w:val="20"/>
          <w:lang w:val="es-ES"/>
        </w:rPr>
        <w:t>Elsa Y</w:t>
      </w:r>
      <w:r w:rsidR="00F479C9" w:rsidRPr="000874BF">
        <w:rPr>
          <w:szCs w:val="20"/>
          <w:lang w:val="es-ES"/>
        </w:rPr>
        <w:t>amileth</w:t>
      </w:r>
      <w:r w:rsidR="008A633A">
        <w:rPr>
          <w:szCs w:val="20"/>
          <w:lang w:val="es-ES"/>
        </w:rPr>
        <w:t xml:space="preserve"> </w:t>
      </w:r>
      <w:proofErr w:type="spellStart"/>
      <w:r w:rsidR="008A633A">
        <w:rPr>
          <w:szCs w:val="20"/>
          <w:lang w:val="es-ES"/>
        </w:rPr>
        <w:t>Almendarez</w:t>
      </w:r>
      <w:proofErr w:type="spellEnd"/>
      <w:r w:rsidR="008A633A">
        <w:rPr>
          <w:szCs w:val="20"/>
          <w:lang w:val="es-ES"/>
        </w:rPr>
        <w:t xml:space="preserve"> Pacheco</w:t>
      </w:r>
      <w:r w:rsidR="00F479C9" w:rsidRPr="000874BF">
        <w:rPr>
          <w:szCs w:val="20"/>
          <w:lang w:val="es-ES"/>
        </w:rPr>
        <w:t>, Jaqueline</w:t>
      </w:r>
      <w:r w:rsidR="008A633A">
        <w:rPr>
          <w:szCs w:val="20"/>
          <w:lang w:val="es-ES"/>
        </w:rPr>
        <w:t xml:space="preserve"> L. </w:t>
      </w:r>
      <w:proofErr w:type="spellStart"/>
      <w:r w:rsidR="008A633A">
        <w:rPr>
          <w:szCs w:val="20"/>
          <w:lang w:val="es-ES"/>
        </w:rPr>
        <w:t>Almendarez</w:t>
      </w:r>
      <w:proofErr w:type="spellEnd"/>
      <w:r w:rsidR="008A633A">
        <w:rPr>
          <w:szCs w:val="20"/>
          <w:lang w:val="es-ES"/>
        </w:rPr>
        <w:t xml:space="preserve"> Pacheco</w:t>
      </w:r>
      <w:r w:rsidR="00F479C9" w:rsidRPr="000874BF">
        <w:rPr>
          <w:szCs w:val="20"/>
          <w:lang w:val="es-ES"/>
        </w:rPr>
        <w:t xml:space="preserve"> y Jorge Pacheco</w:t>
      </w:r>
      <w:r w:rsidR="008A633A">
        <w:rPr>
          <w:szCs w:val="20"/>
          <w:lang w:val="es-ES"/>
        </w:rPr>
        <w:t>.</w:t>
      </w:r>
    </w:p>
    <w:p w14:paraId="3009857C" w14:textId="77777777" w:rsidR="008A633A" w:rsidRDefault="008A633A" w:rsidP="00972235"/>
    <w:p w14:paraId="3702C943" w14:textId="68E4A2D8" w:rsidR="005F515A" w:rsidRPr="00811992" w:rsidRDefault="005F515A" w:rsidP="00972235">
      <w:pPr>
        <w:pStyle w:val="PrrafodeSentencia"/>
        <w:numPr>
          <w:ilvl w:val="0"/>
          <w:numId w:val="0"/>
        </w:numPr>
        <w:tabs>
          <w:tab w:val="clear" w:pos="567"/>
          <w:tab w:val="left" w:pos="-284"/>
        </w:tabs>
        <w:jc w:val="center"/>
        <w:outlineLvl w:val="0"/>
        <w:rPr>
          <w:b/>
        </w:rPr>
      </w:pPr>
      <w:bookmarkStart w:id="314" w:name="_Toc498512840"/>
      <w:r w:rsidRPr="00811992">
        <w:rPr>
          <w:b/>
        </w:rPr>
        <w:t>VI.</w:t>
      </w:r>
      <w:r w:rsidR="00AB194C">
        <w:rPr>
          <w:b/>
        </w:rPr>
        <w:t>4</w:t>
      </w:r>
      <w:bookmarkEnd w:id="314"/>
    </w:p>
    <w:p w14:paraId="00EFD3E7" w14:textId="77777777" w:rsidR="005F515A" w:rsidRPr="00811992" w:rsidRDefault="005F515A" w:rsidP="00972235">
      <w:pPr>
        <w:jc w:val="center"/>
        <w:outlineLvl w:val="0"/>
        <w:rPr>
          <w:b/>
          <w:lang w:val="es-CR" w:eastAsia="es-MX"/>
        </w:rPr>
      </w:pPr>
      <w:bookmarkStart w:id="315" w:name="_Toc498512841"/>
      <w:r w:rsidRPr="00811992">
        <w:rPr>
          <w:b/>
          <w:lang w:val="es-CR" w:eastAsia="es-MX"/>
        </w:rPr>
        <w:t>DEBER DE ADOPTAR DISPOSICIONES DE DERECHO INTERNO</w:t>
      </w:r>
      <w:bookmarkEnd w:id="315"/>
    </w:p>
    <w:p w14:paraId="162AE15E" w14:textId="77777777" w:rsidR="005F515A" w:rsidRPr="00972235" w:rsidRDefault="005F515A" w:rsidP="00972235"/>
    <w:p w14:paraId="22F33787" w14:textId="0205091C" w:rsidR="00570D0F" w:rsidRDefault="00570D0F" w:rsidP="00972235">
      <w:pPr>
        <w:pStyle w:val="PrrafodeSentencia"/>
        <w:tabs>
          <w:tab w:val="clear" w:pos="567"/>
          <w:tab w:val="left" w:pos="-426"/>
        </w:tabs>
        <w:ind w:left="0" w:firstLine="0"/>
      </w:pPr>
      <w:r>
        <w:t xml:space="preserve">La </w:t>
      </w:r>
      <w:r w:rsidRPr="00972235">
        <w:rPr>
          <w:b/>
          <w:i/>
        </w:rPr>
        <w:t>Comisión</w:t>
      </w:r>
      <w:r w:rsidRPr="008879C6">
        <w:t xml:space="preserve">, </w:t>
      </w:r>
      <w:r>
        <w:t>en el Informe de Fondo, no estableció una violación al artículo 2 de la Convención Americana. Pese a ello, l</w:t>
      </w:r>
      <w:r w:rsidR="005F515A" w:rsidRPr="003B6D40">
        <w:t xml:space="preserve">os </w:t>
      </w:r>
      <w:r w:rsidR="005F515A" w:rsidRPr="00972235">
        <w:rPr>
          <w:b/>
          <w:i/>
        </w:rPr>
        <w:t>representantes</w:t>
      </w:r>
      <w:r w:rsidR="005F515A" w:rsidRPr="003B6D40">
        <w:t xml:space="preserve"> hicieron mención</w:t>
      </w:r>
      <w:r w:rsidR="005F515A">
        <w:t xml:space="preserve"> </w:t>
      </w:r>
      <w:r w:rsidR="005F515A" w:rsidRPr="003B6D40">
        <w:t>en su</w:t>
      </w:r>
      <w:r w:rsidR="005F515A">
        <w:t>s argumentos relativos a los derechos a la vida, a la integridad personal, a las garantías judiciales, a los derechos políticos y al derecho a la protección judicial,</w:t>
      </w:r>
      <w:r w:rsidR="005F515A" w:rsidRPr="003B6D40">
        <w:t xml:space="preserve"> a una supuesta violación</w:t>
      </w:r>
      <w:r w:rsidR="005F515A">
        <w:t xml:space="preserve"> </w:t>
      </w:r>
      <w:r w:rsidR="00C4057E">
        <w:t>de dicha norma</w:t>
      </w:r>
      <w:r w:rsidR="005F515A">
        <w:t xml:space="preserve"> de la Convención. </w:t>
      </w:r>
      <w:r>
        <w:t xml:space="preserve">El </w:t>
      </w:r>
      <w:r w:rsidRPr="00972235">
        <w:rPr>
          <w:b/>
          <w:i/>
        </w:rPr>
        <w:t>Estado</w:t>
      </w:r>
      <w:r w:rsidR="00C4057E">
        <w:t>, como ha quedado expuesto en los apartados precedentes, negó su responsabilidad por las violaciones a los derechos indicados</w:t>
      </w:r>
      <w:r w:rsidR="00F50EFA">
        <w:t>. N</w:t>
      </w:r>
      <w:r w:rsidR="00C4057E">
        <w:t xml:space="preserve">o obstante, no realizó consideraciones específicas respecto la obligación de adoptar </w:t>
      </w:r>
      <w:proofErr w:type="gramStart"/>
      <w:r w:rsidR="00C4057E">
        <w:t>medidas esta</w:t>
      </w:r>
      <w:r w:rsidR="004B6954" w:rsidRPr="00137D01">
        <w:t>bl</w:t>
      </w:r>
      <w:r w:rsidR="00C4057E" w:rsidRPr="00137D01">
        <w:t>e</w:t>
      </w:r>
      <w:r w:rsidR="00C4057E">
        <w:t>cida</w:t>
      </w:r>
      <w:proofErr w:type="gramEnd"/>
      <w:r w:rsidR="00C4057E">
        <w:t xml:space="preserve"> por el indicado artículo 2.</w:t>
      </w:r>
    </w:p>
    <w:p w14:paraId="6E993A1D" w14:textId="77777777" w:rsidR="00570D0F" w:rsidRPr="00493F83" w:rsidRDefault="00570D0F" w:rsidP="00972235"/>
    <w:p w14:paraId="56916C74" w14:textId="227979D5" w:rsidR="009F659A" w:rsidRPr="00523E73" w:rsidRDefault="00C4057E" w:rsidP="009F659A">
      <w:pPr>
        <w:pStyle w:val="PrrafodeSentencia"/>
        <w:tabs>
          <w:tab w:val="clear" w:pos="567"/>
          <w:tab w:val="left" w:pos="-426"/>
        </w:tabs>
        <w:ind w:left="0" w:firstLine="0"/>
      </w:pPr>
      <w:r>
        <w:t xml:space="preserve">La </w:t>
      </w:r>
      <w:r w:rsidRPr="00972235">
        <w:rPr>
          <w:b/>
          <w:i/>
        </w:rPr>
        <w:t>Corte</w:t>
      </w:r>
      <w:r>
        <w:t xml:space="preserve"> advierte que los representantes pueden alegar violaciones no señaladas por la Com</w:t>
      </w:r>
      <w:r w:rsidR="00AD03ED">
        <w:t>i</w:t>
      </w:r>
      <w:r>
        <w:t>sión</w:t>
      </w:r>
      <w:r w:rsidR="000D388D" w:rsidRPr="00231F08">
        <w:rPr>
          <w:rStyle w:val="FootnoteReference"/>
          <w:sz w:val="20"/>
          <w:szCs w:val="20"/>
        </w:rPr>
        <w:footnoteReference w:id="225"/>
      </w:r>
      <w:r>
        <w:t xml:space="preserve">. </w:t>
      </w:r>
      <w:r w:rsidR="000D388D">
        <w:t>Este Tribunal nota también que en el presente caso,</w:t>
      </w:r>
      <w:r w:rsidR="005F515A">
        <w:t xml:space="preserve"> más allá de alusiones genéricas sobre el deber estatal de adoptar medidas,</w:t>
      </w:r>
      <w:r w:rsidR="000D388D">
        <w:t xml:space="preserve"> los representantes</w:t>
      </w:r>
      <w:r w:rsidR="005F515A" w:rsidRPr="003B6D40">
        <w:t xml:space="preserve"> no expresaron fundamentos</w:t>
      </w:r>
      <w:r w:rsidR="005F515A">
        <w:t xml:space="preserve"> concretos </w:t>
      </w:r>
      <w:r w:rsidR="00570D0F">
        <w:t>que se distinguieran de su</w:t>
      </w:r>
      <w:r w:rsidR="000D388D">
        <w:t>s</w:t>
      </w:r>
      <w:r w:rsidR="00570D0F">
        <w:t xml:space="preserve"> alegatos sobre la </w:t>
      </w:r>
      <w:proofErr w:type="spellStart"/>
      <w:r w:rsidR="00570D0F">
        <w:t>inobserancia</w:t>
      </w:r>
      <w:proofErr w:type="spellEnd"/>
      <w:r w:rsidR="00570D0F">
        <w:t xml:space="preserve"> del artículo 1.1</w:t>
      </w:r>
      <w:r w:rsidR="000D388D">
        <w:t xml:space="preserve"> de la Convención</w:t>
      </w:r>
      <w:r w:rsidR="005F515A" w:rsidRPr="003B6D40">
        <w:t xml:space="preserve">. Además, </w:t>
      </w:r>
      <w:r w:rsidR="000D388D">
        <w:t>la Corte</w:t>
      </w:r>
      <w:r w:rsidR="005F515A" w:rsidRPr="003B6D40">
        <w:t xml:space="preserve"> no encuentra en el caso motivos para examinar </w:t>
      </w:r>
      <w:r w:rsidR="00570D0F">
        <w:t>los hechos del caso en relación con el artículo 2</w:t>
      </w:r>
      <w:r w:rsidR="000D388D">
        <w:t xml:space="preserve"> del tratado</w:t>
      </w:r>
      <w:r w:rsidR="005F515A" w:rsidRPr="003B6D40">
        <w:t>.</w:t>
      </w:r>
      <w:r w:rsidR="000D388D">
        <w:t xml:space="preserve"> Por ello,</w:t>
      </w:r>
      <w:r w:rsidR="000D388D" w:rsidRPr="00137D01">
        <w:t xml:space="preserve"> </w:t>
      </w:r>
      <w:r w:rsidR="004B6954" w:rsidRPr="00137D01">
        <w:t>considera</w:t>
      </w:r>
      <w:r w:rsidR="000D388D">
        <w:t xml:space="preserve"> que Honduras no violó esa norma.</w:t>
      </w:r>
    </w:p>
    <w:p w14:paraId="01086F13" w14:textId="77777777" w:rsidR="004B326A" w:rsidRPr="009F659A" w:rsidRDefault="004B326A" w:rsidP="009F659A">
      <w:pPr>
        <w:rPr>
          <w:lang w:val="es-CR" w:eastAsia="es-CR"/>
        </w:rPr>
      </w:pPr>
      <w:bookmarkStart w:id="316" w:name="_Toc480742222"/>
      <w:bookmarkStart w:id="317" w:name="_Toc488134463"/>
      <w:bookmarkStart w:id="318" w:name="_Toc489523923"/>
      <w:bookmarkStart w:id="319" w:name="_Toc493512918"/>
    </w:p>
    <w:p w14:paraId="69ACD2FD" w14:textId="6366506B" w:rsidR="00C82C5A" w:rsidRPr="00B31FC6" w:rsidRDefault="00B31FC6" w:rsidP="00B31FC6">
      <w:pPr>
        <w:pStyle w:val="Heading1"/>
        <w:rPr>
          <w:bCs/>
          <w:szCs w:val="20"/>
          <w:lang w:val="es-CR"/>
        </w:rPr>
      </w:pPr>
      <w:bookmarkStart w:id="320" w:name="_Toc498512842"/>
      <w:r w:rsidRPr="00B31FC6">
        <w:rPr>
          <w:bCs/>
          <w:szCs w:val="20"/>
          <w:lang w:val="es-CR"/>
        </w:rPr>
        <w:lastRenderedPageBreak/>
        <w:t>VII</w:t>
      </w:r>
      <w:bookmarkEnd w:id="316"/>
      <w:bookmarkEnd w:id="317"/>
      <w:bookmarkEnd w:id="318"/>
      <w:bookmarkEnd w:id="319"/>
      <w:bookmarkEnd w:id="320"/>
    </w:p>
    <w:p w14:paraId="2627280D" w14:textId="77777777" w:rsidR="00C82C5A" w:rsidRPr="00B31FC6" w:rsidRDefault="00C82C5A" w:rsidP="00B31FC6">
      <w:pPr>
        <w:pStyle w:val="Heading1"/>
        <w:rPr>
          <w:bCs/>
          <w:szCs w:val="20"/>
          <w:lang w:val="es-CR"/>
        </w:rPr>
      </w:pPr>
      <w:bookmarkStart w:id="321" w:name="_Toc480742223"/>
      <w:bookmarkStart w:id="322" w:name="_Toc488134464"/>
      <w:bookmarkStart w:id="323" w:name="_Toc489523924"/>
      <w:bookmarkStart w:id="324" w:name="_Toc493512919"/>
      <w:bookmarkStart w:id="325" w:name="_Toc498512843"/>
      <w:r w:rsidRPr="00B31FC6">
        <w:rPr>
          <w:bCs/>
          <w:szCs w:val="20"/>
          <w:lang w:val="es-CR"/>
        </w:rPr>
        <w:t>REPARACIONES</w:t>
      </w:r>
      <w:bookmarkEnd w:id="321"/>
      <w:bookmarkEnd w:id="322"/>
      <w:bookmarkEnd w:id="323"/>
      <w:bookmarkEnd w:id="324"/>
      <w:bookmarkEnd w:id="325"/>
      <w:r w:rsidRPr="00B31FC6">
        <w:rPr>
          <w:bCs/>
          <w:szCs w:val="20"/>
          <w:lang w:val="es-CR"/>
        </w:rPr>
        <w:t xml:space="preserve"> </w:t>
      </w:r>
    </w:p>
    <w:p w14:paraId="47384307" w14:textId="77777777" w:rsidR="00C82C5A" w:rsidRDefault="00C82C5A" w:rsidP="00C82C5A">
      <w:pPr>
        <w:jc w:val="center"/>
        <w:rPr>
          <w:b/>
          <w:bCs/>
          <w:szCs w:val="20"/>
          <w:lang w:val="es-CR"/>
        </w:rPr>
      </w:pPr>
      <w:r w:rsidRPr="003007DC">
        <w:rPr>
          <w:b/>
          <w:bCs/>
          <w:szCs w:val="20"/>
          <w:lang w:val="es-CR"/>
        </w:rPr>
        <w:t>(Aplicación del artículo 63.1 de la Convención Americana)</w:t>
      </w:r>
    </w:p>
    <w:p w14:paraId="5470483F" w14:textId="77777777" w:rsidR="00C82C5A" w:rsidRPr="00C82C5A" w:rsidRDefault="00C82C5A" w:rsidP="00C82C5A">
      <w:pPr>
        <w:rPr>
          <w:lang w:val="es-CR" w:eastAsia="es-MX"/>
        </w:rPr>
      </w:pPr>
    </w:p>
    <w:p w14:paraId="72907785" w14:textId="77777777" w:rsidR="00C82C5A" w:rsidRDefault="0095595D" w:rsidP="002A776C">
      <w:pPr>
        <w:pStyle w:val="PrrafodeSentencia"/>
        <w:tabs>
          <w:tab w:val="clear" w:pos="567"/>
        </w:tabs>
        <w:ind w:left="0" w:firstLine="0"/>
      </w:pPr>
      <w:r w:rsidRPr="00C82C5A">
        <w:t>Sobre la base de lo dispuesto en el artículo 63.1 de la Convención Americana</w:t>
      </w:r>
      <w:r w:rsidRPr="00580AAA">
        <w:rPr>
          <w:rStyle w:val="FootnoteReference"/>
          <w:sz w:val="20"/>
          <w:szCs w:val="20"/>
        </w:rPr>
        <w:footnoteReference w:id="226"/>
      </w:r>
      <w:r w:rsidRPr="00C82C5A">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7600BE">
        <w:rPr>
          <w:rStyle w:val="FootnoteReference"/>
          <w:sz w:val="20"/>
          <w:szCs w:val="20"/>
        </w:rPr>
        <w:footnoteReference w:id="227"/>
      </w:r>
      <w:r w:rsidRPr="00C82C5A">
        <w:t>.</w:t>
      </w:r>
    </w:p>
    <w:p w14:paraId="2B4612F8" w14:textId="77777777" w:rsidR="00C82C5A" w:rsidRPr="00C82C5A" w:rsidRDefault="00C82C5A" w:rsidP="002A776C">
      <w:pPr>
        <w:rPr>
          <w:lang w:val="es-CR" w:eastAsia="es-MX"/>
        </w:rPr>
      </w:pPr>
    </w:p>
    <w:p w14:paraId="3A526C11" w14:textId="77777777" w:rsidR="005620AA" w:rsidRPr="00C438C1" w:rsidRDefault="005620AA" w:rsidP="002A776C">
      <w:pPr>
        <w:pStyle w:val="PrrafodeSentencia"/>
        <w:tabs>
          <w:tab w:val="clear" w:pos="567"/>
        </w:tabs>
        <w:ind w:left="0" w:firstLine="0"/>
      </w:pPr>
      <w:r w:rsidRPr="00C438C1">
        <w:t>La reparación del daño ocasionado por la infracción de una obligación internacional requiere, siempre que sea posible, la plena restitución (</w:t>
      </w:r>
      <w:proofErr w:type="spellStart"/>
      <w:r w:rsidRPr="00580AAA">
        <w:rPr>
          <w:i/>
        </w:rPr>
        <w:t>restitutio</w:t>
      </w:r>
      <w:proofErr w:type="spellEnd"/>
      <w:r w:rsidRPr="00580AAA">
        <w:rPr>
          <w:i/>
        </w:rPr>
        <w:t xml:space="preserve"> in </w:t>
      </w:r>
      <w:proofErr w:type="spellStart"/>
      <w:r w:rsidRPr="00580AAA">
        <w:rPr>
          <w:i/>
        </w:rPr>
        <w:t>integrum</w:t>
      </w:r>
      <w:proofErr w:type="spellEnd"/>
      <w:r w:rsidRPr="00C438C1">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C438C1">
        <w:rPr>
          <w:rStyle w:val="FootnoteReference"/>
          <w:sz w:val="20"/>
          <w:szCs w:val="20"/>
        </w:rPr>
        <w:footnoteReference w:id="228"/>
      </w:r>
      <w:r w:rsidRPr="00C438C1">
        <w:t>.</w:t>
      </w:r>
    </w:p>
    <w:p w14:paraId="070895F5" w14:textId="77777777" w:rsidR="005620AA" w:rsidRDefault="005620AA" w:rsidP="002A776C">
      <w:pPr>
        <w:pStyle w:val="PrrafodeSentencia"/>
        <w:numPr>
          <w:ilvl w:val="0"/>
          <w:numId w:val="0"/>
        </w:numPr>
        <w:tabs>
          <w:tab w:val="clear" w:pos="567"/>
        </w:tabs>
      </w:pPr>
    </w:p>
    <w:p w14:paraId="6F6D79F2" w14:textId="77777777" w:rsidR="00997D26" w:rsidRDefault="00D16278" w:rsidP="002A776C">
      <w:pPr>
        <w:pStyle w:val="PrrafodeSentencia"/>
        <w:tabs>
          <w:tab w:val="clear" w:pos="567"/>
        </w:tabs>
        <w:ind w:left="0" w:firstLine="0"/>
      </w:pPr>
      <w:r>
        <w:t>Antes de analizar las medidas de reparación procedentes, cabe señalar que l</w:t>
      </w:r>
      <w:r w:rsidR="0095595D" w:rsidRPr="00C82C5A">
        <w:t xml:space="preserve">a Corte ha establecido que las reparaciones deben tener un nexo causal con los hechos del caso, las violaciones </w:t>
      </w:r>
      <w:r w:rsidR="0095595D" w:rsidRPr="005D079B">
        <w:rPr>
          <w:szCs w:val="20"/>
        </w:rPr>
        <w:t>declaradas, los daños acreditados, así como las medidas solicitadas para reparar los daños respectivos</w:t>
      </w:r>
      <w:r w:rsidR="0095595D" w:rsidRPr="00C438C1">
        <w:rPr>
          <w:rStyle w:val="FootnoteReference"/>
          <w:sz w:val="20"/>
          <w:szCs w:val="20"/>
        </w:rPr>
        <w:footnoteReference w:id="229"/>
      </w:r>
      <w:r w:rsidR="0095595D" w:rsidRPr="00C438C1">
        <w:rPr>
          <w:szCs w:val="20"/>
        </w:rPr>
        <w:t>.</w:t>
      </w:r>
      <w:r w:rsidRPr="00C438C1">
        <w:rPr>
          <w:szCs w:val="20"/>
        </w:rPr>
        <w:t xml:space="preserve"> </w:t>
      </w:r>
    </w:p>
    <w:p w14:paraId="55EC1D9E" w14:textId="77777777" w:rsidR="00F70A5C" w:rsidRPr="00F70A5C" w:rsidRDefault="00F70A5C" w:rsidP="002A776C">
      <w:pPr>
        <w:rPr>
          <w:lang w:val="es-CR" w:eastAsia="es-MX"/>
        </w:rPr>
      </w:pPr>
    </w:p>
    <w:p w14:paraId="5E391508" w14:textId="659AF14C" w:rsidR="00C82C5A" w:rsidRPr="00D16278" w:rsidRDefault="00D16278" w:rsidP="002A776C">
      <w:pPr>
        <w:pStyle w:val="PrrafodeSentencia"/>
        <w:tabs>
          <w:tab w:val="clear" w:pos="567"/>
        </w:tabs>
        <w:ind w:left="0" w:firstLine="0"/>
        <w:rPr>
          <w:rFonts w:cs="Arial"/>
          <w:color w:val="1F2121"/>
        </w:rPr>
      </w:pPr>
      <w:proofErr w:type="spellStart"/>
      <w:r>
        <w:t>Asimsimo</w:t>
      </w:r>
      <w:proofErr w:type="spellEnd"/>
      <w:r>
        <w:t>, este Tribunal nota que e</w:t>
      </w:r>
      <w:r w:rsidR="00F85F01">
        <w:t xml:space="preserve">l </w:t>
      </w:r>
      <w:r w:rsidR="00F85F01" w:rsidRPr="005620AA">
        <w:rPr>
          <w:b/>
          <w:i/>
        </w:rPr>
        <w:t>Estado</w:t>
      </w:r>
      <w:r w:rsidR="00E973F0">
        <w:t xml:space="preserve"> </w:t>
      </w:r>
      <w:r w:rsidR="005620AA">
        <w:t>afirmó que</w:t>
      </w:r>
      <w:r w:rsidR="0095595D" w:rsidRPr="00C82C5A">
        <w:t xml:space="preserve"> </w:t>
      </w:r>
      <w:r w:rsidR="00E973F0">
        <w:t>las medidas de reparación solicitadas por los r</w:t>
      </w:r>
      <w:r w:rsidR="00E208E4">
        <w:t xml:space="preserve">epresentantes </w:t>
      </w:r>
      <w:r w:rsidR="0095595D" w:rsidRPr="00C82C5A">
        <w:t>“</w:t>
      </w:r>
      <w:r w:rsidR="0095595D" w:rsidRPr="00E973F0">
        <w:rPr>
          <w:rFonts w:cs="Arial"/>
          <w:color w:val="1F2121"/>
        </w:rPr>
        <w:t>son e</w:t>
      </w:r>
      <w:r w:rsidR="0095595D" w:rsidRPr="00E973F0">
        <w:rPr>
          <w:rFonts w:cs="Arial"/>
          <w:color w:val="4C4D4C"/>
        </w:rPr>
        <w:t>x</w:t>
      </w:r>
      <w:r w:rsidR="0095595D" w:rsidRPr="00E973F0">
        <w:rPr>
          <w:rFonts w:cs="Arial"/>
          <w:color w:val="1F2121"/>
        </w:rPr>
        <w:t>cesivas, reiterativas y constituyen una solicitud de doble reparaci</w:t>
      </w:r>
      <w:r w:rsidR="00E973F0" w:rsidRPr="00E973F0">
        <w:rPr>
          <w:rFonts w:cs="Arial"/>
          <w:color w:val="1F2121"/>
        </w:rPr>
        <w:t>ó</w:t>
      </w:r>
      <w:r w:rsidR="0095595D" w:rsidRPr="00E973F0">
        <w:rPr>
          <w:rFonts w:cs="Arial"/>
          <w:color w:val="1F2121"/>
        </w:rPr>
        <w:t>n al referirse muchas de el</w:t>
      </w:r>
      <w:r w:rsidR="00560879">
        <w:rPr>
          <w:rFonts w:cs="Arial"/>
          <w:color w:val="1F2121"/>
        </w:rPr>
        <w:t>l</w:t>
      </w:r>
      <w:r w:rsidR="0095595D" w:rsidRPr="00E973F0">
        <w:rPr>
          <w:rFonts w:cs="Arial"/>
          <w:color w:val="1F2121"/>
        </w:rPr>
        <w:t>as a los mismos conceptos de violación”</w:t>
      </w:r>
      <w:r w:rsidR="0095595D" w:rsidRPr="00C438C1">
        <w:rPr>
          <w:rStyle w:val="FootnoteReference"/>
          <w:rFonts w:cs="Arial"/>
          <w:color w:val="1F2121"/>
          <w:sz w:val="20"/>
          <w:szCs w:val="20"/>
        </w:rPr>
        <w:footnoteReference w:id="230"/>
      </w:r>
      <w:r w:rsidR="0095595D" w:rsidRPr="005D079B">
        <w:rPr>
          <w:rFonts w:cs="Arial"/>
          <w:color w:val="1F2121"/>
          <w:szCs w:val="20"/>
        </w:rPr>
        <w:t>.</w:t>
      </w:r>
      <w:r w:rsidR="00560879">
        <w:rPr>
          <w:rFonts w:cs="Arial"/>
          <w:color w:val="1F2121"/>
        </w:rPr>
        <w:t xml:space="preserve"> </w:t>
      </w:r>
      <w:r w:rsidRPr="00D16278">
        <w:rPr>
          <w:rFonts w:cs="Arial"/>
          <w:color w:val="1F2121"/>
        </w:rPr>
        <w:t>Más allá de lo anterior, Honduras no se refirió puntualmente a cada una de las medidas de reparación solicitadas, sin perjuicio de algunas consideraciones específicas que se reseñan más adelante.</w:t>
      </w:r>
      <w:r>
        <w:rPr>
          <w:rFonts w:cs="Arial"/>
          <w:color w:val="1F2121"/>
        </w:rPr>
        <w:t xml:space="preserve"> </w:t>
      </w:r>
      <w:r w:rsidR="00560879" w:rsidRPr="00B030A5">
        <w:t xml:space="preserve">La </w:t>
      </w:r>
      <w:r w:rsidR="00560879" w:rsidRPr="00D16278">
        <w:rPr>
          <w:b/>
          <w:i/>
        </w:rPr>
        <w:t>Corte</w:t>
      </w:r>
      <w:r>
        <w:t xml:space="preserve"> destaca que </w:t>
      </w:r>
      <w:r w:rsidR="00560879" w:rsidRPr="00B04405">
        <w:t xml:space="preserve">a fin de lograr una reparación adecuada en relación con el daño sufrido, </w:t>
      </w:r>
      <w:r w:rsidR="00560879">
        <w:t>no está limitad</w:t>
      </w:r>
      <w:r>
        <w:t>a</w:t>
      </w:r>
      <w:r w:rsidR="00560879">
        <w:t xml:space="preserve"> a disponer sólo una medida de reparación por cada una de las violaciones a derechos humanos declaradas en esta Sentencia</w:t>
      </w:r>
      <w:r w:rsidR="00560879" w:rsidRPr="00B04405">
        <w:t xml:space="preserve">. </w:t>
      </w:r>
    </w:p>
    <w:p w14:paraId="4EE8BD8E" w14:textId="77777777" w:rsidR="00F70A5C" w:rsidRPr="00F70A5C" w:rsidRDefault="00F70A5C" w:rsidP="00F70A5C">
      <w:pPr>
        <w:rPr>
          <w:lang w:val="es-CR" w:eastAsia="es-MX"/>
        </w:rPr>
      </w:pPr>
    </w:p>
    <w:p w14:paraId="51BCCEC5" w14:textId="77777777" w:rsidR="00C82C5A" w:rsidRPr="00C82C5A" w:rsidRDefault="00C82C5A" w:rsidP="006D1953">
      <w:pPr>
        <w:pStyle w:val="ListParagraph"/>
        <w:widowControl/>
        <w:numPr>
          <w:ilvl w:val="0"/>
          <w:numId w:val="24"/>
        </w:numPr>
        <w:ind w:left="284" w:right="0" w:hanging="11"/>
        <w:contextualSpacing/>
        <w:outlineLvl w:val="1"/>
        <w:rPr>
          <w:b/>
          <w:i/>
          <w:lang w:val="es-CR"/>
        </w:rPr>
      </w:pPr>
      <w:bookmarkStart w:id="326" w:name="_Toc488134465"/>
      <w:bookmarkStart w:id="327" w:name="_Toc489523925"/>
      <w:bookmarkStart w:id="328" w:name="_Toc493512920"/>
      <w:bookmarkStart w:id="329" w:name="_Toc498512844"/>
      <w:r w:rsidRPr="00C82C5A">
        <w:rPr>
          <w:b/>
          <w:i/>
          <w:lang w:val="es-CR"/>
        </w:rPr>
        <w:t>Parte lesionada</w:t>
      </w:r>
      <w:bookmarkEnd w:id="326"/>
      <w:bookmarkEnd w:id="327"/>
      <w:bookmarkEnd w:id="328"/>
      <w:bookmarkEnd w:id="329"/>
    </w:p>
    <w:p w14:paraId="535541C5" w14:textId="77777777" w:rsidR="00C82C5A" w:rsidRPr="00C82C5A" w:rsidRDefault="00C82C5A" w:rsidP="00C82C5A">
      <w:pPr>
        <w:rPr>
          <w:lang w:val="es-CR" w:eastAsia="es-MX"/>
        </w:rPr>
      </w:pPr>
    </w:p>
    <w:p w14:paraId="08C8F31E" w14:textId="68C40DBA" w:rsidR="002A776C" w:rsidRDefault="0095595D" w:rsidP="002D5A5C">
      <w:pPr>
        <w:pStyle w:val="PrrafodeSentencia"/>
        <w:tabs>
          <w:tab w:val="clear" w:pos="567"/>
          <w:tab w:val="left" w:pos="-426"/>
        </w:tabs>
        <w:ind w:left="0" w:firstLine="0"/>
      </w:pPr>
      <w:r w:rsidRPr="00C82C5A">
        <w:t xml:space="preserve">Se considera parte lesionada, en los términos del artículo 63.1 de la Convención, a </w:t>
      </w:r>
      <w:r w:rsidR="002B7F7C">
        <w:t xml:space="preserve">las personas </w:t>
      </w:r>
      <w:r w:rsidRPr="00C82C5A">
        <w:t xml:space="preserve">quienes han sido </w:t>
      </w:r>
      <w:r w:rsidRPr="00F55A42">
        <w:t xml:space="preserve">declaradas víctimas de la violación de algún derecho consagrado en la misma. Por lo tanto, esta Corte considera como “parte lesionada” a los familiares del señor Pacheco León: </w:t>
      </w:r>
      <w:r w:rsidR="00E73DA0" w:rsidRPr="008A633A">
        <w:rPr>
          <w:rFonts w:eastAsia="Verdana"/>
        </w:rPr>
        <w:t>i) su compañera</w:t>
      </w:r>
      <w:r w:rsidRPr="008A633A">
        <w:rPr>
          <w:rFonts w:eastAsia="Verdana"/>
        </w:rPr>
        <w:t>, Blanca Rosa Herrera</w:t>
      </w:r>
      <w:r w:rsidR="00B95724" w:rsidRPr="008A633A">
        <w:rPr>
          <w:rFonts w:eastAsia="Verdana"/>
        </w:rPr>
        <w:t xml:space="preserve"> Rodríguez</w:t>
      </w:r>
      <w:r w:rsidRPr="008A633A">
        <w:rPr>
          <w:rFonts w:eastAsia="Verdana"/>
        </w:rPr>
        <w:t xml:space="preserve">; </w:t>
      </w:r>
      <w:r w:rsidR="007966C2" w:rsidRPr="008A633A">
        <w:rPr>
          <w:rFonts w:eastAsia="Verdana"/>
        </w:rPr>
        <w:t xml:space="preserve">ii) sus hijos e hijas, </w:t>
      </w:r>
      <w:proofErr w:type="spellStart"/>
      <w:r w:rsidR="007966C2" w:rsidRPr="008A633A">
        <w:rPr>
          <w:rFonts w:eastAsia="Verdana"/>
        </w:rPr>
        <w:t>Jimy</w:t>
      </w:r>
      <w:proofErr w:type="spellEnd"/>
      <w:r w:rsidR="007966C2" w:rsidRPr="008A633A">
        <w:rPr>
          <w:rFonts w:eastAsia="Verdana"/>
        </w:rPr>
        <w:t xml:space="preserve"> </w:t>
      </w:r>
      <w:r w:rsidR="008A633A" w:rsidRPr="008A633A">
        <w:rPr>
          <w:rFonts w:eastAsia="Verdana"/>
        </w:rPr>
        <w:t>Jav</w:t>
      </w:r>
      <w:r w:rsidR="003A3C7B">
        <w:rPr>
          <w:rFonts w:eastAsia="Verdana"/>
        </w:rPr>
        <w:t>i</w:t>
      </w:r>
      <w:r w:rsidR="008A633A" w:rsidRPr="008A633A">
        <w:rPr>
          <w:rFonts w:eastAsia="Verdana"/>
        </w:rPr>
        <w:t xml:space="preserve">er </w:t>
      </w:r>
      <w:r w:rsidR="007966C2" w:rsidRPr="008A633A">
        <w:rPr>
          <w:rFonts w:eastAsia="Verdana"/>
        </w:rPr>
        <w:t>Pacheco</w:t>
      </w:r>
      <w:r w:rsidR="008A633A" w:rsidRPr="008A633A">
        <w:rPr>
          <w:rFonts w:eastAsia="Verdana"/>
        </w:rPr>
        <w:t xml:space="preserve"> Ortiz</w:t>
      </w:r>
      <w:r w:rsidR="007966C2" w:rsidRPr="008A633A">
        <w:rPr>
          <w:rFonts w:eastAsia="Verdana"/>
        </w:rPr>
        <w:t xml:space="preserve">, </w:t>
      </w:r>
      <w:r w:rsidR="006B0460" w:rsidRPr="008A633A">
        <w:rPr>
          <w:rFonts w:eastAsia="Verdana"/>
        </w:rPr>
        <w:t>Miguel</w:t>
      </w:r>
      <w:r w:rsidR="008A633A" w:rsidRPr="008A633A">
        <w:rPr>
          <w:rFonts w:eastAsia="Verdana"/>
        </w:rPr>
        <w:t xml:space="preserve"> Ángel </w:t>
      </w:r>
      <w:r w:rsidR="007966C2" w:rsidRPr="008A633A">
        <w:rPr>
          <w:rFonts w:eastAsia="Verdana"/>
        </w:rPr>
        <w:t xml:space="preserve">Pacheco </w:t>
      </w:r>
      <w:proofErr w:type="spellStart"/>
      <w:r w:rsidR="007966C2" w:rsidRPr="008A633A">
        <w:rPr>
          <w:rFonts w:eastAsia="Verdana"/>
        </w:rPr>
        <w:t>Devincente</w:t>
      </w:r>
      <w:proofErr w:type="spellEnd"/>
      <w:r w:rsidR="007966C2" w:rsidRPr="008A633A">
        <w:rPr>
          <w:rFonts w:eastAsia="Verdana"/>
        </w:rPr>
        <w:t xml:space="preserve">; Cinthia </w:t>
      </w:r>
      <w:proofErr w:type="spellStart"/>
      <w:r w:rsidR="009E425D">
        <w:rPr>
          <w:rFonts w:eastAsia="Verdana"/>
        </w:rPr>
        <w:t>Mirella</w:t>
      </w:r>
      <w:proofErr w:type="spellEnd"/>
      <w:r w:rsidR="009E425D">
        <w:rPr>
          <w:rFonts w:eastAsia="Verdana"/>
        </w:rPr>
        <w:t xml:space="preserve"> </w:t>
      </w:r>
      <w:r w:rsidR="007966C2" w:rsidRPr="008A633A">
        <w:rPr>
          <w:rFonts w:eastAsia="Verdana"/>
        </w:rPr>
        <w:t xml:space="preserve">Pacheco </w:t>
      </w:r>
      <w:proofErr w:type="spellStart"/>
      <w:r w:rsidR="007966C2" w:rsidRPr="008A633A">
        <w:rPr>
          <w:rFonts w:eastAsia="Verdana"/>
        </w:rPr>
        <w:t>Devicente</w:t>
      </w:r>
      <w:proofErr w:type="spellEnd"/>
      <w:r w:rsidR="007966C2" w:rsidRPr="008A633A">
        <w:rPr>
          <w:rFonts w:eastAsia="Verdana"/>
        </w:rPr>
        <w:t xml:space="preserve">, Tania </w:t>
      </w:r>
      <w:r w:rsidR="006B0460" w:rsidRPr="008A633A">
        <w:rPr>
          <w:rFonts w:eastAsia="Verdana"/>
        </w:rPr>
        <w:t xml:space="preserve">Melissa </w:t>
      </w:r>
      <w:r w:rsidR="007966C2" w:rsidRPr="008A633A">
        <w:rPr>
          <w:rFonts w:eastAsia="Verdana"/>
        </w:rPr>
        <w:t xml:space="preserve">Pacheco López, Juan </w:t>
      </w:r>
      <w:r w:rsidR="006B0460" w:rsidRPr="008A633A">
        <w:rPr>
          <w:rFonts w:eastAsia="Verdana"/>
        </w:rPr>
        <w:t xml:space="preserve">Carlos </w:t>
      </w:r>
      <w:r w:rsidR="007966C2" w:rsidRPr="008A633A">
        <w:rPr>
          <w:rFonts w:eastAsia="Verdana"/>
        </w:rPr>
        <w:t xml:space="preserve">Pacheco </w:t>
      </w:r>
      <w:proofErr w:type="spellStart"/>
      <w:r w:rsidR="007966C2" w:rsidRPr="008A633A">
        <w:rPr>
          <w:rFonts w:eastAsia="Verdana"/>
        </w:rPr>
        <w:t>Euceda</w:t>
      </w:r>
      <w:proofErr w:type="spellEnd"/>
      <w:r w:rsidR="007966C2" w:rsidRPr="008A633A">
        <w:rPr>
          <w:rFonts w:eastAsia="Verdana"/>
        </w:rPr>
        <w:t xml:space="preserve"> y Bianca </w:t>
      </w:r>
      <w:proofErr w:type="spellStart"/>
      <w:r w:rsidR="009E425D">
        <w:rPr>
          <w:rFonts w:eastAsia="Verdana"/>
        </w:rPr>
        <w:t>Gisselle</w:t>
      </w:r>
      <w:proofErr w:type="spellEnd"/>
      <w:r w:rsidR="009E425D">
        <w:rPr>
          <w:rFonts w:eastAsia="Verdana"/>
        </w:rPr>
        <w:t xml:space="preserve"> </w:t>
      </w:r>
      <w:r w:rsidR="007966C2" w:rsidRPr="008A633A">
        <w:rPr>
          <w:rFonts w:eastAsia="Verdana"/>
        </w:rPr>
        <w:t>Pacheco Herrera, iii) su madre, Andrea Pacheco</w:t>
      </w:r>
      <w:r w:rsidR="008A633A" w:rsidRPr="008A633A">
        <w:rPr>
          <w:rFonts w:eastAsia="Verdana"/>
        </w:rPr>
        <w:t xml:space="preserve"> López</w:t>
      </w:r>
      <w:r w:rsidR="007966C2" w:rsidRPr="008A633A">
        <w:rPr>
          <w:rFonts w:eastAsia="Verdana"/>
        </w:rPr>
        <w:t xml:space="preserve">, y </w:t>
      </w:r>
      <w:r w:rsidRPr="008A633A">
        <w:rPr>
          <w:rFonts w:eastAsia="Verdana"/>
        </w:rPr>
        <w:t>i</w:t>
      </w:r>
      <w:r w:rsidR="007966C2" w:rsidRPr="008A633A">
        <w:rPr>
          <w:rFonts w:eastAsia="Verdana"/>
        </w:rPr>
        <w:t>v</w:t>
      </w:r>
      <w:r w:rsidRPr="008A633A">
        <w:rPr>
          <w:rFonts w:eastAsia="Verdana"/>
        </w:rPr>
        <w:t xml:space="preserve">) sus hermanos y hermanas </w:t>
      </w:r>
      <w:r w:rsidR="008A633A" w:rsidRPr="008A633A">
        <w:rPr>
          <w:rFonts w:eastAsia="Verdana"/>
        </w:rPr>
        <w:t xml:space="preserve">María </w:t>
      </w:r>
      <w:r w:rsidRPr="008A633A">
        <w:rPr>
          <w:rFonts w:eastAsia="Verdana"/>
        </w:rPr>
        <w:t>Otilia</w:t>
      </w:r>
      <w:r w:rsidR="008A633A" w:rsidRPr="008A633A">
        <w:rPr>
          <w:rFonts w:eastAsia="Verdana"/>
        </w:rPr>
        <w:t xml:space="preserve"> Pacheco</w:t>
      </w:r>
      <w:r w:rsidRPr="008A633A">
        <w:rPr>
          <w:rFonts w:eastAsia="Verdana"/>
        </w:rPr>
        <w:t>, Concepción</w:t>
      </w:r>
      <w:r w:rsidR="008A633A" w:rsidRPr="008A633A">
        <w:rPr>
          <w:rFonts w:eastAsia="Verdana"/>
        </w:rPr>
        <w:t xml:space="preserve"> Pacheco</w:t>
      </w:r>
      <w:r w:rsidRPr="008A633A">
        <w:rPr>
          <w:rFonts w:eastAsia="Verdana"/>
        </w:rPr>
        <w:t>, José</w:t>
      </w:r>
      <w:r w:rsidR="008A633A" w:rsidRPr="008A633A">
        <w:rPr>
          <w:rFonts w:eastAsia="Verdana"/>
        </w:rPr>
        <w:t xml:space="preserve"> Pacheco</w:t>
      </w:r>
      <w:r w:rsidRPr="008A633A">
        <w:rPr>
          <w:rFonts w:eastAsia="Verdana"/>
        </w:rPr>
        <w:t>, Blanca</w:t>
      </w:r>
      <w:r w:rsidR="008A633A" w:rsidRPr="008A633A">
        <w:rPr>
          <w:rFonts w:eastAsia="Verdana"/>
        </w:rPr>
        <w:t xml:space="preserve"> Pacheco</w:t>
      </w:r>
      <w:r w:rsidRPr="008A633A">
        <w:rPr>
          <w:rFonts w:eastAsia="Verdana"/>
        </w:rPr>
        <w:t>, María</w:t>
      </w:r>
      <w:r w:rsidR="006B0460" w:rsidRPr="008A633A">
        <w:rPr>
          <w:rFonts w:eastAsia="Verdana"/>
        </w:rPr>
        <w:t xml:space="preserve"> Regina</w:t>
      </w:r>
      <w:r w:rsidR="008A633A" w:rsidRPr="008A633A">
        <w:rPr>
          <w:rFonts w:eastAsia="Verdana"/>
        </w:rPr>
        <w:t xml:space="preserve"> Pacheco</w:t>
      </w:r>
      <w:r w:rsidRPr="008A633A">
        <w:rPr>
          <w:rFonts w:eastAsia="Verdana"/>
        </w:rPr>
        <w:t>, Francisco</w:t>
      </w:r>
      <w:r w:rsidR="008A633A" w:rsidRPr="008A633A">
        <w:rPr>
          <w:rFonts w:eastAsia="Verdana"/>
        </w:rPr>
        <w:t xml:space="preserve"> Pacheco</w:t>
      </w:r>
      <w:r w:rsidRPr="008A633A">
        <w:rPr>
          <w:rFonts w:eastAsia="Verdana"/>
        </w:rPr>
        <w:t xml:space="preserve">, </w:t>
      </w:r>
      <w:r w:rsidR="008A633A" w:rsidRPr="008A633A">
        <w:rPr>
          <w:rFonts w:eastAsia="Verdana"/>
        </w:rPr>
        <w:t xml:space="preserve">Santos </w:t>
      </w:r>
      <w:r w:rsidRPr="008A633A">
        <w:rPr>
          <w:rFonts w:eastAsia="Verdana"/>
        </w:rPr>
        <w:t>Norma</w:t>
      </w:r>
      <w:r w:rsidR="008A633A" w:rsidRPr="008A633A">
        <w:rPr>
          <w:rFonts w:eastAsia="Verdana"/>
        </w:rPr>
        <w:t xml:space="preserve"> Pacheco</w:t>
      </w:r>
      <w:r w:rsidRPr="008A633A">
        <w:rPr>
          <w:rFonts w:eastAsia="Verdana"/>
        </w:rPr>
        <w:t xml:space="preserve">, </w:t>
      </w:r>
      <w:proofErr w:type="spellStart"/>
      <w:r w:rsidRPr="008A633A">
        <w:rPr>
          <w:rFonts w:eastAsia="Verdana"/>
        </w:rPr>
        <w:t>Marleny</w:t>
      </w:r>
      <w:proofErr w:type="spellEnd"/>
      <w:r w:rsidR="008A633A" w:rsidRPr="008A633A">
        <w:rPr>
          <w:rFonts w:eastAsia="Verdana"/>
        </w:rPr>
        <w:t xml:space="preserve"> Pacheco Posadas</w:t>
      </w:r>
      <w:r w:rsidRPr="008A633A">
        <w:rPr>
          <w:rFonts w:eastAsia="Verdana"/>
        </w:rPr>
        <w:t>,</w:t>
      </w:r>
      <w:r w:rsidR="008A633A" w:rsidRPr="008A633A">
        <w:rPr>
          <w:rFonts w:eastAsia="Verdana"/>
        </w:rPr>
        <w:t xml:space="preserve"> Elsa Y</w:t>
      </w:r>
      <w:r w:rsidRPr="008A633A">
        <w:rPr>
          <w:rFonts w:eastAsia="Verdana"/>
        </w:rPr>
        <w:t>amileth</w:t>
      </w:r>
      <w:r w:rsidR="008A633A" w:rsidRPr="008A633A">
        <w:rPr>
          <w:rFonts w:eastAsia="Verdana"/>
        </w:rPr>
        <w:t xml:space="preserve"> </w:t>
      </w:r>
      <w:proofErr w:type="spellStart"/>
      <w:r w:rsidR="008A633A" w:rsidRPr="008A633A">
        <w:rPr>
          <w:rFonts w:eastAsia="Verdana"/>
        </w:rPr>
        <w:t>Almendarez</w:t>
      </w:r>
      <w:proofErr w:type="spellEnd"/>
      <w:r w:rsidR="008A633A" w:rsidRPr="008A633A">
        <w:rPr>
          <w:rFonts w:eastAsia="Verdana"/>
        </w:rPr>
        <w:t xml:space="preserve"> Pacheco</w:t>
      </w:r>
      <w:r w:rsidRPr="008A633A">
        <w:rPr>
          <w:rFonts w:eastAsia="Verdana"/>
        </w:rPr>
        <w:t>, Jaqueline</w:t>
      </w:r>
      <w:r w:rsidR="008A633A" w:rsidRPr="008A633A">
        <w:rPr>
          <w:rFonts w:eastAsia="Verdana"/>
        </w:rPr>
        <w:t xml:space="preserve"> L. </w:t>
      </w:r>
      <w:proofErr w:type="spellStart"/>
      <w:r w:rsidR="008A633A" w:rsidRPr="008A633A">
        <w:rPr>
          <w:rFonts w:eastAsia="Verdana"/>
        </w:rPr>
        <w:t>Almendarez</w:t>
      </w:r>
      <w:proofErr w:type="spellEnd"/>
      <w:r w:rsidR="008A633A" w:rsidRPr="008A633A">
        <w:rPr>
          <w:rFonts w:eastAsia="Verdana"/>
        </w:rPr>
        <w:t xml:space="preserve"> Pacheco</w:t>
      </w:r>
      <w:r w:rsidRPr="008A633A">
        <w:rPr>
          <w:rFonts w:eastAsia="Verdana"/>
        </w:rPr>
        <w:t xml:space="preserve"> y Jorge</w:t>
      </w:r>
      <w:r w:rsidR="008A633A" w:rsidRPr="008A633A">
        <w:rPr>
          <w:rFonts w:eastAsia="Verdana"/>
        </w:rPr>
        <w:t xml:space="preserve"> Pacheco</w:t>
      </w:r>
      <w:r w:rsidRPr="008A633A">
        <w:rPr>
          <w:rFonts w:eastAsia="Verdana"/>
        </w:rPr>
        <w:t>.</w:t>
      </w:r>
      <w:r w:rsidRPr="00C82C5A">
        <w:rPr>
          <w:rFonts w:eastAsia="Verdana"/>
        </w:rPr>
        <w:t xml:space="preserve"> Tod</w:t>
      </w:r>
      <w:r w:rsidR="002B7F7C">
        <w:rPr>
          <w:rFonts w:eastAsia="Verdana"/>
        </w:rPr>
        <w:t>a</w:t>
      </w:r>
      <w:r w:rsidRPr="00C82C5A">
        <w:rPr>
          <w:rFonts w:eastAsia="Verdana"/>
        </w:rPr>
        <w:t xml:space="preserve">s </w:t>
      </w:r>
      <w:r w:rsidR="002B7F7C">
        <w:rPr>
          <w:rFonts w:eastAsia="Verdana"/>
        </w:rPr>
        <w:t>las personas indicadas</w:t>
      </w:r>
      <w:r w:rsidRPr="00C82C5A">
        <w:rPr>
          <w:rFonts w:eastAsia="Verdana"/>
        </w:rPr>
        <w:t>,</w:t>
      </w:r>
      <w:r w:rsidRPr="00C82C5A">
        <w:t xml:space="preserve"> en su carácter de víctima</w:t>
      </w:r>
      <w:r w:rsidR="002B7F7C">
        <w:t>s</w:t>
      </w:r>
      <w:r w:rsidRPr="00C82C5A">
        <w:t xml:space="preserve"> de las violaciones </w:t>
      </w:r>
      <w:r w:rsidRPr="00C82C5A">
        <w:lastRenderedPageBreak/>
        <w:t>declaradas en e</w:t>
      </w:r>
      <w:r w:rsidR="002B7F7C">
        <w:t>sta Sentencia, serán consideradas beneficiaria</w:t>
      </w:r>
      <w:r w:rsidRPr="00C82C5A">
        <w:t xml:space="preserve">s de las reparaciones que la Corte ordene. </w:t>
      </w:r>
    </w:p>
    <w:p w14:paraId="0838681E" w14:textId="77777777" w:rsidR="008A633A" w:rsidRPr="009A3203" w:rsidRDefault="008A633A" w:rsidP="002D5A5C"/>
    <w:p w14:paraId="750FE5D8" w14:textId="201C19BF" w:rsidR="006B0460" w:rsidRDefault="002A776C" w:rsidP="00231F08">
      <w:pPr>
        <w:pStyle w:val="PrrafodeSentencia"/>
        <w:tabs>
          <w:tab w:val="clear" w:pos="567"/>
          <w:tab w:val="left" w:pos="-426"/>
        </w:tabs>
        <w:ind w:left="0" w:firstLine="0"/>
        <w:rPr>
          <w:szCs w:val="20"/>
        </w:rPr>
      </w:pPr>
      <w:r>
        <w:rPr>
          <w:szCs w:val="20"/>
        </w:rPr>
        <w:t>D</w:t>
      </w:r>
      <w:r w:rsidRPr="002A776C">
        <w:rPr>
          <w:szCs w:val="20"/>
        </w:rPr>
        <w:t xml:space="preserve">ado que el señor </w:t>
      </w:r>
      <w:r w:rsidR="002B7F7C">
        <w:rPr>
          <w:szCs w:val="20"/>
        </w:rPr>
        <w:t xml:space="preserve">Ángel </w:t>
      </w:r>
      <w:r w:rsidRPr="002A776C">
        <w:rPr>
          <w:szCs w:val="20"/>
        </w:rPr>
        <w:t>Pacheco</w:t>
      </w:r>
      <w:r w:rsidR="002B7F7C">
        <w:rPr>
          <w:szCs w:val="20"/>
        </w:rPr>
        <w:t xml:space="preserve"> León</w:t>
      </w:r>
      <w:r w:rsidRPr="002A776C">
        <w:rPr>
          <w:szCs w:val="20"/>
        </w:rPr>
        <w:t xml:space="preserve"> no ha sido declarado víctima, no corresponde considerar aquellos argumentos de las partes y la Comisión que refieran a daños padecidos por él, o que se sustentan sólo en el daño aducido como consecuencia de su muerte o la hipotética lesión a sus derechos políticos</w:t>
      </w:r>
      <w:r w:rsidRPr="00C438C1">
        <w:rPr>
          <w:rStyle w:val="FootnoteReference"/>
          <w:sz w:val="20"/>
          <w:szCs w:val="20"/>
        </w:rPr>
        <w:footnoteReference w:id="231"/>
      </w:r>
      <w:r w:rsidRPr="002A776C">
        <w:rPr>
          <w:szCs w:val="20"/>
        </w:rPr>
        <w:t>.</w:t>
      </w:r>
    </w:p>
    <w:p w14:paraId="74AA27CA" w14:textId="77777777" w:rsidR="006655EA" w:rsidRPr="006655EA" w:rsidRDefault="006655EA" w:rsidP="006655EA">
      <w:pPr>
        <w:rPr>
          <w:lang w:val="es-CR" w:eastAsia="es-MX"/>
        </w:rPr>
      </w:pPr>
    </w:p>
    <w:p w14:paraId="7DF198E2" w14:textId="77777777" w:rsidR="00C82C5A" w:rsidRPr="00C82C5A" w:rsidRDefault="00C82C5A" w:rsidP="006D1953">
      <w:pPr>
        <w:pStyle w:val="ListParagraph"/>
        <w:widowControl/>
        <w:numPr>
          <w:ilvl w:val="0"/>
          <w:numId w:val="24"/>
        </w:numPr>
        <w:ind w:left="284" w:right="0" w:hanging="11"/>
        <w:contextualSpacing/>
        <w:outlineLvl w:val="1"/>
        <w:rPr>
          <w:b/>
          <w:i/>
          <w:lang w:val="es-CR"/>
        </w:rPr>
      </w:pPr>
      <w:bookmarkStart w:id="330" w:name="_Toc488134466"/>
      <w:bookmarkStart w:id="331" w:name="_Toc489523926"/>
      <w:bookmarkStart w:id="332" w:name="_Toc493512921"/>
      <w:bookmarkStart w:id="333" w:name="_Toc498512845"/>
      <w:r w:rsidRPr="00C82C5A">
        <w:rPr>
          <w:b/>
          <w:i/>
          <w:lang w:val="es-CR"/>
        </w:rPr>
        <w:t>Obligación de investigar</w:t>
      </w:r>
      <w:bookmarkEnd w:id="330"/>
      <w:bookmarkEnd w:id="331"/>
      <w:bookmarkEnd w:id="332"/>
      <w:bookmarkEnd w:id="333"/>
    </w:p>
    <w:p w14:paraId="440B86E7" w14:textId="77777777" w:rsidR="005B61E8" w:rsidRDefault="005B61E8" w:rsidP="00C82C5A">
      <w:pPr>
        <w:rPr>
          <w:lang w:val="es-CR" w:eastAsia="es-MX"/>
        </w:rPr>
      </w:pPr>
    </w:p>
    <w:p w14:paraId="3679EDAB" w14:textId="501C06E1" w:rsidR="005B61E8" w:rsidRDefault="005B61E8" w:rsidP="001274DD">
      <w:pPr>
        <w:pStyle w:val="PrrafodeSentencia"/>
        <w:tabs>
          <w:tab w:val="clear" w:pos="567"/>
        </w:tabs>
        <w:ind w:left="0" w:firstLine="0"/>
        <w:rPr>
          <w:b/>
          <w:sz w:val="16"/>
          <w:szCs w:val="16"/>
        </w:rPr>
      </w:pPr>
      <w:r>
        <w:t xml:space="preserve">La </w:t>
      </w:r>
      <w:r w:rsidRPr="00DA18B8">
        <w:rPr>
          <w:b/>
          <w:i/>
        </w:rPr>
        <w:t>Comisión</w:t>
      </w:r>
      <w:r w:rsidRPr="00DA18B8">
        <w:rPr>
          <w:b/>
        </w:rPr>
        <w:t xml:space="preserve"> </w:t>
      </w:r>
      <w:r>
        <w:t xml:space="preserve">solicitó a la Corte que ordene al Estado: a) desarrollar y completar una investigación judicial imparcial, completa y efectiva, de manera expedita para establecer las circunstancias de la muerte del señor Ángel Pacheco León, identificar a todas las personas que participaron material o intelectualmente en los diferentes niveles de decisión y ejecución, esclarecer las estructuras de poder que participaron en la comisión de las violaciones ocurridas, y aplicar las sanciones que correspondan; b) “en el marco de este proceso […] adoptar todas las medidas para proteger a testigos y otros actores del proceso, en caso de que sea necesario”, </w:t>
      </w:r>
      <w:r w:rsidRPr="00DA18B8">
        <w:rPr>
          <w:szCs w:val="20"/>
        </w:rPr>
        <w:t>y</w:t>
      </w:r>
      <w:r w:rsidR="00DA18B8" w:rsidRPr="00DA18B8">
        <w:rPr>
          <w:sz w:val="16"/>
          <w:szCs w:val="16"/>
        </w:rPr>
        <w:t xml:space="preserve"> </w:t>
      </w:r>
      <w:r w:rsidRPr="00DA18B8">
        <w:rPr>
          <w:szCs w:val="20"/>
        </w:rPr>
        <w:t>c)</w:t>
      </w:r>
      <w:r w:rsidRPr="00DA18B8">
        <w:rPr>
          <w:b/>
        </w:rPr>
        <w:t xml:space="preserve"> </w:t>
      </w:r>
      <w:r>
        <w:t>adoptar las medidas administrativas, disciplinarias o penales correspondientes para investigar y, en su caso, sancionar las acciones u omisiones de los funcionarios estatales que contribuyeron a la denegación de justicia e impunidad.</w:t>
      </w:r>
      <w:r w:rsidRPr="00DA18B8">
        <w:rPr>
          <w:b/>
        </w:rPr>
        <w:t xml:space="preserve"> </w:t>
      </w:r>
      <w:r>
        <w:t xml:space="preserve">En lo relativo a las denuncias de amenazas en perjuicio de José Pacheco León y su familia, solicitó que se adopten las medidas necesarias para investigar las posibles fuentes de riesgo y su vinculación con el presente caso. </w:t>
      </w:r>
    </w:p>
    <w:p w14:paraId="38B47332" w14:textId="77777777" w:rsidR="00DA18B8" w:rsidRPr="00DA18B8" w:rsidRDefault="00DA18B8" w:rsidP="00DA18B8">
      <w:pPr>
        <w:rPr>
          <w:lang w:val="es-CR" w:eastAsia="es-MX"/>
        </w:rPr>
      </w:pPr>
    </w:p>
    <w:p w14:paraId="7E9F96A1" w14:textId="444F92EE" w:rsidR="005B61E8" w:rsidRDefault="005B61E8" w:rsidP="001274DD">
      <w:pPr>
        <w:pStyle w:val="PrrafodeSentencia"/>
        <w:tabs>
          <w:tab w:val="clear" w:pos="567"/>
          <w:tab w:val="left" w:pos="708"/>
        </w:tabs>
        <w:ind w:left="0" w:firstLine="0"/>
        <w:rPr>
          <w:b/>
          <w:sz w:val="16"/>
          <w:szCs w:val="16"/>
        </w:rPr>
      </w:pPr>
      <w:r>
        <w:t xml:space="preserve">Los </w:t>
      </w:r>
      <w:r>
        <w:rPr>
          <w:b/>
          <w:i/>
        </w:rPr>
        <w:t>representantes</w:t>
      </w:r>
      <w:r>
        <w:t xml:space="preserve"> manifestaron que “[l]a petición de reparación más importante para las víctimas es que se haga justicia”. Solicitaron que se ordene al Estado que: a) conduzca y concluya, a través de la jurisdicción de derecho común hondureño, una investigación judicial completa, efectiva e imparcial de la muerte del señor Pacheco, con arreglo al debido proceso legal, a fin de identificar a los responsables intelectuales y materiales y sancionarlos penalmente; b) se desmantelen todos los obstáculos de hecho y de derecho que impidan la debida investigación de los hechos en un plazo razonable, y que se utilicen todos los medios disponibles para hacer expedita dicha investigación y los procedimientos respectivos; c) se asegure el pleno acceso y capacidad de actuar de los familiares de las víctimas en todas las etapas de la investigación y el juzgamiento de los responsables en conformidad a la ley interna y las normas de la Convención Americana</w:t>
      </w:r>
      <w:r w:rsidR="00555392">
        <w:t>;</w:t>
      </w:r>
      <w:r w:rsidR="003A3C7B">
        <w:t xml:space="preserve"> </w:t>
      </w:r>
      <w:r>
        <w:t>d)</w:t>
      </w:r>
      <w:r w:rsidR="00555392">
        <w:t xml:space="preserve"> </w:t>
      </w:r>
      <w:r w:rsidR="00555392" w:rsidRPr="00137D01">
        <w:t>que los resultados de los procesos sean públicamente divulgados para que la sociedad hondureña conozca los hechos, así como a los respon</w:t>
      </w:r>
      <w:r w:rsidR="009264DC" w:rsidRPr="00137D01">
        <w:t>sa</w:t>
      </w:r>
      <w:r w:rsidR="00555392" w:rsidRPr="00137D01">
        <w:t>bles, y e)</w:t>
      </w:r>
      <w:r w:rsidRPr="005A79E0">
        <w:rPr>
          <w:b/>
        </w:rPr>
        <w:t xml:space="preserve"> </w:t>
      </w:r>
      <w:r>
        <w:t>en la investigación “se aplique un protocolo especial de investigación como prueba piloto del Protocolo que esta Corte tendrí</w:t>
      </w:r>
      <w:r w:rsidR="00DA18B8">
        <w:t>a la [o]</w:t>
      </w:r>
      <w:proofErr w:type="spellStart"/>
      <w:r w:rsidR="00DA18B8">
        <w:t>portunidad</w:t>
      </w:r>
      <w:proofErr w:type="spellEnd"/>
      <w:r w:rsidR="00DA18B8">
        <w:t xml:space="preserve"> de ordenar”.</w:t>
      </w:r>
    </w:p>
    <w:p w14:paraId="4B6292B4" w14:textId="77777777" w:rsidR="005B61E8" w:rsidRDefault="005B61E8" w:rsidP="005B61E8">
      <w:pPr>
        <w:rPr>
          <w:sz w:val="22"/>
          <w:lang w:eastAsia="es-MX"/>
        </w:rPr>
      </w:pPr>
    </w:p>
    <w:p w14:paraId="447B8436" w14:textId="47DBF7C9" w:rsidR="005B61E8" w:rsidRDefault="005B61E8" w:rsidP="001274DD">
      <w:pPr>
        <w:pStyle w:val="PrrafodeSentencia"/>
        <w:tabs>
          <w:tab w:val="left" w:pos="-142"/>
        </w:tabs>
        <w:ind w:left="0" w:firstLine="0"/>
        <w:rPr>
          <w:rFonts w:cs="Arial"/>
          <w:b/>
          <w:sz w:val="18"/>
          <w:szCs w:val="18"/>
        </w:rPr>
      </w:pPr>
      <w:r>
        <w:t>El</w:t>
      </w:r>
      <w:r w:rsidRPr="00A136F1">
        <w:rPr>
          <w:b/>
          <w:i/>
        </w:rPr>
        <w:t xml:space="preserve"> Estado</w:t>
      </w:r>
      <w:r>
        <w:t xml:space="preserve"> no se refirió a la investigación como medida de reparación, pero en la audiencia pública manifestó </w:t>
      </w:r>
      <w:r w:rsidRPr="00A136F1">
        <w:rPr>
          <w:rFonts w:cs="Arial"/>
        </w:rPr>
        <w:t xml:space="preserve">“su compromiso de continuar realizando investigaciones hasta que se pueda llegar e identificar plenamente a los responsables y los familiares obtengan el derecho a la verdad”. </w:t>
      </w:r>
    </w:p>
    <w:p w14:paraId="41A8D9D1" w14:textId="77777777" w:rsidR="00A136F1" w:rsidRPr="00A136F1" w:rsidRDefault="00A136F1" w:rsidP="00A136F1">
      <w:pPr>
        <w:rPr>
          <w:lang w:val="es-CR" w:eastAsia="es-MX"/>
        </w:rPr>
      </w:pPr>
    </w:p>
    <w:p w14:paraId="518BE681" w14:textId="5A37932A" w:rsidR="005B61E8" w:rsidRDefault="005B61E8" w:rsidP="001274DD">
      <w:pPr>
        <w:pStyle w:val="PrrafodeSentencia"/>
        <w:tabs>
          <w:tab w:val="left" w:pos="-142"/>
        </w:tabs>
        <w:ind w:left="0" w:firstLine="0"/>
      </w:pPr>
      <w:r>
        <w:t xml:space="preserve">La </w:t>
      </w:r>
      <w:r>
        <w:rPr>
          <w:b/>
          <w:i/>
        </w:rPr>
        <w:t>Corte</w:t>
      </w:r>
      <w:r>
        <w:rPr>
          <w:b/>
        </w:rPr>
        <w:t xml:space="preserve"> </w:t>
      </w:r>
      <w:r w:rsidR="00C05C12">
        <w:rPr>
          <w:color w:val="000000"/>
        </w:rPr>
        <w:t>concluyó</w:t>
      </w:r>
      <w:r>
        <w:rPr>
          <w:color w:val="000000"/>
        </w:rPr>
        <w:t xml:space="preserve"> en la presente Sentencia que el Estado es responsable de la violación del derecho a acceso a la justicia de los familiares del señor Pacheco León, dado que Honduras incumplió su obligación de investigar su muerte con la debida diligencia en un plazo razonable. Por ello, ordena al Estado que, de conformidad con su derecho interno</w:t>
      </w:r>
      <w:r w:rsidR="00920B41">
        <w:rPr>
          <w:color w:val="000000"/>
        </w:rPr>
        <w:t>, adopte las medidas necesarias para</w:t>
      </w:r>
      <w:r w:rsidR="00231F08">
        <w:rPr>
          <w:color w:val="000000"/>
        </w:rPr>
        <w:t>:</w:t>
      </w:r>
      <w:r w:rsidR="00920B41">
        <w:rPr>
          <w:color w:val="000000"/>
        </w:rPr>
        <w:t xml:space="preserve"> a) </w:t>
      </w:r>
      <w:r>
        <w:rPr>
          <w:color w:val="000000"/>
        </w:rPr>
        <w:t>continuar la investigación</w:t>
      </w:r>
      <w:r w:rsidR="00920B41">
        <w:rPr>
          <w:color w:val="000000"/>
        </w:rPr>
        <w:t>, desarrollándola en un plazo razonable,</w:t>
      </w:r>
      <w:r>
        <w:rPr>
          <w:color w:val="000000"/>
        </w:rPr>
        <w:t xml:space="preserve"> a fin de individualizar, </w:t>
      </w:r>
      <w:r>
        <w:rPr>
          <w:color w:val="000000"/>
        </w:rPr>
        <w:lastRenderedPageBreak/>
        <w:t>juzgar y, en su caso, sancionar a todos los responsables de los hec</w:t>
      </w:r>
      <w:r w:rsidR="00920B41">
        <w:rPr>
          <w:color w:val="000000"/>
        </w:rPr>
        <w:t xml:space="preserve">hos; b) </w:t>
      </w:r>
      <w:r>
        <w:rPr>
          <w:color w:val="000000"/>
        </w:rPr>
        <w:t>posibilit</w:t>
      </w:r>
      <w:r w:rsidR="00920B41">
        <w:rPr>
          <w:color w:val="000000"/>
        </w:rPr>
        <w:t>ar</w:t>
      </w:r>
      <w:r>
        <w:rPr>
          <w:color w:val="000000"/>
        </w:rPr>
        <w:t xml:space="preserve"> la participación de las personas declaradas víctimas en el presente caso</w:t>
      </w:r>
      <w:r w:rsidR="00920B41">
        <w:rPr>
          <w:color w:val="000000"/>
        </w:rPr>
        <w:t xml:space="preserve"> en la investigación</w:t>
      </w:r>
      <w:r>
        <w:rPr>
          <w:color w:val="000000"/>
        </w:rPr>
        <w:t>, así como que las mismas, por sí o por sus representantes legales, accedan a información sobre las actuaciones que se desarrollen; c)</w:t>
      </w:r>
      <w:r w:rsidRPr="005B61E8">
        <w:rPr>
          <w:color w:val="000000"/>
        </w:rPr>
        <w:t xml:space="preserve"> </w:t>
      </w:r>
      <w:r w:rsidRPr="00972235">
        <w:t>asegur</w:t>
      </w:r>
      <w:r w:rsidR="00920B41">
        <w:t>ar</w:t>
      </w:r>
      <w:r w:rsidRPr="00972235">
        <w:t xml:space="preserve"> que </w:t>
      </w:r>
      <w:r w:rsidRPr="00972235">
        <w:rPr>
          <w:rFonts w:cs="TimesNewRomanPSMT"/>
          <w:lang w:bidi="en-US"/>
        </w:rPr>
        <w:t>los distintos órganos del sistema de justicia involucrados en el caso cuenten con los recursos humanos y materiales necesarios para desempeñar sus tareas de manera adecuada, independiente e imparcial y que las personas que participen en la investigación, entre ellas víctimas, testigos y operadores de justicia, cuenten con las debidas garantías de seguridad</w:t>
      </w:r>
      <w:r w:rsidRPr="005B61E8">
        <w:t>.</w:t>
      </w:r>
      <w:r>
        <w:t xml:space="preserve"> </w:t>
      </w:r>
    </w:p>
    <w:p w14:paraId="7F16C95D" w14:textId="77777777" w:rsidR="005B61E8" w:rsidRPr="004923DC" w:rsidRDefault="005B61E8" w:rsidP="005B61E8">
      <w:pPr>
        <w:rPr>
          <w:lang w:eastAsia="es-MX"/>
        </w:rPr>
      </w:pPr>
    </w:p>
    <w:p w14:paraId="0D63DFF2" w14:textId="4EC95B80" w:rsidR="000874BF" w:rsidRPr="00695C09" w:rsidRDefault="004923DC" w:rsidP="001274DD">
      <w:pPr>
        <w:pStyle w:val="PrrafodeSentencia"/>
        <w:tabs>
          <w:tab w:val="left" w:pos="-426"/>
        </w:tabs>
        <w:ind w:left="0" w:firstLine="0"/>
        <w:rPr>
          <w:color w:val="000000"/>
        </w:rPr>
      </w:pPr>
      <w:r w:rsidRPr="00695C09">
        <w:rPr>
          <w:lang w:val="es-MX"/>
        </w:rPr>
        <w:t>D</w:t>
      </w:r>
      <w:proofErr w:type="spellStart"/>
      <w:r w:rsidR="005B61E8" w:rsidRPr="00695C09">
        <w:t>ada</w:t>
      </w:r>
      <w:proofErr w:type="spellEnd"/>
      <w:r w:rsidR="005B61E8" w:rsidRPr="00695C09">
        <w:rPr>
          <w:b/>
        </w:rPr>
        <w:t xml:space="preserve"> </w:t>
      </w:r>
      <w:r w:rsidR="005B61E8" w:rsidRPr="00695C09">
        <w:t xml:space="preserve">la trascendencia de la muerte del señor Pacheco León, y el interés público del caso dado el posible vínculo de ese hecho con su actividad política, la Corte ordena al Estado que una vez que se concluya </w:t>
      </w:r>
      <w:r w:rsidR="005B61E8" w:rsidRPr="00695C09">
        <w:rPr>
          <w:color w:val="000000"/>
        </w:rPr>
        <w:t>definitivamente los procedimientos de investigación y, en su caso, los procesos penales correspondientes, el resultado de dichos procedimientos o procesos sea difundido públicamente</w:t>
      </w:r>
      <w:r w:rsidR="00C05C12" w:rsidRPr="00695C09">
        <w:rPr>
          <w:rStyle w:val="FootnoteReference"/>
          <w:color w:val="000000"/>
          <w:sz w:val="20"/>
          <w:szCs w:val="20"/>
        </w:rPr>
        <w:footnoteReference w:id="232"/>
      </w:r>
      <w:r w:rsidR="005B61E8" w:rsidRPr="00695C09">
        <w:rPr>
          <w:color w:val="000000"/>
        </w:rPr>
        <w:t xml:space="preserve">. Dicha medida deberá cumplirse </w:t>
      </w:r>
      <w:r w:rsidR="00A136F1" w:rsidRPr="00695C09">
        <w:rPr>
          <w:color w:val="000000"/>
        </w:rPr>
        <w:t>en un plazo de seis meses contados</w:t>
      </w:r>
      <w:r w:rsidR="005B61E8" w:rsidRPr="00695C09">
        <w:rPr>
          <w:color w:val="000000"/>
        </w:rPr>
        <w:t xml:space="preserve"> desde la conclusión definitiva de los procedimientos y procesos indicados. </w:t>
      </w:r>
      <w:r w:rsidR="00695C09">
        <w:rPr>
          <w:color w:val="000000"/>
        </w:rPr>
        <w:t>Esta medida no se supervisará.</w:t>
      </w:r>
    </w:p>
    <w:p w14:paraId="716C3E66" w14:textId="77777777" w:rsidR="000874BF" w:rsidRPr="000874BF" w:rsidRDefault="000874BF" w:rsidP="000874BF">
      <w:pPr>
        <w:rPr>
          <w:lang w:val="es-CR" w:eastAsia="es-MX"/>
        </w:rPr>
      </w:pPr>
    </w:p>
    <w:p w14:paraId="2DB3E29C" w14:textId="5A7BB3FE" w:rsidR="00A136F1" w:rsidRPr="000874BF" w:rsidRDefault="004923DC" w:rsidP="001274DD">
      <w:pPr>
        <w:pStyle w:val="PrrafodeSentencia"/>
        <w:tabs>
          <w:tab w:val="left" w:pos="-426"/>
        </w:tabs>
        <w:ind w:left="0" w:firstLine="0"/>
        <w:rPr>
          <w:color w:val="000000"/>
        </w:rPr>
      </w:pPr>
      <w:r w:rsidRPr="000874BF">
        <w:rPr>
          <w:szCs w:val="20"/>
          <w:lang w:val="es-EC"/>
        </w:rPr>
        <w:t>Además, en</w:t>
      </w:r>
      <w:r w:rsidR="00A136F1" w:rsidRPr="000874BF">
        <w:rPr>
          <w:szCs w:val="20"/>
          <w:lang w:val="es-EC"/>
        </w:rPr>
        <w:t xml:space="preserve"> el presente caso la Corte constató que la investigación de los hechos no ha concluido después </w:t>
      </w:r>
      <w:r w:rsidR="00114820" w:rsidRPr="000874BF">
        <w:rPr>
          <w:szCs w:val="20"/>
          <w:lang w:val="es-EC"/>
        </w:rPr>
        <w:t xml:space="preserve">de </w:t>
      </w:r>
      <w:r w:rsidR="00437D27" w:rsidRPr="000874BF">
        <w:rPr>
          <w:szCs w:val="20"/>
          <w:lang w:val="es-EC"/>
        </w:rPr>
        <w:t>cerca de dieciséis años</w:t>
      </w:r>
      <w:r w:rsidR="00A136F1" w:rsidRPr="000874BF">
        <w:rPr>
          <w:szCs w:val="20"/>
          <w:lang w:val="es-EC"/>
        </w:rPr>
        <w:t xml:space="preserve"> de ocurridos, este Tribunal considera que como fo</w:t>
      </w:r>
      <w:r w:rsidR="00F27F0B" w:rsidRPr="000874BF">
        <w:rPr>
          <w:szCs w:val="20"/>
          <w:lang w:val="es-EC"/>
        </w:rPr>
        <w:t>rma de combatir la impunidad, ordena al</w:t>
      </w:r>
      <w:r w:rsidR="00A136F1" w:rsidRPr="000874BF">
        <w:rPr>
          <w:szCs w:val="20"/>
          <w:lang w:val="es-EC"/>
        </w:rPr>
        <w:t xml:space="preserve"> Estado </w:t>
      </w:r>
      <w:r w:rsidR="000C70C2" w:rsidRPr="000874BF">
        <w:rPr>
          <w:szCs w:val="20"/>
          <w:lang w:val="es-EC"/>
        </w:rPr>
        <w:t>investigar</w:t>
      </w:r>
      <w:r w:rsidR="00F50EFA">
        <w:rPr>
          <w:szCs w:val="20"/>
          <w:lang w:val="es-EC"/>
        </w:rPr>
        <w:t xml:space="preserve">, </w:t>
      </w:r>
      <w:r w:rsidR="00F50EFA" w:rsidRPr="00557544">
        <w:rPr>
          <w:szCs w:val="20"/>
          <w:lang w:val="es-EC"/>
        </w:rPr>
        <w:t xml:space="preserve">en un plazo </w:t>
      </w:r>
      <w:r w:rsidR="00E4604C" w:rsidRPr="00557544">
        <w:rPr>
          <w:szCs w:val="20"/>
          <w:lang w:val="es-EC"/>
        </w:rPr>
        <w:t>razonable</w:t>
      </w:r>
      <w:r w:rsidR="00F50EFA" w:rsidRPr="00557544">
        <w:rPr>
          <w:szCs w:val="20"/>
          <w:lang w:val="es-EC"/>
        </w:rPr>
        <w:t>,</w:t>
      </w:r>
      <w:r w:rsidR="00575F08" w:rsidRPr="000874BF">
        <w:rPr>
          <w:szCs w:val="20"/>
          <w:lang w:val="es-EC"/>
        </w:rPr>
        <w:t xml:space="preserve"> las causas del retraso procesal y, de ser pertinente,</w:t>
      </w:r>
      <w:r w:rsidR="00A136F1" w:rsidRPr="000874BF">
        <w:rPr>
          <w:szCs w:val="20"/>
          <w:lang w:val="es-EC"/>
        </w:rPr>
        <w:t xml:space="preserve"> a los funciona</w:t>
      </w:r>
      <w:r w:rsidRPr="000874BF">
        <w:rPr>
          <w:szCs w:val="20"/>
          <w:lang w:val="es-EC"/>
        </w:rPr>
        <w:t>rios involucrados en la</w:t>
      </w:r>
      <w:r w:rsidR="00A136F1" w:rsidRPr="000874BF">
        <w:rPr>
          <w:szCs w:val="20"/>
          <w:lang w:val="es-EC"/>
        </w:rPr>
        <w:t xml:space="preserve"> investigación de caso, y luego de un debido proceso, aplicar las sanciones administrativas, disciplinarias o penales correspondientes a quienes fueran encontrados responsables.</w:t>
      </w:r>
    </w:p>
    <w:p w14:paraId="02C781CE" w14:textId="34C28801" w:rsidR="005B61E8" w:rsidRPr="004923DC" w:rsidRDefault="005B61E8" w:rsidP="004923DC">
      <w:pPr>
        <w:rPr>
          <w:szCs w:val="20"/>
          <w:lang w:val="es-EC"/>
        </w:rPr>
      </w:pPr>
    </w:p>
    <w:p w14:paraId="3ACB5D41" w14:textId="38BE857D" w:rsidR="005B61E8" w:rsidRDefault="005B61E8" w:rsidP="001274DD">
      <w:pPr>
        <w:pStyle w:val="PrrafodeSentencia"/>
        <w:tabs>
          <w:tab w:val="left" w:pos="-142"/>
        </w:tabs>
        <w:ind w:left="0" w:firstLine="0"/>
        <w:rPr>
          <w:color w:val="000000"/>
        </w:rPr>
      </w:pPr>
      <w:r>
        <w:rPr>
          <w:color w:val="000000"/>
        </w:rPr>
        <w:t>La Corte no ha determinado violacio</w:t>
      </w:r>
      <w:r w:rsidR="002D61D5">
        <w:rPr>
          <w:color w:val="000000"/>
        </w:rPr>
        <w:t>nes a la Convención a partir de:</w:t>
      </w:r>
      <w:r>
        <w:rPr>
          <w:color w:val="000000"/>
        </w:rPr>
        <w:t xml:space="preserve"> </w:t>
      </w:r>
      <w:r w:rsidR="007229D1">
        <w:rPr>
          <w:color w:val="000000"/>
        </w:rPr>
        <w:t>a</w:t>
      </w:r>
      <w:r>
        <w:rPr>
          <w:color w:val="000000"/>
        </w:rPr>
        <w:t>) las presuntas amenazas que habría recibido</w:t>
      </w:r>
      <w:r w:rsidR="007229D1">
        <w:rPr>
          <w:color w:val="000000"/>
        </w:rPr>
        <w:t xml:space="preserve"> el señor José Pacheco León, </w:t>
      </w:r>
      <w:r w:rsidR="007229D1" w:rsidRPr="0063422C">
        <w:rPr>
          <w:color w:val="000000"/>
        </w:rPr>
        <w:t>y b</w:t>
      </w:r>
      <w:r w:rsidRPr="0063422C">
        <w:rPr>
          <w:color w:val="000000"/>
        </w:rPr>
        <w:t>) supuestas deficiencias normativas o estructurales en relación con la investigación penal</w:t>
      </w:r>
      <w:r w:rsidR="006E29A4" w:rsidRPr="0063422C">
        <w:rPr>
          <w:color w:val="000000"/>
        </w:rPr>
        <w:t>.</w:t>
      </w:r>
      <w:r w:rsidR="006E29A4">
        <w:rPr>
          <w:color w:val="000000"/>
        </w:rPr>
        <w:t xml:space="preserve"> Por lo tanto, rechaza la</w:t>
      </w:r>
      <w:r w:rsidR="0063422C">
        <w:rPr>
          <w:color w:val="000000"/>
        </w:rPr>
        <w:t>s</w:t>
      </w:r>
      <w:r w:rsidR="006E29A4">
        <w:rPr>
          <w:color w:val="000000"/>
        </w:rPr>
        <w:t xml:space="preserve"> solicitud</w:t>
      </w:r>
      <w:r w:rsidR="0063422C">
        <w:rPr>
          <w:color w:val="000000"/>
        </w:rPr>
        <w:t>es</w:t>
      </w:r>
      <w:r w:rsidR="006E29A4">
        <w:rPr>
          <w:color w:val="000000"/>
        </w:rPr>
        <w:t xml:space="preserve"> </w:t>
      </w:r>
      <w:r w:rsidR="0063422C">
        <w:rPr>
          <w:color w:val="000000"/>
        </w:rPr>
        <w:t>vinculadas a estos puntos.</w:t>
      </w:r>
    </w:p>
    <w:p w14:paraId="7561B5EC" w14:textId="77777777" w:rsidR="006E29A4" w:rsidRPr="001D0170" w:rsidRDefault="006E29A4" w:rsidP="001D0170">
      <w:pPr>
        <w:outlineLvl w:val="1"/>
        <w:rPr>
          <w:i/>
          <w:lang w:val="es-CR"/>
        </w:rPr>
      </w:pPr>
    </w:p>
    <w:p w14:paraId="77217D22" w14:textId="77777777" w:rsidR="00C82C5A" w:rsidRPr="00B31FC6" w:rsidRDefault="00C82C5A" w:rsidP="006D1953">
      <w:pPr>
        <w:pStyle w:val="ListParagraph"/>
        <w:widowControl/>
        <w:numPr>
          <w:ilvl w:val="0"/>
          <w:numId w:val="24"/>
        </w:numPr>
        <w:autoSpaceDE/>
        <w:autoSpaceDN/>
        <w:adjustRightInd/>
        <w:spacing w:line="276" w:lineRule="auto"/>
        <w:ind w:left="284" w:right="0" w:firstLine="0"/>
        <w:contextualSpacing/>
        <w:jc w:val="left"/>
        <w:outlineLvl w:val="1"/>
        <w:rPr>
          <w:b/>
          <w:i/>
          <w:lang w:val="es-CR"/>
        </w:rPr>
      </w:pPr>
      <w:bookmarkStart w:id="334" w:name="_Toc493512922"/>
      <w:bookmarkStart w:id="335" w:name="_Toc498512846"/>
      <w:bookmarkStart w:id="336" w:name="_Toc488134467"/>
      <w:bookmarkStart w:id="337" w:name="_Toc489523927"/>
      <w:r w:rsidRPr="00B31FC6">
        <w:rPr>
          <w:b/>
          <w:i/>
          <w:lang w:val="es-CR"/>
        </w:rPr>
        <w:t>Medida</w:t>
      </w:r>
      <w:r w:rsidR="009A272E">
        <w:rPr>
          <w:b/>
          <w:i/>
          <w:lang w:val="es-CR"/>
        </w:rPr>
        <w:t xml:space="preserve"> de</w:t>
      </w:r>
      <w:r w:rsidRPr="00B31FC6">
        <w:rPr>
          <w:b/>
          <w:i/>
          <w:lang w:val="es-CR"/>
        </w:rPr>
        <w:t xml:space="preserve"> satisfacción</w:t>
      </w:r>
      <w:bookmarkEnd w:id="334"/>
      <w:bookmarkEnd w:id="335"/>
      <w:r w:rsidRPr="00B31FC6">
        <w:rPr>
          <w:b/>
          <w:i/>
          <w:lang w:val="es-CR"/>
        </w:rPr>
        <w:t xml:space="preserve"> </w:t>
      </w:r>
      <w:bookmarkEnd w:id="336"/>
      <w:bookmarkEnd w:id="337"/>
    </w:p>
    <w:p w14:paraId="5ACA8333" w14:textId="77777777" w:rsidR="00C82C5A" w:rsidRPr="00C82C5A" w:rsidRDefault="00C82C5A" w:rsidP="001274DD">
      <w:pPr>
        <w:rPr>
          <w:lang w:val="es-CR" w:eastAsia="es-MX"/>
        </w:rPr>
      </w:pPr>
    </w:p>
    <w:p w14:paraId="2618337D" w14:textId="103FC8B5" w:rsidR="00487F76" w:rsidRPr="00C52BDF" w:rsidRDefault="0095595D" w:rsidP="001274DD">
      <w:pPr>
        <w:pStyle w:val="PrrafodeSentencia"/>
        <w:ind w:left="0" w:firstLine="0"/>
      </w:pPr>
      <w:r w:rsidRPr="00C82C5A">
        <w:t xml:space="preserve">La </w:t>
      </w:r>
      <w:r w:rsidRPr="006C2F4F">
        <w:rPr>
          <w:b/>
          <w:i/>
        </w:rPr>
        <w:t>Comisión</w:t>
      </w:r>
      <w:r w:rsidRPr="00C52BDF">
        <w:t xml:space="preserve"> </w:t>
      </w:r>
      <w:r w:rsidR="004C2CBF" w:rsidRPr="006E29A4">
        <w:t>no se refirió expresamente a este tipo de medidas</w:t>
      </w:r>
      <w:r w:rsidR="004C2CBF" w:rsidRPr="006E29A4">
        <w:rPr>
          <w:i/>
        </w:rPr>
        <w:t xml:space="preserve"> </w:t>
      </w:r>
      <w:r w:rsidRPr="00C82C5A">
        <w:t>(</w:t>
      </w:r>
      <w:r w:rsidRPr="001F6C0C">
        <w:rPr>
          <w:i/>
        </w:rPr>
        <w:t>supra</w:t>
      </w:r>
      <w:r w:rsidRPr="00C82C5A">
        <w:t xml:space="preserve"> </w:t>
      </w:r>
      <w:proofErr w:type="spellStart"/>
      <w:r w:rsidRPr="00C82C5A">
        <w:t>párr</w:t>
      </w:r>
      <w:r w:rsidR="00C83315">
        <w:t>s</w:t>
      </w:r>
      <w:proofErr w:type="spellEnd"/>
      <w:r w:rsidRPr="00C82C5A">
        <w:t xml:space="preserve">. </w:t>
      </w:r>
      <w:r w:rsidR="00C83315">
        <w:t>2 y 4</w:t>
      </w:r>
      <w:r w:rsidRPr="00C82C5A">
        <w:t xml:space="preserve">). </w:t>
      </w:r>
    </w:p>
    <w:p w14:paraId="097C14D6" w14:textId="77777777" w:rsidR="00487F76" w:rsidRPr="00487F76" w:rsidRDefault="00487F76" w:rsidP="002A776C">
      <w:pPr>
        <w:tabs>
          <w:tab w:val="left" w:pos="-426"/>
        </w:tabs>
        <w:rPr>
          <w:lang w:val="es-CR" w:eastAsia="es-MX"/>
        </w:rPr>
      </w:pPr>
    </w:p>
    <w:p w14:paraId="783801B9" w14:textId="7C636ADC" w:rsidR="003B7BBD" w:rsidRDefault="0095595D" w:rsidP="002A776C">
      <w:pPr>
        <w:pStyle w:val="PrrafodeSentencia"/>
        <w:tabs>
          <w:tab w:val="clear" w:pos="567"/>
          <w:tab w:val="left" w:pos="-426"/>
        </w:tabs>
        <w:ind w:left="0" w:firstLine="0"/>
        <w:rPr>
          <w:b/>
          <w:sz w:val="16"/>
          <w:szCs w:val="16"/>
        </w:rPr>
      </w:pPr>
      <w:r w:rsidRPr="00487F76">
        <w:t xml:space="preserve">Los </w:t>
      </w:r>
      <w:r w:rsidRPr="00487F76">
        <w:rPr>
          <w:b/>
          <w:i/>
        </w:rPr>
        <w:t>representantes</w:t>
      </w:r>
      <w:r w:rsidRPr="00487F76">
        <w:t xml:space="preserve"> solicitaron que se ordene al Estado</w:t>
      </w:r>
      <w:r w:rsidR="003A3C7B">
        <w:t xml:space="preserve"> </w:t>
      </w:r>
      <w:r w:rsidRPr="00487F76">
        <w:rPr>
          <w:rFonts w:cs="Arial"/>
        </w:rPr>
        <w:t>“la publicación en un plazo de 6 meses de, por lo menos, las secciones de contexto y hechos probados, así como la parte resolutiva de la sentencia en el Diario Oficial la Ga</w:t>
      </w:r>
      <w:r w:rsidR="00C0775A">
        <w:rPr>
          <w:rFonts w:cs="Arial"/>
        </w:rPr>
        <w:t>c</w:t>
      </w:r>
      <w:r w:rsidRPr="00487F76">
        <w:rPr>
          <w:rFonts w:cs="Arial"/>
        </w:rPr>
        <w:t>eta, al menos</w:t>
      </w:r>
      <w:r w:rsidR="003A3C7B">
        <w:rPr>
          <w:rFonts w:cs="Arial"/>
        </w:rPr>
        <w:t xml:space="preserve"> en</w:t>
      </w:r>
      <w:r w:rsidRPr="00487F76">
        <w:rPr>
          <w:rFonts w:cs="Arial"/>
        </w:rPr>
        <w:t xml:space="preserve"> dos diarios de circulación nacional y en diarios locales de la región de Valle”</w:t>
      </w:r>
      <w:r w:rsidRPr="00487F76">
        <w:t>.</w:t>
      </w:r>
      <w:r w:rsidR="003B7BBD" w:rsidRPr="00487F76">
        <w:t xml:space="preserve"> </w:t>
      </w:r>
    </w:p>
    <w:p w14:paraId="17A707F3" w14:textId="77777777" w:rsidR="003B7BBD" w:rsidRPr="003B7BBD" w:rsidRDefault="003B7BBD" w:rsidP="002A776C">
      <w:pPr>
        <w:tabs>
          <w:tab w:val="left" w:pos="-426"/>
        </w:tabs>
        <w:rPr>
          <w:lang w:val="es-CR" w:eastAsia="es-MX"/>
        </w:rPr>
      </w:pPr>
    </w:p>
    <w:p w14:paraId="7DE8C4EC" w14:textId="2055AB57" w:rsidR="003B7BBD" w:rsidRPr="00C438C1" w:rsidRDefault="003B7BBD" w:rsidP="002A776C">
      <w:pPr>
        <w:pStyle w:val="PrrafodeSentencia"/>
        <w:tabs>
          <w:tab w:val="clear" w:pos="567"/>
          <w:tab w:val="left" w:pos="-426"/>
        </w:tabs>
        <w:ind w:left="0" w:firstLine="0"/>
        <w:rPr>
          <w:rFonts w:cs="Arial"/>
        </w:rPr>
      </w:pPr>
      <w:r w:rsidRPr="00C438C1">
        <w:rPr>
          <w:rFonts w:cs="Arial"/>
        </w:rPr>
        <w:t xml:space="preserve">El </w:t>
      </w:r>
      <w:r w:rsidRPr="00C438C1">
        <w:rPr>
          <w:rFonts w:cs="Arial"/>
          <w:b/>
          <w:i/>
        </w:rPr>
        <w:t>Estado</w:t>
      </w:r>
      <w:r w:rsidRPr="00C438C1">
        <w:rPr>
          <w:rFonts w:cs="Arial"/>
        </w:rPr>
        <w:t>, en su contestación y escritos finales</w:t>
      </w:r>
      <w:r w:rsidR="00D61549" w:rsidRPr="00C438C1">
        <w:rPr>
          <w:rFonts w:cs="Arial"/>
        </w:rPr>
        <w:t>,</w:t>
      </w:r>
      <w:r w:rsidRPr="00C438C1">
        <w:rPr>
          <w:rFonts w:cs="Arial"/>
        </w:rPr>
        <w:t xml:space="preserve"> no se pronunció respecto a las medidas de satisfacción</w:t>
      </w:r>
      <w:r w:rsidR="00F50EFA">
        <w:rPr>
          <w:rFonts w:cs="Arial"/>
        </w:rPr>
        <w:t>.</w:t>
      </w:r>
      <w:r w:rsidRPr="00C438C1">
        <w:rPr>
          <w:rFonts w:cs="Arial"/>
        </w:rPr>
        <w:t xml:space="preserve"> </w:t>
      </w:r>
    </w:p>
    <w:p w14:paraId="65D79528" w14:textId="77777777" w:rsidR="003B7BBD" w:rsidRDefault="003B7BBD" w:rsidP="002A776C">
      <w:pPr>
        <w:tabs>
          <w:tab w:val="left" w:pos="-426"/>
        </w:tabs>
        <w:rPr>
          <w:lang w:val="es-CR" w:eastAsia="es-MX"/>
        </w:rPr>
      </w:pPr>
    </w:p>
    <w:p w14:paraId="1A821073" w14:textId="7CE29236" w:rsidR="00487F76" w:rsidRDefault="0095595D" w:rsidP="002A776C">
      <w:pPr>
        <w:pStyle w:val="PrrafodeSentencia"/>
        <w:tabs>
          <w:tab w:val="clear" w:pos="567"/>
          <w:tab w:val="left" w:pos="-426"/>
        </w:tabs>
        <w:ind w:left="0" w:firstLine="0"/>
        <w:rPr>
          <w:color w:val="000000"/>
        </w:rPr>
      </w:pPr>
      <w:r w:rsidRPr="00487F76">
        <w:t xml:space="preserve">La </w:t>
      </w:r>
      <w:r w:rsidRPr="00487F76">
        <w:rPr>
          <w:b/>
          <w:i/>
        </w:rPr>
        <w:t>Corte</w:t>
      </w:r>
      <w:r w:rsidR="00F70A5C">
        <w:t xml:space="preserve"> </w:t>
      </w:r>
      <w:r w:rsidRPr="00487F76">
        <w:rPr>
          <w:color w:val="000000"/>
        </w:rPr>
        <w:t xml:space="preserve">estima pertinente ordenar que el Estado, en el plazo de seis meses, contado a partir de la notificación de la presente Sentencia, realice las siguientes publicaciones: a) el resumen oficial de la presente Sentencia elaborado por la </w:t>
      </w:r>
      <w:r w:rsidRPr="000E04AF">
        <w:rPr>
          <w:color w:val="000000"/>
        </w:rPr>
        <w:t xml:space="preserve">Corte, el cual deberá ser publicado en el diario oficial, en un diario de amplia circulación nacional y </w:t>
      </w:r>
      <w:r w:rsidRPr="00C05C12">
        <w:rPr>
          <w:color w:val="000000"/>
        </w:rPr>
        <w:t>en un diario local de Valle,</w:t>
      </w:r>
      <w:r w:rsidRPr="000E04AF">
        <w:rPr>
          <w:color w:val="000000"/>
        </w:rPr>
        <w:t xml:space="preserve"> en un tamaño de letra legible y adecuado, y b) la presente Sentencia en su integridad, disponible,</w:t>
      </w:r>
      <w:r w:rsidRPr="00487F76">
        <w:rPr>
          <w:color w:val="000000"/>
        </w:rPr>
        <w:t xml:space="preserve"> por un período de al menos un año, en un sitio </w:t>
      </w:r>
      <w:r w:rsidRPr="006E29A4">
        <w:rPr>
          <w:i/>
          <w:color w:val="000000"/>
        </w:rPr>
        <w:t>web</w:t>
      </w:r>
      <w:r w:rsidRPr="00487F76">
        <w:rPr>
          <w:color w:val="000000"/>
        </w:rPr>
        <w:t xml:space="preserve"> oficial del Estado</w:t>
      </w:r>
      <w:r w:rsidR="00403858">
        <w:rPr>
          <w:color w:val="000000"/>
        </w:rPr>
        <w:t>,</w:t>
      </w:r>
      <w:r w:rsidR="00403858">
        <w:rPr>
          <w:b/>
          <w:color w:val="000000"/>
        </w:rPr>
        <w:t xml:space="preserve"> </w:t>
      </w:r>
      <w:r w:rsidR="00403858" w:rsidRPr="0063422C">
        <w:rPr>
          <w:color w:val="000000"/>
        </w:rPr>
        <w:t xml:space="preserve">de manera accesible al público y desde la página de inicio del sitio </w:t>
      </w:r>
      <w:r w:rsidR="00403858" w:rsidRPr="0063422C">
        <w:rPr>
          <w:i/>
          <w:color w:val="000000"/>
        </w:rPr>
        <w:t>web</w:t>
      </w:r>
      <w:r w:rsidRPr="0063422C">
        <w:rPr>
          <w:color w:val="000000"/>
        </w:rPr>
        <w:t>.</w:t>
      </w:r>
      <w:r w:rsidRPr="00487F76">
        <w:rPr>
          <w:color w:val="000000"/>
        </w:rPr>
        <w:t xml:space="preserve"> El Estado deberá informar de forma inmediata a esta Corte una vez que proceda a realizar cada una de las publicaciones dispuestas, independientemente del plazo de un año para presentar su primer informe dispuesto en el punto resolutivo </w:t>
      </w:r>
      <w:r w:rsidR="0063422C">
        <w:rPr>
          <w:color w:val="000000"/>
        </w:rPr>
        <w:t>séptimo</w:t>
      </w:r>
      <w:r w:rsidRPr="00487F76">
        <w:rPr>
          <w:color w:val="000000"/>
        </w:rPr>
        <w:t xml:space="preserve"> de la Sentencia. </w:t>
      </w:r>
    </w:p>
    <w:p w14:paraId="0ABDDB5B" w14:textId="77777777" w:rsidR="00487F76" w:rsidRPr="00487F76" w:rsidRDefault="00487F76" w:rsidP="002A776C">
      <w:pPr>
        <w:tabs>
          <w:tab w:val="left" w:pos="-426"/>
        </w:tabs>
        <w:rPr>
          <w:lang w:val="es-CR" w:eastAsia="es-MX"/>
        </w:rPr>
      </w:pPr>
    </w:p>
    <w:p w14:paraId="3094E1CA" w14:textId="6CF515E1" w:rsidR="00487F76" w:rsidRDefault="005B61E8" w:rsidP="002A776C">
      <w:pPr>
        <w:pStyle w:val="PrrafodeSentencia"/>
        <w:tabs>
          <w:tab w:val="clear" w:pos="567"/>
          <w:tab w:val="left" w:pos="-426"/>
        </w:tabs>
        <w:ind w:left="0" w:firstLine="0"/>
        <w:rPr>
          <w:color w:val="000000"/>
        </w:rPr>
      </w:pPr>
      <w:r>
        <w:lastRenderedPageBreak/>
        <w:t>En cuanto a la solicitud sobre la divulgación de resultados de las investigaciones, ello ha sido tratado en relación con la medida de reparación consistente en investigar los hechos</w:t>
      </w:r>
      <w:r>
        <w:rPr>
          <w:color w:val="000000"/>
        </w:rPr>
        <w:t xml:space="preserve"> (</w:t>
      </w:r>
      <w:r>
        <w:rPr>
          <w:i/>
          <w:color w:val="000000"/>
        </w:rPr>
        <w:t>supra</w:t>
      </w:r>
      <w:r>
        <w:rPr>
          <w:color w:val="000000"/>
        </w:rPr>
        <w:t xml:space="preserve"> párr. </w:t>
      </w:r>
      <w:r w:rsidR="00783116">
        <w:rPr>
          <w:color w:val="000000"/>
        </w:rPr>
        <w:t>195</w:t>
      </w:r>
      <w:r>
        <w:rPr>
          <w:color w:val="000000"/>
        </w:rPr>
        <w:t>)</w:t>
      </w:r>
      <w:r w:rsidR="00231F08">
        <w:rPr>
          <w:color w:val="000000"/>
        </w:rPr>
        <w:t>.</w:t>
      </w:r>
      <w:r w:rsidR="0095595D" w:rsidRPr="00487F76">
        <w:rPr>
          <w:color w:val="000000"/>
        </w:rPr>
        <w:t xml:space="preserve"> </w:t>
      </w:r>
    </w:p>
    <w:p w14:paraId="5AA6D0E8" w14:textId="77777777" w:rsidR="00487F76" w:rsidRDefault="00487F76" w:rsidP="00487F76">
      <w:pPr>
        <w:pStyle w:val="ListParagraph"/>
        <w:numPr>
          <w:ilvl w:val="0"/>
          <w:numId w:val="0"/>
        </w:numPr>
        <w:rPr>
          <w:lang w:val="es-CR"/>
        </w:rPr>
      </w:pPr>
    </w:p>
    <w:p w14:paraId="74FD74AA" w14:textId="75D5D417" w:rsidR="007229D1" w:rsidRDefault="00414095" w:rsidP="006D1953">
      <w:pPr>
        <w:pStyle w:val="ListParagraph"/>
        <w:widowControl/>
        <w:numPr>
          <w:ilvl w:val="0"/>
          <w:numId w:val="24"/>
        </w:numPr>
        <w:autoSpaceDE/>
        <w:autoSpaceDN/>
        <w:adjustRightInd/>
        <w:spacing w:line="276" w:lineRule="auto"/>
        <w:ind w:left="284" w:right="0" w:firstLine="0"/>
        <w:contextualSpacing/>
        <w:jc w:val="left"/>
        <w:outlineLvl w:val="1"/>
        <w:rPr>
          <w:b/>
          <w:i/>
          <w:lang w:val="es-CR"/>
        </w:rPr>
      </w:pPr>
      <w:bookmarkStart w:id="338" w:name="_Toc498512847"/>
      <w:bookmarkStart w:id="339" w:name="_Toc493512923"/>
      <w:r>
        <w:rPr>
          <w:b/>
          <w:i/>
          <w:lang w:val="es-CR"/>
        </w:rPr>
        <w:t>Medidas</w:t>
      </w:r>
      <w:r w:rsidR="004C2CBF">
        <w:rPr>
          <w:b/>
          <w:i/>
          <w:lang w:val="es-CR"/>
        </w:rPr>
        <w:t xml:space="preserve"> </w:t>
      </w:r>
      <w:r w:rsidR="007229D1">
        <w:rPr>
          <w:b/>
          <w:i/>
          <w:lang w:val="es-CR"/>
        </w:rPr>
        <w:t>de no repetición</w:t>
      </w:r>
      <w:bookmarkEnd w:id="338"/>
    </w:p>
    <w:p w14:paraId="0F105D52" w14:textId="77777777" w:rsidR="007229D1" w:rsidRDefault="007229D1" w:rsidP="007229D1">
      <w:pPr>
        <w:pStyle w:val="ListParagraph"/>
        <w:widowControl/>
        <w:numPr>
          <w:ilvl w:val="0"/>
          <w:numId w:val="0"/>
        </w:numPr>
        <w:autoSpaceDE/>
        <w:autoSpaceDN/>
        <w:adjustRightInd/>
        <w:spacing w:line="276" w:lineRule="auto"/>
        <w:ind w:left="720" w:right="0"/>
        <w:contextualSpacing/>
        <w:jc w:val="left"/>
        <w:outlineLvl w:val="1"/>
        <w:rPr>
          <w:b/>
          <w:i/>
          <w:lang w:val="es-CR"/>
        </w:rPr>
      </w:pPr>
    </w:p>
    <w:p w14:paraId="5B186CE8" w14:textId="594BD913" w:rsidR="007229D1" w:rsidRPr="00445487" w:rsidRDefault="007229D1" w:rsidP="00A110D9">
      <w:pPr>
        <w:pStyle w:val="PrrafodeSentencia"/>
        <w:numPr>
          <w:ilvl w:val="0"/>
          <w:numId w:val="57"/>
        </w:numPr>
        <w:tabs>
          <w:tab w:val="clear" w:pos="567"/>
          <w:tab w:val="left" w:pos="-284"/>
        </w:tabs>
        <w:ind w:left="0" w:firstLine="0"/>
      </w:pPr>
      <w:r w:rsidRPr="00487F76">
        <w:t xml:space="preserve">La </w:t>
      </w:r>
      <w:r w:rsidRPr="00487F76">
        <w:rPr>
          <w:b/>
          <w:i/>
        </w:rPr>
        <w:t>Comisión</w:t>
      </w:r>
      <w:r w:rsidRPr="00487F76">
        <w:t xml:space="preserve"> pidió</w:t>
      </w:r>
      <w:r w:rsidRPr="00487F76">
        <w:rPr>
          <w:b/>
        </w:rPr>
        <w:t xml:space="preserve"> </w:t>
      </w:r>
      <w:r w:rsidRPr="00445487">
        <w:t>que se adopten las medidas necesarias para evitar la repetición de los hechos del presente caso, incluyendo la dotación a los cuerpos de seguridad del Estado y a las instituciones a cargo de las investigaciones, de los recursos materiales necesarios para ejercer sus respectivas funciones. Asimismo, solicitó que se diseñen e implemente materiales de formación y cursos permanentes sobre derechos humanos para funcionarios policiales, fiscales y judiciales, específicamente sobre los aspectos técnicos de investigación en casos de muertes violentas.</w:t>
      </w:r>
    </w:p>
    <w:p w14:paraId="5316D493" w14:textId="77777777" w:rsidR="007229D1" w:rsidRPr="00445487" w:rsidRDefault="007229D1" w:rsidP="007229D1">
      <w:pPr>
        <w:pStyle w:val="PrrafodeSentencia"/>
        <w:numPr>
          <w:ilvl w:val="0"/>
          <w:numId w:val="0"/>
        </w:numPr>
        <w:tabs>
          <w:tab w:val="clear" w:pos="567"/>
          <w:tab w:val="left" w:pos="-284"/>
        </w:tabs>
      </w:pPr>
    </w:p>
    <w:p w14:paraId="1B6C8834" w14:textId="5305F6FE" w:rsidR="000874BF" w:rsidRPr="00A110D9" w:rsidRDefault="007229D1" w:rsidP="00A110D9">
      <w:pPr>
        <w:pStyle w:val="PrrafodeSentencia"/>
        <w:numPr>
          <w:ilvl w:val="0"/>
          <w:numId w:val="58"/>
        </w:numPr>
        <w:tabs>
          <w:tab w:val="clear" w:pos="567"/>
          <w:tab w:val="left" w:pos="-284"/>
        </w:tabs>
        <w:ind w:left="0" w:firstLine="0"/>
        <w:rPr>
          <w:rFonts w:cs="Arial"/>
          <w:sz w:val="16"/>
          <w:szCs w:val="16"/>
        </w:rPr>
      </w:pPr>
      <w:r w:rsidRPr="00445487">
        <w:t>Los</w:t>
      </w:r>
      <w:r w:rsidRPr="00A110D9">
        <w:rPr>
          <w:b/>
        </w:rPr>
        <w:t xml:space="preserve"> </w:t>
      </w:r>
      <w:r w:rsidRPr="00A110D9">
        <w:rPr>
          <w:b/>
          <w:i/>
        </w:rPr>
        <w:t>representantes</w:t>
      </w:r>
      <w:r w:rsidRPr="00A110D9">
        <w:rPr>
          <w:b/>
        </w:rPr>
        <w:t xml:space="preserve"> </w:t>
      </w:r>
      <w:r w:rsidRPr="000874BF">
        <w:t>como garantías de no repetición</w:t>
      </w:r>
      <w:r w:rsidRPr="00A110D9">
        <w:rPr>
          <w:b/>
        </w:rPr>
        <w:t xml:space="preserve"> </w:t>
      </w:r>
      <w:r w:rsidR="00445487" w:rsidRPr="00445487">
        <w:t>solicitaron que se ordene al</w:t>
      </w:r>
      <w:r w:rsidRPr="00A110D9">
        <w:rPr>
          <w:rFonts w:cs="Arial"/>
        </w:rPr>
        <w:t xml:space="preserve"> Estado </w:t>
      </w:r>
      <w:r w:rsidR="00445487" w:rsidRPr="00A110D9">
        <w:rPr>
          <w:rFonts w:cs="Arial"/>
        </w:rPr>
        <w:t>que</w:t>
      </w:r>
      <w:r w:rsidR="00445487" w:rsidRPr="00A110D9">
        <w:rPr>
          <w:rFonts w:cs="Arial"/>
          <w:b/>
        </w:rPr>
        <w:t xml:space="preserve"> </w:t>
      </w:r>
      <w:r w:rsidRPr="00A110D9">
        <w:rPr>
          <w:rFonts w:cs="Arial"/>
        </w:rPr>
        <w:t>“implemente la creación de protocolos de investigación específicos para crímenes cometidos por</w:t>
      </w:r>
      <w:r w:rsidR="008A30E2" w:rsidRPr="00A110D9">
        <w:rPr>
          <w:rFonts w:cs="Arial"/>
        </w:rPr>
        <w:t xml:space="preserve"> […] motivaciones [políticas]”.</w:t>
      </w:r>
    </w:p>
    <w:p w14:paraId="06329132" w14:textId="77777777" w:rsidR="000874BF" w:rsidRPr="000874BF" w:rsidRDefault="000874BF" w:rsidP="000874BF">
      <w:pPr>
        <w:rPr>
          <w:lang w:val="es-CR" w:eastAsia="es-MX"/>
        </w:rPr>
      </w:pPr>
    </w:p>
    <w:p w14:paraId="65353EEB" w14:textId="7FD2832C" w:rsidR="00F61D06" w:rsidRPr="000874BF" w:rsidRDefault="00F61D06" w:rsidP="00F61D06">
      <w:pPr>
        <w:pStyle w:val="PrrafodeSentencia"/>
        <w:tabs>
          <w:tab w:val="clear" w:pos="567"/>
          <w:tab w:val="left" w:pos="-284"/>
        </w:tabs>
        <w:ind w:left="0" w:firstLine="0"/>
        <w:rPr>
          <w:rFonts w:cs="Arial"/>
          <w:sz w:val="16"/>
          <w:szCs w:val="16"/>
        </w:rPr>
      </w:pPr>
      <w:r w:rsidRPr="000874BF">
        <w:t xml:space="preserve">El </w:t>
      </w:r>
      <w:r w:rsidRPr="006C2F4F">
        <w:rPr>
          <w:b/>
          <w:i/>
        </w:rPr>
        <w:t>Estado</w:t>
      </w:r>
      <w:r w:rsidRPr="000874BF">
        <w:t xml:space="preserve"> no hizo referencia a las</w:t>
      </w:r>
      <w:r w:rsidR="00F50EFA">
        <w:t xml:space="preserve"> </w:t>
      </w:r>
      <w:r w:rsidR="00F50EFA" w:rsidRPr="0063422C">
        <w:t>garantías</w:t>
      </w:r>
      <w:r w:rsidRPr="000874BF">
        <w:t xml:space="preserve"> de no repetición solicitadas.</w:t>
      </w:r>
    </w:p>
    <w:p w14:paraId="78A099B3" w14:textId="77777777" w:rsidR="007229D1" w:rsidRPr="000874BF" w:rsidRDefault="007229D1" w:rsidP="007229D1">
      <w:pPr>
        <w:tabs>
          <w:tab w:val="left" w:pos="-284"/>
        </w:tabs>
        <w:rPr>
          <w:lang w:val="es-CR" w:eastAsia="es-MX"/>
        </w:rPr>
      </w:pPr>
    </w:p>
    <w:p w14:paraId="6D9F7A08" w14:textId="399F1CEC" w:rsidR="00827621" w:rsidRPr="000874BF" w:rsidRDefault="00E40812" w:rsidP="007229D1">
      <w:pPr>
        <w:pStyle w:val="PrrafodeSentencia"/>
        <w:tabs>
          <w:tab w:val="clear" w:pos="567"/>
          <w:tab w:val="left" w:pos="-284"/>
        </w:tabs>
        <w:ind w:left="0" w:firstLine="0"/>
      </w:pPr>
      <w:r w:rsidRPr="000874BF">
        <w:t xml:space="preserve">Tomando en cuenta que los hechos del presente caso se encuentran </w:t>
      </w:r>
      <w:r w:rsidR="009264DC" w:rsidRPr="0063422C">
        <w:t>en la impunidad</w:t>
      </w:r>
      <w:r w:rsidR="009264DC">
        <w:t>,</w:t>
      </w:r>
      <w:r w:rsidRPr="000874BF">
        <w:t xml:space="preserve"> en tanto que las autoridades estatales no han realizado una investigación con la debida diligencia para investigar, procesar y, en su caso</w:t>
      </w:r>
      <w:r w:rsidR="009264DC">
        <w:t>,</w:t>
      </w:r>
      <w:r w:rsidRPr="000874BF">
        <w:t xml:space="preserve"> sanciona</w:t>
      </w:r>
      <w:r w:rsidR="00EB5B3F">
        <w:t>r</w:t>
      </w:r>
      <w:r w:rsidRPr="000874BF">
        <w:t xml:space="preserve"> a los responsables de los hechos dentro de un plazo razonable, y siendo que el homicidio del señor Pacheco</w:t>
      </w:r>
      <w:r w:rsidR="00330DFC" w:rsidRPr="000874BF">
        <w:t>, por su actividad política, candidato a un puesto de elección popular,</w:t>
      </w:r>
      <w:r w:rsidRPr="000874BF">
        <w:t xml:space="preserve"> </w:t>
      </w:r>
      <w:r w:rsidRPr="00557544">
        <w:t xml:space="preserve">se </w:t>
      </w:r>
      <w:r w:rsidR="001D0170" w:rsidRPr="00557544">
        <w:t>puede</w:t>
      </w:r>
      <w:r w:rsidRPr="00557544">
        <w:t xml:space="preserve"> enmarcar</w:t>
      </w:r>
      <w:r w:rsidRPr="000874BF">
        <w:t xml:space="preserve"> dentro de un </w:t>
      </w:r>
      <w:r w:rsidR="00330DFC" w:rsidRPr="000874BF">
        <w:t>“crimen selectivo” (</w:t>
      </w:r>
      <w:r w:rsidR="00330DFC" w:rsidRPr="000874BF">
        <w:rPr>
          <w:i/>
        </w:rPr>
        <w:t>supra</w:t>
      </w:r>
      <w:r w:rsidR="00330DFC" w:rsidRPr="000874BF">
        <w:t xml:space="preserve"> </w:t>
      </w:r>
      <w:proofErr w:type="spellStart"/>
      <w:r w:rsidR="00330DFC" w:rsidRPr="000874BF">
        <w:t>párr</w:t>
      </w:r>
      <w:r w:rsidR="00783116">
        <w:t>s</w:t>
      </w:r>
      <w:proofErr w:type="spellEnd"/>
      <w:r w:rsidR="00330DFC" w:rsidRPr="000874BF">
        <w:t xml:space="preserve">. </w:t>
      </w:r>
      <w:r w:rsidR="00783116">
        <w:t>92 y 123</w:t>
      </w:r>
      <w:r w:rsidR="00330DFC" w:rsidRPr="000874BF">
        <w:t xml:space="preserve">), </w:t>
      </w:r>
      <w:r w:rsidR="006C2F4F">
        <w:t xml:space="preserve">la </w:t>
      </w:r>
      <w:r w:rsidR="006C2F4F" w:rsidRPr="006C2F4F">
        <w:rPr>
          <w:b/>
          <w:i/>
        </w:rPr>
        <w:t>Corte</w:t>
      </w:r>
      <w:r w:rsidR="00330DFC" w:rsidRPr="000874BF">
        <w:t xml:space="preserve"> considera p</w:t>
      </w:r>
      <w:r w:rsidR="00391D2B" w:rsidRPr="000874BF">
        <w:t>ertinente ordenar al Estado que</w:t>
      </w:r>
      <w:r w:rsidR="00827621" w:rsidRPr="000874BF">
        <w:t xml:space="preserve"> implemente</w:t>
      </w:r>
      <w:r w:rsidR="000F7F0C" w:rsidRPr="000874BF">
        <w:t xml:space="preserve">, en </w:t>
      </w:r>
      <w:r w:rsidR="00373EF0">
        <w:t>el</w:t>
      </w:r>
      <w:r w:rsidR="000F7F0C" w:rsidRPr="000874BF">
        <w:t xml:space="preserve"> plazo </w:t>
      </w:r>
      <w:r w:rsidR="00373EF0">
        <w:t>de un año</w:t>
      </w:r>
      <w:r w:rsidR="000F7F0C" w:rsidRPr="000874BF">
        <w:t>,</w:t>
      </w:r>
      <w:r w:rsidR="00827621" w:rsidRPr="000874BF">
        <w:t xml:space="preserve"> la creación de un protocolo de investigación diligente</w:t>
      </w:r>
      <w:r w:rsidR="000F7F0C" w:rsidRPr="000874BF">
        <w:t xml:space="preserve">, conforme a los estándares internacionales, para la investigación de los delitos que se relacionen </w:t>
      </w:r>
      <w:r w:rsidR="008814A3" w:rsidRPr="000874BF">
        <w:t xml:space="preserve">con muertes violentas, en el cual concretamente se incluyan aspectos relacionados </w:t>
      </w:r>
      <w:r w:rsidR="00827621" w:rsidRPr="000874BF">
        <w:t>con homicidios comet</w:t>
      </w:r>
      <w:r w:rsidR="000F7F0C" w:rsidRPr="000874BF">
        <w:t xml:space="preserve">idos por motivaciones políticas, conforme </w:t>
      </w:r>
      <w:r w:rsidR="00437D27" w:rsidRPr="000874BF">
        <w:t>al Manual sobre la P</w:t>
      </w:r>
      <w:r w:rsidR="000F7F0C" w:rsidRPr="000874BF">
        <w:t>revención e Investigación Efectiva de Ejecucion</w:t>
      </w:r>
      <w:r w:rsidR="00BA227B" w:rsidRPr="000874BF">
        <w:t>e</w:t>
      </w:r>
      <w:r w:rsidR="000F7F0C" w:rsidRPr="000874BF">
        <w:t>s Extrajudi</w:t>
      </w:r>
      <w:r w:rsidR="009264DC">
        <w:t>cia</w:t>
      </w:r>
      <w:r w:rsidR="000F7F0C" w:rsidRPr="000874BF">
        <w:t>les, Arbitrarias y Sumarias</w:t>
      </w:r>
      <w:r w:rsidR="00765C89" w:rsidRPr="000874BF">
        <w:t xml:space="preserve"> de Naciones Unidas y otros est</w:t>
      </w:r>
      <w:r w:rsidR="000F7F0C" w:rsidRPr="000874BF">
        <w:t xml:space="preserve">ándares internacionales. </w:t>
      </w:r>
      <w:r w:rsidR="00BA227B" w:rsidRPr="000874BF">
        <w:t>Además, el Estado debe brindar los recursos materiales necesarios para su aplicación.</w:t>
      </w:r>
      <w:r w:rsidR="008814A3" w:rsidRPr="000874BF">
        <w:t xml:space="preserve"> </w:t>
      </w:r>
      <w:r w:rsidR="000F7F0C" w:rsidRPr="000874BF">
        <w:t xml:space="preserve">Al respecto, el Estado deberá rendir un </w:t>
      </w:r>
      <w:r w:rsidR="002B7F7C">
        <w:t xml:space="preserve">informe anual durante tres años. </w:t>
      </w:r>
    </w:p>
    <w:p w14:paraId="4C6003E3" w14:textId="77777777" w:rsidR="00827621" w:rsidRPr="000874BF" w:rsidRDefault="00827621" w:rsidP="00827621">
      <w:pPr>
        <w:rPr>
          <w:lang w:val="es-CR" w:eastAsia="es-MX"/>
        </w:rPr>
      </w:pPr>
    </w:p>
    <w:p w14:paraId="3378664D" w14:textId="67A961C6" w:rsidR="000874BF" w:rsidRDefault="00391D2B" w:rsidP="000874BF">
      <w:pPr>
        <w:pStyle w:val="PrrafodeSentencia"/>
        <w:tabs>
          <w:tab w:val="clear" w:pos="567"/>
          <w:tab w:val="left" w:pos="-284"/>
        </w:tabs>
        <w:ind w:left="0" w:firstLine="0"/>
      </w:pPr>
      <w:r w:rsidRPr="000874BF">
        <w:t xml:space="preserve"> </w:t>
      </w:r>
      <w:r w:rsidR="001B7FA9" w:rsidRPr="000874BF">
        <w:t>Asimismo, el</w:t>
      </w:r>
      <w:r w:rsidR="00827621" w:rsidRPr="000874BF">
        <w:t xml:space="preserve"> Estado</w:t>
      </w:r>
      <w:r w:rsidR="001B7FA9" w:rsidRPr="000874BF">
        <w:t xml:space="preserve"> debe</w:t>
      </w:r>
      <w:r w:rsidR="00827621" w:rsidRPr="000874BF">
        <w:t xml:space="preserve"> </w:t>
      </w:r>
      <w:r w:rsidR="00373EF0">
        <w:t>establecer</w:t>
      </w:r>
      <w:r w:rsidR="001B7FA9" w:rsidRPr="000874BF">
        <w:t xml:space="preserve">, en un plazo </w:t>
      </w:r>
      <w:r w:rsidR="000430DC" w:rsidRPr="0063422C">
        <w:t>de un año</w:t>
      </w:r>
      <w:r w:rsidR="001B7FA9" w:rsidRPr="000874BF">
        <w:t xml:space="preserve">, un programa o curso permanente obligatorio </w:t>
      </w:r>
      <w:r w:rsidR="00445487" w:rsidRPr="000874BF">
        <w:t>de capacitación</w:t>
      </w:r>
      <w:r w:rsidR="003D6CD3" w:rsidRPr="000874BF">
        <w:t xml:space="preserve"> y </w:t>
      </w:r>
      <w:r w:rsidR="001B7FA9" w:rsidRPr="000874BF">
        <w:t xml:space="preserve">formación en derechos humanos, que incluya, entre otros temas, estándares sobre una </w:t>
      </w:r>
      <w:r w:rsidR="003D6CD3" w:rsidRPr="000874BF">
        <w:t>investigación diligente</w:t>
      </w:r>
      <w:r w:rsidR="00445487" w:rsidRPr="000874BF">
        <w:t xml:space="preserve"> </w:t>
      </w:r>
      <w:r w:rsidR="001B7FA9" w:rsidRPr="000874BF">
        <w:t>y aspectos técnicos en casos</w:t>
      </w:r>
      <w:r w:rsidR="00BA227B" w:rsidRPr="000874BF">
        <w:t xml:space="preserve"> de </w:t>
      </w:r>
      <w:r w:rsidR="001B7FA9" w:rsidRPr="000874BF">
        <w:t xml:space="preserve">homicidios por motivaciones políticas, </w:t>
      </w:r>
      <w:r w:rsidR="00A25747" w:rsidRPr="000874BF">
        <w:rPr>
          <w:szCs w:val="20"/>
        </w:rPr>
        <w:t>a fin de evitar que hechos como los ocurridos</w:t>
      </w:r>
      <w:r w:rsidR="00575F08" w:rsidRPr="000874BF">
        <w:rPr>
          <w:szCs w:val="20"/>
        </w:rPr>
        <w:t xml:space="preserve"> en el presente caso se repitan y constituyan elementos que perpetúen la impunidad</w:t>
      </w:r>
      <w:r w:rsidR="00B25019" w:rsidRPr="000874BF">
        <w:rPr>
          <w:rStyle w:val="FootnoteReference"/>
        </w:rPr>
        <w:footnoteReference w:id="233"/>
      </w:r>
      <w:r w:rsidR="00575F08" w:rsidRPr="000874BF">
        <w:rPr>
          <w:szCs w:val="20"/>
        </w:rPr>
        <w:t>.</w:t>
      </w:r>
      <w:r w:rsidR="00A25747" w:rsidRPr="000874BF">
        <w:t xml:space="preserve"> Dicho programa o curso permanente deberá </w:t>
      </w:r>
      <w:r w:rsidR="000F7F0C" w:rsidRPr="000874BF">
        <w:t>impartirse</w:t>
      </w:r>
      <w:r w:rsidR="001B7FA9" w:rsidRPr="000874BF">
        <w:t xml:space="preserve"> a</w:t>
      </w:r>
      <w:r w:rsidR="00445487" w:rsidRPr="000874BF">
        <w:t xml:space="preserve"> funcionarios po</w:t>
      </w:r>
      <w:r w:rsidR="001B7FA9" w:rsidRPr="000874BF">
        <w:t>liciales, fiscales y judiciales</w:t>
      </w:r>
      <w:r w:rsidRPr="000874BF">
        <w:t xml:space="preserve">. Además se ordena al Estado </w:t>
      </w:r>
      <w:r w:rsidR="00445487" w:rsidRPr="000874BF">
        <w:t xml:space="preserve">brindar los recursos materiales </w:t>
      </w:r>
      <w:r w:rsidRPr="000874BF">
        <w:t>necesarios para que</w:t>
      </w:r>
      <w:r w:rsidR="009B32B0" w:rsidRPr="000874BF">
        <w:t xml:space="preserve"> dichos funcionarios</w:t>
      </w:r>
      <w:r w:rsidRPr="000874BF">
        <w:t xml:space="preserve"> puedan ejercer </w:t>
      </w:r>
      <w:r w:rsidR="00445487" w:rsidRPr="000874BF">
        <w:t>sus respectivas funciones.</w:t>
      </w:r>
      <w:r w:rsidR="00F562DC" w:rsidRPr="000874BF">
        <w:t xml:space="preserve"> </w:t>
      </w:r>
    </w:p>
    <w:p w14:paraId="00FBE8D2" w14:textId="77777777" w:rsidR="000874BF" w:rsidRPr="000874BF" w:rsidRDefault="000874BF" w:rsidP="000874BF">
      <w:pPr>
        <w:rPr>
          <w:lang w:val="es-CR" w:eastAsia="es-MX"/>
        </w:rPr>
      </w:pPr>
    </w:p>
    <w:p w14:paraId="35B8BEB7" w14:textId="2A4CDEE6" w:rsidR="00F562DC" w:rsidRPr="000874BF" w:rsidRDefault="00F562DC" w:rsidP="000874BF">
      <w:pPr>
        <w:pStyle w:val="PrrafodeSentencia"/>
        <w:tabs>
          <w:tab w:val="clear" w:pos="567"/>
          <w:tab w:val="left" w:pos="-284"/>
        </w:tabs>
        <w:ind w:left="0" w:firstLine="0"/>
      </w:pPr>
      <w:r w:rsidRPr="000874BF">
        <w:t xml:space="preserve">El Comisionado Nacional de los Derechos Humanos de Honduras deberá presentar un informe anual a la Corte, por el plazo de tres años, sobre las medidas ordenas en los dos párrafos anteriores, a partir de la notificación de la presente Sentencia. </w:t>
      </w:r>
      <w:r w:rsidR="002B7F7C" w:rsidRPr="0022196D">
        <w:t>Ello, en forma independiente y adicional a los demás informes estatales indicados en la presente Sentencia.</w:t>
      </w:r>
    </w:p>
    <w:p w14:paraId="74850D2D" w14:textId="0EFE478C" w:rsidR="00F562DC" w:rsidRPr="00F562DC" w:rsidRDefault="00F562DC" w:rsidP="00F562DC">
      <w:pPr>
        <w:spacing w:line="276" w:lineRule="auto"/>
        <w:contextualSpacing/>
        <w:jc w:val="left"/>
        <w:outlineLvl w:val="1"/>
        <w:rPr>
          <w:b/>
          <w:i/>
          <w:lang w:val="es-CR"/>
        </w:rPr>
      </w:pPr>
    </w:p>
    <w:p w14:paraId="4CA93BE8" w14:textId="1E891319" w:rsidR="009A272E" w:rsidRPr="001274DD" w:rsidRDefault="009A272E" w:rsidP="006D1953">
      <w:pPr>
        <w:pStyle w:val="ListParagraph"/>
        <w:numPr>
          <w:ilvl w:val="0"/>
          <w:numId w:val="24"/>
        </w:numPr>
        <w:spacing w:line="276" w:lineRule="auto"/>
        <w:ind w:left="284" w:firstLine="0"/>
        <w:contextualSpacing/>
        <w:jc w:val="left"/>
        <w:outlineLvl w:val="1"/>
        <w:rPr>
          <w:b/>
          <w:i/>
          <w:lang w:val="es-CR"/>
        </w:rPr>
      </w:pPr>
      <w:bookmarkStart w:id="340" w:name="_Toc498512848"/>
      <w:r w:rsidRPr="001274DD">
        <w:rPr>
          <w:b/>
          <w:i/>
          <w:lang w:val="es-CR"/>
        </w:rPr>
        <w:t>Otras medidas solicitadas</w:t>
      </w:r>
      <w:bookmarkEnd w:id="339"/>
      <w:bookmarkEnd w:id="340"/>
      <w:r w:rsidRPr="001274DD">
        <w:rPr>
          <w:b/>
          <w:i/>
          <w:lang w:val="es-CR"/>
        </w:rPr>
        <w:t xml:space="preserve"> </w:t>
      </w:r>
    </w:p>
    <w:p w14:paraId="57E9FF83" w14:textId="395811E3" w:rsidR="00487F76" w:rsidRDefault="00487F76" w:rsidP="002A776C">
      <w:pPr>
        <w:pStyle w:val="PrrafodeSentencia"/>
        <w:numPr>
          <w:ilvl w:val="0"/>
          <w:numId w:val="0"/>
        </w:numPr>
        <w:tabs>
          <w:tab w:val="clear" w:pos="567"/>
          <w:tab w:val="left" w:pos="-284"/>
        </w:tabs>
        <w:rPr>
          <w:b/>
        </w:rPr>
      </w:pPr>
    </w:p>
    <w:p w14:paraId="46FC3AE7" w14:textId="1BA5794F" w:rsidR="00487F76" w:rsidRDefault="00E40812" w:rsidP="002A776C">
      <w:pPr>
        <w:pStyle w:val="PrrafodeSentencia"/>
        <w:tabs>
          <w:tab w:val="clear" w:pos="567"/>
          <w:tab w:val="left" w:pos="-284"/>
        </w:tabs>
        <w:ind w:left="0" w:firstLine="0"/>
        <w:rPr>
          <w:rFonts w:cs="Arial"/>
          <w:b/>
        </w:rPr>
      </w:pPr>
      <w:r w:rsidRPr="000874BF">
        <w:t>Además l</w:t>
      </w:r>
      <w:r w:rsidR="0095595D" w:rsidRPr="000874BF">
        <w:t xml:space="preserve">os </w:t>
      </w:r>
      <w:r w:rsidR="0095595D" w:rsidRPr="006D1953">
        <w:rPr>
          <w:b/>
          <w:i/>
        </w:rPr>
        <w:t>representantes</w:t>
      </w:r>
      <w:r w:rsidR="0095595D" w:rsidRPr="00487F76">
        <w:t xml:space="preserve"> solicitaron como medidas de satisfacción, que se ordene al Estado</w:t>
      </w:r>
      <w:r w:rsidR="00F70A5C">
        <w:t>:</w:t>
      </w:r>
      <w:r w:rsidR="0095595D" w:rsidRPr="00487F76">
        <w:t xml:space="preserve"> a</w:t>
      </w:r>
      <w:r w:rsidR="0095595D" w:rsidRPr="00487F76">
        <w:rPr>
          <w:rFonts w:cs="Arial"/>
        </w:rPr>
        <w:t>) “la celebración de un acto público en el cual el Estado […] reconozca su  responsabilidad internacional por las violaciones de derechos humanos por las que ha sido condenado y donde se realice una solicitud de perdón público</w:t>
      </w:r>
      <w:r w:rsidR="0095595D" w:rsidRPr="00815C14">
        <w:rPr>
          <w:rStyle w:val="FootnoteReference"/>
          <w:rFonts w:cs="Arial"/>
          <w:sz w:val="20"/>
          <w:szCs w:val="20"/>
        </w:rPr>
        <w:footnoteReference w:id="234"/>
      </w:r>
      <w:r w:rsidR="0095595D" w:rsidRPr="00487F76">
        <w:rPr>
          <w:rFonts w:cs="Arial"/>
        </w:rPr>
        <w:t>”; b) “la construcción de un</w:t>
      </w:r>
      <w:r w:rsidR="00C0775A">
        <w:rPr>
          <w:rFonts w:cs="Arial"/>
        </w:rPr>
        <w:t>a</w:t>
      </w:r>
      <w:r w:rsidR="0095595D" w:rsidRPr="00487F76">
        <w:rPr>
          <w:rFonts w:cs="Arial"/>
        </w:rPr>
        <w:t xml:space="preserve"> representación física de la imagen del señor Pacheco León en un sitio público de su ciudad natal, Nacaome, que el mismo sea develado en un acto público en presencia de las más altas autoridades del Estado de Honduras”, y c) “[g]</w:t>
      </w:r>
      <w:proofErr w:type="spellStart"/>
      <w:r w:rsidR="0095595D" w:rsidRPr="00487F76">
        <w:rPr>
          <w:rFonts w:cs="Arial"/>
        </w:rPr>
        <w:t>enerar</w:t>
      </w:r>
      <w:proofErr w:type="spellEnd"/>
      <w:r w:rsidR="0095595D" w:rsidRPr="00487F76">
        <w:rPr>
          <w:rFonts w:cs="Arial"/>
        </w:rPr>
        <w:t xml:space="preserve"> un documental multimedia, sobre la vida del </w:t>
      </w:r>
      <w:r w:rsidR="007434BB">
        <w:rPr>
          <w:rFonts w:cs="Arial"/>
        </w:rPr>
        <w:t>s</w:t>
      </w:r>
      <w:r w:rsidR="0095595D" w:rsidRPr="00487F76">
        <w:rPr>
          <w:rFonts w:cs="Arial"/>
        </w:rPr>
        <w:t>eñor Pacheco León que sea difundido previo a las elecciones internas y generales en los medios de difusión nacional, con especiales llamados a la tolerancia política y la transparencia”</w:t>
      </w:r>
      <w:r w:rsidR="00817718">
        <w:rPr>
          <w:rFonts w:cs="Arial"/>
        </w:rPr>
        <w:t>.</w:t>
      </w:r>
      <w:r w:rsidR="0095595D" w:rsidRPr="00487F76">
        <w:rPr>
          <w:rFonts w:cs="Arial"/>
        </w:rPr>
        <w:t xml:space="preserve"> </w:t>
      </w:r>
    </w:p>
    <w:p w14:paraId="556C827D" w14:textId="77777777" w:rsidR="00487F76" w:rsidRPr="00487F76" w:rsidRDefault="00487F76" w:rsidP="002A776C">
      <w:pPr>
        <w:tabs>
          <w:tab w:val="left" w:pos="-284"/>
        </w:tabs>
        <w:rPr>
          <w:lang w:val="es-CR" w:eastAsia="es-MX"/>
        </w:rPr>
      </w:pPr>
    </w:p>
    <w:p w14:paraId="3ED6D5B2" w14:textId="4DD15180" w:rsidR="00487F76" w:rsidRDefault="00E40812" w:rsidP="002A776C">
      <w:pPr>
        <w:pStyle w:val="PrrafodeSentencia"/>
        <w:tabs>
          <w:tab w:val="clear" w:pos="567"/>
          <w:tab w:val="left" w:pos="-284"/>
        </w:tabs>
        <w:ind w:left="0" w:firstLine="0"/>
        <w:rPr>
          <w:rFonts w:cs="Arial"/>
          <w:b/>
        </w:rPr>
      </w:pPr>
      <w:r w:rsidRPr="000874BF">
        <w:t>Por último</w:t>
      </w:r>
      <w:r>
        <w:t>,</w:t>
      </w:r>
      <w:r w:rsidR="002A48D8">
        <w:t xml:space="preserve"> </w:t>
      </w:r>
      <w:r w:rsidR="0095595D" w:rsidRPr="00487F76">
        <w:t>solicitaron</w:t>
      </w:r>
      <w:r w:rsidR="00515434">
        <w:t xml:space="preserve"> que se ordene, como garantías de no repetición: a)</w:t>
      </w:r>
      <w:r w:rsidR="0095595D" w:rsidRPr="00487F76">
        <w:t xml:space="preserve"> la adopción de reformas legislativas</w:t>
      </w:r>
      <w:r w:rsidR="00451EC7">
        <w:t xml:space="preserve"> </w:t>
      </w:r>
      <w:r w:rsidR="00451EC7" w:rsidRPr="0063422C">
        <w:t>y de otro orden que sean necesarias</w:t>
      </w:r>
      <w:r w:rsidR="00451EC7">
        <w:t xml:space="preserve"> </w:t>
      </w:r>
      <w:r w:rsidR="0095595D" w:rsidRPr="00487F76">
        <w:t>“a fin de que las elecciones a cargo de diputados y corporaciones municipales se realicen en fechas separadas a las del cargo de presidente, evitando la imposición de candidatos”</w:t>
      </w:r>
      <w:r w:rsidR="007229D1">
        <w:t>, y</w:t>
      </w:r>
      <w:r w:rsidR="00515434">
        <w:t xml:space="preserve"> b)</w:t>
      </w:r>
      <w:r w:rsidR="0095595D" w:rsidRPr="00487F76">
        <w:t xml:space="preserve"> la “</w:t>
      </w:r>
      <w:proofErr w:type="spellStart"/>
      <w:r w:rsidR="0095595D" w:rsidRPr="00487F76">
        <w:t>cre</w:t>
      </w:r>
      <w:proofErr w:type="spellEnd"/>
      <w:r w:rsidR="0095595D" w:rsidRPr="00487F76">
        <w:t>[</w:t>
      </w:r>
      <w:proofErr w:type="spellStart"/>
      <w:r w:rsidR="0095595D" w:rsidRPr="00487F76">
        <w:t>ación</w:t>
      </w:r>
      <w:proofErr w:type="spellEnd"/>
      <w:r w:rsidR="0095595D" w:rsidRPr="00487F76">
        <w:t xml:space="preserve"> de] una institución contralora y auditora de la procedencia de los fondos económicos que utilicen los políticos para financiar sus campañas electorales”</w:t>
      </w:r>
      <w:r w:rsidR="007229D1">
        <w:t>.</w:t>
      </w:r>
      <w:r w:rsidR="00515434">
        <w:t xml:space="preserve"> </w:t>
      </w:r>
    </w:p>
    <w:p w14:paraId="52D0D0CD" w14:textId="77777777" w:rsidR="00487F76" w:rsidRPr="00487F76" w:rsidRDefault="00487F76" w:rsidP="002A776C">
      <w:pPr>
        <w:tabs>
          <w:tab w:val="left" w:pos="-284"/>
        </w:tabs>
        <w:rPr>
          <w:lang w:val="es-CR" w:eastAsia="es-MX"/>
        </w:rPr>
      </w:pPr>
    </w:p>
    <w:p w14:paraId="2FE718B9" w14:textId="77777777" w:rsidR="00487F76" w:rsidRDefault="0095595D" w:rsidP="002A776C">
      <w:pPr>
        <w:pStyle w:val="PrrafodeSentencia"/>
        <w:tabs>
          <w:tab w:val="clear" w:pos="567"/>
          <w:tab w:val="left" w:pos="-284"/>
        </w:tabs>
        <w:ind w:left="0" w:firstLine="0"/>
      </w:pPr>
      <w:r w:rsidRPr="00487F76">
        <w:t xml:space="preserve">La </w:t>
      </w:r>
      <w:r w:rsidRPr="00487F76">
        <w:rPr>
          <w:b/>
          <w:i/>
        </w:rPr>
        <w:t>Corte</w:t>
      </w:r>
      <w:r w:rsidR="00515434">
        <w:t xml:space="preserve"> entiende</w:t>
      </w:r>
      <w:r w:rsidRPr="00487F76">
        <w:t xml:space="preserve"> improcedentes las medidas de reparación antedichas. Ello, po</w:t>
      </w:r>
      <w:r w:rsidR="00487F76">
        <w:t>r</w:t>
      </w:r>
      <w:r w:rsidRPr="00487F76">
        <w:t xml:space="preserve"> los motivos siguientes: </w:t>
      </w:r>
    </w:p>
    <w:p w14:paraId="4FAC394A" w14:textId="2792D536" w:rsidR="00487F76" w:rsidRDefault="00487F76" w:rsidP="003B7BBD">
      <w:pPr>
        <w:pStyle w:val="PrrafodeSentencia"/>
        <w:numPr>
          <w:ilvl w:val="0"/>
          <w:numId w:val="0"/>
        </w:numPr>
        <w:ind w:left="567"/>
      </w:pPr>
      <w:r>
        <w:t xml:space="preserve">a) </w:t>
      </w:r>
      <w:r w:rsidR="00515434">
        <w:t xml:space="preserve">en cuanto a las medidas de satisfacción pedidas: </w:t>
      </w:r>
      <w:r w:rsidRPr="00487F76">
        <w:t>teniendo en cuenta las características de las violaciones referidas, que se limitaron a aquellas ocasionadas por el modo en que, en el caso concreto, se desarrolló la investigación de</w:t>
      </w:r>
      <w:r w:rsidR="00451EC7">
        <w:t xml:space="preserve">l </w:t>
      </w:r>
      <w:r w:rsidR="00451EC7" w:rsidRPr="0063422C">
        <w:t>homicidio</w:t>
      </w:r>
      <w:r w:rsidRPr="00487F76">
        <w:t xml:space="preserve"> del señor Pacheco León y, en particular, que no se ha declarado violado el derecho a la vida ni los derechos políticos en su perjuicio, </w:t>
      </w:r>
      <w:r w:rsidR="00515434">
        <w:t xml:space="preserve">este Tribunal </w:t>
      </w:r>
      <w:r w:rsidRPr="00487F76">
        <w:t>considera que las publicaciones ya ordenadas (</w:t>
      </w:r>
      <w:r w:rsidRPr="004D0607">
        <w:rPr>
          <w:i/>
        </w:rPr>
        <w:t>supra</w:t>
      </w:r>
      <w:r w:rsidRPr="004D0607">
        <w:t xml:space="preserve"> </w:t>
      </w:r>
      <w:proofErr w:type="spellStart"/>
      <w:r w:rsidRPr="004D0607">
        <w:t>párrs</w:t>
      </w:r>
      <w:proofErr w:type="spellEnd"/>
      <w:r w:rsidRPr="00487F76">
        <w:t xml:space="preserve">. </w:t>
      </w:r>
      <w:r w:rsidR="00517A3B">
        <w:t>19</w:t>
      </w:r>
      <w:r w:rsidR="00783116">
        <w:t>5</w:t>
      </w:r>
      <w:r w:rsidR="00517A3B">
        <w:t xml:space="preserve"> y </w:t>
      </w:r>
      <w:r w:rsidR="00783116">
        <w:t>201</w:t>
      </w:r>
      <w:r w:rsidRPr="00487F76">
        <w:t>) constituyen medi</w:t>
      </w:r>
      <w:r>
        <w:t>das de satisfacción suficientes</w:t>
      </w:r>
      <w:r w:rsidR="00515434">
        <w:t>, recordando, además,</w:t>
      </w:r>
      <w:r w:rsidRPr="00487F76">
        <w:t xml:space="preserve"> que de conformidad a su jurisprudencia constante, la presente Sentencia con</w:t>
      </w:r>
      <w:r>
        <w:t>stituye una forma de reparación</w:t>
      </w:r>
      <w:r w:rsidR="001F530D">
        <w:t>, y</w:t>
      </w:r>
      <w:r>
        <w:t xml:space="preserve"> </w:t>
      </w:r>
      <w:r w:rsidRPr="00487F76">
        <w:t xml:space="preserve"> </w:t>
      </w:r>
    </w:p>
    <w:p w14:paraId="627CB5E8" w14:textId="4F1FAC77" w:rsidR="00454D79" w:rsidRPr="00F427C7" w:rsidRDefault="001F530D" w:rsidP="00F427C7">
      <w:pPr>
        <w:pStyle w:val="PrrafodeSentencia"/>
        <w:numPr>
          <w:ilvl w:val="0"/>
          <w:numId w:val="0"/>
        </w:numPr>
        <w:ind w:left="567"/>
        <w:rPr>
          <w:rFonts w:cs="Arial"/>
        </w:rPr>
      </w:pPr>
      <w:r>
        <w:t>b</w:t>
      </w:r>
      <w:r w:rsidR="00487F76">
        <w:t xml:space="preserve">) </w:t>
      </w:r>
      <w:r w:rsidR="00515434">
        <w:t>en cuanto a las garantías de no repetición solicitadas</w:t>
      </w:r>
      <w:r w:rsidR="007229D1">
        <w:t xml:space="preserve"> en los puntos a) y b)</w:t>
      </w:r>
      <w:r w:rsidR="00515434">
        <w:t xml:space="preserve"> no tienen sustento en las violaciones declaradas, pues</w:t>
      </w:r>
      <w:r w:rsidR="00487F76" w:rsidRPr="00487F76">
        <w:t xml:space="preserve"> no </w:t>
      </w:r>
      <w:r w:rsidR="00515434">
        <w:t xml:space="preserve">se </w:t>
      </w:r>
      <w:r w:rsidR="00487F76" w:rsidRPr="00487F76">
        <w:t>declaró violado el deber del Estado de adoptar disposiciones de derechos interno ni, de otro modo, se examinó una presunta situación de contexto o estructural respecto del goce o ejer</w:t>
      </w:r>
      <w:r w:rsidR="007229D1">
        <w:t>cicio de los derechos políticos</w:t>
      </w:r>
      <w:r w:rsidR="00C0775A">
        <w:t xml:space="preserve">. </w:t>
      </w:r>
    </w:p>
    <w:p w14:paraId="13568CEC" w14:textId="77777777" w:rsidR="00454D79" w:rsidRPr="00454D79" w:rsidRDefault="00454D79" w:rsidP="00454D79">
      <w:pPr>
        <w:rPr>
          <w:lang w:val="es-CR" w:eastAsia="es-MX"/>
        </w:rPr>
      </w:pPr>
    </w:p>
    <w:p w14:paraId="5C69D2C7" w14:textId="0E1D3055" w:rsidR="00487F76" w:rsidRPr="00487F76" w:rsidRDefault="00487F76" w:rsidP="006D1953">
      <w:pPr>
        <w:pStyle w:val="PrrafodeSentencia"/>
        <w:numPr>
          <w:ilvl w:val="0"/>
          <w:numId w:val="0"/>
        </w:numPr>
        <w:ind w:left="284"/>
        <w:outlineLvl w:val="1"/>
        <w:rPr>
          <w:b/>
          <w:i/>
        </w:rPr>
      </w:pPr>
      <w:r>
        <w:rPr>
          <w:b/>
          <w:i/>
        </w:rPr>
        <w:tab/>
      </w:r>
      <w:bookmarkStart w:id="341" w:name="_Toc488134470"/>
      <w:bookmarkStart w:id="342" w:name="_Toc489523930"/>
      <w:bookmarkStart w:id="343" w:name="_Toc493512924"/>
      <w:bookmarkStart w:id="344" w:name="_Toc498512849"/>
      <w:r w:rsidR="007229D1">
        <w:rPr>
          <w:b/>
          <w:i/>
        </w:rPr>
        <w:t>F</w:t>
      </w:r>
      <w:r w:rsidRPr="00487F76">
        <w:rPr>
          <w:b/>
          <w:i/>
        </w:rPr>
        <w:t xml:space="preserve">. </w:t>
      </w:r>
      <w:bookmarkEnd w:id="341"/>
      <w:bookmarkEnd w:id="342"/>
      <w:bookmarkEnd w:id="343"/>
      <w:r w:rsidR="00FD4CD3">
        <w:rPr>
          <w:b/>
          <w:i/>
        </w:rPr>
        <w:t>Indemnizaciones compensatorias</w:t>
      </w:r>
      <w:bookmarkEnd w:id="344"/>
    </w:p>
    <w:p w14:paraId="62C8050A" w14:textId="77777777" w:rsidR="00487F76" w:rsidRPr="00487F76" w:rsidRDefault="00487F76" w:rsidP="00487F76">
      <w:pPr>
        <w:rPr>
          <w:lang w:val="es-CR" w:eastAsia="es-MX"/>
        </w:rPr>
      </w:pPr>
    </w:p>
    <w:p w14:paraId="2E764E4A" w14:textId="64CCC421" w:rsidR="003C0556" w:rsidRPr="00515434" w:rsidRDefault="0095595D" w:rsidP="002A776C">
      <w:pPr>
        <w:pStyle w:val="PrrafodeSentencia"/>
        <w:tabs>
          <w:tab w:val="clear" w:pos="567"/>
          <w:tab w:val="left" w:pos="-567"/>
        </w:tabs>
        <w:ind w:left="0" w:firstLine="0"/>
        <w:rPr>
          <w:b/>
          <w:sz w:val="16"/>
          <w:szCs w:val="16"/>
        </w:rPr>
      </w:pPr>
      <w:r w:rsidRPr="00487F76">
        <w:t xml:space="preserve">La </w:t>
      </w:r>
      <w:r w:rsidRPr="00C011CF">
        <w:rPr>
          <w:b/>
          <w:i/>
        </w:rPr>
        <w:t>Comisión</w:t>
      </w:r>
      <w:r w:rsidRPr="00487F76">
        <w:t xml:space="preserve">, como ya se ha </w:t>
      </w:r>
      <w:r w:rsidRPr="00783116">
        <w:t>indicado (</w:t>
      </w:r>
      <w:r w:rsidRPr="00783116">
        <w:rPr>
          <w:i/>
        </w:rPr>
        <w:t>supra</w:t>
      </w:r>
      <w:r w:rsidR="00F427C7" w:rsidRPr="00783116">
        <w:t xml:space="preserve"> </w:t>
      </w:r>
      <w:proofErr w:type="spellStart"/>
      <w:r w:rsidR="00F427C7" w:rsidRPr="00783116">
        <w:t>párr</w:t>
      </w:r>
      <w:r w:rsidR="00123A7A" w:rsidRPr="00783116">
        <w:t>s</w:t>
      </w:r>
      <w:proofErr w:type="spellEnd"/>
      <w:r w:rsidR="00F427C7" w:rsidRPr="00783116">
        <w:t>.</w:t>
      </w:r>
      <w:r w:rsidR="00123A7A" w:rsidRPr="00783116">
        <w:t xml:space="preserve"> 2</w:t>
      </w:r>
      <w:r w:rsidR="001B250D" w:rsidRPr="00783116">
        <w:t xml:space="preserve"> y</w:t>
      </w:r>
      <w:r w:rsidR="00123A7A" w:rsidRPr="00783116">
        <w:t xml:space="preserve"> 4</w:t>
      </w:r>
      <w:r w:rsidRPr="00783116">
        <w:t>),</w:t>
      </w:r>
      <w:r w:rsidRPr="00783116">
        <w:rPr>
          <w:b/>
        </w:rPr>
        <w:t xml:space="preserve"> </w:t>
      </w:r>
      <w:r w:rsidRPr="00783116">
        <w:t>solicitó</w:t>
      </w:r>
      <w:r w:rsidRPr="00487F76">
        <w:t xml:space="preserve"> que se ordene “[r]</w:t>
      </w:r>
      <w:proofErr w:type="spellStart"/>
      <w:r w:rsidRPr="00487F76">
        <w:t>eparar</w:t>
      </w:r>
      <w:proofErr w:type="spellEnd"/>
      <w:r w:rsidRPr="00487F76">
        <w:t xml:space="preserve"> adecuadamente las violaciones de derechos humanos […] tanto en el aspecto material y moral”.</w:t>
      </w:r>
    </w:p>
    <w:p w14:paraId="0BA637D1" w14:textId="77777777" w:rsidR="003B7BBD" w:rsidRPr="003B7BBD" w:rsidRDefault="003B7BBD" w:rsidP="002A776C">
      <w:pPr>
        <w:tabs>
          <w:tab w:val="left" w:pos="-567"/>
        </w:tabs>
        <w:rPr>
          <w:lang w:val="es-CR" w:eastAsia="es-MX"/>
        </w:rPr>
      </w:pPr>
    </w:p>
    <w:p w14:paraId="02B7F29E" w14:textId="1AB1FE28" w:rsidR="003C0556" w:rsidRDefault="004A3A79" w:rsidP="002A776C">
      <w:pPr>
        <w:pStyle w:val="PrrafodeSentencia"/>
        <w:tabs>
          <w:tab w:val="clear" w:pos="567"/>
          <w:tab w:val="left" w:pos="-567"/>
        </w:tabs>
        <w:ind w:left="0" w:firstLine="0"/>
        <w:rPr>
          <w:sz w:val="16"/>
          <w:szCs w:val="16"/>
        </w:rPr>
      </w:pPr>
      <w:r>
        <w:t xml:space="preserve">Los </w:t>
      </w:r>
      <w:r w:rsidRPr="00C011CF">
        <w:rPr>
          <w:b/>
          <w:i/>
        </w:rPr>
        <w:t>representantes</w:t>
      </w:r>
      <w:r w:rsidR="0095595D" w:rsidRPr="00487F76">
        <w:t xml:space="preserve"> </w:t>
      </w:r>
      <w:r>
        <w:t>solicitaron que dentro del daño</w:t>
      </w:r>
      <w:r w:rsidR="00967AFF">
        <w:t xml:space="preserve"> material a reparar se contemple el daño</w:t>
      </w:r>
      <w:r>
        <w:t xml:space="preserve"> emergente</w:t>
      </w:r>
      <w:r w:rsidR="00DF3243" w:rsidRPr="00C438C1">
        <w:rPr>
          <w:rStyle w:val="FootnoteReference"/>
          <w:sz w:val="20"/>
          <w:szCs w:val="20"/>
        </w:rPr>
        <w:footnoteReference w:id="235"/>
      </w:r>
      <w:r w:rsidR="00DF3243" w:rsidRPr="005D079B">
        <w:rPr>
          <w:szCs w:val="20"/>
        </w:rPr>
        <w:t>,</w:t>
      </w:r>
      <w:r>
        <w:t xml:space="preserve"> </w:t>
      </w:r>
      <w:r w:rsidR="00967AFF">
        <w:t xml:space="preserve">consistente en </w:t>
      </w:r>
      <w:r>
        <w:t>“los</w:t>
      </w:r>
      <w:r w:rsidR="00967AFF">
        <w:t xml:space="preserve"> </w:t>
      </w:r>
      <w:r>
        <w:t>gastos que incurrieron las víctimas o sus familiares con el fin de dar con la verdad”. Mencionaron una serie de acciones que, según ellos aseveraron, fueron realizadas por las víctimas a fin de lograr la “</w:t>
      </w:r>
      <w:proofErr w:type="spellStart"/>
      <w:proofErr w:type="gramStart"/>
      <w:r>
        <w:t>obt</w:t>
      </w:r>
      <w:r w:rsidR="007434BB">
        <w:t>e</w:t>
      </w:r>
      <w:r>
        <w:t>n</w:t>
      </w:r>
      <w:proofErr w:type="spellEnd"/>
      <w:r>
        <w:t>[</w:t>
      </w:r>
      <w:proofErr w:type="spellStart"/>
      <w:proofErr w:type="gramEnd"/>
      <w:r>
        <w:t>ción</w:t>
      </w:r>
      <w:proofErr w:type="spellEnd"/>
      <w:r>
        <w:t>] de justicia”</w:t>
      </w:r>
      <w:r w:rsidR="00967AFF" w:rsidRPr="007600BE">
        <w:rPr>
          <w:rStyle w:val="FootnoteReference"/>
          <w:sz w:val="20"/>
          <w:szCs w:val="20"/>
        </w:rPr>
        <w:footnoteReference w:id="236"/>
      </w:r>
      <w:r>
        <w:t>.</w:t>
      </w:r>
      <w:r w:rsidR="001D0170" w:rsidRPr="001D0170">
        <w:rPr>
          <w:sz w:val="16"/>
          <w:szCs w:val="16"/>
        </w:rPr>
        <w:t xml:space="preserve"> </w:t>
      </w:r>
      <w:r>
        <w:t xml:space="preserve">No obstante, expresaron </w:t>
      </w:r>
      <w:r>
        <w:lastRenderedPageBreak/>
        <w:t>que “[d]</w:t>
      </w:r>
      <w:proofErr w:type="spellStart"/>
      <w:r w:rsidRPr="004A3A79">
        <w:t>ebido</w:t>
      </w:r>
      <w:proofErr w:type="spellEnd"/>
      <w:r w:rsidRPr="004A3A79">
        <w:t xml:space="preserve"> al transcurso del tiempo, las víctimas no cuentan con los comprobantes de</w:t>
      </w:r>
      <w:r>
        <w:t xml:space="preserve"> </w:t>
      </w:r>
      <w:r w:rsidRPr="004A3A79">
        <w:t xml:space="preserve">los gastos antes mencionados, en tal sentido, </w:t>
      </w:r>
      <w:proofErr w:type="gramStart"/>
      <w:r w:rsidRPr="004A3A79">
        <w:t>solicita</w:t>
      </w:r>
      <w:r>
        <w:t>[</w:t>
      </w:r>
      <w:proofErr w:type="gramEnd"/>
      <w:r>
        <w:t xml:space="preserve">ron] </w:t>
      </w:r>
      <w:r w:rsidRPr="004A3A79">
        <w:t xml:space="preserve">a la </w:t>
      </w:r>
      <w:r>
        <w:t>[…]</w:t>
      </w:r>
      <w:r w:rsidR="007434BB">
        <w:t xml:space="preserve"> </w:t>
      </w:r>
      <w:r w:rsidRPr="004A3A79">
        <w:t>Corte que</w:t>
      </w:r>
      <w:r>
        <w:t xml:space="preserve"> </w:t>
      </w:r>
      <w:r w:rsidRPr="004A3A79">
        <w:t>determine en equidad la cantidad correspondiente al daño emergente que deberá</w:t>
      </w:r>
      <w:r>
        <w:t xml:space="preserve"> </w:t>
      </w:r>
      <w:r w:rsidRPr="004A3A79">
        <w:t>ser entregada a cada una de las víctimas del presente caso</w:t>
      </w:r>
      <w:r>
        <w:t>”</w:t>
      </w:r>
      <w:r w:rsidRPr="004A3A79">
        <w:t>.</w:t>
      </w:r>
      <w:r>
        <w:t xml:space="preserve"> </w:t>
      </w:r>
      <w:r w:rsidR="00967AFF" w:rsidRPr="00C011CF">
        <w:rPr>
          <w:szCs w:val="20"/>
        </w:rPr>
        <w:t>Sin perjuicio de ello, presentaron una “relación contable”, no sustentada con comproba</w:t>
      </w:r>
      <w:r w:rsidR="00C0775A">
        <w:rPr>
          <w:szCs w:val="20"/>
        </w:rPr>
        <w:t>n</w:t>
      </w:r>
      <w:r w:rsidR="00967AFF" w:rsidRPr="00C011CF">
        <w:rPr>
          <w:szCs w:val="20"/>
        </w:rPr>
        <w:t>tes, sobre gastos en que habría incurrido José Pacheco</w:t>
      </w:r>
      <w:r w:rsidR="00F427C7">
        <w:rPr>
          <w:szCs w:val="20"/>
        </w:rPr>
        <w:t>.</w:t>
      </w:r>
    </w:p>
    <w:p w14:paraId="65E358E2" w14:textId="77777777" w:rsidR="004F7970" w:rsidRPr="00C011CF" w:rsidRDefault="004F7970" w:rsidP="002A776C">
      <w:pPr>
        <w:tabs>
          <w:tab w:val="left" w:pos="-567"/>
        </w:tabs>
      </w:pPr>
    </w:p>
    <w:p w14:paraId="5DD5CCDD" w14:textId="5136A950" w:rsidR="00294A60" w:rsidRPr="00294A60" w:rsidRDefault="003C0556" w:rsidP="002A776C">
      <w:pPr>
        <w:pStyle w:val="PrrafodeSentencia"/>
        <w:tabs>
          <w:tab w:val="clear" w:pos="567"/>
          <w:tab w:val="left" w:pos="-567"/>
        </w:tabs>
        <w:ind w:left="0" w:firstLine="0"/>
        <w:rPr>
          <w:b/>
        </w:rPr>
      </w:pPr>
      <w:r>
        <w:t xml:space="preserve">Los </w:t>
      </w:r>
      <w:r w:rsidRPr="006D1953">
        <w:t>representantes</w:t>
      </w:r>
      <w:r>
        <w:t xml:space="preserve"> también adujeron que debe repararse el daño inmaterial. </w:t>
      </w:r>
      <w:r w:rsidR="004F7970">
        <w:t xml:space="preserve">Alegaron, en su mayor parte, afectaciones derivadas de la muerte del señor Pacheco que, como se ha dicho, no pueden ser </w:t>
      </w:r>
      <w:r w:rsidR="004F7970" w:rsidRPr="00783116">
        <w:t>consideradas (</w:t>
      </w:r>
      <w:r w:rsidR="004F7970" w:rsidRPr="00783116">
        <w:rPr>
          <w:i/>
        </w:rPr>
        <w:t>supra</w:t>
      </w:r>
      <w:r w:rsidR="004F7970" w:rsidRPr="00783116">
        <w:t xml:space="preserve"> párr.</w:t>
      </w:r>
      <w:r w:rsidR="004F7970">
        <w:t xml:space="preserve"> </w:t>
      </w:r>
      <w:r w:rsidR="00123A7A">
        <w:t>1</w:t>
      </w:r>
      <w:r w:rsidR="00783116">
        <w:t>90</w:t>
      </w:r>
      <w:r w:rsidR="004F7970">
        <w:t xml:space="preserve">). Sin perjuicio de ello, </w:t>
      </w:r>
      <w:r w:rsidR="00CA6226">
        <w:t>e</w:t>
      </w:r>
      <w:r w:rsidR="00294A60" w:rsidRPr="00294A60">
        <w:rPr>
          <w:szCs w:val="20"/>
        </w:rPr>
        <w:t>n sus alegatos sobre el daño inmaterial mencionaron que “</w:t>
      </w:r>
      <w:r w:rsidR="00294A60" w:rsidRPr="00294A60">
        <w:t xml:space="preserve">es necesario de tomar en cuenta los familiares involucrados en la búsqueda de </w:t>
      </w:r>
      <w:r w:rsidR="00294A60" w:rsidRPr="006E29A4">
        <w:t>justicia</w:t>
      </w:r>
      <w:r w:rsidR="00CA6226" w:rsidRPr="006E29A4">
        <w:t>”</w:t>
      </w:r>
      <w:r w:rsidR="006E29A4" w:rsidRPr="006E29A4">
        <w:t xml:space="preserve">. </w:t>
      </w:r>
      <w:r w:rsidR="00294A60" w:rsidRPr="006E29A4">
        <w:t>En</w:t>
      </w:r>
      <w:r w:rsidR="00294A60" w:rsidRPr="00294A60">
        <w:t xml:space="preserve"> tal sentido, considera</w:t>
      </w:r>
      <w:r w:rsidR="00294A60">
        <w:t>ron</w:t>
      </w:r>
      <w:r w:rsidR="00294A60" w:rsidRPr="00294A60">
        <w:t xml:space="preserve"> que </w:t>
      </w:r>
      <w:r w:rsidR="00CA6226">
        <w:t>“</w:t>
      </w:r>
      <w:proofErr w:type="spellStart"/>
      <w:r w:rsidR="00294A60" w:rsidRPr="00294A60">
        <w:t>Marleny</w:t>
      </w:r>
      <w:proofErr w:type="spellEnd"/>
      <w:r w:rsidR="00294A60" w:rsidRPr="00294A60">
        <w:t xml:space="preserve"> Pacheco</w:t>
      </w:r>
      <w:r w:rsidR="0011525F">
        <w:t xml:space="preserve"> [Posadas]</w:t>
      </w:r>
      <w:r w:rsidR="00294A60" w:rsidRPr="00294A60">
        <w:t xml:space="preserve"> y José Pacheco han tocado infinidad de puertas con el único fin de obtener la satisfacción de que se haga justicia en el caso</w:t>
      </w:r>
      <w:r w:rsidR="00294A60">
        <w:t xml:space="preserve">”. </w:t>
      </w:r>
      <w:r w:rsidR="00F70A5C">
        <w:rPr>
          <w:rFonts w:eastAsiaTheme="minorHAnsi" w:cs="Arial"/>
          <w:szCs w:val="20"/>
        </w:rPr>
        <w:t xml:space="preserve">Solicitaron que la </w:t>
      </w:r>
      <w:r w:rsidR="004F7970" w:rsidRPr="00C011CF">
        <w:rPr>
          <w:rFonts w:eastAsiaTheme="minorHAnsi" w:cs="Arial"/>
          <w:szCs w:val="20"/>
        </w:rPr>
        <w:t xml:space="preserve">Corte </w:t>
      </w:r>
      <w:r w:rsidR="007434BB">
        <w:rPr>
          <w:rFonts w:eastAsiaTheme="minorHAnsi" w:cs="Arial"/>
          <w:szCs w:val="20"/>
        </w:rPr>
        <w:t>“</w:t>
      </w:r>
      <w:r w:rsidR="004F7970" w:rsidRPr="00C011CF">
        <w:rPr>
          <w:rFonts w:eastAsiaTheme="minorHAnsi" w:cs="Arial"/>
          <w:szCs w:val="20"/>
        </w:rPr>
        <w:t>determine en equidad la cantidad correspondiente al daño inmaterial en conformidad con su jurisprudencia y que le ordene al Estado el pago de la misma a las víctimas del presente caso”.</w:t>
      </w:r>
      <w:r w:rsidR="004F7970">
        <w:rPr>
          <w:rFonts w:ascii="Arial" w:eastAsiaTheme="minorHAnsi" w:hAnsi="Arial" w:cs="Arial"/>
          <w:sz w:val="24"/>
          <w:szCs w:val="24"/>
        </w:rPr>
        <w:t xml:space="preserve"> </w:t>
      </w:r>
    </w:p>
    <w:p w14:paraId="6E21274E" w14:textId="77777777" w:rsidR="00294A60" w:rsidRPr="00294A60" w:rsidRDefault="00294A60" w:rsidP="002A776C">
      <w:pPr>
        <w:tabs>
          <w:tab w:val="left" w:pos="-567"/>
        </w:tabs>
        <w:rPr>
          <w:lang w:val="es-CR"/>
        </w:rPr>
      </w:pPr>
    </w:p>
    <w:p w14:paraId="08EDC031" w14:textId="390A47D1" w:rsidR="00712B17" w:rsidRDefault="000434D2" w:rsidP="002A776C">
      <w:pPr>
        <w:pStyle w:val="PrrafodeSentencia"/>
        <w:tabs>
          <w:tab w:val="clear" w:pos="567"/>
          <w:tab w:val="left" w:pos="-567"/>
        </w:tabs>
        <w:ind w:left="0" w:firstLine="0"/>
        <w:rPr>
          <w:b/>
        </w:rPr>
      </w:pPr>
      <w:r>
        <w:t xml:space="preserve">El </w:t>
      </w:r>
      <w:r w:rsidRPr="00C011CF">
        <w:rPr>
          <w:b/>
          <w:i/>
        </w:rPr>
        <w:t>Estado</w:t>
      </w:r>
      <w:r>
        <w:rPr>
          <w:b/>
        </w:rPr>
        <w:t xml:space="preserve"> </w:t>
      </w:r>
      <w:r w:rsidRPr="00C011CF">
        <w:t xml:space="preserve">consideró que la indemnización </w:t>
      </w:r>
      <w:r w:rsidR="00712B17" w:rsidRPr="00C011CF">
        <w:t xml:space="preserve">a </w:t>
      </w:r>
      <w:proofErr w:type="spellStart"/>
      <w:r w:rsidR="00712B17" w:rsidRPr="00C011CF">
        <w:t>Marleny</w:t>
      </w:r>
      <w:proofErr w:type="spellEnd"/>
      <w:r w:rsidR="00712B17" w:rsidRPr="00C011CF">
        <w:t xml:space="preserve"> Pacheco</w:t>
      </w:r>
      <w:r w:rsidR="0011525F">
        <w:t xml:space="preserve"> Posadas</w:t>
      </w:r>
      <w:r w:rsidR="00712B17" w:rsidRPr="00C011CF">
        <w:t>, María Regina Pacheco y José Pacheco no podía ser igual que a los demás hermanos del señor Pacheco, pues “las afectaciones [a éstos] no fueron en similares circunstancias [que a aquéllos]”. El Estado vinculó este argumento a sus consideraciones sobre quiénes podrían ser considerados víctimas de lesiones al derecho a la integridad personal (</w:t>
      </w:r>
      <w:r w:rsidR="00712B17" w:rsidRPr="00C011CF">
        <w:rPr>
          <w:i/>
        </w:rPr>
        <w:t>supra</w:t>
      </w:r>
      <w:r w:rsidR="00712B17" w:rsidRPr="00C011CF">
        <w:t xml:space="preserve"> párr. </w:t>
      </w:r>
      <w:r w:rsidR="00123A7A">
        <w:t>16</w:t>
      </w:r>
      <w:r w:rsidR="00783116">
        <w:t>8</w:t>
      </w:r>
      <w:r w:rsidR="00712B17" w:rsidRPr="00C011CF">
        <w:t>)</w:t>
      </w:r>
      <w:r w:rsidR="00712B17" w:rsidRPr="007600BE">
        <w:rPr>
          <w:rStyle w:val="FootnoteReference"/>
          <w:sz w:val="20"/>
          <w:szCs w:val="20"/>
        </w:rPr>
        <w:footnoteReference w:id="237"/>
      </w:r>
      <w:r w:rsidR="006E29A4">
        <w:t>.</w:t>
      </w:r>
    </w:p>
    <w:p w14:paraId="23F2DE29" w14:textId="77777777" w:rsidR="004A18F9" w:rsidRPr="004A18F9" w:rsidRDefault="00712B17" w:rsidP="002A776C">
      <w:pPr>
        <w:pStyle w:val="PrrafodeSentencia"/>
        <w:numPr>
          <w:ilvl w:val="0"/>
          <w:numId w:val="0"/>
        </w:numPr>
        <w:tabs>
          <w:tab w:val="clear" w:pos="567"/>
          <w:tab w:val="left" w:pos="-567"/>
        </w:tabs>
        <w:rPr>
          <w:b/>
        </w:rPr>
      </w:pPr>
      <w:r w:rsidRPr="00C011CF">
        <w:t xml:space="preserve"> </w:t>
      </w:r>
    </w:p>
    <w:p w14:paraId="374193E0" w14:textId="6684D4F1" w:rsidR="00FD4688" w:rsidRDefault="0063422C" w:rsidP="002A776C">
      <w:pPr>
        <w:pStyle w:val="PrrafodeSentencia"/>
        <w:tabs>
          <w:tab w:val="clear" w:pos="567"/>
          <w:tab w:val="left" w:pos="-567"/>
        </w:tabs>
        <w:ind w:left="0" w:firstLine="0"/>
        <w:rPr>
          <w:b/>
          <w:sz w:val="16"/>
          <w:szCs w:val="16"/>
        </w:rPr>
      </w:pPr>
      <w:r w:rsidRPr="0063422C">
        <w:t>E</w:t>
      </w:r>
      <w:r w:rsidR="00EC72FB" w:rsidRPr="0063422C">
        <w:t>n lo que se refiere</w:t>
      </w:r>
      <w:r w:rsidR="00FD4688" w:rsidRPr="0063422C">
        <w:t xml:space="preserve"> al daño moral</w:t>
      </w:r>
      <w:r w:rsidR="00EC72FB" w:rsidRPr="0063422C">
        <w:t>, el Estado adujo</w:t>
      </w:r>
      <w:r w:rsidR="00FD4688" w:rsidRPr="0063422C">
        <w:t xml:space="preserve"> </w:t>
      </w:r>
      <w:r w:rsidR="00FD4688" w:rsidRPr="00C011CF">
        <w:t xml:space="preserve">que “es importante tener en cuenta la realidad socio-económica de [Honduras] en relación [con el] país de residencia de </w:t>
      </w:r>
      <w:proofErr w:type="spellStart"/>
      <w:r w:rsidR="00FD4688" w:rsidRPr="00C011CF">
        <w:t>algun</w:t>
      </w:r>
      <w:proofErr w:type="spellEnd"/>
      <w:r w:rsidR="00FD4688" w:rsidRPr="00C011CF">
        <w:t xml:space="preserve">[a]s de las supuestas víctimas. Tal como se ha considerado, en el caso </w:t>
      </w:r>
      <w:proofErr w:type="spellStart"/>
      <w:r w:rsidR="00EB5B3F">
        <w:rPr>
          <w:i/>
        </w:rPr>
        <w:t>Aloeboetoe</w:t>
      </w:r>
      <w:proofErr w:type="spellEnd"/>
      <w:r w:rsidR="00EB5B3F">
        <w:rPr>
          <w:i/>
        </w:rPr>
        <w:t xml:space="preserve"> V</w:t>
      </w:r>
      <w:r w:rsidR="00FD4688" w:rsidRPr="00C438C1">
        <w:rPr>
          <w:i/>
        </w:rPr>
        <w:t>s. Surinam</w:t>
      </w:r>
      <w:r w:rsidR="00FD4688" w:rsidRPr="00C011CF">
        <w:t>, a fin de recabar y tener mayores insumos para determinar de manera más acertada la posible reparación económica en el presente caso</w:t>
      </w:r>
      <w:r w:rsidR="00FD4688">
        <w:t>”</w:t>
      </w:r>
      <w:r w:rsidR="00FD4688" w:rsidRPr="00C011CF">
        <w:t>.</w:t>
      </w:r>
    </w:p>
    <w:p w14:paraId="69D2CF11" w14:textId="77777777" w:rsidR="004A18F9" w:rsidRPr="004A18F9" w:rsidRDefault="004A18F9" w:rsidP="002A776C">
      <w:pPr>
        <w:pStyle w:val="PrrafodeSentencia"/>
        <w:numPr>
          <w:ilvl w:val="0"/>
          <w:numId w:val="0"/>
        </w:numPr>
        <w:tabs>
          <w:tab w:val="clear" w:pos="567"/>
          <w:tab w:val="left" w:pos="-567"/>
        </w:tabs>
        <w:rPr>
          <w:b/>
          <w:sz w:val="16"/>
          <w:szCs w:val="16"/>
        </w:rPr>
      </w:pPr>
    </w:p>
    <w:p w14:paraId="575E9F15" w14:textId="5EAE5208" w:rsidR="004218C1" w:rsidRPr="004218C1" w:rsidRDefault="00AD3CE6" w:rsidP="002A776C">
      <w:pPr>
        <w:pStyle w:val="PrrafodeSentencia"/>
        <w:tabs>
          <w:tab w:val="clear" w:pos="567"/>
          <w:tab w:val="left" w:pos="-567"/>
        </w:tabs>
        <w:ind w:left="0" w:firstLine="0"/>
      </w:pPr>
      <w:r>
        <w:t xml:space="preserve">La </w:t>
      </w:r>
      <w:r w:rsidRPr="004A18F9">
        <w:rPr>
          <w:b/>
          <w:i/>
        </w:rPr>
        <w:t>Corte</w:t>
      </w:r>
      <w:r>
        <w:t xml:space="preserve"> ha desarrollado en su jurisprudencia el concepto de daño material y los supuestos en que corresponde indemnizarlo. La Corte ha establecido que </w:t>
      </w:r>
      <w:r w:rsidR="00EB5B3F">
        <w:t>dicho da</w:t>
      </w:r>
      <w:r>
        <w:t>ño supone “la pérdida o detrimento de los ingresos de las víctimas, los gastos efectuados con motivo de los hechos y las consecuencias de carácter pecuniario que tengan un nexo causal con los hechos del caso”</w:t>
      </w:r>
      <w:r w:rsidRPr="00C438C1">
        <w:rPr>
          <w:rStyle w:val="FootnoteReference"/>
          <w:sz w:val="20"/>
          <w:szCs w:val="20"/>
        </w:rPr>
        <w:footnoteReference w:id="238"/>
      </w:r>
      <w:r w:rsidR="000274ED" w:rsidRPr="00C438C1">
        <w:rPr>
          <w:szCs w:val="20"/>
        </w:rPr>
        <w:t>.</w:t>
      </w:r>
      <w:r w:rsidR="004218C1">
        <w:t xml:space="preserve"> A su vez, </w:t>
      </w:r>
      <w:r w:rsidR="004218C1" w:rsidRPr="00C438C1">
        <w:t>ha establecido que el daño inmaterial “puede comprender tanto los sufrimientos y las aflicciones causados por la violación como el menoscabo de valores muy significativos para las personas y cualquier alteración, de carácter no pecuniario, en las condiciones de existencia de las víctimas”</w:t>
      </w:r>
      <w:r w:rsidR="004218C1" w:rsidRPr="00C438C1">
        <w:rPr>
          <w:rStyle w:val="FootnoteReference"/>
          <w:sz w:val="20"/>
          <w:szCs w:val="20"/>
        </w:rPr>
        <w:footnoteReference w:id="239"/>
      </w:r>
      <w:r w:rsidR="004218C1" w:rsidRPr="00C438C1">
        <w:rPr>
          <w:szCs w:val="20"/>
        </w:rPr>
        <w:t xml:space="preserve">. </w:t>
      </w:r>
      <w:r w:rsidR="00EB5B3F">
        <w:rPr>
          <w:szCs w:val="20"/>
        </w:rPr>
        <w:t>Por otra parte, d</w:t>
      </w:r>
      <w:r w:rsidR="004218C1" w:rsidRPr="00C438C1">
        <w:t>ado que no es posible asignar al daño inmaterial un equivalente monetario preciso, solo puede ser objeto de compensación, para los fines de la reparación integral a la víctima, mediante el pago de una cantidad de dinero o la entrega de bienes o servicios apreciables en dinero, q</w:t>
      </w:r>
      <w:r w:rsidR="004218C1" w:rsidRPr="00C438C1">
        <w:rPr>
          <w:szCs w:val="20"/>
        </w:rPr>
        <w:t>ue el Tribunal determine en aplicación razonable del arbitrio judicial y en términos de equidad</w:t>
      </w:r>
      <w:r w:rsidR="004218C1" w:rsidRPr="00C438C1">
        <w:rPr>
          <w:rStyle w:val="FootnoteReference"/>
          <w:sz w:val="20"/>
          <w:szCs w:val="20"/>
        </w:rPr>
        <w:footnoteReference w:id="240"/>
      </w:r>
      <w:r w:rsidR="004218C1" w:rsidRPr="00C438C1">
        <w:rPr>
          <w:szCs w:val="20"/>
        </w:rPr>
        <w:t>.</w:t>
      </w:r>
    </w:p>
    <w:p w14:paraId="68562628" w14:textId="77777777" w:rsidR="00526F43" w:rsidRPr="00AD3CE6" w:rsidRDefault="00526F43" w:rsidP="002A776C">
      <w:pPr>
        <w:tabs>
          <w:tab w:val="left" w:pos="-567"/>
        </w:tabs>
        <w:rPr>
          <w:highlight w:val="cyan"/>
          <w:lang w:val="es-CR" w:eastAsia="es-MX"/>
        </w:rPr>
      </w:pPr>
    </w:p>
    <w:p w14:paraId="4C02B91A" w14:textId="5F2BE4DC" w:rsidR="003A33EF" w:rsidRDefault="004218C1" w:rsidP="002A776C">
      <w:pPr>
        <w:pStyle w:val="PrrafodeSentencia"/>
        <w:tabs>
          <w:tab w:val="clear" w:pos="567"/>
          <w:tab w:val="left" w:pos="-567"/>
        </w:tabs>
        <w:ind w:left="0" w:firstLine="0"/>
      </w:pPr>
      <w:r w:rsidRPr="00C438C1">
        <w:t xml:space="preserve">En cuanto al daño </w:t>
      </w:r>
      <w:r w:rsidRPr="007F38FF">
        <w:t>material, el mismo no ha sido acreditado por los representantes. No obstante, a partir de lo señalado por ellos (</w:t>
      </w:r>
      <w:r w:rsidRPr="007F38FF">
        <w:rPr>
          <w:i/>
        </w:rPr>
        <w:t>supra</w:t>
      </w:r>
      <w:r w:rsidRPr="007F38FF">
        <w:t xml:space="preserve"> párr. </w:t>
      </w:r>
      <w:r w:rsidR="00644806" w:rsidRPr="007F38FF">
        <w:t>2</w:t>
      </w:r>
      <w:r w:rsidR="00783116" w:rsidRPr="007F38FF">
        <w:t>13</w:t>
      </w:r>
      <w:r w:rsidR="00644806" w:rsidRPr="007F38FF">
        <w:t xml:space="preserve"> y nota a pie de página 23</w:t>
      </w:r>
      <w:r w:rsidR="00783116" w:rsidRPr="007F38FF">
        <w:t>7</w:t>
      </w:r>
      <w:r w:rsidRPr="007F38FF">
        <w:t xml:space="preserve">), es </w:t>
      </w:r>
      <w:r w:rsidRPr="007F38FF">
        <w:lastRenderedPageBreak/>
        <w:t xml:space="preserve">razonable asumir que </w:t>
      </w:r>
      <w:proofErr w:type="spellStart"/>
      <w:r w:rsidRPr="007F38FF">
        <w:t>Marleny</w:t>
      </w:r>
      <w:proofErr w:type="spellEnd"/>
      <w:r w:rsidRPr="007F38FF">
        <w:t xml:space="preserve"> Pacheco </w:t>
      </w:r>
      <w:r w:rsidR="0011525F">
        <w:t xml:space="preserve">Posadas </w:t>
      </w:r>
      <w:r w:rsidRPr="007F38FF">
        <w:t>y José Pacheco han tenido gastos relacionados con la búsqueda de justicia. Teniendo esto en cuenta, y dada la relación con el modo en que se han desarrollado las actuaciones internas, que ha sido lesivo de los derechos establecidos en los  artículos 8.1 y 25.1 de la Convención (</w:t>
      </w:r>
      <w:r w:rsidRPr="007F38FF">
        <w:rPr>
          <w:i/>
        </w:rPr>
        <w:t>supra</w:t>
      </w:r>
      <w:r w:rsidRPr="007F38FF">
        <w:t xml:space="preserve"> párr. </w:t>
      </w:r>
      <w:r w:rsidR="00783116" w:rsidRPr="007F38FF">
        <w:t>129</w:t>
      </w:r>
      <w:r w:rsidRPr="007F38FF">
        <w:t>), este Tribunal</w:t>
      </w:r>
      <w:r>
        <w:t xml:space="preserve"> fija en equ</w:t>
      </w:r>
      <w:r w:rsidR="004641FC">
        <w:t>i</w:t>
      </w:r>
      <w:r>
        <w:t xml:space="preserve">dad, que el Estado debe pagar, por concepto de daño material, el monto </w:t>
      </w:r>
      <w:r w:rsidRPr="00386B8C">
        <w:t xml:space="preserve">de </w:t>
      </w:r>
      <w:r w:rsidR="00386B8C" w:rsidRPr="00386B8C">
        <w:t>US</w:t>
      </w:r>
      <w:r w:rsidR="000736EE">
        <w:t xml:space="preserve">D </w:t>
      </w:r>
      <w:r w:rsidR="00386B8C" w:rsidRPr="00386B8C">
        <w:t>$15,000.00</w:t>
      </w:r>
      <w:r w:rsidR="00F427C7">
        <w:t xml:space="preserve"> (quince mil dólares de los Estados Unidos de América)</w:t>
      </w:r>
      <w:r w:rsidRPr="00386B8C">
        <w:t xml:space="preserve"> a </w:t>
      </w:r>
      <w:proofErr w:type="spellStart"/>
      <w:r w:rsidRPr="00386B8C">
        <w:t>Marleny</w:t>
      </w:r>
      <w:proofErr w:type="spellEnd"/>
      <w:r w:rsidRPr="00386B8C">
        <w:t xml:space="preserve"> Pacheco</w:t>
      </w:r>
      <w:r w:rsidR="0011525F">
        <w:t xml:space="preserve"> Posadas</w:t>
      </w:r>
      <w:r w:rsidRPr="00386B8C">
        <w:t>, así como un monto igual a José Pacheco.</w:t>
      </w:r>
      <w:r>
        <w:t xml:space="preserve"> </w:t>
      </w:r>
    </w:p>
    <w:p w14:paraId="1F83FBDB" w14:textId="77777777" w:rsidR="003A33EF" w:rsidRPr="003A33EF" w:rsidRDefault="003A33EF" w:rsidP="002A776C">
      <w:pPr>
        <w:tabs>
          <w:tab w:val="left" w:pos="-567"/>
        </w:tabs>
        <w:rPr>
          <w:lang w:val="es-CR" w:eastAsia="es-MX"/>
        </w:rPr>
      </w:pPr>
    </w:p>
    <w:p w14:paraId="3D24B718" w14:textId="03BE6990" w:rsidR="00C52BDF" w:rsidRPr="00972235" w:rsidRDefault="004218C1" w:rsidP="00F7743E">
      <w:pPr>
        <w:pStyle w:val="PrrafodeSentencia"/>
        <w:tabs>
          <w:tab w:val="clear" w:pos="567"/>
          <w:tab w:val="left" w:pos="-567"/>
        </w:tabs>
        <w:ind w:left="0" w:firstLine="0"/>
      </w:pPr>
      <w:r w:rsidRPr="006F35D9">
        <w:t xml:space="preserve">En relación con el daño inmaterial, </w:t>
      </w:r>
      <w:r w:rsidR="004641FC" w:rsidRPr="006F35D9">
        <w:t>debe tenerse en cuenta</w:t>
      </w:r>
      <w:r w:rsidRPr="006F35D9">
        <w:t xml:space="preserve"> las violaciones declaradas en el presente caso, </w:t>
      </w:r>
      <w:r w:rsidR="004641FC" w:rsidRPr="006F35D9">
        <w:t xml:space="preserve">que se </w:t>
      </w:r>
      <w:r w:rsidRPr="006F35D9">
        <w:t>relaciona</w:t>
      </w:r>
      <w:r w:rsidR="004641FC" w:rsidRPr="006F35D9">
        <w:t>n</w:t>
      </w:r>
      <w:r w:rsidRPr="006F35D9">
        <w:t xml:space="preserve"> exclusivamente con </w:t>
      </w:r>
      <w:r w:rsidR="004641FC" w:rsidRPr="006F35D9">
        <w:t>afectaciones a los derechos a las garantías y protección judiciales y al derecho a la integridad personal derivadas d</w:t>
      </w:r>
      <w:r w:rsidRPr="006F35D9">
        <w:t>el modo en que el Estado ha llevado adelante la investigaci</w:t>
      </w:r>
      <w:r w:rsidR="004641FC" w:rsidRPr="006F35D9">
        <w:t>ón de los hechos. Teniendo en consideración lo dicho, la Corte fija, en equidad</w:t>
      </w:r>
      <w:r w:rsidR="003A33EF" w:rsidRPr="006F35D9">
        <w:t xml:space="preserve">: a) el monto de </w:t>
      </w:r>
      <w:r w:rsidR="00386B8C">
        <w:t>US</w:t>
      </w:r>
      <w:r w:rsidR="000736EE">
        <w:t xml:space="preserve">D </w:t>
      </w:r>
      <w:r w:rsidR="00386B8C">
        <w:t>$15,000.00</w:t>
      </w:r>
      <w:r w:rsidR="003A33EF" w:rsidRPr="006F35D9">
        <w:t xml:space="preserve"> </w:t>
      </w:r>
      <w:r w:rsidR="00F427C7">
        <w:t xml:space="preserve">(quince mil dólares de los Estados Unidos de América) </w:t>
      </w:r>
      <w:r w:rsidR="003A33EF" w:rsidRPr="006F35D9">
        <w:t>para cada una de las siguientes personas:</w:t>
      </w:r>
      <w:r w:rsidR="003A33EF" w:rsidRPr="006F35D9">
        <w:rPr>
          <w:rFonts w:eastAsia="Verdana"/>
        </w:rPr>
        <w:t xml:space="preserve"> </w:t>
      </w:r>
      <w:r w:rsidR="003A33EF" w:rsidRPr="0063422C">
        <w:rPr>
          <w:rFonts w:eastAsia="Verdana"/>
        </w:rPr>
        <w:t xml:space="preserve">Miguel Ángel </w:t>
      </w:r>
      <w:r w:rsidR="0011525F">
        <w:rPr>
          <w:rFonts w:eastAsia="Verdana"/>
        </w:rPr>
        <w:t xml:space="preserve">Pacheco </w:t>
      </w:r>
      <w:proofErr w:type="spellStart"/>
      <w:r w:rsidR="00F427C7" w:rsidRPr="0063422C">
        <w:rPr>
          <w:rFonts w:eastAsia="Verdana"/>
        </w:rPr>
        <w:t>Devincente</w:t>
      </w:r>
      <w:proofErr w:type="spellEnd"/>
      <w:r w:rsidR="00F427C7" w:rsidRPr="0063422C">
        <w:rPr>
          <w:rFonts w:eastAsia="Verdana"/>
        </w:rPr>
        <w:t>,</w:t>
      </w:r>
      <w:r w:rsidR="003A33EF" w:rsidRPr="006F35D9">
        <w:rPr>
          <w:rFonts w:eastAsia="Verdana"/>
        </w:rPr>
        <w:t xml:space="preserve"> Cinthia </w:t>
      </w:r>
      <w:proofErr w:type="spellStart"/>
      <w:r w:rsidR="009E425D">
        <w:rPr>
          <w:rFonts w:eastAsia="Verdana"/>
        </w:rPr>
        <w:t>Mirella</w:t>
      </w:r>
      <w:proofErr w:type="spellEnd"/>
      <w:r w:rsidR="009E425D">
        <w:rPr>
          <w:rFonts w:eastAsia="Verdana"/>
        </w:rPr>
        <w:t xml:space="preserve"> </w:t>
      </w:r>
      <w:r w:rsidR="003A33EF" w:rsidRPr="006F35D9">
        <w:rPr>
          <w:rFonts w:eastAsia="Verdana"/>
        </w:rPr>
        <w:t xml:space="preserve">Pacheco </w:t>
      </w:r>
      <w:proofErr w:type="spellStart"/>
      <w:r w:rsidR="003A33EF" w:rsidRPr="006F35D9">
        <w:rPr>
          <w:rFonts w:eastAsia="Verdana"/>
        </w:rPr>
        <w:t>Devicente</w:t>
      </w:r>
      <w:proofErr w:type="spellEnd"/>
      <w:r w:rsidR="003A33EF" w:rsidRPr="006F35D9">
        <w:rPr>
          <w:rFonts w:eastAsia="Verdana"/>
        </w:rPr>
        <w:t xml:space="preserve">, Tania Melissa Pacheco López, Juan Carlos Pacheco </w:t>
      </w:r>
      <w:proofErr w:type="spellStart"/>
      <w:r w:rsidR="003A33EF" w:rsidRPr="006F35D9">
        <w:rPr>
          <w:rFonts w:eastAsia="Verdana"/>
        </w:rPr>
        <w:t>Euceda</w:t>
      </w:r>
      <w:proofErr w:type="spellEnd"/>
      <w:r w:rsidR="003A33EF" w:rsidRPr="006F35D9">
        <w:rPr>
          <w:rFonts w:eastAsia="Verdana"/>
        </w:rPr>
        <w:t xml:space="preserve">, Bianca </w:t>
      </w:r>
      <w:proofErr w:type="spellStart"/>
      <w:r w:rsidR="009E425D">
        <w:rPr>
          <w:rFonts w:eastAsia="Verdana"/>
        </w:rPr>
        <w:t>Gisselle</w:t>
      </w:r>
      <w:proofErr w:type="spellEnd"/>
      <w:r w:rsidR="009E425D">
        <w:rPr>
          <w:rFonts w:eastAsia="Verdana"/>
        </w:rPr>
        <w:t xml:space="preserve"> </w:t>
      </w:r>
      <w:r w:rsidR="003A33EF" w:rsidRPr="006F35D9">
        <w:rPr>
          <w:rFonts w:eastAsia="Verdana"/>
        </w:rPr>
        <w:t xml:space="preserve">Pacheco Herrera, y Otilia, Concepción, Blanca, María Regina, Francisco, Norma, </w:t>
      </w:r>
      <w:proofErr w:type="spellStart"/>
      <w:r w:rsidR="003A33EF" w:rsidRPr="006F35D9">
        <w:rPr>
          <w:rFonts w:eastAsia="Verdana"/>
        </w:rPr>
        <w:t>Jamileth</w:t>
      </w:r>
      <w:proofErr w:type="spellEnd"/>
      <w:r w:rsidR="003A33EF" w:rsidRPr="006F35D9">
        <w:rPr>
          <w:rFonts w:eastAsia="Verdana"/>
        </w:rPr>
        <w:t>, Jaqueline y Jorge,</w:t>
      </w:r>
      <w:r w:rsidR="0011525F">
        <w:rPr>
          <w:rFonts w:eastAsia="Verdana"/>
        </w:rPr>
        <w:t xml:space="preserve"> toda</w:t>
      </w:r>
      <w:r w:rsidR="003A33EF" w:rsidRPr="006F35D9">
        <w:rPr>
          <w:rFonts w:eastAsia="Verdana"/>
        </w:rPr>
        <w:t xml:space="preserve">s </w:t>
      </w:r>
      <w:r w:rsidR="0011525F">
        <w:rPr>
          <w:rFonts w:eastAsia="Verdana"/>
        </w:rPr>
        <w:t xml:space="preserve">personas </w:t>
      </w:r>
      <w:r w:rsidR="003A33EF" w:rsidRPr="006F35D9">
        <w:rPr>
          <w:rFonts w:eastAsia="Verdana"/>
        </w:rPr>
        <w:t xml:space="preserve">de apellido Pacheco; y b) el monto de </w:t>
      </w:r>
      <w:r w:rsidR="00386B8C">
        <w:rPr>
          <w:rFonts w:eastAsia="Verdana"/>
        </w:rPr>
        <w:t>US</w:t>
      </w:r>
      <w:r w:rsidR="000736EE">
        <w:rPr>
          <w:rFonts w:eastAsia="Verdana"/>
        </w:rPr>
        <w:t xml:space="preserve">D </w:t>
      </w:r>
      <w:r w:rsidR="00386B8C">
        <w:rPr>
          <w:rFonts w:eastAsia="Verdana"/>
        </w:rPr>
        <w:t>$30,000.00</w:t>
      </w:r>
      <w:r w:rsidR="00526F43">
        <w:rPr>
          <w:rFonts w:eastAsia="Verdana"/>
        </w:rPr>
        <w:t xml:space="preserve"> </w:t>
      </w:r>
      <w:r w:rsidR="00F427C7">
        <w:rPr>
          <w:rFonts w:eastAsia="Verdana"/>
        </w:rPr>
        <w:t xml:space="preserve">(treinta mil dólares de los Estados Unidos de América) </w:t>
      </w:r>
      <w:r w:rsidR="003A33EF" w:rsidRPr="006F35D9">
        <w:rPr>
          <w:rFonts w:eastAsia="Verdana"/>
        </w:rPr>
        <w:t>para</w:t>
      </w:r>
      <w:r w:rsidR="00526F43">
        <w:rPr>
          <w:rFonts w:eastAsia="Verdana"/>
        </w:rPr>
        <w:t xml:space="preserve"> cada una de las siguientes personas:</w:t>
      </w:r>
      <w:r w:rsidR="00F427C7">
        <w:rPr>
          <w:rFonts w:eastAsia="Verdana"/>
        </w:rPr>
        <w:t xml:space="preserve"> Blanca Rosa Herrera Rodríguez,</w:t>
      </w:r>
      <w:r w:rsidR="003A33EF" w:rsidRPr="006F35D9">
        <w:rPr>
          <w:rFonts w:eastAsia="Verdana"/>
        </w:rPr>
        <w:t xml:space="preserve"> </w:t>
      </w:r>
      <w:proofErr w:type="spellStart"/>
      <w:r w:rsidR="003A33EF" w:rsidRPr="006F35D9">
        <w:rPr>
          <w:rFonts w:eastAsia="Verdana"/>
        </w:rPr>
        <w:t>Jimy</w:t>
      </w:r>
      <w:proofErr w:type="spellEnd"/>
      <w:r w:rsidR="003A33EF" w:rsidRPr="006F35D9">
        <w:rPr>
          <w:rFonts w:eastAsia="Verdana"/>
        </w:rPr>
        <w:t xml:space="preserve"> Pacheco</w:t>
      </w:r>
      <w:r w:rsidR="00F427C7">
        <w:rPr>
          <w:rFonts w:eastAsia="Verdana"/>
        </w:rPr>
        <w:t>,</w:t>
      </w:r>
      <w:r w:rsidR="003A33EF" w:rsidRPr="006F35D9">
        <w:rPr>
          <w:rFonts w:eastAsia="Verdana"/>
        </w:rPr>
        <w:t xml:space="preserve"> Andrea Pacheco</w:t>
      </w:r>
      <w:r w:rsidR="0011525F">
        <w:rPr>
          <w:rFonts w:eastAsia="Verdana"/>
        </w:rPr>
        <w:t xml:space="preserve"> López</w:t>
      </w:r>
      <w:r w:rsidR="003A33EF" w:rsidRPr="006F35D9">
        <w:rPr>
          <w:rFonts w:eastAsia="Verdana"/>
        </w:rPr>
        <w:t xml:space="preserve">, José Pacheco y </w:t>
      </w:r>
      <w:proofErr w:type="spellStart"/>
      <w:r w:rsidR="003A33EF" w:rsidRPr="006F35D9">
        <w:rPr>
          <w:rFonts w:eastAsia="Verdana"/>
        </w:rPr>
        <w:t>Marleny</w:t>
      </w:r>
      <w:proofErr w:type="spellEnd"/>
      <w:r w:rsidR="003A33EF" w:rsidRPr="006F35D9">
        <w:rPr>
          <w:rFonts w:eastAsia="Verdana"/>
        </w:rPr>
        <w:t xml:space="preserve"> Pacheco</w:t>
      </w:r>
      <w:r w:rsidR="0011525F">
        <w:rPr>
          <w:rFonts w:eastAsia="Verdana"/>
        </w:rPr>
        <w:t xml:space="preserve"> Posadas</w:t>
      </w:r>
      <w:r w:rsidR="003A33EF" w:rsidRPr="006F35D9">
        <w:rPr>
          <w:rFonts w:eastAsia="Verdana"/>
        </w:rPr>
        <w:t xml:space="preserve">. </w:t>
      </w:r>
      <w:r w:rsidR="004641FC" w:rsidRPr="006F35D9">
        <w:t xml:space="preserve">Consecuentemente, </w:t>
      </w:r>
      <w:r w:rsidR="003A33EF" w:rsidRPr="006F35D9">
        <w:t xml:space="preserve">la Corte </w:t>
      </w:r>
      <w:r w:rsidR="004641FC" w:rsidRPr="006F35D9">
        <w:t>ordena que el Estado pagu</w:t>
      </w:r>
      <w:r w:rsidR="003A33EF" w:rsidRPr="006F35D9">
        <w:t>e dichos montos a cada una de las</w:t>
      </w:r>
      <w:r w:rsidR="004641FC" w:rsidRPr="006F35D9">
        <w:t xml:space="preserve"> personas</w:t>
      </w:r>
      <w:r w:rsidR="003A33EF" w:rsidRPr="006F35D9">
        <w:t xml:space="preserve"> nombradas</w:t>
      </w:r>
      <w:r w:rsidR="00972235">
        <w:t xml:space="preserve">. </w:t>
      </w:r>
    </w:p>
    <w:p w14:paraId="22DB081D" w14:textId="77777777" w:rsidR="008A30E2" w:rsidRPr="006F35D9" w:rsidRDefault="008A30E2" w:rsidP="00F7743E">
      <w:pPr>
        <w:rPr>
          <w:lang w:val="es-CR" w:eastAsia="es-MX"/>
        </w:rPr>
      </w:pPr>
    </w:p>
    <w:p w14:paraId="1BE0AD82" w14:textId="19806881" w:rsidR="00A65E86" w:rsidRPr="006F35D9" w:rsidRDefault="007229D1" w:rsidP="006D1953">
      <w:pPr>
        <w:pStyle w:val="Heading2"/>
        <w:tabs>
          <w:tab w:val="clear" w:pos="993"/>
          <w:tab w:val="left" w:pos="0"/>
        </w:tabs>
        <w:ind w:left="284" w:firstLine="0"/>
        <w:rPr>
          <w:spacing w:val="-4"/>
          <w:lang w:val="es-ES_tradnl"/>
        </w:rPr>
      </w:pPr>
      <w:bookmarkStart w:id="345" w:name="_Toc493512925"/>
      <w:bookmarkStart w:id="346" w:name="_Toc498512850"/>
      <w:r>
        <w:rPr>
          <w:spacing w:val="-4"/>
          <w:lang w:val="es-ES_tradnl"/>
        </w:rPr>
        <w:t>G</w:t>
      </w:r>
      <w:r w:rsidR="007A5DB4" w:rsidRPr="006F35D9">
        <w:rPr>
          <w:spacing w:val="-4"/>
          <w:lang w:val="es-ES_tradnl"/>
        </w:rPr>
        <w:t xml:space="preserve">. </w:t>
      </w:r>
      <w:bookmarkStart w:id="347" w:name="_Toc418074122"/>
      <w:bookmarkStart w:id="348" w:name="_Toc418503927"/>
      <w:bookmarkStart w:id="349" w:name="_Toc418912656"/>
      <w:bookmarkStart w:id="350" w:name="_Toc418912880"/>
      <w:bookmarkStart w:id="351" w:name="_Toc419394460"/>
      <w:bookmarkStart w:id="352" w:name="_Toc423361059"/>
      <w:bookmarkStart w:id="353" w:name="_Toc427234586"/>
      <w:bookmarkStart w:id="354" w:name="_Toc427932832"/>
      <w:bookmarkStart w:id="355" w:name="_Toc431584681"/>
      <w:bookmarkStart w:id="356" w:name="_Toc434850470"/>
      <w:bookmarkStart w:id="357" w:name="_Toc480742248"/>
      <w:bookmarkStart w:id="358" w:name="_Toc488134471"/>
      <w:bookmarkStart w:id="359" w:name="_Toc489523931"/>
      <w:r w:rsidR="007A5DB4" w:rsidRPr="006F35D9">
        <w:rPr>
          <w:spacing w:val="-4"/>
          <w:lang w:val="es-ES_tradnl"/>
        </w:rPr>
        <w:t>Costas y Gastos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4D3F3E" w:rsidRPr="006F35D9">
        <w:rPr>
          <w:spacing w:val="-4"/>
          <w:lang w:val="es-ES_tradnl"/>
        </w:rPr>
        <w:t xml:space="preserve"> </w:t>
      </w:r>
    </w:p>
    <w:p w14:paraId="14E11E24" w14:textId="77777777" w:rsidR="007A5DB4" w:rsidRPr="006F35D9" w:rsidRDefault="007A5DB4" w:rsidP="007A5DB4">
      <w:pPr>
        <w:pStyle w:val="PrrafodeSentencia"/>
        <w:numPr>
          <w:ilvl w:val="0"/>
          <w:numId w:val="0"/>
        </w:numPr>
      </w:pPr>
    </w:p>
    <w:p w14:paraId="1B4E02FA" w14:textId="273D8A2D" w:rsidR="008C5BB7" w:rsidRPr="006F35D9" w:rsidRDefault="00007E97" w:rsidP="002A776C">
      <w:pPr>
        <w:pStyle w:val="PrrafodeSentencia"/>
        <w:tabs>
          <w:tab w:val="clear" w:pos="567"/>
          <w:tab w:val="left" w:pos="-142"/>
        </w:tabs>
        <w:ind w:left="0" w:firstLine="0"/>
        <w:rPr>
          <w:b/>
          <w:szCs w:val="20"/>
        </w:rPr>
      </w:pPr>
      <w:r w:rsidRPr="006F35D9">
        <w:rPr>
          <w:szCs w:val="20"/>
        </w:rPr>
        <w:t xml:space="preserve">Los </w:t>
      </w:r>
      <w:r w:rsidRPr="006F35D9">
        <w:rPr>
          <w:b/>
          <w:i/>
          <w:szCs w:val="20"/>
        </w:rPr>
        <w:t>representantes</w:t>
      </w:r>
      <w:r w:rsidR="008C5BB7" w:rsidRPr="006F35D9">
        <w:rPr>
          <w:szCs w:val="20"/>
        </w:rPr>
        <w:t xml:space="preserve"> </w:t>
      </w:r>
      <w:r w:rsidR="003B095E">
        <w:rPr>
          <w:szCs w:val="20"/>
        </w:rPr>
        <w:t>e</w:t>
      </w:r>
      <w:r w:rsidR="003B3AB2" w:rsidRPr="006F35D9">
        <w:rPr>
          <w:szCs w:val="20"/>
        </w:rPr>
        <w:t>n su escrito de solicitudes y argumentos</w:t>
      </w:r>
      <w:r w:rsidRPr="006F35D9">
        <w:rPr>
          <w:szCs w:val="20"/>
        </w:rPr>
        <w:t xml:space="preserve"> </w:t>
      </w:r>
      <w:r w:rsidR="001D0170">
        <w:rPr>
          <w:szCs w:val="20"/>
        </w:rPr>
        <w:t xml:space="preserve">solicitaron </w:t>
      </w:r>
      <w:r w:rsidRPr="006F35D9">
        <w:rPr>
          <w:szCs w:val="20"/>
        </w:rPr>
        <w:t xml:space="preserve">el pago </w:t>
      </w:r>
      <w:r w:rsidR="003B3AB2" w:rsidRPr="006F35D9">
        <w:rPr>
          <w:szCs w:val="20"/>
        </w:rPr>
        <w:t>de USD</w:t>
      </w:r>
      <w:r w:rsidR="000736EE">
        <w:rPr>
          <w:szCs w:val="20"/>
        </w:rPr>
        <w:t xml:space="preserve"> </w:t>
      </w:r>
      <w:r w:rsidR="000736EE" w:rsidRPr="006F35D9">
        <w:rPr>
          <w:szCs w:val="20"/>
        </w:rPr>
        <w:t>$</w:t>
      </w:r>
      <w:r w:rsidR="003B3AB2" w:rsidRPr="006F35D9">
        <w:rPr>
          <w:szCs w:val="20"/>
        </w:rPr>
        <w:t>44,521.</w:t>
      </w:r>
      <w:r w:rsidR="003B3AB2" w:rsidRPr="00557544">
        <w:rPr>
          <w:szCs w:val="20"/>
        </w:rPr>
        <w:t>83</w:t>
      </w:r>
      <w:r w:rsidR="007600BE" w:rsidRPr="00557544">
        <w:rPr>
          <w:szCs w:val="20"/>
        </w:rPr>
        <w:t xml:space="preserve"> (cuarenta y cuatro mil quinientos </w:t>
      </w:r>
      <w:proofErr w:type="spellStart"/>
      <w:r w:rsidR="007600BE" w:rsidRPr="00557544">
        <w:rPr>
          <w:szCs w:val="20"/>
        </w:rPr>
        <w:t>veintiun</w:t>
      </w:r>
      <w:proofErr w:type="spellEnd"/>
      <w:r w:rsidR="007600BE" w:rsidRPr="00557544">
        <w:rPr>
          <w:szCs w:val="20"/>
        </w:rPr>
        <w:t xml:space="preserve"> dólares de los Estados Unidos de América con 83/100</w:t>
      </w:r>
      <w:r w:rsidR="00C0775A" w:rsidRPr="00557544">
        <w:rPr>
          <w:szCs w:val="20"/>
        </w:rPr>
        <w:t>)</w:t>
      </w:r>
      <w:r w:rsidR="003B3AB2" w:rsidRPr="00557544">
        <w:rPr>
          <w:szCs w:val="20"/>
        </w:rPr>
        <w:t xml:space="preserve"> por </w:t>
      </w:r>
      <w:r w:rsidRPr="00557544">
        <w:rPr>
          <w:szCs w:val="20"/>
        </w:rPr>
        <w:t>gastos incurridos por COFADEH</w:t>
      </w:r>
      <w:r w:rsidR="003B3AB2" w:rsidRPr="00557544">
        <w:rPr>
          <w:szCs w:val="20"/>
        </w:rPr>
        <w:t>,</w:t>
      </w:r>
      <w:r w:rsidRPr="00557544">
        <w:rPr>
          <w:szCs w:val="20"/>
        </w:rPr>
        <w:t xml:space="preserve"> que incluyen</w:t>
      </w:r>
      <w:r w:rsidR="00C50EC5" w:rsidRPr="00557544">
        <w:rPr>
          <w:szCs w:val="20"/>
        </w:rPr>
        <w:t xml:space="preserve"> </w:t>
      </w:r>
      <w:r w:rsidRPr="00557544">
        <w:rPr>
          <w:szCs w:val="20"/>
        </w:rPr>
        <w:t>viajes, alojamiento, comunicaciones, fotocopias, papelería y env</w:t>
      </w:r>
      <w:r w:rsidR="003C12C0" w:rsidRPr="00557544">
        <w:rPr>
          <w:szCs w:val="20"/>
        </w:rPr>
        <w:t>ío</w:t>
      </w:r>
      <w:r w:rsidRPr="00557544">
        <w:rPr>
          <w:szCs w:val="20"/>
        </w:rPr>
        <w:t>s</w:t>
      </w:r>
      <w:r w:rsidR="003B3AB2" w:rsidRPr="00557544">
        <w:rPr>
          <w:rStyle w:val="FootnoteReference"/>
          <w:sz w:val="20"/>
          <w:szCs w:val="20"/>
        </w:rPr>
        <w:footnoteReference w:id="241"/>
      </w:r>
      <w:r w:rsidR="006E29A4" w:rsidRPr="00557544">
        <w:rPr>
          <w:szCs w:val="20"/>
        </w:rPr>
        <w:t xml:space="preserve">. </w:t>
      </w:r>
      <w:r w:rsidRPr="00557544">
        <w:rPr>
          <w:szCs w:val="20"/>
        </w:rPr>
        <w:t>A</w:t>
      </w:r>
      <w:r w:rsidR="008C5BB7" w:rsidRPr="00557544">
        <w:rPr>
          <w:szCs w:val="20"/>
        </w:rPr>
        <w:t xml:space="preserve">demás, </w:t>
      </w:r>
      <w:r w:rsidRPr="00557544">
        <w:rPr>
          <w:szCs w:val="20"/>
        </w:rPr>
        <w:t xml:space="preserve">en los alegatos finales escritos </w:t>
      </w:r>
      <w:r w:rsidR="000274ED" w:rsidRPr="00557544">
        <w:rPr>
          <w:szCs w:val="20"/>
        </w:rPr>
        <w:t>solicitaron</w:t>
      </w:r>
      <w:r w:rsidRPr="00557544">
        <w:rPr>
          <w:szCs w:val="20"/>
        </w:rPr>
        <w:t xml:space="preserve"> </w:t>
      </w:r>
      <w:r w:rsidR="008C5BB7" w:rsidRPr="00557544">
        <w:rPr>
          <w:szCs w:val="20"/>
        </w:rPr>
        <w:t xml:space="preserve">que se ordene </w:t>
      </w:r>
      <w:r w:rsidRPr="00557544">
        <w:rPr>
          <w:rFonts w:eastAsiaTheme="minorHAnsi" w:cs="Arial"/>
          <w:szCs w:val="20"/>
        </w:rPr>
        <w:t xml:space="preserve">al Estado </w:t>
      </w:r>
      <w:r w:rsidR="009634B1" w:rsidRPr="00557544">
        <w:rPr>
          <w:rFonts w:eastAsiaTheme="minorHAnsi" w:cs="Arial"/>
          <w:szCs w:val="20"/>
          <w:lang w:val="es-MX"/>
        </w:rPr>
        <w:t xml:space="preserve">reintegrar </w:t>
      </w:r>
      <w:r w:rsidR="00FF68F4" w:rsidRPr="00557544">
        <w:rPr>
          <w:rFonts w:eastAsiaTheme="minorHAnsi" w:cs="Arial"/>
          <w:szCs w:val="20"/>
          <w:lang w:val="es-MX"/>
        </w:rPr>
        <w:t>“los gastos y costas en que incurrió la víctima y sus representantes, además de los ya establecidos en el escr</w:t>
      </w:r>
      <w:r w:rsidR="00310604" w:rsidRPr="00557544">
        <w:rPr>
          <w:rFonts w:eastAsiaTheme="minorHAnsi" w:cs="Arial"/>
          <w:szCs w:val="20"/>
          <w:lang w:val="es-MX"/>
        </w:rPr>
        <w:t xml:space="preserve">ito de solicitudes y argumentos, que </w:t>
      </w:r>
      <w:proofErr w:type="spellStart"/>
      <w:r w:rsidR="00310604" w:rsidRPr="00557544">
        <w:rPr>
          <w:rFonts w:eastAsiaTheme="minorHAnsi" w:cs="Arial"/>
          <w:szCs w:val="20"/>
          <w:lang w:val="es-MX"/>
        </w:rPr>
        <w:t>comprendenen</w:t>
      </w:r>
      <w:proofErr w:type="spellEnd"/>
      <w:r w:rsidR="00310604" w:rsidRPr="00557544">
        <w:rPr>
          <w:rFonts w:eastAsiaTheme="minorHAnsi" w:cs="Arial"/>
          <w:szCs w:val="20"/>
          <w:lang w:val="es-MX"/>
        </w:rPr>
        <w:t xml:space="preserve"> l</w:t>
      </w:r>
      <w:r w:rsidR="003B095E" w:rsidRPr="00557544">
        <w:rPr>
          <w:rFonts w:eastAsiaTheme="minorHAnsi" w:cs="Arial"/>
          <w:szCs w:val="20"/>
          <w:lang w:val="es-MX"/>
        </w:rPr>
        <w:t>as erogaciones que realizaron la</w:t>
      </w:r>
      <w:r w:rsidR="00FF68F4" w:rsidRPr="00557544">
        <w:rPr>
          <w:rFonts w:eastAsiaTheme="minorHAnsi" w:cs="Arial"/>
          <w:szCs w:val="20"/>
          <w:lang w:val="es-MX"/>
        </w:rPr>
        <w:t>s víctimas</w:t>
      </w:r>
      <w:r w:rsidR="003B095E" w:rsidRPr="00557544">
        <w:rPr>
          <w:rFonts w:eastAsiaTheme="minorHAnsi" w:cs="Arial"/>
          <w:szCs w:val="20"/>
          <w:lang w:val="es-MX"/>
        </w:rPr>
        <w:t>,</w:t>
      </w:r>
      <w:r w:rsidR="00FF68F4" w:rsidRPr="00557544">
        <w:rPr>
          <w:rFonts w:eastAsiaTheme="minorHAnsi" w:cs="Arial"/>
          <w:szCs w:val="20"/>
          <w:lang w:val="es-MX"/>
        </w:rPr>
        <w:t xml:space="preserve"> familiares señor Pacheco</w:t>
      </w:r>
      <w:r w:rsidR="003B095E" w:rsidRPr="00557544">
        <w:rPr>
          <w:rFonts w:eastAsiaTheme="minorHAnsi" w:cs="Arial"/>
          <w:szCs w:val="20"/>
          <w:lang w:val="es-MX"/>
        </w:rPr>
        <w:t xml:space="preserve">, </w:t>
      </w:r>
      <w:r w:rsidR="00FF68F4" w:rsidRPr="00557544">
        <w:rPr>
          <w:rFonts w:eastAsiaTheme="minorHAnsi" w:cs="Arial"/>
          <w:szCs w:val="20"/>
          <w:lang w:val="es-MX"/>
        </w:rPr>
        <w:t xml:space="preserve">para asistir a la audiencia pública por concepto de boletos aéreos, renta de vehículo y hospedaje </w:t>
      </w:r>
      <w:r w:rsidR="003B095E" w:rsidRPr="00557544">
        <w:rPr>
          <w:rFonts w:eastAsiaTheme="minorHAnsi" w:cs="Arial"/>
          <w:szCs w:val="20"/>
          <w:lang w:val="es-MX"/>
        </w:rPr>
        <w:t xml:space="preserve">por </w:t>
      </w:r>
      <w:r w:rsidR="008C5BB7" w:rsidRPr="00557544">
        <w:rPr>
          <w:rFonts w:eastAsiaTheme="minorHAnsi" w:cs="Arial"/>
          <w:szCs w:val="20"/>
        </w:rPr>
        <w:t xml:space="preserve">un total de </w:t>
      </w:r>
      <w:r w:rsidR="008C5BB7" w:rsidRPr="00557544">
        <w:rPr>
          <w:szCs w:val="20"/>
        </w:rPr>
        <w:t>USD</w:t>
      </w:r>
      <w:r w:rsidR="00FF68F4" w:rsidRPr="00557544">
        <w:rPr>
          <w:szCs w:val="20"/>
        </w:rPr>
        <w:t xml:space="preserve"> $6,232.97</w:t>
      </w:r>
      <w:r w:rsidR="000736EE" w:rsidRPr="00557544">
        <w:rPr>
          <w:szCs w:val="20"/>
        </w:rPr>
        <w:t xml:space="preserve"> </w:t>
      </w:r>
      <w:r w:rsidR="007600BE" w:rsidRPr="00557544">
        <w:rPr>
          <w:rFonts w:eastAsiaTheme="minorHAnsi" w:cs="Arial"/>
          <w:szCs w:val="20"/>
        </w:rPr>
        <w:t>(</w:t>
      </w:r>
      <w:r w:rsidR="00FF68F4" w:rsidRPr="00557544">
        <w:rPr>
          <w:rFonts w:eastAsiaTheme="minorHAnsi" w:cs="Arial"/>
          <w:szCs w:val="20"/>
        </w:rPr>
        <w:t xml:space="preserve">seis </w:t>
      </w:r>
      <w:r w:rsidR="007600BE" w:rsidRPr="00557544">
        <w:rPr>
          <w:rFonts w:eastAsiaTheme="minorHAnsi" w:cs="Arial"/>
          <w:szCs w:val="20"/>
        </w:rPr>
        <w:t xml:space="preserve"> mil </w:t>
      </w:r>
      <w:r w:rsidR="00FF68F4" w:rsidRPr="00557544">
        <w:rPr>
          <w:rFonts w:eastAsiaTheme="minorHAnsi" w:cs="Arial"/>
          <w:szCs w:val="20"/>
        </w:rPr>
        <w:t xml:space="preserve">doscientos treinta y dos </w:t>
      </w:r>
      <w:r w:rsidR="007600BE" w:rsidRPr="00557544">
        <w:rPr>
          <w:rFonts w:eastAsiaTheme="minorHAnsi" w:cs="Arial"/>
          <w:szCs w:val="20"/>
        </w:rPr>
        <w:t>dólares de los Estados Unidos de América con 97/100)</w:t>
      </w:r>
      <w:r w:rsidR="00310604" w:rsidRPr="00557544">
        <w:rPr>
          <w:rFonts w:eastAsiaTheme="minorHAnsi" w:cs="Arial"/>
          <w:szCs w:val="20"/>
        </w:rPr>
        <w:t xml:space="preserve">, así como los gastos en que incurrió </w:t>
      </w:r>
      <w:r w:rsidR="00FF68F4" w:rsidRPr="00557544">
        <w:rPr>
          <w:rFonts w:eastAsiaTheme="minorHAnsi" w:cs="Arial"/>
          <w:szCs w:val="20"/>
        </w:rPr>
        <w:t xml:space="preserve">COFADEH </w:t>
      </w:r>
      <w:r w:rsidR="003B095E" w:rsidRPr="00557544">
        <w:rPr>
          <w:rFonts w:eastAsiaTheme="minorHAnsi" w:cs="Arial"/>
          <w:szCs w:val="20"/>
          <w:lang w:val="es-MX"/>
        </w:rPr>
        <w:t xml:space="preserve">por concepto de boletos aéreos, boletos terrestres, hospedaje, alimentación, transporte y viáticos, </w:t>
      </w:r>
      <w:r w:rsidR="003B3AB2" w:rsidRPr="00557544">
        <w:rPr>
          <w:rFonts w:eastAsiaTheme="minorHAnsi" w:cs="Arial"/>
          <w:szCs w:val="20"/>
          <w:lang w:val="es-MX"/>
        </w:rPr>
        <w:t>honorario de notario y por peritajes psicológicos</w:t>
      </w:r>
      <w:r w:rsidR="003B095E" w:rsidRPr="00557544">
        <w:rPr>
          <w:rFonts w:eastAsiaTheme="minorHAnsi" w:cs="Arial"/>
          <w:szCs w:val="20"/>
          <w:lang w:val="es-MX"/>
        </w:rPr>
        <w:t xml:space="preserve">, y movilización de testigos para </w:t>
      </w:r>
      <w:r w:rsidR="001D0170" w:rsidRPr="00557544">
        <w:rPr>
          <w:rFonts w:eastAsiaTheme="minorHAnsi" w:cs="Arial"/>
          <w:szCs w:val="20"/>
          <w:lang w:val="es-MX"/>
        </w:rPr>
        <w:t xml:space="preserve">rendir declaraciones para asistir </w:t>
      </w:r>
      <w:r w:rsidR="001D0170" w:rsidRPr="00557544">
        <w:rPr>
          <w:rFonts w:eastAsiaTheme="minorHAnsi" w:cs="Arial"/>
          <w:szCs w:val="20"/>
        </w:rPr>
        <w:t>a la audiencia pública sobre el caso,</w:t>
      </w:r>
      <w:r w:rsidR="001D0170" w:rsidRPr="00557544">
        <w:rPr>
          <w:rFonts w:eastAsiaTheme="minorHAnsi" w:cs="Arial"/>
          <w:szCs w:val="20"/>
          <w:lang w:val="es-MX"/>
        </w:rPr>
        <w:t xml:space="preserve"> por un monto </w:t>
      </w:r>
      <w:r w:rsidR="00CE701A" w:rsidRPr="00ED1D8D">
        <w:rPr>
          <w:rFonts w:eastAsiaTheme="minorHAnsi" w:cs="Arial"/>
          <w:szCs w:val="20"/>
          <w:lang w:val="es-MX"/>
        </w:rPr>
        <w:t>de USD</w:t>
      </w:r>
      <w:r w:rsidR="000736EE" w:rsidRPr="00ED1D8D">
        <w:rPr>
          <w:rFonts w:eastAsiaTheme="minorHAnsi" w:cs="Arial"/>
          <w:szCs w:val="20"/>
          <w:lang w:val="es-MX"/>
        </w:rPr>
        <w:t xml:space="preserve"> $</w:t>
      </w:r>
      <w:r w:rsidR="00CE701A" w:rsidRPr="00ED1D8D">
        <w:rPr>
          <w:rFonts w:eastAsiaTheme="minorHAnsi" w:cs="Arial"/>
          <w:szCs w:val="20"/>
          <w:lang w:val="es-MX"/>
        </w:rPr>
        <w:t>10,074.00 (diez mil setenta y cuatro dólares de los Estados Unidos de América con 00/100</w:t>
      </w:r>
      <w:r w:rsidR="003B095E" w:rsidRPr="00ED1D8D">
        <w:rPr>
          <w:rFonts w:eastAsiaTheme="minorHAnsi" w:cs="Arial"/>
          <w:szCs w:val="20"/>
          <w:lang w:val="es-MX"/>
        </w:rPr>
        <w:t>)</w:t>
      </w:r>
      <w:r w:rsidR="001D0170" w:rsidRPr="00ED1D8D">
        <w:rPr>
          <w:rFonts w:eastAsiaTheme="minorHAnsi" w:cs="Arial"/>
          <w:szCs w:val="20"/>
        </w:rPr>
        <w:t>.</w:t>
      </w:r>
      <w:r w:rsidR="003B095E" w:rsidRPr="00557544">
        <w:rPr>
          <w:rFonts w:eastAsiaTheme="minorHAnsi" w:cs="Arial"/>
          <w:sz w:val="16"/>
          <w:szCs w:val="16"/>
        </w:rPr>
        <w:t xml:space="preserve"> </w:t>
      </w:r>
      <w:r w:rsidR="003B095E" w:rsidRPr="00557544">
        <w:rPr>
          <w:rFonts w:eastAsiaTheme="minorHAnsi" w:cs="Arial"/>
          <w:szCs w:val="20"/>
        </w:rPr>
        <w:t>En consecuencia</w:t>
      </w:r>
      <w:r w:rsidR="003B095E" w:rsidRPr="00557544">
        <w:rPr>
          <w:rFonts w:eastAsiaTheme="minorHAnsi" w:cs="Arial"/>
          <w:sz w:val="16"/>
          <w:szCs w:val="16"/>
        </w:rPr>
        <w:t xml:space="preserve"> </w:t>
      </w:r>
      <w:r w:rsidR="001D0170" w:rsidRPr="00557544">
        <w:rPr>
          <w:szCs w:val="20"/>
        </w:rPr>
        <w:t>solicitaron</w:t>
      </w:r>
      <w:r w:rsidR="00695C09">
        <w:rPr>
          <w:szCs w:val="20"/>
        </w:rPr>
        <w:t xml:space="preserve"> </w:t>
      </w:r>
      <w:r w:rsidR="003B095E" w:rsidRPr="00557544">
        <w:rPr>
          <w:szCs w:val="20"/>
        </w:rPr>
        <w:t>un total de USD $60,828.80 (sesenta mil ochocientos veintiocho dólares de los Estados Unidos de América con 8/100) por concepto de costas y gastos.</w:t>
      </w:r>
      <w:r w:rsidR="008C5BB7" w:rsidRPr="00557544">
        <w:rPr>
          <w:szCs w:val="20"/>
        </w:rPr>
        <w:t xml:space="preserve"> Adicionalmente </w:t>
      </w:r>
      <w:r w:rsidR="000274ED" w:rsidRPr="00557544">
        <w:rPr>
          <w:szCs w:val="20"/>
        </w:rPr>
        <w:t xml:space="preserve">pidieron </w:t>
      </w:r>
      <w:r w:rsidR="008C5BB7" w:rsidRPr="00557544">
        <w:rPr>
          <w:szCs w:val="20"/>
        </w:rPr>
        <w:t>a la Corte que, en la etapa procesal correspondiente, les otorgue la oportunidad de presentar cifras y comprobantes actualizados sobre los gastos en los que se incurrirá “en lo que resta del trámite del caso”</w:t>
      </w:r>
      <w:r w:rsidR="00847FCC" w:rsidRPr="00557544">
        <w:rPr>
          <w:szCs w:val="20"/>
        </w:rPr>
        <w:t>.</w:t>
      </w:r>
      <w:r w:rsidR="008C5BB7" w:rsidRPr="006F35D9">
        <w:rPr>
          <w:szCs w:val="20"/>
        </w:rPr>
        <w:t xml:space="preserve"> </w:t>
      </w:r>
    </w:p>
    <w:p w14:paraId="1AD4F7A1" w14:textId="77777777" w:rsidR="00007E97" w:rsidRPr="006F35D9" w:rsidRDefault="00007E97" w:rsidP="002A776C">
      <w:pPr>
        <w:tabs>
          <w:tab w:val="left" w:pos="-142"/>
        </w:tabs>
        <w:rPr>
          <w:szCs w:val="20"/>
          <w:lang w:val="es-CR" w:eastAsia="es-MX"/>
        </w:rPr>
      </w:pPr>
    </w:p>
    <w:p w14:paraId="772CA7E9" w14:textId="7C578CEB" w:rsidR="000432E9" w:rsidRPr="00C438C1" w:rsidRDefault="00AD0EA9" w:rsidP="002A776C">
      <w:pPr>
        <w:pStyle w:val="PrrafodeSentencia"/>
        <w:tabs>
          <w:tab w:val="clear" w:pos="567"/>
          <w:tab w:val="left" w:pos="-142"/>
        </w:tabs>
        <w:ind w:left="0" w:firstLine="0"/>
        <w:rPr>
          <w:rFonts w:eastAsiaTheme="minorHAnsi" w:cs="Arial"/>
          <w:b/>
          <w:sz w:val="16"/>
          <w:szCs w:val="16"/>
        </w:rPr>
      </w:pPr>
      <w:r w:rsidRPr="006F35D9">
        <w:rPr>
          <w:szCs w:val="20"/>
        </w:rPr>
        <w:t xml:space="preserve">La </w:t>
      </w:r>
      <w:r w:rsidRPr="006F35D9">
        <w:rPr>
          <w:b/>
          <w:i/>
          <w:szCs w:val="20"/>
        </w:rPr>
        <w:t>Comisión</w:t>
      </w:r>
      <w:r w:rsidR="008C5BB7" w:rsidRPr="006F35D9">
        <w:rPr>
          <w:szCs w:val="20"/>
        </w:rPr>
        <w:t xml:space="preserve"> y </w:t>
      </w:r>
      <w:r w:rsidR="008C5BB7" w:rsidRPr="009E425D">
        <w:rPr>
          <w:szCs w:val="20"/>
        </w:rPr>
        <w:t xml:space="preserve">el </w:t>
      </w:r>
      <w:r w:rsidR="008C5BB7" w:rsidRPr="009E425D">
        <w:rPr>
          <w:b/>
          <w:i/>
          <w:szCs w:val="20"/>
        </w:rPr>
        <w:t>Estado</w:t>
      </w:r>
      <w:r w:rsidR="008C5BB7" w:rsidRPr="009E425D">
        <w:rPr>
          <w:szCs w:val="20"/>
        </w:rPr>
        <w:t xml:space="preserve"> no se pronun</w:t>
      </w:r>
      <w:r w:rsidR="007600BE" w:rsidRPr="009E425D">
        <w:rPr>
          <w:szCs w:val="20"/>
        </w:rPr>
        <w:t>cia</w:t>
      </w:r>
      <w:r w:rsidR="008C5BB7" w:rsidRPr="009E425D">
        <w:rPr>
          <w:szCs w:val="20"/>
        </w:rPr>
        <w:t>ron</w:t>
      </w:r>
      <w:r w:rsidR="000A2CF1">
        <w:rPr>
          <w:szCs w:val="20"/>
        </w:rPr>
        <w:t xml:space="preserve"> </w:t>
      </w:r>
      <w:proofErr w:type="spellStart"/>
      <w:r w:rsidR="000A2CF1">
        <w:rPr>
          <w:szCs w:val="20"/>
        </w:rPr>
        <w:t>concretsmente</w:t>
      </w:r>
      <w:proofErr w:type="spellEnd"/>
      <w:r w:rsidR="008C5BB7" w:rsidRPr="009E425D">
        <w:rPr>
          <w:szCs w:val="20"/>
        </w:rPr>
        <w:t xml:space="preserve"> respecto a </w:t>
      </w:r>
      <w:r w:rsidR="000A2CF1">
        <w:rPr>
          <w:szCs w:val="20"/>
        </w:rPr>
        <w:t xml:space="preserve">las </w:t>
      </w:r>
      <w:r w:rsidR="008C5BB7" w:rsidRPr="009E425D">
        <w:rPr>
          <w:szCs w:val="20"/>
        </w:rPr>
        <w:t>costas</w:t>
      </w:r>
      <w:r w:rsidR="000A2CF1">
        <w:rPr>
          <w:szCs w:val="20"/>
        </w:rPr>
        <w:t xml:space="preserve"> y gastos</w:t>
      </w:r>
      <w:r w:rsidR="00823BD4">
        <w:rPr>
          <w:szCs w:val="20"/>
        </w:rPr>
        <w:t>.</w:t>
      </w:r>
      <w:r w:rsidR="008C5BB7" w:rsidRPr="006F35D9">
        <w:rPr>
          <w:rFonts w:eastAsiaTheme="minorHAnsi" w:cs="Arial"/>
          <w:b/>
          <w:szCs w:val="20"/>
        </w:rPr>
        <w:t xml:space="preserve"> </w:t>
      </w:r>
    </w:p>
    <w:p w14:paraId="0732A057" w14:textId="77777777" w:rsidR="002F73FF" w:rsidRPr="006F35D9" w:rsidRDefault="002F73FF" w:rsidP="002A776C">
      <w:pPr>
        <w:tabs>
          <w:tab w:val="left" w:pos="-142"/>
        </w:tabs>
        <w:rPr>
          <w:szCs w:val="20"/>
          <w:lang w:val="es-CR" w:eastAsia="es-MX"/>
        </w:rPr>
      </w:pPr>
    </w:p>
    <w:p w14:paraId="63A6B004" w14:textId="2B5563E9" w:rsidR="00AE0098" w:rsidRPr="008A30E2" w:rsidRDefault="00E45C61" w:rsidP="008A30E2">
      <w:pPr>
        <w:pStyle w:val="PrrafodeSentencia"/>
        <w:tabs>
          <w:tab w:val="clear" w:pos="567"/>
          <w:tab w:val="left" w:pos="-142"/>
        </w:tabs>
        <w:ind w:left="0" w:firstLine="0"/>
        <w:rPr>
          <w:szCs w:val="20"/>
        </w:rPr>
      </w:pPr>
      <w:r w:rsidRPr="006F35D9">
        <w:rPr>
          <w:rFonts w:eastAsiaTheme="minorHAnsi" w:cs="Arial"/>
          <w:szCs w:val="20"/>
        </w:rPr>
        <w:t>La</w:t>
      </w:r>
      <w:r w:rsidRPr="006F35D9">
        <w:rPr>
          <w:rFonts w:eastAsiaTheme="minorHAnsi" w:cs="Arial"/>
          <w:b/>
          <w:szCs w:val="20"/>
        </w:rPr>
        <w:t xml:space="preserve"> </w:t>
      </w:r>
      <w:r w:rsidRPr="006F35D9">
        <w:rPr>
          <w:rFonts w:eastAsiaTheme="minorHAnsi" w:cs="Arial"/>
          <w:b/>
          <w:i/>
          <w:szCs w:val="20"/>
        </w:rPr>
        <w:t>Corte</w:t>
      </w:r>
      <w:r w:rsidRPr="006F35D9">
        <w:rPr>
          <w:rFonts w:eastAsiaTheme="minorHAnsi" w:cs="Arial"/>
          <w:b/>
          <w:szCs w:val="20"/>
        </w:rPr>
        <w:t xml:space="preserve"> </w:t>
      </w:r>
      <w:r w:rsidRPr="006F35D9">
        <w:rPr>
          <w:szCs w:val="20"/>
        </w:rPr>
        <w:t xml:space="preserve">reitera que, conforme a su jurisprudencia, las costas y gastos hacen parte del concepto de reparación, toda vez que las actividades desplegadas con el fin de obtener justicia, tanto a nivel nacional como internacional, implican erogaciones que deben ser compensadas cuando la responsabilidad internacional del Estado es declarada mediante una sentencia condenatoria. En cuanto al reembolso de gastos, corresponde a la Corte apreciar prudentemente su alcance, el cual </w:t>
      </w:r>
      <w:r w:rsidRPr="006F35D9">
        <w:rPr>
          <w:szCs w:val="20"/>
        </w:rPr>
        <w:lastRenderedPageBreak/>
        <w:t>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Como ha señalado en otras ocasiones, la Corte recuerda que no es suficiente la remisión de documentos probatorios, sino que se requiere que las partes hagan una argumentación que relacione la prueba con el hecho que se considera representado, y que, al tratarse de alegados desembolsos económicos, se establezca con claridad los rubros y la justificación de los mismos</w:t>
      </w:r>
      <w:r w:rsidRPr="006F35D9">
        <w:rPr>
          <w:rStyle w:val="FootnoteReference"/>
          <w:sz w:val="20"/>
          <w:szCs w:val="20"/>
        </w:rPr>
        <w:footnoteReference w:id="242"/>
      </w:r>
      <w:r w:rsidR="006F35D9" w:rsidRPr="006F35D9">
        <w:rPr>
          <w:szCs w:val="20"/>
        </w:rPr>
        <w:t>.</w:t>
      </w:r>
    </w:p>
    <w:p w14:paraId="2D9931D1" w14:textId="510BA7D5" w:rsidR="00E45C61" w:rsidRPr="00AE0098" w:rsidRDefault="00E45C61" w:rsidP="008A30E2">
      <w:pPr>
        <w:tabs>
          <w:tab w:val="left" w:pos="-142"/>
        </w:tabs>
      </w:pPr>
    </w:p>
    <w:p w14:paraId="6918F71D" w14:textId="22ECB385" w:rsidR="007471AB" w:rsidRPr="00B85760" w:rsidRDefault="00B85760" w:rsidP="008A30E2">
      <w:pPr>
        <w:pStyle w:val="PrrafodeSentencia"/>
        <w:tabs>
          <w:tab w:val="clear" w:pos="567"/>
          <w:tab w:val="left" w:pos="-142"/>
        </w:tabs>
        <w:ind w:left="0" w:firstLine="0"/>
        <w:rPr>
          <w:szCs w:val="20"/>
        </w:rPr>
      </w:pPr>
      <w:r>
        <w:rPr>
          <w:szCs w:val="20"/>
        </w:rPr>
        <w:t>U</w:t>
      </w:r>
      <w:r w:rsidRPr="00B85760">
        <w:rPr>
          <w:szCs w:val="20"/>
        </w:rPr>
        <w:t xml:space="preserve">na vez examinados los comprobantes de gastos y costas, tomando en cuenta el monto acreditado, </w:t>
      </w:r>
      <w:r>
        <w:rPr>
          <w:szCs w:val="20"/>
        </w:rPr>
        <w:t xml:space="preserve">la Corte </w:t>
      </w:r>
      <w:r w:rsidRPr="00B85760">
        <w:rPr>
          <w:szCs w:val="20"/>
        </w:rPr>
        <w:t>determina que el Estado debe pagar la suma $USD 40,000.00 (</w:t>
      </w:r>
      <w:r w:rsidR="00ED1D8D">
        <w:rPr>
          <w:szCs w:val="20"/>
        </w:rPr>
        <w:t xml:space="preserve">cuarenta mil </w:t>
      </w:r>
      <w:r w:rsidRPr="00B85760">
        <w:rPr>
          <w:szCs w:val="20"/>
        </w:rPr>
        <w:t>dólares de los Esta</w:t>
      </w:r>
      <w:r w:rsidR="00ED1D8D">
        <w:rPr>
          <w:szCs w:val="20"/>
        </w:rPr>
        <w:t>dos Unidos de América</w:t>
      </w:r>
      <w:r w:rsidRPr="00B85760">
        <w:rPr>
          <w:szCs w:val="20"/>
        </w:rPr>
        <w:t>)</w:t>
      </w:r>
      <w:r w:rsidR="00ED1D8D">
        <w:rPr>
          <w:szCs w:val="20"/>
        </w:rPr>
        <w:t>.</w:t>
      </w:r>
      <w:r w:rsidRPr="00B85760">
        <w:rPr>
          <w:szCs w:val="20"/>
        </w:rPr>
        <w:t xml:space="preserve"> </w:t>
      </w:r>
      <w:r w:rsidR="007471AB" w:rsidRPr="00B85760">
        <w:rPr>
          <w:szCs w:val="20"/>
        </w:rPr>
        <w:t>Por tanto, la Corte ordena a Honduras reintegrar la totalidad de ese monto, debiendo pagárselo a COFADEH.</w:t>
      </w:r>
    </w:p>
    <w:p w14:paraId="7DCD0BB7" w14:textId="77777777" w:rsidR="007471AB" w:rsidRPr="00526F43" w:rsidRDefault="007471AB" w:rsidP="002A776C"/>
    <w:p w14:paraId="3E47792C" w14:textId="77777777" w:rsidR="00E45C61" w:rsidRPr="006F35D9" w:rsidRDefault="000B4C73" w:rsidP="002A776C">
      <w:pPr>
        <w:pStyle w:val="PrrafodeSentencia"/>
        <w:ind w:left="0" w:firstLine="0"/>
      </w:pPr>
      <w:r w:rsidRPr="006F35D9">
        <w:t>En la etapa de supervisión de cumplimiento de la presente Sentencia, la Corte podrá disponer el reembolso por parte del Estado a las víctimas o su repr</w:t>
      </w:r>
      <w:r w:rsidR="0050046B" w:rsidRPr="006F35D9">
        <w:t>esentante de gastos razonables y debidamente comprobados posteriores a la notificación de la misma</w:t>
      </w:r>
      <w:r w:rsidRPr="006F35D9">
        <w:rPr>
          <w:rStyle w:val="FootnoteReference"/>
          <w:sz w:val="20"/>
          <w:szCs w:val="20"/>
        </w:rPr>
        <w:footnoteReference w:id="243"/>
      </w:r>
      <w:r w:rsidRPr="006F35D9">
        <w:t>.</w:t>
      </w:r>
    </w:p>
    <w:p w14:paraId="769C0513" w14:textId="77777777" w:rsidR="008A30E2" w:rsidRPr="00E45C61" w:rsidRDefault="008A30E2" w:rsidP="00E45C61">
      <w:pPr>
        <w:rPr>
          <w:lang w:val="es-CR" w:eastAsia="es-MX"/>
        </w:rPr>
      </w:pPr>
    </w:p>
    <w:p w14:paraId="427EA077" w14:textId="54C33A4C" w:rsidR="007A5DB4" w:rsidRPr="00831C19" w:rsidRDefault="007229D1" w:rsidP="006D1953">
      <w:pPr>
        <w:pStyle w:val="Heading2"/>
        <w:tabs>
          <w:tab w:val="clear" w:pos="567"/>
          <w:tab w:val="clear" w:pos="993"/>
          <w:tab w:val="left" w:pos="-142"/>
          <w:tab w:val="left" w:pos="142"/>
        </w:tabs>
        <w:ind w:left="284" w:firstLine="0"/>
        <w:rPr>
          <w:spacing w:val="-4"/>
          <w:lang w:val="es-ES_tradnl"/>
        </w:rPr>
      </w:pPr>
      <w:bookmarkStart w:id="360" w:name="_Toc418074123"/>
      <w:bookmarkStart w:id="361" w:name="_Toc418503928"/>
      <w:bookmarkStart w:id="362" w:name="_Toc418912657"/>
      <w:bookmarkStart w:id="363" w:name="_Toc418912881"/>
      <w:bookmarkStart w:id="364" w:name="_Toc419394461"/>
      <w:bookmarkStart w:id="365" w:name="_Toc423361060"/>
      <w:bookmarkStart w:id="366" w:name="_Toc427234587"/>
      <w:bookmarkStart w:id="367" w:name="_Toc427932833"/>
      <w:bookmarkStart w:id="368" w:name="_Toc431584682"/>
      <w:bookmarkStart w:id="369" w:name="_Toc434850471"/>
      <w:bookmarkStart w:id="370" w:name="_Toc480742249"/>
      <w:bookmarkStart w:id="371" w:name="_Toc488134472"/>
      <w:bookmarkStart w:id="372" w:name="_Toc489523932"/>
      <w:bookmarkStart w:id="373" w:name="_Toc493512927"/>
      <w:bookmarkStart w:id="374" w:name="_Toc498512851"/>
      <w:r>
        <w:rPr>
          <w:spacing w:val="-4"/>
          <w:lang w:val="es-ES_tradnl"/>
        </w:rPr>
        <w:t>H</w:t>
      </w:r>
      <w:r w:rsidR="007A5DB4" w:rsidRPr="00831C19">
        <w:rPr>
          <w:spacing w:val="-4"/>
          <w:lang w:val="es-ES_tradnl"/>
        </w:rPr>
        <w:t>. Modalidad de cumplimiento de los pagos ordenados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0EDEDC69" w14:textId="77777777" w:rsidR="007A5DB4" w:rsidRPr="00831C19" w:rsidRDefault="007A5DB4" w:rsidP="007A5DB4">
      <w:pPr>
        <w:pStyle w:val="PrrafodeSentencia"/>
        <w:numPr>
          <w:ilvl w:val="0"/>
          <w:numId w:val="0"/>
        </w:numPr>
        <w:rPr>
          <w:strike/>
        </w:rPr>
      </w:pPr>
    </w:p>
    <w:p w14:paraId="16BA6032" w14:textId="77777777" w:rsidR="007A5DB4" w:rsidRPr="00831C19" w:rsidRDefault="007A5DB4" w:rsidP="002A776C">
      <w:pPr>
        <w:pStyle w:val="PrrafodeSentencia"/>
        <w:tabs>
          <w:tab w:val="clear" w:pos="567"/>
          <w:tab w:val="left" w:pos="-284"/>
        </w:tabs>
        <w:ind w:left="0" w:firstLine="0"/>
        <w:rPr>
          <w:b/>
        </w:rPr>
      </w:pPr>
      <w:bookmarkStart w:id="375" w:name="_Ref419394072"/>
      <w:r w:rsidRPr="00831C19">
        <w:t xml:space="preserve">El Estado deberá efectuar el pago de las indemnizaciones por concepto de daño material e inmaterial y el reintegro de costas y gastos establecidos en la presente Sentencia directamente a las personas </w:t>
      </w:r>
      <w:r w:rsidR="00831C19" w:rsidRPr="00831C19">
        <w:t xml:space="preserve">y organizaciones </w:t>
      </w:r>
      <w:r w:rsidRPr="00831C19">
        <w:t>indicadas en la misma, en un plazo de un año contado a partir de la notificación de la presente Sentencia, sin perjuicio de que pueda adelantar el pago completo en un plazo menor.</w:t>
      </w:r>
      <w:bookmarkEnd w:id="375"/>
    </w:p>
    <w:p w14:paraId="07090C8C" w14:textId="77777777" w:rsidR="007A5DB4" w:rsidRPr="00831C19" w:rsidRDefault="007A5DB4" w:rsidP="002A776C">
      <w:pPr>
        <w:pStyle w:val="PrrafodeSentencia"/>
        <w:numPr>
          <w:ilvl w:val="0"/>
          <w:numId w:val="0"/>
        </w:numPr>
        <w:tabs>
          <w:tab w:val="clear" w:pos="567"/>
          <w:tab w:val="left" w:pos="-284"/>
        </w:tabs>
        <w:rPr>
          <w:strike/>
        </w:rPr>
      </w:pPr>
    </w:p>
    <w:p w14:paraId="01331B0C" w14:textId="6940BAAD" w:rsidR="007A5DB4" w:rsidRPr="00831C19" w:rsidRDefault="007A5DB4" w:rsidP="002A776C">
      <w:pPr>
        <w:pStyle w:val="PrrafodeSentencia"/>
        <w:tabs>
          <w:tab w:val="clear" w:pos="567"/>
          <w:tab w:val="left" w:pos="-284"/>
        </w:tabs>
        <w:ind w:left="0" w:firstLine="0"/>
        <w:rPr>
          <w:b/>
        </w:rPr>
      </w:pPr>
      <w:r w:rsidRPr="00831C19">
        <w:t>En caso de que los beneficiarios hayan fallecido o fallezcan a</w:t>
      </w:r>
      <w:r w:rsidR="00CD3DD9">
        <w:t>ntes de que les sea entregada las indemnizaciones respectivas, éstas se efectuarán directamente a los derechohabientes, conforme al derecho interno aplicable.</w:t>
      </w:r>
      <w:r w:rsidR="00A5691A">
        <w:t xml:space="preserve"> </w:t>
      </w:r>
    </w:p>
    <w:p w14:paraId="20A15A14" w14:textId="77777777" w:rsidR="007A5DB4" w:rsidRPr="00831C19" w:rsidRDefault="007A5DB4" w:rsidP="002A776C">
      <w:pPr>
        <w:pStyle w:val="PrrafodeSentencia"/>
        <w:numPr>
          <w:ilvl w:val="0"/>
          <w:numId w:val="0"/>
        </w:numPr>
        <w:tabs>
          <w:tab w:val="clear" w:pos="567"/>
          <w:tab w:val="left" w:pos="-284"/>
        </w:tabs>
        <w:rPr>
          <w:strike/>
        </w:rPr>
      </w:pPr>
    </w:p>
    <w:p w14:paraId="69096604" w14:textId="77777777" w:rsidR="007A5DB4" w:rsidRPr="00831C19" w:rsidRDefault="007A5DB4" w:rsidP="002A776C">
      <w:pPr>
        <w:pStyle w:val="PrrafodeSentencia"/>
        <w:tabs>
          <w:tab w:val="clear" w:pos="567"/>
          <w:tab w:val="left" w:pos="-284"/>
        </w:tabs>
        <w:ind w:left="0" w:firstLine="0"/>
        <w:rPr>
          <w:b/>
        </w:rPr>
      </w:pPr>
      <w:r w:rsidRPr="00831C19">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289B8800" w14:textId="77777777" w:rsidR="007A5DB4" w:rsidRPr="00831C19" w:rsidRDefault="007A5DB4" w:rsidP="002A776C">
      <w:pPr>
        <w:pStyle w:val="PrrafodeSentencia"/>
        <w:numPr>
          <w:ilvl w:val="0"/>
          <w:numId w:val="0"/>
        </w:numPr>
        <w:tabs>
          <w:tab w:val="clear" w:pos="567"/>
          <w:tab w:val="left" w:pos="-284"/>
        </w:tabs>
      </w:pPr>
    </w:p>
    <w:p w14:paraId="71BD3061" w14:textId="77777777" w:rsidR="007A5DB4" w:rsidRPr="00831C19" w:rsidRDefault="007A5DB4" w:rsidP="002A776C">
      <w:pPr>
        <w:pStyle w:val="PrrafodeSentencia"/>
        <w:tabs>
          <w:tab w:val="clear" w:pos="567"/>
          <w:tab w:val="left" w:pos="-284"/>
        </w:tabs>
        <w:ind w:left="0" w:firstLine="0"/>
        <w:rPr>
          <w:b/>
        </w:rPr>
      </w:pPr>
      <w:r w:rsidRPr="00831C19">
        <w:t>Si por causas atribuibles al beneficiario de la indemnización o a sus derechohabientes no fuese posible el pago de las cantidades determinadas dentro del plazo indicado, el Estado consignará dichos montos a su favor en una cuenta o certificado de depósito en una institución financiera hondureña solvente, en dólares de los Estados Unidos de América, y en las condiciones financieras más favorables que permitan la legislación y la práctica bancaria del Estado. Si no se reclama la indemnización correspondiente una vez transcurridos diez años, las cantidades serán devueltas al Estado con los intereses devengados.</w:t>
      </w:r>
    </w:p>
    <w:p w14:paraId="01F5E4EA" w14:textId="77777777" w:rsidR="007A5DB4" w:rsidRPr="00831C19" w:rsidRDefault="007A5DB4" w:rsidP="002A776C">
      <w:pPr>
        <w:pStyle w:val="PrrafodeSentencia"/>
        <w:numPr>
          <w:ilvl w:val="0"/>
          <w:numId w:val="0"/>
        </w:numPr>
        <w:tabs>
          <w:tab w:val="clear" w:pos="567"/>
          <w:tab w:val="left" w:pos="-284"/>
        </w:tabs>
      </w:pPr>
    </w:p>
    <w:p w14:paraId="515B993B" w14:textId="32B13CF7" w:rsidR="007A5DB4" w:rsidRPr="00831C19" w:rsidRDefault="007A5DB4" w:rsidP="002A776C">
      <w:pPr>
        <w:pStyle w:val="PrrafodeSentencia"/>
        <w:tabs>
          <w:tab w:val="clear" w:pos="567"/>
          <w:tab w:val="left" w:pos="-284"/>
        </w:tabs>
        <w:ind w:left="0" w:firstLine="0"/>
        <w:rPr>
          <w:b/>
        </w:rPr>
      </w:pPr>
      <w:r w:rsidRPr="00831C19">
        <w:t xml:space="preserve">Las cantidades asignadas en la presente Sentencia como indemnización por daño material e inmaterial, y como reintegro de costas y gastos deberán ser entregadas a las personas </w:t>
      </w:r>
      <w:r w:rsidR="005B61E8">
        <w:t xml:space="preserve">u organizaciones </w:t>
      </w:r>
      <w:r w:rsidRPr="00831C19">
        <w:t>indicadas en forma íntegra, conforme a lo establecido en esta Sentencia, sin reducciones derivadas de eventuales cargas fiscales.</w:t>
      </w:r>
    </w:p>
    <w:p w14:paraId="42125D6E" w14:textId="77777777" w:rsidR="007A5DB4" w:rsidRPr="00831C19" w:rsidRDefault="007A5DB4" w:rsidP="002A776C">
      <w:pPr>
        <w:pStyle w:val="PrrafodeSentencia"/>
        <w:numPr>
          <w:ilvl w:val="0"/>
          <w:numId w:val="0"/>
        </w:numPr>
        <w:tabs>
          <w:tab w:val="clear" w:pos="567"/>
          <w:tab w:val="left" w:pos="-284"/>
        </w:tabs>
      </w:pPr>
    </w:p>
    <w:p w14:paraId="47E58E6C" w14:textId="21E52A98" w:rsidR="0011660D" w:rsidRPr="00B85760" w:rsidRDefault="007A5DB4" w:rsidP="007F5EA0">
      <w:pPr>
        <w:pStyle w:val="PrrafodeSentencia"/>
        <w:tabs>
          <w:tab w:val="clear" w:pos="567"/>
          <w:tab w:val="left" w:pos="-284"/>
        </w:tabs>
        <w:ind w:left="0" w:firstLine="0"/>
      </w:pPr>
      <w:bookmarkStart w:id="376" w:name="_Ref419394076"/>
      <w:r w:rsidRPr="00831C19">
        <w:t>En caso de que el Estado incurriera en mora, deberá pagar un interés sobre la cantidad adeudada correspondiente al interés bancario moratorio en la República de Honduras.</w:t>
      </w:r>
      <w:bookmarkEnd w:id="376"/>
    </w:p>
    <w:p w14:paraId="4C95A91D" w14:textId="77777777" w:rsidR="0011660D" w:rsidRPr="0095595D" w:rsidRDefault="0011660D" w:rsidP="007F5EA0">
      <w:pPr>
        <w:rPr>
          <w:strike/>
          <w:highlight w:val="lightGray"/>
          <w:lang w:val="es-CR" w:eastAsia="es-MX"/>
        </w:rPr>
      </w:pPr>
    </w:p>
    <w:p w14:paraId="54AF160E" w14:textId="7FB4D973" w:rsidR="00DB79D4" w:rsidRPr="007C07AD" w:rsidRDefault="00AB194C" w:rsidP="00D010F9">
      <w:pPr>
        <w:pStyle w:val="Heading1"/>
        <w:spacing w:before="20" w:after="20"/>
      </w:pPr>
      <w:bookmarkStart w:id="377" w:name="_Toc434850472"/>
      <w:bookmarkStart w:id="378" w:name="_Toc480742250"/>
      <w:bookmarkStart w:id="379" w:name="_Toc488134473"/>
      <w:bookmarkStart w:id="380" w:name="_Toc489523933"/>
      <w:bookmarkStart w:id="381" w:name="_Toc493512928"/>
      <w:bookmarkStart w:id="382" w:name="_Toc498512852"/>
      <w:bookmarkStart w:id="383" w:name="_Toc405857942"/>
      <w:bookmarkStart w:id="384" w:name="_Toc405774739"/>
      <w:bookmarkStart w:id="385" w:name="_Toc403671546"/>
      <w:bookmarkStart w:id="386" w:name="_Toc403670809"/>
      <w:bookmarkStart w:id="387" w:name="_Toc402039529"/>
      <w:r>
        <w:t>VII</w:t>
      </w:r>
      <w:r w:rsidR="00FC38CE" w:rsidRPr="007C07AD">
        <w:t>I</w:t>
      </w:r>
      <w:bookmarkEnd w:id="377"/>
      <w:bookmarkEnd w:id="378"/>
      <w:bookmarkEnd w:id="379"/>
      <w:bookmarkEnd w:id="380"/>
      <w:bookmarkEnd w:id="381"/>
      <w:bookmarkEnd w:id="382"/>
    </w:p>
    <w:p w14:paraId="5BEDFB1D" w14:textId="77777777" w:rsidR="00DB79D4" w:rsidRPr="007C07AD" w:rsidRDefault="00DB79D4" w:rsidP="002D5A5C">
      <w:pPr>
        <w:pStyle w:val="Heading1"/>
      </w:pPr>
      <w:bookmarkStart w:id="388" w:name="_Toc430125435"/>
      <w:bookmarkStart w:id="389" w:name="_Toc430125327"/>
      <w:bookmarkStart w:id="390" w:name="_Toc430018831"/>
      <w:bookmarkStart w:id="391" w:name="_Toc430018729"/>
      <w:bookmarkStart w:id="392" w:name="_Toc430017752"/>
      <w:bookmarkStart w:id="393" w:name="_Toc430017447"/>
      <w:bookmarkStart w:id="394" w:name="_Toc430017218"/>
      <w:bookmarkStart w:id="395" w:name="_Toc429678163"/>
      <w:bookmarkStart w:id="396" w:name="_Toc429678055"/>
      <w:bookmarkStart w:id="397" w:name="_Toc429504444"/>
      <w:bookmarkStart w:id="398" w:name="_Toc429504342"/>
      <w:bookmarkStart w:id="399" w:name="_Toc429503944"/>
      <w:bookmarkStart w:id="400" w:name="_Toc429503836"/>
      <w:bookmarkStart w:id="401" w:name="_Toc429490322"/>
      <w:bookmarkStart w:id="402" w:name="_Toc423361062"/>
      <w:bookmarkStart w:id="403" w:name="_Toc419470229"/>
      <w:bookmarkStart w:id="404" w:name="_Toc419394798"/>
      <w:bookmarkStart w:id="405" w:name="_Toc419394463"/>
      <w:bookmarkStart w:id="406" w:name="_Toc431646623"/>
      <w:bookmarkStart w:id="407" w:name="_Toc431834702"/>
      <w:bookmarkStart w:id="408" w:name="_Toc308538227"/>
      <w:bookmarkStart w:id="409" w:name="_Toc434849699"/>
      <w:bookmarkStart w:id="410" w:name="_Toc434850473"/>
      <w:bookmarkStart w:id="411" w:name="_Toc480742251"/>
      <w:bookmarkStart w:id="412" w:name="_Toc488134474"/>
      <w:bookmarkStart w:id="413" w:name="_Toc489523934"/>
      <w:bookmarkStart w:id="414" w:name="_Toc493512929"/>
      <w:bookmarkStart w:id="415" w:name="_Toc498512853"/>
      <w:r w:rsidRPr="007C07AD">
        <w:t>PUNTOS RESOLUTIVOS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7C07AD">
        <w:t xml:space="preserve"> </w:t>
      </w:r>
    </w:p>
    <w:p w14:paraId="53C7742E" w14:textId="77777777" w:rsidR="00BF57ED" w:rsidRPr="007C07AD" w:rsidRDefault="00BF57ED">
      <w:pPr>
        <w:pStyle w:val="PrrafodeSentencia"/>
        <w:ind w:left="0" w:firstLine="0"/>
        <w:rPr>
          <w:b/>
        </w:rPr>
      </w:pPr>
      <w:r w:rsidRPr="007C07AD">
        <w:rPr>
          <w:spacing w:val="-2"/>
        </w:rPr>
        <w:t xml:space="preserve">Por tanto, </w:t>
      </w:r>
    </w:p>
    <w:p w14:paraId="25C0F117" w14:textId="77777777" w:rsidR="00BF57ED" w:rsidRPr="007C07AD" w:rsidRDefault="00BF57ED">
      <w:pPr>
        <w:tabs>
          <w:tab w:val="left" w:pos="567"/>
        </w:tabs>
        <w:autoSpaceDE w:val="0"/>
        <w:autoSpaceDN w:val="0"/>
        <w:adjustRightInd w:val="0"/>
        <w:contextualSpacing/>
        <w:rPr>
          <w:rFonts w:cs="Verdana"/>
          <w:spacing w:val="-2"/>
          <w:szCs w:val="20"/>
          <w:lang w:val="es-ES"/>
        </w:rPr>
      </w:pPr>
    </w:p>
    <w:p w14:paraId="75EDB3CD" w14:textId="77777777" w:rsidR="0011007D" w:rsidRPr="00475A31" w:rsidRDefault="00BF57ED" w:rsidP="002D5A5C">
      <w:pPr>
        <w:tabs>
          <w:tab w:val="left" w:pos="567"/>
          <w:tab w:val="left" w:pos="720"/>
        </w:tabs>
        <w:rPr>
          <w:rFonts w:cs="Verdana"/>
          <w:b/>
          <w:spacing w:val="-2"/>
          <w:szCs w:val="20"/>
        </w:rPr>
      </w:pPr>
      <w:r w:rsidRPr="00475A31">
        <w:rPr>
          <w:rFonts w:cs="Verdana"/>
          <w:b/>
          <w:spacing w:val="-2"/>
          <w:szCs w:val="20"/>
        </w:rPr>
        <w:t>LA CORTE</w:t>
      </w:r>
    </w:p>
    <w:p w14:paraId="3B17C55F" w14:textId="77777777" w:rsidR="00BF57ED" w:rsidRPr="00475A31" w:rsidRDefault="00BF57ED" w:rsidP="002D5A5C">
      <w:pPr>
        <w:tabs>
          <w:tab w:val="left" w:pos="567"/>
          <w:tab w:val="left" w:pos="720"/>
        </w:tabs>
        <w:rPr>
          <w:rFonts w:cs="Verdana"/>
          <w:b/>
          <w:spacing w:val="-2"/>
          <w:szCs w:val="20"/>
        </w:rPr>
      </w:pPr>
    </w:p>
    <w:p w14:paraId="19FB97C5" w14:textId="77777777" w:rsidR="0011007D" w:rsidRPr="00475A31" w:rsidRDefault="00FF5B27" w:rsidP="002D5A5C">
      <w:pPr>
        <w:rPr>
          <w:rFonts w:cs="Verdana"/>
          <w:b/>
          <w:spacing w:val="-2"/>
          <w:szCs w:val="20"/>
          <w:lang w:val="es-EC"/>
        </w:rPr>
      </w:pPr>
      <w:r w:rsidRPr="00475A31">
        <w:rPr>
          <w:rFonts w:cs="Verdana"/>
          <w:b/>
          <w:spacing w:val="-2"/>
          <w:szCs w:val="20"/>
          <w:lang w:val="es-EC"/>
        </w:rPr>
        <w:t>DECLARA,</w:t>
      </w:r>
    </w:p>
    <w:p w14:paraId="63FA1444" w14:textId="77777777" w:rsidR="00FF5B27" w:rsidRPr="00475A31" w:rsidRDefault="00FF5B27" w:rsidP="002D5A5C">
      <w:pPr>
        <w:rPr>
          <w:rFonts w:cs="Verdana"/>
          <w:b/>
          <w:spacing w:val="-2"/>
          <w:szCs w:val="20"/>
          <w:lang w:val="es-EC"/>
        </w:rPr>
      </w:pPr>
    </w:p>
    <w:p w14:paraId="0BE85B49" w14:textId="36A3AE42" w:rsidR="00FF5B27" w:rsidRPr="00475A31" w:rsidRDefault="0085255B" w:rsidP="002D5A5C">
      <w:pPr>
        <w:rPr>
          <w:lang w:val="es-CR"/>
        </w:rPr>
      </w:pPr>
      <w:proofErr w:type="gramStart"/>
      <w:r>
        <w:rPr>
          <w:rFonts w:cs="Verdana"/>
          <w:spacing w:val="-2"/>
          <w:szCs w:val="20"/>
          <w:lang w:val="es-EC"/>
        </w:rPr>
        <w:t>por</w:t>
      </w:r>
      <w:proofErr w:type="gramEnd"/>
      <w:r>
        <w:rPr>
          <w:rFonts w:cs="Verdana"/>
          <w:spacing w:val="-2"/>
          <w:szCs w:val="20"/>
          <w:lang w:val="es-EC"/>
        </w:rPr>
        <w:t xml:space="preserve"> unanimidad</w:t>
      </w:r>
      <w:r w:rsidR="00FF5B27" w:rsidRPr="00475A31">
        <w:rPr>
          <w:rFonts w:cs="Verdana"/>
          <w:spacing w:val="-2"/>
          <w:szCs w:val="20"/>
          <w:lang w:val="es-EC"/>
        </w:rPr>
        <w:t xml:space="preserve">, que: </w:t>
      </w:r>
    </w:p>
    <w:p w14:paraId="6C02A62E" w14:textId="77777777" w:rsidR="00FF5B27" w:rsidRPr="00475A31" w:rsidRDefault="00FF5B27">
      <w:pPr>
        <w:pStyle w:val="PrrafodeSentencia"/>
        <w:numPr>
          <w:ilvl w:val="0"/>
          <w:numId w:val="0"/>
        </w:numPr>
      </w:pPr>
    </w:p>
    <w:p w14:paraId="468E11E7" w14:textId="448CD70D" w:rsidR="008A633A" w:rsidRPr="0085255B" w:rsidRDefault="00FF5B27" w:rsidP="008A633A">
      <w:pPr>
        <w:pStyle w:val="PrrafodeSentencia"/>
        <w:numPr>
          <w:ilvl w:val="0"/>
          <w:numId w:val="36"/>
        </w:numPr>
        <w:tabs>
          <w:tab w:val="clear" w:pos="567"/>
          <w:tab w:val="left" w:pos="0"/>
        </w:tabs>
        <w:ind w:left="0" w:firstLine="0"/>
      </w:pPr>
      <w:r w:rsidRPr="00475A31">
        <w:t>El Estado es responsable por</w:t>
      </w:r>
      <w:r w:rsidR="00E50181" w:rsidRPr="00475A31">
        <w:t xml:space="preserve"> la violación</w:t>
      </w:r>
      <w:r w:rsidR="00831C19" w:rsidRPr="00475A31">
        <w:t xml:space="preserve"> de</w:t>
      </w:r>
      <w:r w:rsidRPr="00475A31">
        <w:t xml:space="preserve"> </w:t>
      </w:r>
      <w:r w:rsidR="00831C19" w:rsidRPr="00475A31">
        <w:t>l</w:t>
      </w:r>
      <w:r w:rsidRPr="00475A31">
        <w:t>os</w:t>
      </w:r>
      <w:r w:rsidR="00831C19" w:rsidRPr="00475A31">
        <w:t xml:space="preserve"> derecho</w:t>
      </w:r>
      <w:r w:rsidRPr="00475A31">
        <w:t>s</w:t>
      </w:r>
      <w:r w:rsidR="00831C19" w:rsidRPr="00475A31">
        <w:t xml:space="preserve"> a la</w:t>
      </w:r>
      <w:r w:rsidR="00BE39BB" w:rsidRPr="00475A31">
        <w:t>s</w:t>
      </w:r>
      <w:r w:rsidR="00831C19" w:rsidRPr="00475A31">
        <w:t xml:space="preserve"> garantía</w:t>
      </w:r>
      <w:r w:rsidR="00BE39BB" w:rsidRPr="00475A31">
        <w:t>s</w:t>
      </w:r>
      <w:r w:rsidR="00831C19" w:rsidRPr="00475A31">
        <w:t xml:space="preserve"> </w:t>
      </w:r>
      <w:r w:rsidRPr="00475A31">
        <w:t xml:space="preserve">judiciales y a la </w:t>
      </w:r>
      <w:r w:rsidR="00831C19" w:rsidRPr="00475A31">
        <w:t>protección judicial</w:t>
      </w:r>
      <w:r w:rsidR="00CE5C92" w:rsidRPr="00475A31">
        <w:t xml:space="preserve"> </w:t>
      </w:r>
      <w:r w:rsidR="00831C19" w:rsidRPr="00475A31">
        <w:t>consagrados en los artículos 8</w:t>
      </w:r>
      <w:r w:rsidR="00C01688">
        <w:t>.1</w:t>
      </w:r>
      <w:r w:rsidR="00831C19" w:rsidRPr="00475A31">
        <w:t xml:space="preserve"> y 25</w:t>
      </w:r>
      <w:r w:rsidR="00C01688">
        <w:t>.1</w:t>
      </w:r>
      <w:r w:rsidR="00CE5C92" w:rsidRPr="00475A31">
        <w:t xml:space="preserve"> </w:t>
      </w:r>
      <w:r w:rsidR="00E50181" w:rsidRPr="00475A31">
        <w:t>de la Convención Americana</w:t>
      </w:r>
      <w:r w:rsidR="00CE5C92" w:rsidRPr="00475A31">
        <w:t xml:space="preserve"> sobre Derechos Humanos</w:t>
      </w:r>
      <w:r w:rsidR="00010CC2">
        <w:t>, en relación con su artículo 1.1</w:t>
      </w:r>
      <w:r w:rsidR="00E50181" w:rsidRPr="00475A31">
        <w:t xml:space="preserve">, en perjuicio </w:t>
      </w:r>
      <w:r w:rsidR="00831C19" w:rsidRPr="00475A31">
        <w:t>de</w:t>
      </w:r>
      <w:r w:rsidR="00831C19" w:rsidRPr="008A633A">
        <w:rPr>
          <w:rFonts w:eastAsia="Verdana"/>
        </w:rPr>
        <w:t xml:space="preserve"> </w:t>
      </w:r>
      <w:r w:rsidR="008A633A">
        <w:t xml:space="preserve">Blanca Rosa Herrera Rodríguez, Cinthia </w:t>
      </w:r>
      <w:proofErr w:type="spellStart"/>
      <w:r w:rsidR="009E425D">
        <w:t>Mirella</w:t>
      </w:r>
      <w:proofErr w:type="spellEnd"/>
      <w:r w:rsidR="009E425D">
        <w:t xml:space="preserve"> </w:t>
      </w:r>
      <w:r w:rsidR="008A633A">
        <w:t xml:space="preserve">Pacheco </w:t>
      </w:r>
      <w:proofErr w:type="spellStart"/>
      <w:r w:rsidR="008A633A">
        <w:t>Devicente</w:t>
      </w:r>
      <w:proofErr w:type="spellEnd"/>
      <w:r w:rsidR="008A633A">
        <w:t xml:space="preserve">, Tania Melissa Pacheco López, Bianca </w:t>
      </w:r>
      <w:proofErr w:type="spellStart"/>
      <w:r w:rsidR="009E425D">
        <w:t>Gisselle</w:t>
      </w:r>
      <w:proofErr w:type="spellEnd"/>
      <w:r w:rsidR="009E425D">
        <w:t xml:space="preserve"> </w:t>
      </w:r>
      <w:r w:rsidR="008A633A">
        <w:t xml:space="preserve">Pacheco Herrera, </w:t>
      </w:r>
      <w:proofErr w:type="spellStart"/>
      <w:r w:rsidR="008A633A">
        <w:t>Jimy</w:t>
      </w:r>
      <w:proofErr w:type="spellEnd"/>
      <w:r w:rsidR="008A633A">
        <w:t xml:space="preserve"> </w:t>
      </w:r>
      <w:r w:rsidR="008A633A" w:rsidRPr="008A633A">
        <w:rPr>
          <w:lang w:val="es-ES"/>
        </w:rPr>
        <w:t xml:space="preserve">Javier </w:t>
      </w:r>
      <w:r w:rsidR="008A633A">
        <w:t xml:space="preserve">Pacheco </w:t>
      </w:r>
      <w:r w:rsidR="008A633A" w:rsidRPr="008A633A">
        <w:rPr>
          <w:lang w:val="es-ES"/>
        </w:rPr>
        <w:t>Ortiz</w:t>
      </w:r>
      <w:r w:rsidR="008A633A">
        <w:t xml:space="preserve">, Miguel Ángel Pacheco </w:t>
      </w:r>
      <w:proofErr w:type="spellStart"/>
      <w:r w:rsidR="008A633A">
        <w:t>Devicente</w:t>
      </w:r>
      <w:proofErr w:type="spellEnd"/>
      <w:r w:rsidR="008A633A">
        <w:t xml:space="preserve">, Juan Carlos Pacheco </w:t>
      </w:r>
      <w:proofErr w:type="spellStart"/>
      <w:r w:rsidR="008A633A">
        <w:t>Euceda</w:t>
      </w:r>
      <w:proofErr w:type="spellEnd"/>
      <w:r w:rsidR="008A633A">
        <w:t xml:space="preserve">, Andrea Pacheco López, María Otilia Pacheco, Concepción Pacheco, Blanca Pacheco, María Regina Pacheco, </w:t>
      </w:r>
      <w:r w:rsidR="008A633A" w:rsidRPr="004D0607">
        <w:t xml:space="preserve">Santos Norma Pacheco, </w:t>
      </w:r>
      <w:proofErr w:type="spellStart"/>
      <w:r w:rsidR="008A633A" w:rsidRPr="004D0607">
        <w:t>Marleny</w:t>
      </w:r>
      <w:proofErr w:type="spellEnd"/>
      <w:r w:rsidR="008A633A" w:rsidRPr="004D0607">
        <w:t xml:space="preserve"> Pacheco</w:t>
      </w:r>
      <w:r w:rsidR="008A633A">
        <w:t xml:space="preserve"> Posadas</w:t>
      </w:r>
      <w:r w:rsidR="008A633A" w:rsidRPr="004D0607">
        <w:t xml:space="preserve">, </w:t>
      </w:r>
      <w:r w:rsidR="008A633A" w:rsidRPr="008A633A">
        <w:rPr>
          <w:lang w:val="es-ES"/>
        </w:rPr>
        <w:t xml:space="preserve">Elsa </w:t>
      </w:r>
      <w:r w:rsidR="008A633A" w:rsidRPr="004D0607">
        <w:t xml:space="preserve">Yamileth </w:t>
      </w:r>
      <w:proofErr w:type="spellStart"/>
      <w:r w:rsidR="008A633A" w:rsidRPr="008A633A">
        <w:rPr>
          <w:lang w:val="es-ES"/>
        </w:rPr>
        <w:t>Almendarez</w:t>
      </w:r>
      <w:proofErr w:type="spellEnd"/>
      <w:r w:rsidR="008A633A" w:rsidRPr="008A633A">
        <w:rPr>
          <w:lang w:val="es-ES"/>
        </w:rPr>
        <w:t xml:space="preserve"> Pacheco</w:t>
      </w:r>
      <w:r w:rsidR="008A633A" w:rsidRPr="004D0607">
        <w:t xml:space="preserve">, Jaqueline </w:t>
      </w:r>
      <w:r w:rsidR="008A633A" w:rsidRPr="008A633A">
        <w:rPr>
          <w:lang w:val="es-ES"/>
        </w:rPr>
        <w:t xml:space="preserve">L. </w:t>
      </w:r>
      <w:proofErr w:type="spellStart"/>
      <w:r w:rsidR="008A633A" w:rsidRPr="008A633A">
        <w:rPr>
          <w:lang w:val="es-ES"/>
        </w:rPr>
        <w:t>Almendarez</w:t>
      </w:r>
      <w:proofErr w:type="spellEnd"/>
      <w:r w:rsidR="008A633A" w:rsidRPr="008A633A">
        <w:rPr>
          <w:lang w:val="es-ES"/>
        </w:rPr>
        <w:t xml:space="preserve"> Pacheco</w:t>
      </w:r>
      <w:r w:rsidR="008A633A">
        <w:t>, José Pacheco, Francisco Pacheco y Jorge Pacheco</w:t>
      </w:r>
      <w:r w:rsidR="0020412C">
        <w:t>,</w:t>
      </w:r>
      <w:r w:rsidR="008A633A">
        <w:t xml:space="preserve"> de conformidad con lo expuesto</w:t>
      </w:r>
      <w:r w:rsidR="008A633A" w:rsidRPr="00475A31">
        <w:t xml:space="preserve"> en los párrafos </w:t>
      </w:r>
      <w:r w:rsidR="008A633A">
        <w:t>73 a 129</w:t>
      </w:r>
      <w:r w:rsidR="008A633A" w:rsidRPr="00475A31">
        <w:t xml:space="preserve"> de la presente Sentencia.</w:t>
      </w:r>
    </w:p>
    <w:p w14:paraId="1D2211F4" w14:textId="77777777" w:rsidR="008A633A" w:rsidRPr="00475A31" w:rsidRDefault="008A633A" w:rsidP="00475A31">
      <w:pPr>
        <w:tabs>
          <w:tab w:val="left" w:pos="0"/>
        </w:tabs>
        <w:rPr>
          <w:lang w:val="es-CR" w:eastAsia="es-MX"/>
        </w:rPr>
      </w:pPr>
    </w:p>
    <w:p w14:paraId="3BA2B963" w14:textId="4945C2CF" w:rsidR="00FF5B27" w:rsidRPr="0085255B" w:rsidRDefault="0011007D" w:rsidP="008A633A">
      <w:pPr>
        <w:pStyle w:val="PrrafodeSentencia"/>
        <w:numPr>
          <w:ilvl w:val="0"/>
          <w:numId w:val="36"/>
        </w:numPr>
        <w:tabs>
          <w:tab w:val="clear" w:pos="567"/>
          <w:tab w:val="left" w:pos="0"/>
        </w:tabs>
        <w:ind w:left="0" w:firstLine="0"/>
      </w:pPr>
      <w:r w:rsidRPr="00475A31">
        <w:t>El Estado es responsable por la violación del derecho a la integridad personal, consagrado en el artículo 5.1 de la Convención Americana sobre Dere</w:t>
      </w:r>
      <w:r w:rsidR="00010CC2">
        <w:t>chos Humanos, en relación con su artículo 1.1</w:t>
      </w:r>
      <w:r w:rsidRPr="00475A31">
        <w:t xml:space="preserve">, en perjuicio de </w:t>
      </w:r>
      <w:r w:rsidR="008A633A" w:rsidRPr="008A633A">
        <w:rPr>
          <w:rFonts w:eastAsia="Verdana"/>
        </w:rPr>
        <w:t xml:space="preserve">Andrea Pacheco López, Blanca Rosa Herrera Rodríguez, José Pacheco, </w:t>
      </w:r>
      <w:proofErr w:type="spellStart"/>
      <w:r w:rsidR="008A633A" w:rsidRPr="008A633A">
        <w:rPr>
          <w:rFonts w:eastAsia="Verdana"/>
        </w:rPr>
        <w:t>Marleny</w:t>
      </w:r>
      <w:proofErr w:type="spellEnd"/>
      <w:r w:rsidR="008A633A" w:rsidRPr="008A633A">
        <w:rPr>
          <w:rFonts w:eastAsia="Verdana"/>
        </w:rPr>
        <w:t xml:space="preserve"> Pacheco Posadas y </w:t>
      </w:r>
      <w:proofErr w:type="spellStart"/>
      <w:r w:rsidR="008A633A" w:rsidRPr="008A633A">
        <w:rPr>
          <w:rFonts w:eastAsia="Verdana"/>
        </w:rPr>
        <w:t>Jimy</w:t>
      </w:r>
      <w:proofErr w:type="spellEnd"/>
      <w:r w:rsidR="008A633A" w:rsidRPr="008A633A">
        <w:rPr>
          <w:rFonts w:eastAsia="Verdana"/>
        </w:rPr>
        <w:t xml:space="preserve"> Javier Pacheco Ortiz</w:t>
      </w:r>
      <w:r w:rsidR="006A4E16" w:rsidRPr="008A633A">
        <w:rPr>
          <w:rFonts w:eastAsia="Verdana"/>
        </w:rPr>
        <w:t>,</w:t>
      </w:r>
      <w:r w:rsidR="00FF5B27" w:rsidRPr="00475A31">
        <w:t xml:space="preserve"> de conformidad con lo expuesto en los párrafos </w:t>
      </w:r>
      <w:r w:rsidR="008A633A">
        <w:t>169 a 182</w:t>
      </w:r>
      <w:r w:rsidR="00FF5B27" w:rsidRPr="00475A31">
        <w:t xml:space="preserve"> de la presente Sentencia.</w:t>
      </w:r>
    </w:p>
    <w:p w14:paraId="6CAEE69A" w14:textId="77777777" w:rsidR="00FF5B27" w:rsidRPr="00475A31" w:rsidRDefault="00FF5B27" w:rsidP="00475A31">
      <w:pPr>
        <w:tabs>
          <w:tab w:val="left" w:pos="0"/>
        </w:tabs>
        <w:rPr>
          <w:lang w:val="es-CR" w:eastAsia="es-MX"/>
        </w:rPr>
      </w:pPr>
    </w:p>
    <w:p w14:paraId="34D2BDA7" w14:textId="4EF645D3" w:rsidR="00920B41" w:rsidRPr="0085255B" w:rsidRDefault="00FF5B27" w:rsidP="00920B41">
      <w:pPr>
        <w:pStyle w:val="PrrafodeSentencia"/>
        <w:numPr>
          <w:ilvl w:val="0"/>
          <w:numId w:val="36"/>
        </w:numPr>
        <w:tabs>
          <w:tab w:val="clear" w:pos="567"/>
          <w:tab w:val="left" w:pos="0"/>
        </w:tabs>
        <w:ind w:left="0" w:firstLine="0"/>
      </w:pPr>
      <w:r w:rsidRPr="00475A31">
        <w:t xml:space="preserve">El Estado no </w:t>
      </w:r>
      <w:r w:rsidR="00920B41">
        <w:t>es re</w:t>
      </w:r>
      <w:r w:rsidR="00B124D5">
        <w:t>s</w:t>
      </w:r>
      <w:r w:rsidR="00920B41">
        <w:t>ponsable por la violación de la obligación de adoptar disposicione</w:t>
      </w:r>
      <w:r w:rsidR="00A4614D">
        <w:t xml:space="preserve">s de derecho interno </w:t>
      </w:r>
      <w:proofErr w:type="gramStart"/>
      <w:r w:rsidR="00A4614D">
        <w:t>consagrada</w:t>
      </w:r>
      <w:proofErr w:type="gramEnd"/>
      <w:r w:rsidR="00920B41">
        <w:t xml:space="preserve"> en el artículo 2 de la Convención Americana</w:t>
      </w:r>
      <w:r w:rsidR="00A4614D">
        <w:t xml:space="preserve"> sobre Derechos Humanos</w:t>
      </w:r>
      <w:r w:rsidR="008A633A">
        <w:t>, de conformidad con lo expuesto en el párrafo 184 de la presente Sentencia.</w:t>
      </w:r>
    </w:p>
    <w:p w14:paraId="13C28072" w14:textId="77777777" w:rsidR="00920B41" w:rsidRPr="00475A31" w:rsidRDefault="00920B41" w:rsidP="00920B41">
      <w:pPr>
        <w:tabs>
          <w:tab w:val="left" w:pos="0"/>
        </w:tabs>
        <w:rPr>
          <w:lang w:val="es-CR" w:eastAsia="es-MX"/>
        </w:rPr>
      </w:pPr>
    </w:p>
    <w:p w14:paraId="1EE2BC88" w14:textId="08A120C3" w:rsidR="00920B41" w:rsidRPr="00A4614D" w:rsidRDefault="00920B41" w:rsidP="00A4614D">
      <w:pPr>
        <w:pStyle w:val="PrrafodeSentencia"/>
        <w:numPr>
          <w:ilvl w:val="0"/>
          <w:numId w:val="36"/>
        </w:numPr>
        <w:tabs>
          <w:tab w:val="clear" w:pos="567"/>
          <w:tab w:val="left" w:pos="0"/>
        </w:tabs>
        <w:ind w:left="0" w:firstLine="0"/>
      </w:pPr>
      <w:r w:rsidRPr="00475A31">
        <w:t>El Estado no es re</w:t>
      </w:r>
      <w:r w:rsidR="00A4614D">
        <w:t>s</w:t>
      </w:r>
      <w:r w:rsidRPr="00475A31">
        <w:t xml:space="preserve">ponsable por la violación al derecho a la vida ni a los derechos políticos, </w:t>
      </w:r>
      <w:r w:rsidR="00A4614D">
        <w:t>consagrados en los artículos 4</w:t>
      </w:r>
      <w:r w:rsidR="0098080A">
        <w:t>.1</w:t>
      </w:r>
      <w:r w:rsidR="00A4614D">
        <w:t xml:space="preserve"> y 23</w:t>
      </w:r>
      <w:r w:rsidR="0098080A">
        <w:t>.1</w:t>
      </w:r>
      <w:r w:rsidR="00A4614D">
        <w:t xml:space="preserve"> de la Convención Americana sobre Derechos Humanos, de conformidad con lo expuesto</w:t>
      </w:r>
      <w:r w:rsidRPr="00475A31">
        <w:t xml:space="preserve"> en los párraf</w:t>
      </w:r>
      <w:r w:rsidR="00A4614D">
        <w:t xml:space="preserve">os </w:t>
      </w:r>
      <w:r w:rsidR="008A633A">
        <w:t>143 a 162</w:t>
      </w:r>
      <w:r w:rsidR="00A4614D">
        <w:t xml:space="preserve"> de la presente Sentencia.</w:t>
      </w:r>
    </w:p>
    <w:p w14:paraId="236DF178" w14:textId="77777777" w:rsidR="00920B41" w:rsidRPr="00475A31" w:rsidRDefault="00920B41" w:rsidP="00E17423">
      <w:pPr>
        <w:pStyle w:val="ListParagraph"/>
        <w:numPr>
          <w:ilvl w:val="0"/>
          <w:numId w:val="0"/>
        </w:numPr>
        <w:tabs>
          <w:tab w:val="left" w:pos="567"/>
          <w:tab w:val="left" w:pos="630"/>
        </w:tabs>
        <w:spacing w:before="20" w:after="20"/>
        <w:rPr>
          <w:strike/>
          <w:spacing w:val="-2"/>
          <w:lang w:val="es-CR"/>
        </w:rPr>
      </w:pPr>
    </w:p>
    <w:p w14:paraId="254FE83C" w14:textId="77777777" w:rsidR="00BF57ED" w:rsidRPr="00475A31" w:rsidRDefault="0011007D" w:rsidP="00B101DF">
      <w:pPr>
        <w:tabs>
          <w:tab w:val="left" w:pos="567"/>
          <w:tab w:val="left" w:pos="720"/>
        </w:tabs>
        <w:spacing w:before="40" w:after="20"/>
        <w:rPr>
          <w:rFonts w:cs="Verdana"/>
          <w:b/>
          <w:spacing w:val="-2"/>
          <w:szCs w:val="20"/>
        </w:rPr>
      </w:pPr>
      <w:r w:rsidRPr="00475A31">
        <w:rPr>
          <w:rFonts w:cs="Verdana"/>
          <w:b/>
          <w:spacing w:val="-2"/>
          <w:szCs w:val="20"/>
        </w:rPr>
        <w:t>Y DISPONE:</w:t>
      </w:r>
    </w:p>
    <w:p w14:paraId="058D0185" w14:textId="77777777" w:rsidR="00BF57ED" w:rsidRPr="00475A31" w:rsidRDefault="00BF57ED" w:rsidP="00B101DF">
      <w:pPr>
        <w:tabs>
          <w:tab w:val="left" w:pos="567"/>
          <w:tab w:val="num" w:pos="630"/>
          <w:tab w:val="left" w:pos="720"/>
        </w:tabs>
        <w:spacing w:before="40" w:after="20"/>
        <w:rPr>
          <w:rFonts w:cs="Verdana"/>
          <w:b/>
          <w:strike/>
          <w:spacing w:val="-2"/>
          <w:szCs w:val="20"/>
          <w:lang w:val="es-EC"/>
        </w:rPr>
      </w:pPr>
    </w:p>
    <w:p w14:paraId="0D7FF5E1" w14:textId="77ADB85E" w:rsidR="00FF5B27" w:rsidRPr="00475A31" w:rsidRDefault="0085255B" w:rsidP="00FF5B27">
      <w:pPr>
        <w:rPr>
          <w:lang w:val="es-CR" w:eastAsia="es-MX"/>
        </w:rPr>
      </w:pPr>
      <w:proofErr w:type="gramStart"/>
      <w:r>
        <w:rPr>
          <w:lang w:val="es-CR" w:eastAsia="es-MX"/>
        </w:rPr>
        <w:t>por</w:t>
      </w:r>
      <w:proofErr w:type="gramEnd"/>
      <w:r>
        <w:rPr>
          <w:lang w:val="es-CR" w:eastAsia="es-MX"/>
        </w:rPr>
        <w:t xml:space="preserve"> unanimidad</w:t>
      </w:r>
      <w:r w:rsidR="00FF5B27" w:rsidRPr="00475A31">
        <w:rPr>
          <w:lang w:val="es-CR" w:eastAsia="es-MX"/>
        </w:rPr>
        <w:t>, que:</w:t>
      </w:r>
    </w:p>
    <w:p w14:paraId="010872D0" w14:textId="77777777" w:rsidR="00FF5B27" w:rsidRPr="00475A31" w:rsidRDefault="00FF5B27" w:rsidP="00B101DF">
      <w:pPr>
        <w:tabs>
          <w:tab w:val="left" w:pos="567"/>
          <w:tab w:val="num" w:pos="630"/>
          <w:tab w:val="left" w:pos="720"/>
        </w:tabs>
        <w:spacing w:before="40" w:after="20"/>
        <w:rPr>
          <w:rFonts w:cs="Verdana"/>
          <w:b/>
          <w:strike/>
          <w:spacing w:val="-2"/>
          <w:szCs w:val="20"/>
          <w:lang w:val="es-EC"/>
        </w:rPr>
      </w:pPr>
    </w:p>
    <w:p w14:paraId="5772EDFB" w14:textId="3F4AF214" w:rsidR="00FF5B27" w:rsidRPr="0085255B" w:rsidRDefault="0087493E" w:rsidP="0085255B">
      <w:pPr>
        <w:pStyle w:val="PrrafodeSentencia"/>
        <w:numPr>
          <w:ilvl w:val="0"/>
          <w:numId w:val="0"/>
        </w:numPr>
        <w:ind w:right="-144"/>
        <w:rPr>
          <w:rFonts w:cs="Verdana"/>
          <w:szCs w:val="20"/>
        </w:rPr>
      </w:pPr>
      <w:r>
        <w:rPr>
          <w:rFonts w:cs="Verdana"/>
          <w:szCs w:val="20"/>
        </w:rPr>
        <w:t xml:space="preserve">5. </w:t>
      </w:r>
      <w:r w:rsidR="00CE5C92" w:rsidRPr="0087493E">
        <w:rPr>
          <w:rFonts w:cs="Verdana"/>
          <w:szCs w:val="20"/>
        </w:rPr>
        <w:t xml:space="preserve">Esta Sentencia constituye por sí misma una forma de reparación. </w:t>
      </w:r>
    </w:p>
    <w:p w14:paraId="513ED0F6" w14:textId="77777777" w:rsidR="00FF5B27" w:rsidRPr="00475A31" w:rsidRDefault="00FF5B27" w:rsidP="00CE5C92">
      <w:pPr>
        <w:tabs>
          <w:tab w:val="left" w:pos="567"/>
          <w:tab w:val="left" w:pos="720"/>
        </w:tabs>
        <w:ind w:right="-144"/>
        <w:rPr>
          <w:rFonts w:cs="Verdana"/>
          <w:szCs w:val="20"/>
          <w:lang w:val="es-CR"/>
        </w:rPr>
      </w:pPr>
    </w:p>
    <w:p w14:paraId="71E3464E" w14:textId="280A9292" w:rsidR="00CE5C92" w:rsidRPr="000874BF" w:rsidRDefault="0087493E" w:rsidP="00B154AE">
      <w:pPr>
        <w:rPr>
          <w:szCs w:val="20"/>
          <w:lang w:val="es-EC"/>
        </w:rPr>
      </w:pPr>
      <w:r>
        <w:rPr>
          <w:szCs w:val="20"/>
          <w:lang w:val="es-CR"/>
        </w:rPr>
        <w:t xml:space="preserve">6. </w:t>
      </w:r>
      <w:r w:rsidR="00CE5C92" w:rsidRPr="00475A31">
        <w:rPr>
          <w:szCs w:val="20"/>
          <w:lang w:val="es-CR"/>
        </w:rPr>
        <w:t xml:space="preserve">El Estado debe </w:t>
      </w:r>
      <w:r w:rsidR="00CE5C92" w:rsidRPr="00475A31">
        <w:rPr>
          <w:rFonts w:cs="Verdana"/>
          <w:szCs w:val="20"/>
          <w:lang w:val="es-CR" w:bidi="en-US"/>
        </w:rPr>
        <w:t xml:space="preserve">adoptar, en un plazo razonable, las medidas necesarias para continuar la investigación a fin de </w:t>
      </w:r>
      <w:r w:rsidR="00CE5C92" w:rsidRPr="00475A31">
        <w:rPr>
          <w:szCs w:val="20"/>
          <w:lang w:val="es-CR"/>
        </w:rPr>
        <w:t>individualizar, juzgar y, en su caso, s</w:t>
      </w:r>
      <w:r w:rsidR="00010CC2">
        <w:rPr>
          <w:szCs w:val="20"/>
          <w:lang w:val="es-CR"/>
        </w:rPr>
        <w:t>ancionar a los responsables de los hechos del presente caso,</w:t>
      </w:r>
      <w:r w:rsidR="00CE5C92" w:rsidRPr="00475A31">
        <w:rPr>
          <w:szCs w:val="20"/>
          <w:lang w:val="es-CR"/>
        </w:rPr>
        <w:t xml:space="preserve"> d</w:t>
      </w:r>
      <w:r w:rsidR="00A4614D">
        <w:rPr>
          <w:szCs w:val="20"/>
          <w:lang w:val="es-CR"/>
        </w:rPr>
        <w:t>e conformidad con lo expuesto</w:t>
      </w:r>
      <w:r w:rsidR="00695C09">
        <w:rPr>
          <w:szCs w:val="20"/>
          <w:lang w:val="es-CR"/>
        </w:rPr>
        <w:t xml:space="preserve"> en el</w:t>
      </w:r>
      <w:r w:rsidR="00CE5C92" w:rsidRPr="00475A31">
        <w:rPr>
          <w:szCs w:val="20"/>
          <w:lang w:val="es-CR"/>
        </w:rPr>
        <w:t xml:space="preserve"> párrafo </w:t>
      </w:r>
      <w:r w:rsidR="008A633A">
        <w:rPr>
          <w:szCs w:val="20"/>
          <w:lang w:val="es-CR"/>
        </w:rPr>
        <w:t xml:space="preserve">194 </w:t>
      </w:r>
      <w:r w:rsidR="00CE5C92" w:rsidRPr="00475A31">
        <w:rPr>
          <w:szCs w:val="20"/>
          <w:lang w:val="es-CR"/>
        </w:rPr>
        <w:t>de la presente Sentencia.</w:t>
      </w:r>
      <w:r w:rsidR="00114820" w:rsidRPr="00114820">
        <w:rPr>
          <w:b/>
          <w:szCs w:val="20"/>
          <w:lang w:val="es-EC"/>
        </w:rPr>
        <w:t xml:space="preserve"> </w:t>
      </w:r>
      <w:r w:rsidR="00114820" w:rsidRPr="000874BF">
        <w:rPr>
          <w:szCs w:val="20"/>
          <w:lang w:val="es-EC"/>
        </w:rPr>
        <w:t>Además, el Estado debe investigar</w:t>
      </w:r>
      <w:r w:rsidR="00440EA8" w:rsidRPr="000874BF">
        <w:rPr>
          <w:szCs w:val="20"/>
          <w:lang w:val="es-EC"/>
        </w:rPr>
        <w:t>, en</w:t>
      </w:r>
      <w:r w:rsidR="00114820" w:rsidRPr="000874BF">
        <w:rPr>
          <w:szCs w:val="20"/>
          <w:lang w:val="es-EC"/>
        </w:rPr>
        <w:t xml:space="preserve"> un plazo razonable, </w:t>
      </w:r>
      <w:r w:rsidR="00440EA8" w:rsidRPr="000874BF">
        <w:rPr>
          <w:szCs w:val="20"/>
          <w:lang w:val="es-EC"/>
        </w:rPr>
        <w:t xml:space="preserve">por intermedio de las instituciones públicas competentes, </w:t>
      </w:r>
      <w:r w:rsidR="00F562DC" w:rsidRPr="000874BF">
        <w:rPr>
          <w:szCs w:val="20"/>
          <w:lang w:val="es-EC"/>
        </w:rPr>
        <w:t xml:space="preserve">las causas del retraso procesal en el presente caso y de ser pertinente </w:t>
      </w:r>
      <w:r w:rsidR="00440EA8" w:rsidRPr="000874BF">
        <w:rPr>
          <w:szCs w:val="20"/>
          <w:lang w:val="es-EC"/>
        </w:rPr>
        <w:t>a los funcionarios involucrados en la</w:t>
      </w:r>
      <w:r w:rsidR="00010CC2" w:rsidRPr="000874BF">
        <w:rPr>
          <w:szCs w:val="20"/>
          <w:lang w:val="es-EC"/>
        </w:rPr>
        <w:t xml:space="preserve"> investigación</w:t>
      </w:r>
      <w:r w:rsidR="00440EA8" w:rsidRPr="000874BF">
        <w:rPr>
          <w:szCs w:val="20"/>
          <w:lang w:val="es-EC"/>
        </w:rPr>
        <w:t>, y luego de un debido proceso, aplicar las sanciones administrativas, disciplinarias o penales correspondientes a quienes fueran encontrados responsables</w:t>
      </w:r>
      <w:r w:rsidR="00B154AE" w:rsidRPr="000874BF">
        <w:rPr>
          <w:szCs w:val="20"/>
          <w:lang w:val="es-EC"/>
        </w:rPr>
        <w:t xml:space="preserve">, en los </w:t>
      </w:r>
      <w:proofErr w:type="spellStart"/>
      <w:r w:rsidR="00B154AE" w:rsidRPr="000874BF">
        <w:rPr>
          <w:szCs w:val="20"/>
          <w:lang w:val="es-EC"/>
        </w:rPr>
        <w:t>téminos</w:t>
      </w:r>
      <w:proofErr w:type="spellEnd"/>
      <w:r w:rsidR="00B154AE" w:rsidRPr="000874BF">
        <w:rPr>
          <w:szCs w:val="20"/>
          <w:lang w:val="es-EC"/>
        </w:rPr>
        <w:t xml:space="preserve"> del párrafo </w:t>
      </w:r>
      <w:r w:rsidR="008A633A">
        <w:rPr>
          <w:szCs w:val="20"/>
          <w:lang w:val="es-EC"/>
        </w:rPr>
        <w:t>196</w:t>
      </w:r>
      <w:r w:rsidR="00B154AE" w:rsidRPr="000874BF">
        <w:rPr>
          <w:szCs w:val="20"/>
          <w:lang w:val="es-EC"/>
        </w:rPr>
        <w:t xml:space="preserve"> de la presente Sentencia</w:t>
      </w:r>
      <w:r w:rsidR="00114820" w:rsidRPr="000874BF">
        <w:rPr>
          <w:szCs w:val="20"/>
          <w:lang w:val="es-EC"/>
        </w:rPr>
        <w:t>.</w:t>
      </w:r>
    </w:p>
    <w:p w14:paraId="246004F2" w14:textId="16DC7AF4" w:rsidR="00CE5C92" w:rsidRPr="00475A31" w:rsidRDefault="0085255B" w:rsidP="0085255B">
      <w:pPr>
        <w:rPr>
          <w:szCs w:val="20"/>
          <w:lang w:val="es-CR"/>
        </w:rPr>
      </w:pPr>
      <w:r w:rsidRPr="00475A31">
        <w:rPr>
          <w:szCs w:val="20"/>
          <w:lang w:val="es-CR"/>
        </w:rPr>
        <w:t xml:space="preserve"> </w:t>
      </w:r>
    </w:p>
    <w:p w14:paraId="77B1B94E" w14:textId="4EBAC5D6" w:rsidR="00FF5B27" w:rsidRPr="0085255B" w:rsidRDefault="0087493E" w:rsidP="0085255B">
      <w:pPr>
        <w:pStyle w:val="PrrafodeSentencia"/>
        <w:numPr>
          <w:ilvl w:val="0"/>
          <w:numId w:val="0"/>
        </w:numPr>
        <w:tabs>
          <w:tab w:val="clear" w:pos="567"/>
        </w:tabs>
        <w:rPr>
          <w:szCs w:val="20"/>
        </w:rPr>
      </w:pPr>
      <w:r>
        <w:rPr>
          <w:szCs w:val="20"/>
        </w:rPr>
        <w:lastRenderedPageBreak/>
        <w:t xml:space="preserve">7. </w:t>
      </w:r>
      <w:r w:rsidR="00CE5C92" w:rsidRPr="00475A31">
        <w:rPr>
          <w:szCs w:val="20"/>
        </w:rPr>
        <w:t xml:space="preserve">El Estado debe realizar las publicaciones </w:t>
      </w:r>
      <w:r w:rsidR="00475A31" w:rsidRPr="00475A31">
        <w:rPr>
          <w:szCs w:val="20"/>
        </w:rPr>
        <w:t>de la presente Sentencia y de su resumen oficial en el plazo de seis meses contado a partir de la notificación de la misma</w:t>
      </w:r>
      <w:r w:rsidR="005B61E8">
        <w:rPr>
          <w:szCs w:val="20"/>
        </w:rPr>
        <w:t>,</w:t>
      </w:r>
      <w:r w:rsidR="00475A31" w:rsidRPr="00475A31">
        <w:rPr>
          <w:szCs w:val="20"/>
        </w:rPr>
        <w:t xml:space="preserve"> en los términos del párrafo </w:t>
      </w:r>
      <w:r w:rsidR="008A633A">
        <w:rPr>
          <w:szCs w:val="20"/>
        </w:rPr>
        <w:t>201</w:t>
      </w:r>
      <w:r w:rsidR="00475A31" w:rsidRPr="00475A31">
        <w:rPr>
          <w:szCs w:val="20"/>
        </w:rPr>
        <w:t xml:space="preserve"> de la presente Sentencia. </w:t>
      </w:r>
    </w:p>
    <w:p w14:paraId="74A671DC" w14:textId="77777777" w:rsidR="00F61D06" w:rsidRDefault="00F61D06" w:rsidP="00FF5B27">
      <w:pPr>
        <w:rPr>
          <w:lang w:val="es-CR" w:eastAsia="es-MX"/>
        </w:rPr>
      </w:pPr>
    </w:p>
    <w:p w14:paraId="104BFD07" w14:textId="028CB24A" w:rsidR="00440EA8" w:rsidRPr="0085255B" w:rsidRDefault="0087493E" w:rsidP="00440EA8">
      <w:r>
        <w:rPr>
          <w:lang w:val="es-CR" w:eastAsia="es-MX"/>
        </w:rPr>
        <w:t xml:space="preserve">8. </w:t>
      </w:r>
      <w:r w:rsidR="00F61D06">
        <w:rPr>
          <w:lang w:val="es-CR" w:eastAsia="es-MX"/>
        </w:rPr>
        <w:t xml:space="preserve">El Estado debe </w:t>
      </w:r>
      <w:r w:rsidR="000A6914">
        <w:rPr>
          <w:lang w:val="es-CR" w:eastAsia="es-MX"/>
        </w:rPr>
        <w:t>establecer</w:t>
      </w:r>
      <w:r w:rsidR="000A6914" w:rsidRPr="000874BF">
        <w:t>, en el plazo de un año</w:t>
      </w:r>
      <w:r w:rsidR="00F61D06" w:rsidRPr="000874BF">
        <w:t xml:space="preserve">, un protocolo de investigación diligente, </w:t>
      </w:r>
      <w:r w:rsidR="008814A3" w:rsidRPr="000874BF">
        <w:t xml:space="preserve">en los </w:t>
      </w:r>
      <w:r w:rsidR="00F61D06" w:rsidRPr="000874BF">
        <w:t>términos de</w:t>
      </w:r>
      <w:r w:rsidR="008A633A">
        <w:t xml:space="preserve"> </w:t>
      </w:r>
      <w:r w:rsidR="00F61D06" w:rsidRPr="000874BF">
        <w:t>l</w:t>
      </w:r>
      <w:r w:rsidR="008A633A">
        <w:t>os</w:t>
      </w:r>
      <w:r w:rsidR="00F61D06" w:rsidRPr="000874BF">
        <w:t xml:space="preserve"> párrafo</w:t>
      </w:r>
      <w:r w:rsidR="008A633A">
        <w:t>s</w:t>
      </w:r>
      <w:r w:rsidR="00F61D06" w:rsidRPr="000874BF">
        <w:t xml:space="preserve"> </w:t>
      </w:r>
      <w:r w:rsidR="008A633A">
        <w:t>206</w:t>
      </w:r>
      <w:r w:rsidR="00F61D06" w:rsidRPr="000874BF">
        <w:t xml:space="preserve"> </w:t>
      </w:r>
      <w:r w:rsidR="008A633A">
        <w:t xml:space="preserve">y 208 </w:t>
      </w:r>
      <w:r w:rsidR="00F61D06" w:rsidRPr="000874BF">
        <w:t>de la presente Sentencia.</w:t>
      </w:r>
      <w:r w:rsidR="00440EA8" w:rsidRPr="000874BF">
        <w:t xml:space="preserve"> </w:t>
      </w:r>
    </w:p>
    <w:p w14:paraId="0D1B3ABD" w14:textId="77777777" w:rsidR="00440EA8" w:rsidRPr="00440EA8" w:rsidRDefault="00440EA8" w:rsidP="00440EA8">
      <w:pPr>
        <w:rPr>
          <w:b/>
          <w:lang w:val="es-CR"/>
        </w:rPr>
      </w:pPr>
    </w:p>
    <w:p w14:paraId="6B60B1EC" w14:textId="4554C579" w:rsidR="00F61D06" w:rsidRPr="0085255B" w:rsidRDefault="0087493E" w:rsidP="0085255B">
      <w:pPr>
        <w:rPr>
          <w:lang w:eastAsia="es-MX"/>
        </w:rPr>
      </w:pPr>
      <w:r w:rsidRPr="000874BF">
        <w:rPr>
          <w:lang w:val="es-CR"/>
        </w:rPr>
        <w:t xml:space="preserve">9. </w:t>
      </w:r>
      <w:r w:rsidR="00440EA8" w:rsidRPr="000874BF">
        <w:t>E</w:t>
      </w:r>
      <w:r w:rsidR="004D4ED3" w:rsidRPr="000874BF">
        <w:t xml:space="preserve">l Estado debe, en el plazo de un año, </w:t>
      </w:r>
      <w:r w:rsidR="000A6914" w:rsidRPr="000874BF">
        <w:t>establecer</w:t>
      </w:r>
      <w:r w:rsidR="00F61D06" w:rsidRPr="000874BF">
        <w:t xml:space="preserve"> </w:t>
      </w:r>
      <w:r w:rsidR="00440EA8" w:rsidRPr="000874BF">
        <w:t xml:space="preserve">un programa </w:t>
      </w:r>
      <w:r w:rsidR="008A633A">
        <w:t xml:space="preserve">o curso permanente obligatorio </w:t>
      </w:r>
      <w:r w:rsidR="00440EA8" w:rsidRPr="000874BF">
        <w:t>de capacitación y</w:t>
      </w:r>
      <w:r w:rsidR="00F562DC" w:rsidRPr="000874BF">
        <w:t xml:space="preserve"> formación en derechos humanos</w:t>
      </w:r>
      <w:r w:rsidR="00440EA8" w:rsidRPr="000874BF">
        <w:t>, en los términos de</w:t>
      </w:r>
      <w:r w:rsidR="008A633A">
        <w:t xml:space="preserve"> </w:t>
      </w:r>
      <w:r w:rsidR="00440EA8" w:rsidRPr="000874BF">
        <w:t>l</w:t>
      </w:r>
      <w:r w:rsidR="008A633A">
        <w:t>os</w:t>
      </w:r>
      <w:r w:rsidR="00440EA8" w:rsidRPr="000874BF">
        <w:t xml:space="preserve"> párrafo</w:t>
      </w:r>
      <w:r w:rsidR="008A633A">
        <w:t>s</w:t>
      </w:r>
      <w:r w:rsidR="00F562DC" w:rsidRPr="000874BF">
        <w:t xml:space="preserve"> </w:t>
      </w:r>
      <w:r w:rsidR="008A633A">
        <w:t>207</w:t>
      </w:r>
      <w:r w:rsidR="00F61D06" w:rsidRPr="000874BF">
        <w:t xml:space="preserve"> </w:t>
      </w:r>
      <w:r w:rsidR="008A633A">
        <w:t xml:space="preserve">y 208 </w:t>
      </w:r>
      <w:r w:rsidR="00F61D06" w:rsidRPr="000874BF">
        <w:t>de la presente Sentencia.</w:t>
      </w:r>
    </w:p>
    <w:p w14:paraId="30515983" w14:textId="77777777" w:rsidR="00F61D06" w:rsidRPr="00475A31" w:rsidRDefault="00F61D06" w:rsidP="00CE5C92">
      <w:pPr>
        <w:tabs>
          <w:tab w:val="left" w:pos="0"/>
          <w:tab w:val="left" w:pos="567"/>
        </w:tabs>
        <w:ind w:right="-144"/>
        <w:rPr>
          <w:szCs w:val="20"/>
          <w:lang w:val="es-CR"/>
        </w:rPr>
      </w:pPr>
    </w:p>
    <w:p w14:paraId="0ED6704F" w14:textId="6646BE60" w:rsidR="00F61D06" w:rsidRPr="0085255B" w:rsidRDefault="0087493E" w:rsidP="0085255B">
      <w:pPr>
        <w:tabs>
          <w:tab w:val="left" w:pos="567"/>
          <w:tab w:val="left" w:pos="720"/>
        </w:tabs>
        <w:ind w:right="-144"/>
        <w:rPr>
          <w:rFonts w:cs="Verdana"/>
          <w:szCs w:val="20"/>
          <w:lang w:val="es-CR"/>
        </w:rPr>
      </w:pPr>
      <w:r>
        <w:rPr>
          <w:rFonts w:cs="Verdana"/>
          <w:szCs w:val="20"/>
          <w:lang w:val="es-CR"/>
        </w:rPr>
        <w:t xml:space="preserve">10. </w:t>
      </w:r>
      <w:r w:rsidR="00CE5C92" w:rsidRPr="00475A31">
        <w:rPr>
          <w:rFonts w:cs="Verdana"/>
          <w:szCs w:val="20"/>
          <w:lang w:val="es-CR"/>
        </w:rPr>
        <w:t>El Estado debe pagar las cantidades fijadas en los párrafos</w:t>
      </w:r>
      <w:r w:rsidR="00A4614D">
        <w:rPr>
          <w:szCs w:val="20"/>
          <w:lang w:val="es-CR"/>
        </w:rPr>
        <w:t xml:space="preserve"> </w:t>
      </w:r>
      <w:r w:rsidR="0011525F">
        <w:rPr>
          <w:szCs w:val="20"/>
          <w:lang w:val="es-CR"/>
        </w:rPr>
        <w:t>218 y</w:t>
      </w:r>
      <w:r w:rsidR="008A633A">
        <w:rPr>
          <w:szCs w:val="20"/>
          <w:lang w:val="es-CR"/>
        </w:rPr>
        <w:t xml:space="preserve"> 219</w:t>
      </w:r>
      <w:r w:rsidR="00CE5C92" w:rsidRPr="00475A31">
        <w:rPr>
          <w:rFonts w:cs="Verdana"/>
          <w:szCs w:val="20"/>
          <w:lang w:val="es-ES_tradnl"/>
        </w:rPr>
        <w:t xml:space="preserve"> </w:t>
      </w:r>
      <w:r w:rsidR="00CE5C92" w:rsidRPr="00475A31">
        <w:rPr>
          <w:rFonts w:cs="Verdana"/>
          <w:szCs w:val="20"/>
          <w:lang w:val="es-CR"/>
        </w:rPr>
        <w:t xml:space="preserve">de la presente Sentencia, por concepto de indemnizaciones </w:t>
      </w:r>
      <w:r w:rsidR="00CE5C92" w:rsidRPr="00475A31">
        <w:rPr>
          <w:szCs w:val="20"/>
          <w:lang w:val="es-CR"/>
        </w:rPr>
        <w:t>por daños materiales e inmateriales</w:t>
      </w:r>
      <w:r w:rsidR="0011525F">
        <w:rPr>
          <w:szCs w:val="20"/>
          <w:lang w:val="es-CR"/>
        </w:rPr>
        <w:t>,</w:t>
      </w:r>
      <w:r w:rsidR="00CE5C92" w:rsidRPr="00475A31">
        <w:rPr>
          <w:rFonts w:cs="Verdana"/>
          <w:szCs w:val="20"/>
          <w:lang w:val="es-CR"/>
        </w:rPr>
        <w:t xml:space="preserve"> y por el reintegro de costas y gastos en los términos de los párrafos </w:t>
      </w:r>
      <w:r w:rsidR="008A633A">
        <w:rPr>
          <w:rFonts w:cs="Verdana"/>
          <w:szCs w:val="20"/>
          <w:lang w:val="es-CR"/>
        </w:rPr>
        <w:t>22</w:t>
      </w:r>
      <w:r w:rsidR="0011525F">
        <w:rPr>
          <w:rFonts w:cs="Verdana"/>
          <w:szCs w:val="20"/>
          <w:lang w:val="es-CR"/>
        </w:rPr>
        <w:t>2</w:t>
      </w:r>
      <w:r w:rsidR="008A633A">
        <w:rPr>
          <w:rFonts w:cs="Verdana"/>
          <w:szCs w:val="20"/>
          <w:lang w:val="es-CR"/>
        </w:rPr>
        <w:t xml:space="preserve"> a 2</w:t>
      </w:r>
      <w:r w:rsidR="0011525F">
        <w:rPr>
          <w:rFonts w:cs="Verdana"/>
          <w:szCs w:val="20"/>
          <w:lang w:val="es-CR"/>
        </w:rPr>
        <w:t>24</w:t>
      </w:r>
      <w:r w:rsidR="00CE5C92" w:rsidRPr="00475A31">
        <w:rPr>
          <w:rFonts w:cs="Verdana"/>
          <w:szCs w:val="20"/>
          <w:lang w:val="es-CR"/>
        </w:rPr>
        <w:t xml:space="preserve"> del presente Fallo. </w:t>
      </w:r>
    </w:p>
    <w:p w14:paraId="22BE6FAA" w14:textId="77777777" w:rsidR="00F61D06" w:rsidRPr="00F61D06" w:rsidRDefault="00F61D06" w:rsidP="00F61D06">
      <w:pPr>
        <w:tabs>
          <w:tab w:val="left" w:pos="0"/>
          <w:tab w:val="left" w:pos="567"/>
        </w:tabs>
        <w:ind w:right="-144"/>
        <w:rPr>
          <w:rFonts w:cstheme="minorBidi"/>
          <w:szCs w:val="20"/>
          <w:lang w:val="es-CR"/>
        </w:rPr>
      </w:pPr>
    </w:p>
    <w:p w14:paraId="01C381B5" w14:textId="345DE159" w:rsidR="00FF5B27" w:rsidRPr="0085255B" w:rsidRDefault="0087493E" w:rsidP="0085255B">
      <w:pPr>
        <w:tabs>
          <w:tab w:val="left" w:pos="0"/>
          <w:tab w:val="left" w:pos="567"/>
        </w:tabs>
        <w:ind w:right="-144"/>
        <w:rPr>
          <w:rFonts w:cstheme="minorBidi"/>
          <w:szCs w:val="20"/>
          <w:lang w:val="es-CR"/>
        </w:rPr>
      </w:pPr>
      <w:r>
        <w:rPr>
          <w:szCs w:val="20"/>
          <w:lang w:val="es-CR"/>
        </w:rPr>
        <w:t xml:space="preserve">11. </w:t>
      </w:r>
      <w:r w:rsidR="00CE5C92" w:rsidRPr="00475A31">
        <w:rPr>
          <w:szCs w:val="20"/>
          <w:lang w:val="es-CR"/>
        </w:rPr>
        <w:t>El Estado debe</w:t>
      </w:r>
      <w:r w:rsidR="004D4ED3">
        <w:rPr>
          <w:szCs w:val="20"/>
          <w:lang w:val="es-CR"/>
        </w:rPr>
        <w:t>rá rendir al Tribunal,</w:t>
      </w:r>
      <w:r w:rsidR="00CE5C92" w:rsidRPr="00475A31">
        <w:rPr>
          <w:szCs w:val="20"/>
          <w:lang w:val="es-CR"/>
        </w:rPr>
        <w:t xml:space="preserve"> dentro del plazo de un año contado a partir de la notificac</w:t>
      </w:r>
      <w:r w:rsidR="00A4614D">
        <w:rPr>
          <w:szCs w:val="20"/>
          <w:lang w:val="es-CR"/>
        </w:rPr>
        <w:t>ión de esta Sentencia</w:t>
      </w:r>
      <w:r w:rsidR="004D4ED3">
        <w:rPr>
          <w:szCs w:val="20"/>
          <w:lang w:val="es-CR"/>
        </w:rPr>
        <w:t xml:space="preserve">, un informe </w:t>
      </w:r>
      <w:r w:rsidR="00CE5C92" w:rsidRPr="00475A31">
        <w:rPr>
          <w:szCs w:val="20"/>
          <w:lang w:val="es-CR"/>
        </w:rPr>
        <w:t>sobre las medidas adoptadas para cumplir con la misma.</w:t>
      </w:r>
    </w:p>
    <w:p w14:paraId="15050997" w14:textId="77777777" w:rsidR="00F61D06" w:rsidRDefault="00F61D06" w:rsidP="00FF5B27">
      <w:pPr>
        <w:rPr>
          <w:lang w:val="es-CR" w:eastAsia="es-MX"/>
        </w:rPr>
      </w:pPr>
    </w:p>
    <w:p w14:paraId="4FD9A98C" w14:textId="0C0F4D92" w:rsidR="00CE5C92" w:rsidRPr="00E57B53" w:rsidRDefault="0087493E" w:rsidP="00E57B53">
      <w:pPr>
        <w:rPr>
          <w:lang w:val="es-CR" w:eastAsia="es-MX"/>
        </w:rPr>
      </w:pPr>
      <w:r>
        <w:rPr>
          <w:lang w:val="es-CR" w:eastAsia="es-MX"/>
        </w:rPr>
        <w:t xml:space="preserve">12. </w:t>
      </w:r>
      <w:r w:rsidR="00CE5C92" w:rsidRPr="00475A31">
        <w:rPr>
          <w:szCs w:val="20"/>
          <w:lang w:val="es-CR"/>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14:paraId="766C1B82" w14:textId="77777777" w:rsidR="00CE5C92" w:rsidRPr="00475A31" w:rsidRDefault="00CE5C92" w:rsidP="00CE5C92">
      <w:pPr>
        <w:tabs>
          <w:tab w:val="left" w:pos="0"/>
          <w:tab w:val="left" w:pos="567"/>
        </w:tabs>
        <w:ind w:right="-144"/>
        <w:rPr>
          <w:rFonts w:cs="Verdana"/>
          <w:szCs w:val="20"/>
          <w:lang w:val="es-CR"/>
        </w:rPr>
      </w:pPr>
    </w:p>
    <w:p w14:paraId="2C6836F3" w14:textId="3A6A6B14" w:rsidR="00CE5C92" w:rsidRPr="00A07F01" w:rsidRDefault="00CE5C92" w:rsidP="00CE5C92">
      <w:pPr>
        <w:pStyle w:val="Heading1"/>
        <w:ind w:right="-144"/>
        <w:jc w:val="both"/>
        <w:rPr>
          <w:rFonts w:eastAsiaTheme="minorHAnsi"/>
          <w:b w:val="0"/>
          <w:szCs w:val="20"/>
          <w:highlight w:val="yellow"/>
          <w:lang w:val="es-ES"/>
        </w:rPr>
      </w:pPr>
      <w:bookmarkStart w:id="416" w:name="_Toc441222282"/>
      <w:bookmarkStart w:id="417" w:name="_Toc441231189"/>
      <w:bookmarkStart w:id="418" w:name="_Toc441231372"/>
      <w:bookmarkStart w:id="419" w:name="_Toc445808431"/>
      <w:bookmarkStart w:id="420" w:name="_Toc446088974"/>
      <w:bookmarkStart w:id="421" w:name="_Toc446090941"/>
      <w:bookmarkStart w:id="422" w:name="_Toc446096977"/>
      <w:bookmarkStart w:id="423" w:name="_Toc447029200"/>
      <w:bookmarkStart w:id="424" w:name="_Toc448932768"/>
      <w:bookmarkStart w:id="425" w:name="_Toc455648275"/>
      <w:bookmarkStart w:id="426" w:name="_Toc469654617"/>
      <w:bookmarkStart w:id="427" w:name="_Toc480742252"/>
      <w:bookmarkStart w:id="428" w:name="_Toc483919716"/>
      <w:bookmarkStart w:id="429" w:name="_Toc488134475"/>
      <w:bookmarkStart w:id="430" w:name="_Toc489523935"/>
      <w:bookmarkStart w:id="431" w:name="_Toc490237246"/>
      <w:bookmarkStart w:id="432" w:name="_Toc490839275"/>
      <w:bookmarkStart w:id="433" w:name="_Toc492046721"/>
      <w:bookmarkStart w:id="434" w:name="_Toc493512930"/>
      <w:bookmarkStart w:id="435" w:name="_Toc495050785"/>
      <w:bookmarkStart w:id="436" w:name="_Toc496610699"/>
      <w:bookmarkStart w:id="437" w:name="_Toc498512854"/>
      <w:r w:rsidRPr="00E02FDB">
        <w:rPr>
          <w:rFonts w:eastAsiaTheme="minorHAnsi"/>
          <w:b w:val="0"/>
          <w:szCs w:val="20"/>
          <w:lang w:val="es-ES"/>
        </w:rPr>
        <w:t>Redactada en español en</w:t>
      </w:r>
      <w:r w:rsidR="0085255B" w:rsidRPr="00E02FDB">
        <w:rPr>
          <w:rFonts w:eastAsiaTheme="minorHAnsi"/>
          <w:b w:val="0"/>
          <w:szCs w:val="20"/>
          <w:lang w:val="es-ES"/>
        </w:rPr>
        <w:t xml:space="preserve"> San José, Costa Rica, el 15 </w:t>
      </w:r>
      <w:r w:rsidRPr="00E02FDB">
        <w:rPr>
          <w:rFonts w:eastAsiaTheme="minorHAnsi"/>
          <w:b w:val="0"/>
          <w:szCs w:val="20"/>
          <w:lang w:val="es-ES"/>
        </w:rPr>
        <w:t xml:space="preserve">de </w:t>
      </w:r>
      <w:r w:rsidR="00440EA8" w:rsidRPr="00E02FDB">
        <w:rPr>
          <w:rFonts w:eastAsiaTheme="minorHAnsi"/>
          <w:b w:val="0"/>
          <w:szCs w:val="20"/>
          <w:lang w:val="es-ES"/>
        </w:rPr>
        <w:t xml:space="preserve">noviembre </w:t>
      </w:r>
      <w:r w:rsidRPr="00E02FDB">
        <w:rPr>
          <w:rFonts w:eastAsiaTheme="minorHAnsi"/>
          <w:b w:val="0"/>
          <w:szCs w:val="20"/>
          <w:lang w:val="es-ES"/>
        </w:rPr>
        <w:t>de 2017.</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613B878A" w14:textId="3315DDAF" w:rsidR="00A34945" w:rsidRDefault="00A34945">
      <w:pPr>
        <w:tabs>
          <w:tab w:val="left" w:pos="0"/>
          <w:tab w:val="left" w:pos="567"/>
        </w:tabs>
        <w:spacing w:before="40" w:after="20"/>
        <w:rPr>
          <w:rFonts w:eastAsiaTheme="minorHAnsi"/>
          <w:szCs w:val="20"/>
          <w:lang w:val="es-CR"/>
        </w:rPr>
      </w:pPr>
    </w:p>
    <w:p w14:paraId="68E653B8" w14:textId="77777777" w:rsidR="00E02FDB" w:rsidRDefault="00E02FDB">
      <w:pPr>
        <w:tabs>
          <w:tab w:val="left" w:pos="0"/>
          <w:tab w:val="left" w:pos="567"/>
        </w:tabs>
        <w:spacing w:before="40" w:after="20"/>
        <w:rPr>
          <w:strike/>
          <w:spacing w:val="-2"/>
        </w:rPr>
      </w:pPr>
    </w:p>
    <w:p w14:paraId="6726AF2E" w14:textId="77777777" w:rsidR="00E02FDB" w:rsidRDefault="00E02FDB">
      <w:pPr>
        <w:tabs>
          <w:tab w:val="left" w:pos="0"/>
          <w:tab w:val="left" w:pos="567"/>
        </w:tabs>
        <w:spacing w:before="40" w:after="20"/>
        <w:rPr>
          <w:strike/>
          <w:spacing w:val="-2"/>
        </w:rPr>
      </w:pPr>
    </w:p>
    <w:p w14:paraId="521B62C8" w14:textId="77777777" w:rsidR="00E02FDB" w:rsidRDefault="00E02FDB">
      <w:pPr>
        <w:tabs>
          <w:tab w:val="left" w:pos="0"/>
          <w:tab w:val="left" w:pos="567"/>
        </w:tabs>
        <w:spacing w:before="40" w:after="20"/>
        <w:rPr>
          <w:strike/>
          <w:spacing w:val="-2"/>
        </w:rPr>
      </w:pPr>
    </w:p>
    <w:p w14:paraId="7FA98225" w14:textId="77777777" w:rsidR="00E02FDB" w:rsidRDefault="00E02FDB">
      <w:pPr>
        <w:tabs>
          <w:tab w:val="left" w:pos="0"/>
          <w:tab w:val="left" w:pos="567"/>
        </w:tabs>
        <w:spacing w:before="40" w:after="20"/>
        <w:rPr>
          <w:strike/>
          <w:spacing w:val="-2"/>
        </w:rPr>
      </w:pPr>
    </w:p>
    <w:p w14:paraId="24F2D06F" w14:textId="77777777" w:rsidR="00E02FDB" w:rsidRDefault="00E02FDB">
      <w:pPr>
        <w:tabs>
          <w:tab w:val="left" w:pos="0"/>
          <w:tab w:val="left" w:pos="567"/>
        </w:tabs>
        <w:spacing w:before="40" w:after="20"/>
        <w:rPr>
          <w:strike/>
          <w:spacing w:val="-2"/>
        </w:rPr>
      </w:pPr>
    </w:p>
    <w:p w14:paraId="12330A12" w14:textId="77777777" w:rsidR="00E02FDB" w:rsidRDefault="00E02FDB">
      <w:pPr>
        <w:tabs>
          <w:tab w:val="left" w:pos="0"/>
          <w:tab w:val="left" w:pos="567"/>
        </w:tabs>
        <w:spacing w:before="40" w:after="20"/>
        <w:rPr>
          <w:strike/>
          <w:spacing w:val="-2"/>
        </w:rPr>
      </w:pPr>
    </w:p>
    <w:p w14:paraId="4B15FC8D" w14:textId="77777777" w:rsidR="00E02FDB" w:rsidRDefault="00E02FDB">
      <w:pPr>
        <w:tabs>
          <w:tab w:val="left" w:pos="0"/>
          <w:tab w:val="left" w:pos="567"/>
        </w:tabs>
        <w:spacing w:before="40" w:after="20"/>
        <w:rPr>
          <w:strike/>
          <w:spacing w:val="-2"/>
        </w:rPr>
      </w:pPr>
    </w:p>
    <w:p w14:paraId="258686EA" w14:textId="77777777" w:rsidR="00E02FDB" w:rsidRDefault="00E02FDB">
      <w:pPr>
        <w:tabs>
          <w:tab w:val="left" w:pos="0"/>
          <w:tab w:val="left" w:pos="567"/>
        </w:tabs>
        <w:spacing w:before="40" w:after="20"/>
        <w:rPr>
          <w:strike/>
          <w:spacing w:val="-2"/>
        </w:rPr>
      </w:pPr>
    </w:p>
    <w:p w14:paraId="34F282BE" w14:textId="77777777" w:rsidR="00E02FDB" w:rsidRDefault="00E02FDB">
      <w:pPr>
        <w:tabs>
          <w:tab w:val="left" w:pos="0"/>
          <w:tab w:val="left" w:pos="567"/>
        </w:tabs>
        <w:spacing w:before="40" w:after="20"/>
        <w:rPr>
          <w:strike/>
          <w:spacing w:val="-2"/>
        </w:rPr>
      </w:pPr>
    </w:p>
    <w:p w14:paraId="568E94A7" w14:textId="77777777" w:rsidR="00E02FDB" w:rsidRDefault="00E02FDB">
      <w:pPr>
        <w:tabs>
          <w:tab w:val="left" w:pos="0"/>
          <w:tab w:val="left" w:pos="567"/>
        </w:tabs>
        <w:spacing w:before="40" w:after="20"/>
        <w:rPr>
          <w:strike/>
          <w:spacing w:val="-2"/>
        </w:rPr>
      </w:pPr>
    </w:p>
    <w:p w14:paraId="36E9BE82" w14:textId="77777777" w:rsidR="00E02FDB" w:rsidRDefault="00E02FDB">
      <w:pPr>
        <w:tabs>
          <w:tab w:val="left" w:pos="0"/>
          <w:tab w:val="left" w:pos="567"/>
        </w:tabs>
        <w:spacing w:before="40" w:after="20"/>
        <w:rPr>
          <w:strike/>
          <w:spacing w:val="-2"/>
        </w:rPr>
      </w:pPr>
    </w:p>
    <w:p w14:paraId="403E5406" w14:textId="77777777" w:rsidR="00E02FDB" w:rsidRDefault="00E02FDB">
      <w:pPr>
        <w:tabs>
          <w:tab w:val="left" w:pos="0"/>
          <w:tab w:val="left" w:pos="567"/>
        </w:tabs>
        <w:spacing w:before="40" w:after="20"/>
        <w:rPr>
          <w:strike/>
          <w:spacing w:val="-2"/>
        </w:rPr>
      </w:pPr>
    </w:p>
    <w:p w14:paraId="322A3901" w14:textId="77777777" w:rsidR="00E02FDB" w:rsidRDefault="00E02FDB">
      <w:pPr>
        <w:tabs>
          <w:tab w:val="left" w:pos="0"/>
          <w:tab w:val="left" w:pos="567"/>
        </w:tabs>
        <w:spacing w:before="40" w:after="20"/>
        <w:rPr>
          <w:strike/>
          <w:spacing w:val="-2"/>
        </w:rPr>
      </w:pPr>
    </w:p>
    <w:p w14:paraId="18D9B880" w14:textId="77777777" w:rsidR="00E02FDB" w:rsidRDefault="00E02FDB">
      <w:pPr>
        <w:tabs>
          <w:tab w:val="left" w:pos="0"/>
          <w:tab w:val="left" w:pos="567"/>
        </w:tabs>
        <w:spacing w:before="40" w:after="20"/>
        <w:rPr>
          <w:strike/>
          <w:spacing w:val="-2"/>
        </w:rPr>
      </w:pPr>
    </w:p>
    <w:p w14:paraId="7387D7DF" w14:textId="77777777" w:rsidR="00E02FDB" w:rsidRDefault="00E02FDB">
      <w:pPr>
        <w:tabs>
          <w:tab w:val="left" w:pos="0"/>
          <w:tab w:val="left" w:pos="567"/>
        </w:tabs>
        <w:spacing w:before="40" w:after="20"/>
        <w:rPr>
          <w:strike/>
          <w:spacing w:val="-2"/>
        </w:rPr>
      </w:pPr>
    </w:p>
    <w:p w14:paraId="3D7169E4" w14:textId="77777777" w:rsidR="00E02FDB" w:rsidRDefault="00E02FDB">
      <w:pPr>
        <w:tabs>
          <w:tab w:val="left" w:pos="0"/>
          <w:tab w:val="left" w:pos="567"/>
        </w:tabs>
        <w:spacing w:before="40" w:after="20"/>
        <w:rPr>
          <w:strike/>
          <w:spacing w:val="-2"/>
        </w:rPr>
      </w:pPr>
    </w:p>
    <w:p w14:paraId="42F82E9D" w14:textId="77777777" w:rsidR="00E02FDB" w:rsidRDefault="00E02FDB">
      <w:pPr>
        <w:tabs>
          <w:tab w:val="left" w:pos="0"/>
          <w:tab w:val="left" w:pos="567"/>
        </w:tabs>
        <w:spacing w:before="40" w:after="20"/>
        <w:rPr>
          <w:strike/>
          <w:spacing w:val="-2"/>
        </w:rPr>
      </w:pPr>
    </w:p>
    <w:p w14:paraId="46210E42" w14:textId="77777777" w:rsidR="00E02FDB" w:rsidRDefault="00E02FDB">
      <w:pPr>
        <w:tabs>
          <w:tab w:val="left" w:pos="0"/>
          <w:tab w:val="left" w:pos="567"/>
        </w:tabs>
        <w:spacing w:before="40" w:after="20"/>
        <w:rPr>
          <w:strike/>
          <w:spacing w:val="-2"/>
        </w:rPr>
      </w:pPr>
    </w:p>
    <w:p w14:paraId="7D2CCFEA" w14:textId="77777777" w:rsidR="00E02FDB" w:rsidRDefault="00E02FDB">
      <w:pPr>
        <w:tabs>
          <w:tab w:val="left" w:pos="0"/>
          <w:tab w:val="left" w:pos="567"/>
        </w:tabs>
        <w:spacing w:before="40" w:after="20"/>
        <w:rPr>
          <w:strike/>
          <w:spacing w:val="-2"/>
        </w:rPr>
      </w:pPr>
    </w:p>
    <w:p w14:paraId="3B315153" w14:textId="77777777" w:rsidR="00E02FDB" w:rsidRDefault="00E02FDB">
      <w:pPr>
        <w:tabs>
          <w:tab w:val="left" w:pos="0"/>
          <w:tab w:val="left" w:pos="567"/>
        </w:tabs>
        <w:spacing w:before="40" w:after="20"/>
        <w:rPr>
          <w:strike/>
          <w:spacing w:val="-2"/>
        </w:rPr>
      </w:pPr>
    </w:p>
    <w:p w14:paraId="6E09A6A8" w14:textId="77777777" w:rsidR="00E02FDB" w:rsidRDefault="00E02FDB">
      <w:pPr>
        <w:tabs>
          <w:tab w:val="left" w:pos="0"/>
          <w:tab w:val="left" w:pos="567"/>
        </w:tabs>
        <w:spacing w:before="40" w:after="20"/>
        <w:rPr>
          <w:strike/>
          <w:spacing w:val="-2"/>
        </w:rPr>
      </w:pPr>
    </w:p>
    <w:p w14:paraId="034B5C24" w14:textId="77777777" w:rsidR="00E02FDB" w:rsidRDefault="00E02FDB">
      <w:pPr>
        <w:tabs>
          <w:tab w:val="left" w:pos="0"/>
          <w:tab w:val="left" w:pos="567"/>
        </w:tabs>
        <w:spacing w:before="40" w:after="20"/>
        <w:rPr>
          <w:strike/>
          <w:spacing w:val="-2"/>
        </w:rPr>
      </w:pPr>
    </w:p>
    <w:p w14:paraId="7D1A9423" w14:textId="77777777" w:rsidR="00E02FDB" w:rsidRDefault="00E02FDB">
      <w:pPr>
        <w:tabs>
          <w:tab w:val="left" w:pos="0"/>
          <w:tab w:val="left" w:pos="567"/>
        </w:tabs>
        <w:spacing w:before="40" w:after="20"/>
        <w:rPr>
          <w:strike/>
          <w:spacing w:val="-2"/>
        </w:rPr>
      </w:pPr>
    </w:p>
    <w:p w14:paraId="7FB1F25B" w14:textId="77777777" w:rsidR="00E02FDB" w:rsidRPr="00112C2F" w:rsidRDefault="00E02FDB">
      <w:pPr>
        <w:tabs>
          <w:tab w:val="left" w:pos="0"/>
          <w:tab w:val="left" w:pos="567"/>
        </w:tabs>
        <w:spacing w:before="40" w:after="20"/>
        <w:rPr>
          <w:spacing w:val="-2"/>
        </w:rPr>
      </w:pPr>
    </w:p>
    <w:p w14:paraId="0FF968AF" w14:textId="77777777" w:rsidR="00112C2F" w:rsidRDefault="00112C2F">
      <w:pPr>
        <w:tabs>
          <w:tab w:val="left" w:pos="0"/>
          <w:tab w:val="left" w:pos="567"/>
        </w:tabs>
        <w:spacing w:before="40" w:after="20"/>
        <w:rPr>
          <w:spacing w:val="-2"/>
        </w:rPr>
      </w:pPr>
      <w:r w:rsidRPr="00112C2F">
        <w:rPr>
          <w:spacing w:val="-2"/>
        </w:rPr>
        <w:t xml:space="preserve">Corte IDH. Cas Pacheco León y otros Vs. </w:t>
      </w:r>
      <w:r>
        <w:rPr>
          <w:spacing w:val="-2"/>
        </w:rPr>
        <w:t>Honduras. Fondo, Reparaciones y Costas. Sentencia de 15 de noviembre de 2017.</w:t>
      </w:r>
    </w:p>
    <w:p w14:paraId="04E17B0D" w14:textId="77777777" w:rsidR="00112C2F" w:rsidRDefault="00112C2F">
      <w:pPr>
        <w:tabs>
          <w:tab w:val="left" w:pos="0"/>
          <w:tab w:val="left" w:pos="567"/>
        </w:tabs>
        <w:spacing w:before="40" w:after="20"/>
        <w:rPr>
          <w:spacing w:val="-2"/>
        </w:rPr>
      </w:pPr>
    </w:p>
    <w:p w14:paraId="037DB736" w14:textId="77777777" w:rsidR="00112C2F" w:rsidRDefault="00112C2F" w:rsidP="00112C2F">
      <w:pPr>
        <w:jc w:val="center"/>
        <w:rPr>
          <w:lang w:val="es-ES"/>
        </w:rPr>
      </w:pPr>
    </w:p>
    <w:p w14:paraId="1D62D6C6" w14:textId="77777777" w:rsidR="00112C2F" w:rsidRDefault="00112C2F" w:rsidP="00112C2F">
      <w:pPr>
        <w:jc w:val="center"/>
        <w:rPr>
          <w:lang w:val="es-ES"/>
        </w:rPr>
      </w:pPr>
    </w:p>
    <w:p w14:paraId="73D63754" w14:textId="77777777" w:rsidR="00112C2F" w:rsidRDefault="00112C2F" w:rsidP="00112C2F">
      <w:pPr>
        <w:jc w:val="center"/>
        <w:rPr>
          <w:lang w:val="es-ES"/>
        </w:rPr>
      </w:pPr>
    </w:p>
    <w:p w14:paraId="7C1583B4" w14:textId="77777777" w:rsidR="00112C2F" w:rsidRDefault="00112C2F" w:rsidP="00112C2F">
      <w:pPr>
        <w:jc w:val="center"/>
        <w:rPr>
          <w:lang w:val="es-ES"/>
        </w:rPr>
      </w:pPr>
    </w:p>
    <w:p w14:paraId="08EA3DC8" w14:textId="77777777" w:rsidR="00112C2F" w:rsidRPr="004B7A1D" w:rsidRDefault="00112C2F" w:rsidP="00112C2F">
      <w:pPr>
        <w:jc w:val="center"/>
        <w:rPr>
          <w:lang w:val="es-ES"/>
        </w:rPr>
      </w:pPr>
      <w:r>
        <w:rPr>
          <w:lang w:val="es-ES"/>
        </w:rPr>
        <w:t>Roberto F. Caldas</w:t>
      </w:r>
    </w:p>
    <w:p w14:paraId="1D50C6C0" w14:textId="77777777" w:rsidR="00112C2F" w:rsidRPr="004B7A1D" w:rsidRDefault="00112C2F" w:rsidP="00112C2F">
      <w:pPr>
        <w:jc w:val="center"/>
        <w:rPr>
          <w:lang w:val="es-ES"/>
        </w:rPr>
      </w:pPr>
      <w:r w:rsidRPr="004B7A1D">
        <w:rPr>
          <w:lang w:val="es-ES"/>
        </w:rPr>
        <w:t xml:space="preserve">Presidente </w:t>
      </w:r>
    </w:p>
    <w:p w14:paraId="3EE563DB" w14:textId="77777777" w:rsidR="00112C2F" w:rsidRPr="004B7A1D" w:rsidRDefault="00112C2F" w:rsidP="00112C2F">
      <w:pPr>
        <w:rPr>
          <w:lang w:val="es-ES"/>
        </w:rPr>
      </w:pPr>
    </w:p>
    <w:p w14:paraId="01349391" w14:textId="77777777" w:rsidR="00112C2F" w:rsidRPr="004B7A1D" w:rsidRDefault="00112C2F" w:rsidP="00112C2F">
      <w:pPr>
        <w:tabs>
          <w:tab w:val="left" w:pos="1485"/>
        </w:tabs>
        <w:rPr>
          <w:lang w:val="es-ES"/>
        </w:rPr>
      </w:pPr>
      <w:r>
        <w:rPr>
          <w:lang w:val="es-ES"/>
        </w:rPr>
        <w:tab/>
      </w:r>
    </w:p>
    <w:p w14:paraId="590DCE55" w14:textId="77777777" w:rsidR="00112C2F" w:rsidRPr="004B7A1D" w:rsidRDefault="00112C2F" w:rsidP="00112C2F">
      <w:pPr>
        <w:rPr>
          <w:lang w:val="es-ES"/>
        </w:rPr>
      </w:pPr>
    </w:p>
    <w:p w14:paraId="01B1769D" w14:textId="77777777" w:rsidR="00112C2F" w:rsidRPr="004B7A1D" w:rsidRDefault="00112C2F" w:rsidP="00112C2F">
      <w:pPr>
        <w:rPr>
          <w:lang w:val="es-ES"/>
        </w:rPr>
      </w:pPr>
    </w:p>
    <w:p w14:paraId="10201AE9" w14:textId="77777777" w:rsidR="00112C2F" w:rsidRPr="004B7A1D" w:rsidRDefault="00112C2F" w:rsidP="00112C2F">
      <w:pPr>
        <w:rPr>
          <w:lang w:val="es-ES"/>
        </w:rPr>
      </w:pPr>
    </w:p>
    <w:p w14:paraId="3AB52720" w14:textId="6E11D71A" w:rsidR="00112C2F" w:rsidRPr="004B7A1D" w:rsidRDefault="00112C2F" w:rsidP="00112C2F">
      <w:pPr>
        <w:rPr>
          <w:lang w:val="es-ES"/>
        </w:rPr>
      </w:pPr>
      <w:r>
        <w:rPr>
          <w:lang w:val="es-ES"/>
        </w:rPr>
        <w:t>Eduardo Ferrer Mac-</w:t>
      </w:r>
      <w:proofErr w:type="spellStart"/>
      <w:r>
        <w:rPr>
          <w:lang w:val="es-ES"/>
        </w:rPr>
        <w:t>Gregor</w:t>
      </w:r>
      <w:proofErr w:type="spellEnd"/>
      <w:r>
        <w:rPr>
          <w:lang w:val="es-ES"/>
        </w:rPr>
        <w:t xml:space="preserve"> </w:t>
      </w:r>
      <w:proofErr w:type="spellStart"/>
      <w:r>
        <w:rPr>
          <w:lang w:val="es-ES"/>
        </w:rPr>
        <w:t>Poisot</w:t>
      </w:r>
      <w:proofErr w:type="spellEnd"/>
      <w:r w:rsidRPr="004B7A1D">
        <w:rPr>
          <w:lang w:val="es-ES"/>
        </w:rPr>
        <w:tab/>
      </w:r>
      <w:r w:rsidRPr="004B7A1D">
        <w:rPr>
          <w:lang w:val="es-ES"/>
        </w:rPr>
        <w:tab/>
      </w:r>
      <w:r w:rsidRPr="004B7A1D">
        <w:rPr>
          <w:lang w:val="es-ES"/>
        </w:rPr>
        <w:tab/>
      </w:r>
      <w:r w:rsidRPr="004B7A1D">
        <w:rPr>
          <w:lang w:val="es-ES"/>
        </w:rPr>
        <w:tab/>
      </w:r>
      <w:r w:rsidRPr="004B7A1D">
        <w:rPr>
          <w:lang w:val="es-ES"/>
        </w:rPr>
        <w:tab/>
      </w:r>
      <w:r>
        <w:rPr>
          <w:lang w:val="es-ES"/>
        </w:rPr>
        <w:t xml:space="preserve">                    Eduardo Vio Grossi</w:t>
      </w:r>
    </w:p>
    <w:p w14:paraId="52AAD63C" w14:textId="77777777" w:rsidR="00112C2F" w:rsidRPr="004B7A1D" w:rsidRDefault="00112C2F" w:rsidP="00112C2F">
      <w:pPr>
        <w:rPr>
          <w:lang w:val="es-ES"/>
        </w:rPr>
      </w:pPr>
    </w:p>
    <w:p w14:paraId="7EE98CF1" w14:textId="77777777" w:rsidR="00112C2F" w:rsidRPr="004B7A1D" w:rsidRDefault="00112C2F" w:rsidP="00112C2F">
      <w:pPr>
        <w:rPr>
          <w:lang w:val="es-ES"/>
        </w:rPr>
      </w:pPr>
    </w:p>
    <w:p w14:paraId="60D0EEE3" w14:textId="77777777" w:rsidR="00112C2F" w:rsidRPr="004B7A1D" w:rsidRDefault="00112C2F" w:rsidP="00112C2F">
      <w:pPr>
        <w:rPr>
          <w:lang w:val="es-ES"/>
        </w:rPr>
      </w:pPr>
    </w:p>
    <w:p w14:paraId="4A696589" w14:textId="77777777" w:rsidR="00112C2F" w:rsidRPr="004B7A1D" w:rsidRDefault="00112C2F" w:rsidP="00112C2F">
      <w:pPr>
        <w:rPr>
          <w:lang w:val="es-ES"/>
        </w:rPr>
      </w:pPr>
    </w:p>
    <w:p w14:paraId="48692843" w14:textId="77777777" w:rsidR="00112C2F" w:rsidRPr="004B7A1D" w:rsidRDefault="00112C2F" w:rsidP="00112C2F">
      <w:pPr>
        <w:rPr>
          <w:lang w:val="es-ES"/>
        </w:rPr>
      </w:pPr>
    </w:p>
    <w:p w14:paraId="053A76F9" w14:textId="3D75E1A1" w:rsidR="00112C2F" w:rsidRPr="004B7A1D" w:rsidRDefault="00112C2F" w:rsidP="00112C2F">
      <w:pPr>
        <w:rPr>
          <w:lang w:val="es-ES"/>
        </w:rPr>
      </w:pPr>
      <w:r>
        <w:rPr>
          <w:lang w:val="es-ES"/>
        </w:rPr>
        <w:t>Humberto A. Sierra Porto</w:t>
      </w:r>
      <w:r>
        <w:rPr>
          <w:lang w:val="es-ES"/>
        </w:rPr>
        <w:tab/>
      </w:r>
      <w:r>
        <w:rPr>
          <w:lang w:val="es-ES"/>
        </w:rPr>
        <w:tab/>
      </w:r>
      <w:r>
        <w:rPr>
          <w:lang w:val="es-ES"/>
        </w:rPr>
        <w:tab/>
      </w:r>
      <w:r>
        <w:rPr>
          <w:lang w:val="es-ES"/>
        </w:rPr>
        <w:tab/>
      </w:r>
      <w:r>
        <w:rPr>
          <w:lang w:val="es-ES"/>
        </w:rPr>
        <w:tab/>
        <w:t xml:space="preserve">                           Elizabeth Odio Benito</w:t>
      </w:r>
      <w:r w:rsidRPr="004B7A1D">
        <w:rPr>
          <w:lang w:val="es-ES"/>
        </w:rPr>
        <w:t xml:space="preserve"> </w:t>
      </w:r>
    </w:p>
    <w:p w14:paraId="2EF2DFC3" w14:textId="77777777" w:rsidR="00112C2F" w:rsidRPr="004B7A1D" w:rsidRDefault="00112C2F" w:rsidP="00112C2F">
      <w:pPr>
        <w:rPr>
          <w:lang w:val="es-ES"/>
        </w:rPr>
      </w:pPr>
    </w:p>
    <w:p w14:paraId="367F033F" w14:textId="77777777" w:rsidR="00112C2F" w:rsidRPr="004B7A1D" w:rsidRDefault="00112C2F" w:rsidP="00112C2F">
      <w:pPr>
        <w:rPr>
          <w:lang w:val="es-ES"/>
        </w:rPr>
      </w:pPr>
    </w:p>
    <w:p w14:paraId="41AC65B2" w14:textId="77777777" w:rsidR="00112C2F" w:rsidRPr="004B7A1D" w:rsidRDefault="00112C2F" w:rsidP="00112C2F">
      <w:pPr>
        <w:rPr>
          <w:lang w:val="es-ES"/>
        </w:rPr>
      </w:pPr>
    </w:p>
    <w:p w14:paraId="0DC64764" w14:textId="77777777" w:rsidR="00112C2F" w:rsidRPr="004B7A1D" w:rsidRDefault="00112C2F" w:rsidP="00112C2F">
      <w:pPr>
        <w:rPr>
          <w:lang w:val="es-ES"/>
        </w:rPr>
      </w:pPr>
    </w:p>
    <w:p w14:paraId="0AAD861F" w14:textId="77777777" w:rsidR="00112C2F" w:rsidRPr="004B7A1D" w:rsidRDefault="00112C2F" w:rsidP="00112C2F">
      <w:pPr>
        <w:rPr>
          <w:lang w:val="es-ES"/>
        </w:rPr>
      </w:pPr>
    </w:p>
    <w:p w14:paraId="3DFF0EFB" w14:textId="6E5DBE85" w:rsidR="00112C2F" w:rsidRPr="004B7A1D" w:rsidRDefault="00112C2F" w:rsidP="00112C2F">
      <w:pPr>
        <w:rPr>
          <w:lang w:val="es-ES"/>
        </w:rPr>
      </w:pPr>
      <w:r>
        <w:rPr>
          <w:lang w:val="es-ES"/>
        </w:rPr>
        <w:t xml:space="preserve">Eugenio Raúl </w:t>
      </w:r>
      <w:proofErr w:type="spellStart"/>
      <w:r>
        <w:rPr>
          <w:lang w:val="es-ES"/>
        </w:rPr>
        <w:t>Zaffaroni</w:t>
      </w:r>
      <w:proofErr w:type="spellEnd"/>
      <w:r w:rsidRPr="004B7A1D">
        <w:rPr>
          <w:lang w:val="es-ES"/>
        </w:rPr>
        <w:t xml:space="preserve"> </w:t>
      </w:r>
      <w:r>
        <w:rPr>
          <w:lang w:val="es-ES"/>
        </w:rPr>
        <w:tab/>
      </w:r>
      <w:r>
        <w:rPr>
          <w:lang w:val="es-ES"/>
        </w:rPr>
        <w:tab/>
      </w:r>
      <w:r>
        <w:rPr>
          <w:lang w:val="es-ES"/>
        </w:rPr>
        <w:tab/>
      </w:r>
      <w:r>
        <w:rPr>
          <w:lang w:val="es-ES"/>
        </w:rPr>
        <w:tab/>
      </w:r>
      <w:r>
        <w:rPr>
          <w:lang w:val="es-ES"/>
        </w:rPr>
        <w:tab/>
        <w:t xml:space="preserve">                     L. Patricio Pazmiño Freire</w:t>
      </w:r>
    </w:p>
    <w:p w14:paraId="7CEE841A" w14:textId="77777777" w:rsidR="00112C2F" w:rsidRPr="004B7A1D" w:rsidRDefault="00112C2F" w:rsidP="00112C2F">
      <w:pPr>
        <w:rPr>
          <w:lang w:val="es-ES"/>
        </w:rPr>
      </w:pPr>
    </w:p>
    <w:p w14:paraId="654EE03D" w14:textId="77777777" w:rsidR="00112C2F" w:rsidRPr="004B7A1D" w:rsidRDefault="00112C2F" w:rsidP="00112C2F">
      <w:pPr>
        <w:rPr>
          <w:lang w:val="es-ES"/>
        </w:rPr>
      </w:pPr>
    </w:p>
    <w:p w14:paraId="1DFD7BAC" w14:textId="77777777" w:rsidR="00112C2F" w:rsidRPr="004B7A1D" w:rsidRDefault="00112C2F" w:rsidP="00112C2F">
      <w:pPr>
        <w:rPr>
          <w:lang w:val="es-ES"/>
        </w:rPr>
      </w:pPr>
    </w:p>
    <w:p w14:paraId="207E4476" w14:textId="77777777" w:rsidR="00112C2F" w:rsidRPr="004B7A1D" w:rsidRDefault="00112C2F" w:rsidP="00112C2F">
      <w:pPr>
        <w:rPr>
          <w:lang w:val="es-CR"/>
        </w:rPr>
      </w:pPr>
    </w:p>
    <w:p w14:paraId="27152794" w14:textId="77777777" w:rsidR="00112C2F" w:rsidRPr="004B7A1D" w:rsidRDefault="00112C2F" w:rsidP="00112C2F">
      <w:pPr>
        <w:rPr>
          <w:lang w:val="es-ES"/>
        </w:rPr>
      </w:pPr>
    </w:p>
    <w:p w14:paraId="719C21E5" w14:textId="77777777" w:rsidR="00112C2F" w:rsidRPr="004B7A1D" w:rsidRDefault="00112C2F" w:rsidP="00112C2F">
      <w:pPr>
        <w:jc w:val="center"/>
        <w:rPr>
          <w:lang w:val="es-ES"/>
        </w:rPr>
      </w:pPr>
      <w:r w:rsidRPr="004B7A1D">
        <w:rPr>
          <w:lang w:val="es-ES"/>
        </w:rPr>
        <w:t>Pablo Saavedra Alessandri</w:t>
      </w:r>
    </w:p>
    <w:p w14:paraId="0DCD32D3" w14:textId="77777777" w:rsidR="00112C2F" w:rsidRPr="004B7A1D" w:rsidRDefault="00112C2F" w:rsidP="00112C2F">
      <w:pPr>
        <w:jc w:val="center"/>
        <w:rPr>
          <w:lang w:val="es-ES"/>
        </w:rPr>
      </w:pPr>
      <w:r w:rsidRPr="004B7A1D">
        <w:rPr>
          <w:lang w:val="es-ES"/>
        </w:rPr>
        <w:t>Secretario</w:t>
      </w:r>
    </w:p>
    <w:p w14:paraId="300D5348" w14:textId="77777777" w:rsidR="00112C2F" w:rsidRPr="004B7A1D" w:rsidRDefault="00112C2F" w:rsidP="00112C2F">
      <w:pPr>
        <w:pStyle w:val="FootnoteText"/>
        <w:rPr>
          <w:lang w:val="es-ES"/>
        </w:rPr>
      </w:pPr>
    </w:p>
    <w:p w14:paraId="0A40CAD9" w14:textId="77777777" w:rsidR="00112C2F" w:rsidRPr="004B7A1D" w:rsidRDefault="00112C2F" w:rsidP="00112C2F">
      <w:pPr>
        <w:pStyle w:val="FootnoteText"/>
        <w:rPr>
          <w:lang w:val="es-ES"/>
        </w:rPr>
      </w:pPr>
    </w:p>
    <w:p w14:paraId="72B2AA90" w14:textId="77777777" w:rsidR="00112C2F" w:rsidRPr="004B7A1D" w:rsidRDefault="00112C2F" w:rsidP="00112C2F">
      <w:pPr>
        <w:pStyle w:val="FootnoteText"/>
        <w:rPr>
          <w:lang w:val="es-ES"/>
        </w:rPr>
      </w:pPr>
    </w:p>
    <w:p w14:paraId="4B465E4F" w14:textId="77777777" w:rsidR="00112C2F" w:rsidRPr="004B7A1D" w:rsidRDefault="00112C2F" w:rsidP="00112C2F">
      <w:pPr>
        <w:pStyle w:val="FootnoteText"/>
        <w:rPr>
          <w:lang w:val="es-ES"/>
        </w:rPr>
      </w:pPr>
    </w:p>
    <w:p w14:paraId="659CCA3F" w14:textId="77777777" w:rsidR="00112C2F" w:rsidRPr="004B7A1D" w:rsidRDefault="00112C2F" w:rsidP="00112C2F">
      <w:pPr>
        <w:rPr>
          <w:lang w:val="es-ES"/>
        </w:rPr>
      </w:pPr>
      <w:r w:rsidRPr="004B7A1D">
        <w:rPr>
          <w:lang w:val="es-ES"/>
        </w:rPr>
        <w:t>Comuníquese y ejecútese,</w:t>
      </w:r>
    </w:p>
    <w:p w14:paraId="4B07D304" w14:textId="77777777" w:rsidR="00112C2F" w:rsidRPr="004B7A1D" w:rsidRDefault="00112C2F" w:rsidP="00112C2F">
      <w:pPr>
        <w:rPr>
          <w:lang w:val="es-ES"/>
        </w:rPr>
      </w:pPr>
    </w:p>
    <w:p w14:paraId="06370B29" w14:textId="77777777" w:rsidR="00112C2F" w:rsidRPr="004B7A1D" w:rsidRDefault="00112C2F" w:rsidP="00112C2F">
      <w:pPr>
        <w:rPr>
          <w:lang w:val="es-ES"/>
        </w:rPr>
      </w:pPr>
    </w:p>
    <w:p w14:paraId="08B3DB0C" w14:textId="77777777" w:rsidR="00112C2F" w:rsidRPr="004B7A1D" w:rsidRDefault="00112C2F" w:rsidP="00112C2F">
      <w:pPr>
        <w:rPr>
          <w:lang w:val="es-ES"/>
        </w:rPr>
      </w:pPr>
    </w:p>
    <w:p w14:paraId="76E702D8" w14:textId="77777777" w:rsidR="00112C2F" w:rsidRPr="004B7A1D" w:rsidRDefault="00112C2F" w:rsidP="00112C2F">
      <w:pPr>
        <w:rPr>
          <w:lang w:val="es-ES"/>
        </w:rPr>
      </w:pPr>
    </w:p>
    <w:p w14:paraId="17650E1C" w14:textId="77777777" w:rsidR="00112C2F" w:rsidRPr="004B7A1D" w:rsidRDefault="00112C2F" w:rsidP="00112C2F">
      <w:pPr>
        <w:ind w:left="4956" w:firstLine="708"/>
        <w:jc w:val="center"/>
        <w:rPr>
          <w:lang w:val="es-ES"/>
        </w:rPr>
      </w:pPr>
      <w:r>
        <w:rPr>
          <w:lang w:val="es-ES"/>
        </w:rPr>
        <w:t>Roberto F. Caldas</w:t>
      </w:r>
    </w:p>
    <w:p w14:paraId="1ADB0265" w14:textId="77777777" w:rsidR="00112C2F" w:rsidRPr="004B7A1D" w:rsidRDefault="00112C2F" w:rsidP="00112C2F">
      <w:pPr>
        <w:ind w:left="4956" w:firstLine="708"/>
        <w:jc w:val="center"/>
        <w:rPr>
          <w:lang w:val="es-ES"/>
        </w:rPr>
      </w:pPr>
      <w:r w:rsidRPr="004B7A1D">
        <w:rPr>
          <w:lang w:val="es-ES"/>
        </w:rPr>
        <w:t xml:space="preserve">Presidente </w:t>
      </w:r>
    </w:p>
    <w:p w14:paraId="5EF79556" w14:textId="77777777" w:rsidR="00112C2F" w:rsidRPr="004B7A1D" w:rsidRDefault="00112C2F" w:rsidP="00112C2F">
      <w:pPr>
        <w:rPr>
          <w:lang w:val="es-ES"/>
        </w:rPr>
      </w:pPr>
    </w:p>
    <w:p w14:paraId="5B28EA5E" w14:textId="77777777" w:rsidR="00112C2F" w:rsidRPr="004B7A1D" w:rsidRDefault="00112C2F" w:rsidP="00112C2F">
      <w:pPr>
        <w:rPr>
          <w:lang w:val="es-ES"/>
        </w:rPr>
      </w:pPr>
    </w:p>
    <w:p w14:paraId="4BB40817" w14:textId="77777777" w:rsidR="00112C2F" w:rsidRPr="004B7A1D" w:rsidRDefault="00112C2F" w:rsidP="00112C2F">
      <w:pPr>
        <w:rPr>
          <w:lang w:val="es-ES"/>
        </w:rPr>
      </w:pPr>
      <w:r w:rsidRPr="004B7A1D">
        <w:rPr>
          <w:lang w:val="es-ES"/>
        </w:rPr>
        <w:t>Pablo Saavedra Alessandri</w:t>
      </w:r>
    </w:p>
    <w:p w14:paraId="54A7426E" w14:textId="77777777" w:rsidR="00112C2F" w:rsidRPr="004B7A1D" w:rsidRDefault="00112C2F" w:rsidP="00112C2F">
      <w:pPr>
        <w:rPr>
          <w:lang w:val="es-CR"/>
        </w:rPr>
      </w:pPr>
      <w:r w:rsidRPr="004B7A1D">
        <w:rPr>
          <w:lang w:val="es-ES"/>
        </w:rPr>
        <w:tab/>
      </w:r>
      <w:r w:rsidRPr="004B7A1D">
        <w:rPr>
          <w:lang w:val="es-CR"/>
        </w:rPr>
        <w:t>Secretario</w:t>
      </w:r>
    </w:p>
    <w:p w14:paraId="2FAC5B44" w14:textId="77777777" w:rsidR="00112C2F" w:rsidRDefault="00112C2F" w:rsidP="00112C2F"/>
    <w:p w14:paraId="0236095D" w14:textId="77777777" w:rsidR="00112C2F" w:rsidRDefault="00112C2F" w:rsidP="00112C2F"/>
    <w:p w14:paraId="68AB968D" w14:textId="26681F19" w:rsidR="00E02FDB" w:rsidRPr="00112C2F" w:rsidRDefault="00E02FDB" w:rsidP="00112C2F">
      <w:pPr>
        <w:tabs>
          <w:tab w:val="left" w:pos="0"/>
          <w:tab w:val="left" w:pos="567"/>
        </w:tabs>
        <w:spacing w:before="40" w:after="20"/>
        <w:rPr>
          <w:spacing w:val="-2"/>
        </w:rPr>
      </w:pPr>
    </w:p>
    <w:sectPr w:rsidR="00E02FDB" w:rsidRPr="00112C2F" w:rsidSect="00F955F4">
      <w:headerReference w:type="default" r:id="rId9"/>
      <w:footerReference w:type="default" r:id="rId10"/>
      <w:headerReference w:type="first" r:id="rId11"/>
      <w:pgSz w:w="12240" w:h="15840"/>
      <w:pgMar w:top="1418" w:right="1247" w:bottom="1418" w:left="1247"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DDA52" w15:done="0"/>
  <w15:commentEx w15:paraId="1D3A2262" w15:done="0"/>
  <w15:commentEx w15:paraId="6B043C27" w15:done="0"/>
  <w15:commentEx w15:paraId="3C4A0387" w15:done="0"/>
  <w15:commentEx w15:paraId="0614CD07" w15:done="0"/>
  <w15:commentEx w15:paraId="2E54E4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5713F" w14:textId="77777777" w:rsidR="00FF4366" w:rsidRDefault="00FF4366" w:rsidP="003D717E">
      <w:r>
        <w:separator/>
      </w:r>
    </w:p>
  </w:endnote>
  <w:endnote w:type="continuationSeparator" w:id="0">
    <w:p w14:paraId="504D7CED" w14:textId="77777777" w:rsidR="00FF4366" w:rsidRDefault="00FF4366" w:rsidP="003D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Italic">
    <w:altName w:val="Arial Unicode MS"/>
    <w:charset w:val="00"/>
    <w:family w:val="auto"/>
    <w:pitch w:val="variable"/>
    <w:sig w:usb0="00000001" w:usb1="7800205A" w:usb2="14600000" w:usb3="00000000" w:csb0="00000193" w:csb1="00000000"/>
  </w:font>
  <w:font w:name="Arial,Italic">
    <w:panose1 w:val="00000000000000000000"/>
    <w:charset w:val="00"/>
    <w:family w:val="auto"/>
    <w:notTrueType/>
    <w:pitch w:val="default"/>
    <w:sig w:usb0="00000003" w:usb1="00000000" w:usb2="00000000" w:usb3="00000000" w:csb0="00000001" w:csb1="00000000"/>
  </w:font>
  <w:font w:name="Verdana-Italic">
    <w:charset w:val="00"/>
    <w:family w:val="auto"/>
    <w:pitch w:val="variable"/>
    <w:sig w:usb0="A10006FF" w:usb1="4000205B" w:usb2="0000001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F497" w14:textId="77777777" w:rsidR="00E02FDB" w:rsidRDefault="00E02FDB">
    <w:pPr>
      <w:pStyle w:val="Footer"/>
    </w:pPr>
  </w:p>
  <w:p w14:paraId="3A1311CF" w14:textId="77777777" w:rsidR="00E02FDB" w:rsidRDefault="00E02F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645AD" w14:textId="77777777" w:rsidR="00FF4366" w:rsidRDefault="00FF4366" w:rsidP="003D717E">
      <w:r>
        <w:separator/>
      </w:r>
    </w:p>
  </w:footnote>
  <w:footnote w:type="continuationSeparator" w:id="0">
    <w:p w14:paraId="3835E2E9" w14:textId="77777777" w:rsidR="00FF4366" w:rsidRDefault="00FF4366" w:rsidP="003D717E">
      <w:r>
        <w:continuationSeparator/>
      </w:r>
    </w:p>
  </w:footnote>
  <w:footnote w:id="1">
    <w:p w14:paraId="7072713B" w14:textId="483DE4BF" w:rsidR="00E02FDB" w:rsidRPr="000874BF" w:rsidRDefault="00E02FDB" w:rsidP="000874BF">
      <w:pPr>
        <w:rPr>
          <w:rFonts w:cs="Times New Roman"/>
          <w:b/>
          <w:sz w:val="16"/>
          <w:szCs w:val="16"/>
          <w:lang w:val="es-ES"/>
        </w:rPr>
      </w:pPr>
      <w:r>
        <w:rPr>
          <w:rStyle w:val="FootnoteReference"/>
        </w:rPr>
        <w:footnoteRef/>
      </w:r>
      <w:r>
        <w:t xml:space="preserve"> </w:t>
      </w:r>
      <w:r>
        <w:tab/>
      </w:r>
      <w:r w:rsidRPr="000874BF">
        <w:rPr>
          <w:rFonts w:cs="Times New Roman"/>
          <w:sz w:val="16"/>
          <w:szCs w:val="16"/>
          <w:lang w:val="es-ES"/>
        </w:rPr>
        <w:t>La Corte destaca que en ciertas legislaciones puede haber una distinción entre homicidio y asesinato. Asimismo, nota que en términos generales homicidio es un término genérico y asesinato puede responder a un tipo especial. Por otra parte, algunos documentos allegados a este Tribunal se refieren al “asesinato” u “homicidio” de Ángel Pacheco León, sin uniformidad en el término empleado. En razón de lo ante</w:t>
      </w:r>
      <w:r>
        <w:rPr>
          <w:rFonts w:cs="Times New Roman"/>
          <w:sz w:val="16"/>
          <w:szCs w:val="16"/>
          <w:lang w:val="es-ES"/>
        </w:rPr>
        <w:t>rior, a efectos de la presente S</w:t>
      </w:r>
      <w:r w:rsidRPr="000874BF">
        <w:rPr>
          <w:rFonts w:cs="Times New Roman"/>
          <w:sz w:val="16"/>
          <w:szCs w:val="16"/>
          <w:lang w:val="es-ES"/>
        </w:rPr>
        <w:t>entencia se utilizará el término “homicidio”, tomando en cuenta que se hace a efectos de indicar un aspecto fáctico del caso: la muerte del señor Pacheco causada por heridas provocadas por un arma de fuego accionada por otra persona. La utilización de esa palabra no debe entenderse como una posición de la Corte sobre el tipo penal que pudiera ser aplicable en relación con el hecho referido.</w:t>
      </w:r>
      <w:r w:rsidRPr="00665F21">
        <w:rPr>
          <w:rFonts w:cs="Times New Roman"/>
          <w:b/>
          <w:sz w:val="16"/>
          <w:szCs w:val="16"/>
          <w:lang w:val="es-ES"/>
        </w:rPr>
        <w:t xml:space="preserve">  </w:t>
      </w:r>
    </w:p>
  </w:footnote>
  <w:footnote w:id="2">
    <w:p w14:paraId="716EDD24" w14:textId="4D3F5035" w:rsidR="00E02FDB" w:rsidRPr="00EF4CED" w:rsidRDefault="00E02FDB" w:rsidP="00FB0007">
      <w:pPr>
        <w:pStyle w:val="FootnoteText"/>
        <w:rPr>
          <w:highlight w:val="yellow"/>
          <w:shd w:val="clear" w:color="auto" w:fill="FF0000"/>
        </w:rPr>
      </w:pPr>
      <w:r w:rsidRPr="00A862F3">
        <w:rPr>
          <w:rStyle w:val="FootnoteReference"/>
        </w:rPr>
        <w:footnoteRef/>
      </w:r>
      <w:r w:rsidRPr="00A862F3">
        <w:t xml:space="preserve"> </w:t>
      </w:r>
      <w:r>
        <w:tab/>
        <w:t>L</w:t>
      </w:r>
      <w:r w:rsidRPr="00A862F3">
        <w:t xml:space="preserve">as partes, en distintos documentos, señalan </w:t>
      </w:r>
      <w:r>
        <w:t xml:space="preserve">tanto </w:t>
      </w:r>
      <w:r w:rsidRPr="00A862F3">
        <w:t xml:space="preserve">el nombre de </w:t>
      </w:r>
      <w:proofErr w:type="spellStart"/>
      <w:r w:rsidRPr="00A862F3">
        <w:t>Jimy</w:t>
      </w:r>
      <w:proofErr w:type="spellEnd"/>
      <w:r>
        <w:t xml:space="preserve"> Javier</w:t>
      </w:r>
      <w:r w:rsidRPr="00A862F3">
        <w:t xml:space="preserve"> Pacheco</w:t>
      </w:r>
      <w:r>
        <w:t xml:space="preserve"> Ortiz </w:t>
      </w:r>
      <w:r w:rsidRPr="00A862F3">
        <w:t xml:space="preserve">como </w:t>
      </w:r>
      <w:r>
        <w:t xml:space="preserve">el de </w:t>
      </w:r>
      <w:r w:rsidRPr="00A862F3">
        <w:t>Jimmy Pacheco</w:t>
      </w:r>
      <w:r>
        <w:t>. P</w:t>
      </w:r>
      <w:r w:rsidRPr="00A862F3">
        <w:t xml:space="preserve">ara efectos de la presente </w:t>
      </w:r>
      <w:r>
        <w:t>S</w:t>
      </w:r>
      <w:r w:rsidRPr="00A862F3">
        <w:t xml:space="preserve">entencia, la Corte utilizara el nombre escrito como </w:t>
      </w:r>
      <w:proofErr w:type="spellStart"/>
      <w:r w:rsidRPr="00A862F3">
        <w:t>Jimy</w:t>
      </w:r>
      <w:proofErr w:type="spellEnd"/>
      <w:r w:rsidRPr="00A862F3">
        <w:t xml:space="preserve"> Pacheco conforme a lo que se advierte de </w:t>
      </w:r>
      <w:r w:rsidRPr="0056153D">
        <w:t>la</w:t>
      </w:r>
      <w:r>
        <w:t xml:space="preserve"> tarjeta de identidad. </w:t>
      </w:r>
    </w:p>
  </w:footnote>
  <w:footnote w:id="3">
    <w:p w14:paraId="748E3F73" w14:textId="776B6645" w:rsidR="00E02FDB" w:rsidRPr="00AD1B70" w:rsidRDefault="00E02FDB">
      <w:pPr>
        <w:pStyle w:val="FootnoteText"/>
        <w:rPr>
          <w:b/>
        </w:rPr>
      </w:pPr>
      <w:r w:rsidRPr="00394301">
        <w:rPr>
          <w:rStyle w:val="FootnoteReference"/>
        </w:rPr>
        <w:footnoteRef/>
      </w:r>
      <w:r w:rsidRPr="00394301">
        <w:t xml:space="preserve"> </w:t>
      </w:r>
      <w:r w:rsidRPr="00394301">
        <w:tab/>
      </w:r>
      <w:r w:rsidRPr="00E91526">
        <w:t xml:space="preserve">La Comisión Interamericana en su Informe de Fondo identifica a Miguel Ángel Pacheco y a Miguel Pacheco </w:t>
      </w:r>
      <w:proofErr w:type="spellStart"/>
      <w:r w:rsidRPr="00E91526">
        <w:t>Devicente</w:t>
      </w:r>
      <w:proofErr w:type="spellEnd"/>
      <w:r w:rsidRPr="00E91526">
        <w:t xml:space="preserve"> como dos personas distintas. No obstante, la Corte nota que los representantes</w:t>
      </w:r>
      <w:r>
        <w:t>,</w:t>
      </w:r>
      <w:r w:rsidRPr="00E91526">
        <w:t xml:space="preserve"> en su escrito de solicitudes y argumentos</w:t>
      </w:r>
      <w:r>
        <w:t>,</w:t>
      </w:r>
      <w:r w:rsidRPr="00E91526">
        <w:t xml:space="preserve"> al </w:t>
      </w:r>
      <w:r>
        <w:t>efectuar</w:t>
      </w:r>
      <w:r w:rsidRPr="00E91526">
        <w:t xml:space="preserve"> la “[i]</w:t>
      </w:r>
      <w:proofErr w:type="spellStart"/>
      <w:r w:rsidRPr="00E91526">
        <w:t>dentificación</w:t>
      </w:r>
      <w:proofErr w:type="spellEnd"/>
      <w:r w:rsidRPr="00E91526">
        <w:t xml:space="preserve"> de las víctimas”</w:t>
      </w:r>
      <w:r>
        <w:t>,</w:t>
      </w:r>
      <w:r w:rsidRPr="00E91526">
        <w:t xml:space="preserve"> y durante el trámite ante la Comisión menciona</w:t>
      </w:r>
      <w:r>
        <w:t>ron</w:t>
      </w:r>
      <w:r w:rsidRPr="00E91526">
        <w:t xml:space="preserve"> a </w:t>
      </w:r>
      <w:r>
        <w:t>seis</w:t>
      </w:r>
      <w:r w:rsidRPr="00E91526">
        <w:t xml:space="preserve"> hijos de Ángel Pacheco León</w:t>
      </w:r>
      <w:r>
        <w:t>,</w:t>
      </w:r>
      <w:r w:rsidRPr="00E91526">
        <w:t xml:space="preserve"> dentro de los cuales el nombre de Miguel Ángel Pacheco solamente aparece una vez, razón por la cual esta Corte entiende que corresponde a la misma persona.</w:t>
      </w:r>
      <w:r w:rsidRPr="004732B3">
        <w:rPr>
          <w:b/>
        </w:rPr>
        <w:t xml:space="preserve"> </w:t>
      </w:r>
    </w:p>
  </w:footnote>
  <w:footnote w:id="4">
    <w:p w14:paraId="45269FE5" w14:textId="5BBED619" w:rsidR="00E02FDB" w:rsidRPr="00FB0007" w:rsidRDefault="00E02FDB">
      <w:pPr>
        <w:pStyle w:val="FootnoteText"/>
      </w:pPr>
      <w:r>
        <w:rPr>
          <w:rStyle w:val="FootnoteReference"/>
        </w:rPr>
        <w:footnoteRef/>
      </w:r>
      <w:r>
        <w:t xml:space="preserve"> </w:t>
      </w:r>
      <w:r>
        <w:tab/>
      </w:r>
      <w:r w:rsidRPr="00C011CF">
        <w:rPr>
          <w:szCs w:val="20"/>
        </w:rPr>
        <w:t>La Comisión designó como delegados a la</w:t>
      </w:r>
      <w:r>
        <w:rPr>
          <w:szCs w:val="20"/>
        </w:rPr>
        <w:t xml:space="preserve"> </w:t>
      </w:r>
      <w:r w:rsidRPr="002913F6">
        <w:rPr>
          <w:szCs w:val="20"/>
        </w:rPr>
        <w:t>entonces</w:t>
      </w:r>
      <w:r w:rsidRPr="00C011CF">
        <w:rPr>
          <w:szCs w:val="20"/>
        </w:rPr>
        <w:t xml:space="preserve"> Comisionada Tracy Robinson, al </w:t>
      </w:r>
      <w:r>
        <w:rPr>
          <w:szCs w:val="20"/>
        </w:rPr>
        <w:t xml:space="preserve">entonces </w:t>
      </w:r>
      <w:r w:rsidRPr="00C011CF">
        <w:rPr>
          <w:szCs w:val="20"/>
        </w:rPr>
        <w:t xml:space="preserve">Secretario Ejecutivo Emilio Álvarez Icaza así como a las señoras Elizabeth </w:t>
      </w:r>
      <w:proofErr w:type="spellStart"/>
      <w:r w:rsidRPr="00C011CF">
        <w:rPr>
          <w:szCs w:val="20"/>
        </w:rPr>
        <w:t>Abi-Mershed</w:t>
      </w:r>
      <w:proofErr w:type="spellEnd"/>
      <w:r w:rsidRPr="00C011CF">
        <w:rPr>
          <w:szCs w:val="20"/>
        </w:rPr>
        <w:t xml:space="preserve">, Secretaria Ejecutiva Adjunta, </w:t>
      </w:r>
      <w:r>
        <w:rPr>
          <w:szCs w:val="20"/>
        </w:rPr>
        <w:t xml:space="preserve">y </w:t>
      </w:r>
      <w:r w:rsidRPr="00C011CF">
        <w:rPr>
          <w:szCs w:val="20"/>
        </w:rPr>
        <w:t>a la señora Silvia Serrano Guzmán y al señor Erick Acuña Pereda, como asesora y asesor legales</w:t>
      </w:r>
      <w:r w:rsidRPr="00C011CF">
        <w:rPr>
          <w:bCs/>
          <w:szCs w:val="20"/>
        </w:rPr>
        <w:t>.</w:t>
      </w:r>
      <w:r w:rsidRPr="00C011CF">
        <w:rPr>
          <w:b/>
          <w:bCs/>
          <w:szCs w:val="20"/>
        </w:rPr>
        <w:t xml:space="preserve"> </w:t>
      </w:r>
    </w:p>
  </w:footnote>
  <w:footnote w:id="5">
    <w:p w14:paraId="75D0EABB" w14:textId="5374E7E8" w:rsidR="00E02FDB" w:rsidRPr="0034037F" w:rsidRDefault="00E02FDB">
      <w:pPr>
        <w:pStyle w:val="FootnoteText"/>
      </w:pPr>
      <w:r w:rsidRPr="00AD1B70">
        <w:rPr>
          <w:rStyle w:val="FootnoteReference"/>
        </w:rPr>
        <w:footnoteRef/>
      </w:r>
      <w:r w:rsidRPr="00AD1B70">
        <w:t xml:space="preserve"> </w:t>
      </w:r>
      <w:r w:rsidRPr="00AD1B70">
        <w:tab/>
        <w:t xml:space="preserve">El 17 de febrero de 2016 el Estado designó al señor Abraham Alvarenga Urbina como Agente, y a los señores Jorge Abilio Serrano Villanueva y Roberto Ramos Bustos, como Agentes Alternos. </w:t>
      </w:r>
      <w:r w:rsidRPr="0034037F">
        <w:t>El 19 de febrero de 2016 el Estado designó además a la señora María Luisa Ramos como Agente Alterna.</w:t>
      </w:r>
    </w:p>
  </w:footnote>
  <w:footnote w:id="6">
    <w:p w14:paraId="6ACA0044" w14:textId="46F1860C" w:rsidR="00E02FDB" w:rsidRPr="00AD1B70" w:rsidRDefault="00E02FDB" w:rsidP="009F373C">
      <w:pPr>
        <w:pStyle w:val="FootnoteText"/>
        <w:rPr>
          <w:spacing w:val="-4"/>
        </w:rPr>
      </w:pPr>
      <w:r w:rsidRPr="00AD1B70">
        <w:rPr>
          <w:rStyle w:val="FootnoteReference"/>
          <w:spacing w:val="-4"/>
        </w:rPr>
        <w:footnoteRef/>
      </w:r>
      <w:r w:rsidRPr="00AD1B70">
        <w:rPr>
          <w:spacing w:val="-4"/>
        </w:rPr>
        <w:t xml:space="preserve"> </w:t>
      </w:r>
      <w:r w:rsidRPr="00AD1B70">
        <w:rPr>
          <w:spacing w:val="-4"/>
        </w:rPr>
        <w:tab/>
      </w:r>
      <w:r w:rsidRPr="00AD1B70">
        <w:rPr>
          <w:i/>
          <w:spacing w:val="-4"/>
        </w:rPr>
        <w:t>Cfr. Caso Pacheco Le</w:t>
      </w:r>
      <w:r w:rsidRPr="00AD1B70">
        <w:rPr>
          <w:rFonts w:cs="Calibri"/>
          <w:i/>
          <w:spacing w:val="-4"/>
        </w:rPr>
        <w:t>ó</w:t>
      </w:r>
      <w:r w:rsidRPr="00AD1B70">
        <w:rPr>
          <w:i/>
          <w:spacing w:val="-4"/>
        </w:rPr>
        <w:t xml:space="preserve">n Vs. Honduras. </w:t>
      </w:r>
      <w:r w:rsidRPr="00AD1B70">
        <w:rPr>
          <w:spacing w:val="-4"/>
        </w:rPr>
        <w:t>Resoluci</w:t>
      </w:r>
      <w:r w:rsidRPr="00AD1B70">
        <w:rPr>
          <w:rFonts w:cs="Calibri"/>
          <w:spacing w:val="-4"/>
        </w:rPr>
        <w:t>ó</w:t>
      </w:r>
      <w:r w:rsidRPr="00AD1B70">
        <w:rPr>
          <w:spacing w:val="-4"/>
        </w:rPr>
        <w:t>n del Presidente de la Corte de 15 de febrero de 2017. Disponible en: http://www.corteidh.or.cr/docs/asuntos/pacheco_15_02_17.pdf</w:t>
      </w:r>
    </w:p>
  </w:footnote>
  <w:footnote w:id="7">
    <w:p w14:paraId="6279261D" w14:textId="0A37C255" w:rsidR="00E02FDB" w:rsidRPr="00795D97" w:rsidRDefault="00E02FDB" w:rsidP="00C419B0">
      <w:pPr>
        <w:ind w:right="26"/>
        <w:rPr>
          <w:sz w:val="16"/>
          <w:szCs w:val="16"/>
          <w:lang w:val="es-CR"/>
        </w:rPr>
      </w:pPr>
      <w:r w:rsidRPr="00AD1B70">
        <w:rPr>
          <w:rStyle w:val="FootnoteReference"/>
          <w:rFonts w:eastAsiaTheme="majorEastAsia"/>
        </w:rPr>
        <w:footnoteRef/>
      </w:r>
      <w:r w:rsidRPr="00AD1B70">
        <w:rPr>
          <w:sz w:val="16"/>
          <w:szCs w:val="16"/>
          <w:vertAlign w:val="superscript"/>
        </w:rPr>
        <w:t xml:space="preserve"> </w:t>
      </w:r>
      <w:r w:rsidRPr="00AD1B70">
        <w:rPr>
          <w:sz w:val="16"/>
          <w:szCs w:val="16"/>
          <w:vertAlign w:val="superscript"/>
        </w:rPr>
        <w:tab/>
      </w:r>
      <w:r w:rsidRPr="00AD1B70">
        <w:rPr>
          <w:sz w:val="16"/>
          <w:szCs w:val="16"/>
        </w:rPr>
        <w:t>A esta audiencia comparecieron: a) por la Comisión Interamericana: James L</w:t>
      </w:r>
      <w:r>
        <w:rPr>
          <w:sz w:val="16"/>
          <w:szCs w:val="16"/>
        </w:rPr>
        <w:t>.</w:t>
      </w:r>
      <w:r w:rsidRPr="00AD1B70">
        <w:rPr>
          <w:sz w:val="16"/>
          <w:szCs w:val="16"/>
        </w:rPr>
        <w:t xml:space="preserve"> </w:t>
      </w:r>
      <w:proofErr w:type="spellStart"/>
      <w:r w:rsidRPr="00AD1B70">
        <w:rPr>
          <w:sz w:val="16"/>
          <w:szCs w:val="16"/>
        </w:rPr>
        <w:t>Cava</w:t>
      </w:r>
      <w:r>
        <w:rPr>
          <w:sz w:val="16"/>
          <w:szCs w:val="16"/>
        </w:rPr>
        <w:t>ll</w:t>
      </w:r>
      <w:r w:rsidRPr="00AD1B70">
        <w:rPr>
          <w:sz w:val="16"/>
          <w:szCs w:val="16"/>
        </w:rPr>
        <w:t>aro</w:t>
      </w:r>
      <w:proofErr w:type="spellEnd"/>
      <w:r w:rsidRPr="00AD1B70">
        <w:rPr>
          <w:sz w:val="16"/>
          <w:szCs w:val="16"/>
        </w:rPr>
        <w:t>, Comisionado y Jorge H.</w:t>
      </w:r>
      <w:r w:rsidRPr="00017C7B">
        <w:rPr>
          <w:sz w:val="16"/>
          <w:szCs w:val="16"/>
        </w:rPr>
        <w:t xml:space="preserve"> Meza, abogado de la Secretaría Ejecutiva de la </w:t>
      </w:r>
      <w:r w:rsidRPr="00DC04DA">
        <w:rPr>
          <w:sz w:val="16"/>
          <w:szCs w:val="16"/>
        </w:rPr>
        <w:t>Comisió</w:t>
      </w:r>
      <w:r>
        <w:rPr>
          <w:sz w:val="16"/>
          <w:szCs w:val="16"/>
        </w:rPr>
        <w:t>n; b) por los representantes</w:t>
      </w:r>
      <w:r w:rsidRPr="00DC04DA">
        <w:rPr>
          <w:sz w:val="16"/>
          <w:szCs w:val="16"/>
        </w:rPr>
        <w:t>:</w:t>
      </w:r>
      <w:r w:rsidRPr="00DC04DA">
        <w:rPr>
          <w:sz w:val="16"/>
          <w:szCs w:val="16"/>
          <w:lang w:val="es-CR"/>
        </w:rPr>
        <w:t xml:space="preserve"> Bertha Oliva de </w:t>
      </w:r>
      <w:proofErr w:type="spellStart"/>
      <w:r w:rsidRPr="00DC04DA">
        <w:rPr>
          <w:sz w:val="16"/>
          <w:szCs w:val="16"/>
          <w:lang w:val="es-CR"/>
        </w:rPr>
        <w:t>Nativí</w:t>
      </w:r>
      <w:proofErr w:type="spellEnd"/>
      <w:r w:rsidRPr="00DC04DA">
        <w:rPr>
          <w:sz w:val="16"/>
          <w:szCs w:val="16"/>
          <w:lang w:val="es-CR"/>
        </w:rPr>
        <w:t xml:space="preserve">, </w:t>
      </w:r>
      <w:proofErr w:type="spellStart"/>
      <w:r w:rsidRPr="00DC04DA">
        <w:rPr>
          <w:sz w:val="16"/>
          <w:szCs w:val="16"/>
          <w:lang w:val="es-CR"/>
        </w:rPr>
        <w:t>Meri</w:t>
      </w:r>
      <w:proofErr w:type="spellEnd"/>
      <w:r w:rsidRPr="00DC04DA">
        <w:rPr>
          <w:sz w:val="16"/>
          <w:szCs w:val="16"/>
          <w:lang w:val="es-CR"/>
        </w:rPr>
        <w:t xml:space="preserve"> </w:t>
      </w:r>
      <w:proofErr w:type="spellStart"/>
      <w:r w:rsidRPr="00DC04DA">
        <w:rPr>
          <w:sz w:val="16"/>
          <w:szCs w:val="16"/>
          <w:lang w:val="es-CR"/>
        </w:rPr>
        <w:t>Agurcia</w:t>
      </w:r>
      <w:proofErr w:type="spellEnd"/>
      <w:r w:rsidRPr="00DC04DA">
        <w:rPr>
          <w:sz w:val="16"/>
          <w:szCs w:val="16"/>
          <w:lang w:val="es-CR"/>
        </w:rPr>
        <w:t xml:space="preserve">, Liza </w:t>
      </w:r>
      <w:proofErr w:type="spellStart"/>
      <w:r w:rsidRPr="00DC04DA">
        <w:rPr>
          <w:sz w:val="16"/>
          <w:szCs w:val="16"/>
          <w:lang w:val="es-CR"/>
        </w:rPr>
        <w:t>Yelle</w:t>
      </w:r>
      <w:proofErr w:type="spellEnd"/>
      <w:r w:rsidRPr="00DC04DA">
        <w:rPr>
          <w:sz w:val="16"/>
          <w:szCs w:val="16"/>
          <w:lang w:val="es-CR"/>
        </w:rPr>
        <w:t xml:space="preserve">, Cinthia </w:t>
      </w:r>
      <w:proofErr w:type="spellStart"/>
      <w:r w:rsidRPr="00DC04DA">
        <w:rPr>
          <w:sz w:val="16"/>
          <w:szCs w:val="16"/>
          <w:lang w:val="es-CR"/>
        </w:rPr>
        <w:t>Turcios</w:t>
      </w:r>
      <w:proofErr w:type="spellEnd"/>
      <w:r w:rsidRPr="00DC04DA">
        <w:rPr>
          <w:sz w:val="16"/>
          <w:szCs w:val="16"/>
          <w:lang w:val="es-CR"/>
        </w:rPr>
        <w:t xml:space="preserve">, </w:t>
      </w:r>
      <w:r>
        <w:rPr>
          <w:sz w:val="16"/>
          <w:szCs w:val="16"/>
          <w:lang w:val="es-CR"/>
        </w:rPr>
        <w:t>L</w:t>
      </w:r>
      <w:r w:rsidRPr="00DC04DA">
        <w:rPr>
          <w:sz w:val="16"/>
          <w:szCs w:val="16"/>
          <w:lang w:val="es-CR"/>
        </w:rPr>
        <w:t xml:space="preserve">orena Rubí, Dora Oliva, </w:t>
      </w:r>
      <w:proofErr w:type="spellStart"/>
      <w:r w:rsidRPr="00DC04DA">
        <w:rPr>
          <w:sz w:val="16"/>
          <w:szCs w:val="16"/>
          <w:lang w:val="es-CR"/>
        </w:rPr>
        <w:t>Karol</w:t>
      </w:r>
      <w:proofErr w:type="spellEnd"/>
      <w:r w:rsidRPr="00DC04DA">
        <w:rPr>
          <w:sz w:val="16"/>
          <w:szCs w:val="16"/>
          <w:lang w:val="es-CR"/>
        </w:rPr>
        <w:t xml:space="preserve"> Cárdenas, </w:t>
      </w:r>
      <w:r>
        <w:rPr>
          <w:sz w:val="16"/>
          <w:szCs w:val="16"/>
          <w:lang w:val="es-CR"/>
        </w:rPr>
        <w:t>T</w:t>
      </w:r>
      <w:r w:rsidRPr="00DC04DA">
        <w:rPr>
          <w:sz w:val="16"/>
          <w:szCs w:val="16"/>
          <w:lang w:val="es-CR"/>
        </w:rPr>
        <w:t xml:space="preserve">omas </w:t>
      </w:r>
      <w:proofErr w:type="spellStart"/>
      <w:r w:rsidRPr="00DC04DA">
        <w:rPr>
          <w:sz w:val="16"/>
          <w:szCs w:val="16"/>
          <w:lang w:val="es-CR"/>
        </w:rPr>
        <w:t>Nativí</w:t>
      </w:r>
      <w:proofErr w:type="spellEnd"/>
      <w:r>
        <w:rPr>
          <w:sz w:val="16"/>
          <w:szCs w:val="16"/>
          <w:lang w:val="es-CR"/>
        </w:rPr>
        <w:t>,</w:t>
      </w:r>
      <w:r w:rsidRPr="00DC04DA">
        <w:rPr>
          <w:sz w:val="16"/>
          <w:szCs w:val="16"/>
          <w:lang w:val="es-CR"/>
        </w:rPr>
        <w:t xml:space="preserve"> Marvin Palacios, Claudia Amaya, Lavinia </w:t>
      </w:r>
      <w:proofErr w:type="spellStart"/>
      <w:r w:rsidRPr="00DC04DA">
        <w:rPr>
          <w:sz w:val="16"/>
          <w:szCs w:val="16"/>
        </w:rPr>
        <w:t>Janneth</w:t>
      </w:r>
      <w:proofErr w:type="spellEnd"/>
      <w:r w:rsidRPr="00DC04DA">
        <w:rPr>
          <w:sz w:val="16"/>
          <w:szCs w:val="16"/>
        </w:rPr>
        <w:t xml:space="preserve"> Canales Torres, </w:t>
      </w:r>
      <w:r>
        <w:rPr>
          <w:sz w:val="16"/>
          <w:szCs w:val="16"/>
        </w:rPr>
        <w:t xml:space="preserve">por </w:t>
      </w:r>
      <w:r w:rsidRPr="00DC04DA">
        <w:rPr>
          <w:sz w:val="16"/>
          <w:szCs w:val="16"/>
        </w:rPr>
        <w:t>COFADEH, y las p</w:t>
      </w:r>
      <w:r>
        <w:rPr>
          <w:sz w:val="16"/>
          <w:szCs w:val="16"/>
        </w:rPr>
        <w:t>ersonas indicadas como víctimas</w:t>
      </w:r>
      <w:r w:rsidRPr="00DC04DA">
        <w:rPr>
          <w:sz w:val="16"/>
          <w:szCs w:val="16"/>
        </w:rPr>
        <w:t xml:space="preserve"> </w:t>
      </w:r>
      <w:r w:rsidRPr="00DC04DA">
        <w:rPr>
          <w:sz w:val="16"/>
          <w:szCs w:val="16"/>
          <w:lang w:val="es-CR"/>
        </w:rPr>
        <w:t xml:space="preserve">Elsa Yamileth </w:t>
      </w:r>
      <w:proofErr w:type="spellStart"/>
      <w:r w:rsidRPr="00DC04DA">
        <w:rPr>
          <w:sz w:val="16"/>
          <w:szCs w:val="16"/>
          <w:lang w:val="es-CR"/>
        </w:rPr>
        <w:t>Alm</w:t>
      </w:r>
      <w:r w:rsidRPr="00DC04DA">
        <w:rPr>
          <w:sz w:val="16"/>
          <w:szCs w:val="16"/>
        </w:rPr>
        <w:t>endare</w:t>
      </w:r>
      <w:r>
        <w:rPr>
          <w:sz w:val="16"/>
          <w:szCs w:val="16"/>
        </w:rPr>
        <w:t>z</w:t>
      </w:r>
      <w:proofErr w:type="spellEnd"/>
      <w:r w:rsidRPr="00DC04DA">
        <w:rPr>
          <w:sz w:val="16"/>
          <w:szCs w:val="16"/>
        </w:rPr>
        <w:t xml:space="preserve"> Pacheco</w:t>
      </w:r>
      <w:r>
        <w:rPr>
          <w:sz w:val="16"/>
          <w:szCs w:val="16"/>
        </w:rPr>
        <w:t>,</w:t>
      </w:r>
      <w:r w:rsidRPr="00DC04DA">
        <w:rPr>
          <w:sz w:val="16"/>
          <w:szCs w:val="16"/>
        </w:rPr>
        <w:t xml:space="preserve"> </w:t>
      </w:r>
      <w:proofErr w:type="spellStart"/>
      <w:r w:rsidRPr="00DC04DA">
        <w:rPr>
          <w:sz w:val="16"/>
          <w:szCs w:val="16"/>
        </w:rPr>
        <w:t>Marleny</w:t>
      </w:r>
      <w:proofErr w:type="spellEnd"/>
      <w:r>
        <w:rPr>
          <w:sz w:val="16"/>
          <w:szCs w:val="16"/>
        </w:rPr>
        <w:t xml:space="preserve"> Pacheco Posadas,</w:t>
      </w:r>
      <w:r w:rsidRPr="00DC04DA">
        <w:rPr>
          <w:sz w:val="16"/>
          <w:szCs w:val="16"/>
        </w:rPr>
        <w:t xml:space="preserve"> Andrea</w:t>
      </w:r>
      <w:r>
        <w:rPr>
          <w:sz w:val="16"/>
          <w:szCs w:val="16"/>
        </w:rPr>
        <w:t xml:space="preserve"> Pacheco López,</w:t>
      </w:r>
      <w:r w:rsidRPr="00DC04DA">
        <w:rPr>
          <w:sz w:val="16"/>
          <w:szCs w:val="16"/>
        </w:rPr>
        <w:t xml:space="preserve"> </w:t>
      </w:r>
      <w:r>
        <w:rPr>
          <w:sz w:val="16"/>
          <w:szCs w:val="16"/>
        </w:rPr>
        <w:t xml:space="preserve">Santos </w:t>
      </w:r>
      <w:r w:rsidRPr="00DC04DA">
        <w:rPr>
          <w:sz w:val="16"/>
          <w:szCs w:val="16"/>
          <w:lang w:val="es-CR"/>
        </w:rPr>
        <w:t>Norma</w:t>
      </w:r>
      <w:r>
        <w:rPr>
          <w:sz w:val="16"/>
          <w:szCs w:val="16"/>
          <w:lang w:val="es-CR"/>
        </w:rPr>
        <w:t xml:space="preserve"> Pacheco,</w:t>
      </w:r>
      <w:r w:rsidRPr="00DC04DA">
        <w:rPr>
          <w:sz w:val="16"/>
          <w:szCs w:val="16"/>
        </w:rPr>
        <w:t xml:space="preserve"> </w:t>
      </w:r>
      <w:r>
        <w:rPr>
          <w:sz w:val="16"/>
          <w:szCs w:val="16"/>
        </w:rPr>
        <w:t xml:space="preserve">María </w:t>
      </w:r>
      <w:r w:rsidRPr="00DC04DA">
        <w:rPr>
          <w:sz w:val="16"/>
          <w:szCs w:val="16"/>
          <w:lang w:val="es-CR"/>
        </w:rPr>
        <w:t>Regina</w:t>
      </w:r>
      <w:r>
        <w:rPr>
          <w:sz w:val="16"/>
          <w:szCs w:val="16"/>
          <w:lang w:val="es-CR"/>
        </w:rPr>
        <w:t xml:space="preserve"> Pacheco</w:t>
      </w:r>
      <w:r>
        <w:rPr>
          <w:sz w:val="16"/>
          <w:szCs w:val="16"/>
        </w:rPr>
        <w:t>,</w:t>
      </w:r>
      <w:r w:rsidRPr="00DC04DA">
        <w:rPr>
          <w:sz w:val="16"/>
          <w:szCs w:val="16"/>
        </w:rPr>
        <w:t xml:space="preserve"> </w:t>
      </w:r>
      <w:r w:rsidRPr="00DC04DA">
        <w:rPr>
          <w:sz w:val="16"/>
          <w:szCs w:val="16"/>
          <w:lang w:val="es-CR"/>
        </w:rPr>
        <w:t>Miguel Ángel</w:t>
      </w:r>
      <w:r>
        <w:rPr>
          <w:sz w:val="16"/>
          <w:szCs w:val="16"/>
          <w:lang w:val="es-CR"/>
        </w:rPr>
        <w:t xml:space="preserve"> Pacheco </w:t>
      </w:r>
      <w:proofErr w:type="spellStart"/>
      <w:r>
        <w:rPr>
          <w:sz w:val="16"/>
          <w:szCs w:val="16"/>
          <w:lang w:val="es-CR"/>
        </w:rPr>
        <w:t>Devicente</w:t>
      </w:r>
      <w:proofErr w:type="spellEnd"/>
      <w:r>
        <w:rPr>
          <w:sz w:val="16"/>
          <w:szCs w:val="16"/>
          <w:lang w:val="es-CR"/>
        </w:rPr>
        <w:t>,</w:t>
      </w:r>
      <w:r w:rsidRPr="00DC04DA">
        <w:rPr>
          <w:sz w:val="16"/>
          <w:szCs w:val="16"/>
        </w:rPr>
        <w:t xml:space="preserve"> </w:t>
      </w:r>
      <w:r w:rsidRPr="00DC04DA">
        <w:rPr>
          <w:sz w:val="16"/>
          <w:szCs w:val="16"/>
          <w:lang w:val="es-CR"/>
        </w:rPr>
        <w:t>Cinthia</w:t>
      </w:r>
      <w:r>
        <w:rPr>
          <w:sz w:val="16"/>
          <w:szCs w:val="16"/>
          <w:lang w:val="es-CR"/>
        </w:rPr>
        <w:t xml:space="preserve"> </w:t>
      </w:r>
      <w:proofErr w:type="spellStart"/>
      <w:r>
        <w:rPr>
          <w:sz w:val="16"/>
          <w:szCs w:val="16"/>
          <w:lang w:val="es-CR"/>
        </w:rPr>
        <w:t>Mirella</w:t>
      </w:r>
      <w:proofErr w:type="spellEnd"/>
      <w:r>
        <w:rPr>
          <w:sz w:val="16"/>
          <w:szCs w:val="16"/>
          <w:lang w:val="es-CR"/>
        </w:rPr>
        <w:t xml:space="preserve"> Pacheco </w:t>
      </w:r>
      <w:proofErr w:type="spellStart"/>
      <w:r>
        <w:rPr>
          <w:sz w:val="16"/>
          <w:szCs w:val="16"/>
          <w:lang w:val="es-CR"/>
        </w:rPr>
        <w:t>Devicente</w:t>
      </w:r>
      <w:proofErr w:type="spellEnd"/>
      <w:r>
        <w:rPr>
          <w:sz w:val="16"/>
          <w:szCs w:val="16"/>
          <w:lang w:val="es-CR"/>
        </w:rPr>
        <w:t>,</w:t>
      </w:r>
      <w:r w:rsidRPr="00DC04DA">
        <w:rPr>
          <w:sz w:val="16"/>
          <w:szCs w:val="16"/>
        </w:rPr>
        <w:t xml:space="preserve"> </w:t>
      </w:r>
      <w:r w:rsidRPr="00DC04DA">
        <w:rPr>
          <w:sz w:val="16"/>
          <w:szCs w:val="16"/>
          <w:lang w:val="es-CR"/>
        </w:rPr>
        <w:t>Tania M</w:t>
      </w:r>
      <w:proofErr w:type="spellStart"/>
      <w:r w:rsidRPr="00DC04DA">
        <w:rPr>
          <w:sz w:val="16"/>
          <w:szCs w:val="16"/>
        </w:rPr>
        <w:t>elissa</w:t>
      </w:r>
      <w:proofErr w:type="spellEnd"/>
      <w:r>
        <w:rPr>
          <w:sz w:val="16"/>
          <w:szCs w:val="16"/>
        </w:rPr>
        <w:t xml:space="preserve"> Pacheco López,</w:t>
      </w:r>
      <w:r w:rsidRPr="00DC04DA">
        <w:rPr>
          <w:sz w:val="16"/>
          <w:szCs w:val="16"/>
        </w:rPr>
        <w:t xml:space="preserve"> </w:t>
      </w:r>
      <w:proofErr w:type="spellStart"/>
      <w:r w:rsidRPr="00DC04DA">
        <w:rPr>
          <w:sz w:val="16"/>
          <w:szCs w:val="16"/>
          <w:lang w:val="es-CR"/>
        </w:rPr>
        <w:t>Ja</w:t>
      </w:r>
      <w:r>
        <w:rPr>
          <w:sz w:val="16"/>
          <w:szCs w:val="16"/>
          <w:lang w:val="es-CR"/>
        </w:rPr>
        <w:t>qu</w:t>
      </w:r>
      <w:r w:rsidRPr="00DC04DA">
        <w:rPr>
          <w:sz w:val="16"/>
          <w:szCs w:val="16"/>
        </w:rPr>
        <w:t>eline</w:t>
      </w:r>
      <w:proofErr w:type="spellEnd"/>
      <w:r>
        <w:rPr>
          <w:sz w:val="16"/>
          <w:szCs w:val="16"/>
        </w:rPr>
        <w:t xml:space="preserve"> L. </w:t>
      </w:r>
      <w:proofErr w:type="spellStart"/>
      <w:r>
        <w:rPr>
          <w:sz w:val="16"/>
          <w:szCs w:val="16"/>
        </w:rPr>
        <w:t>Almendarez</w:t>
      </w:r>
      <w:proofErr w:type="spellEnd"/>
      <w:r>
        <w:rPr>
          <w:sz w:val="16"/>
          <w:szCs w:val="16"/>
        </w:rPr>
        <w:t xml:space="preserve"> Pacheco</w:t>
      </w:r>
      <w:r w:rsidRPr="00DC04DA">
        <w:rPr>
          <w:sz w:val="16"/>
          <w:szCs w:val="16"/>
        </w:rPr>
        <w:t xml:space="preserve"> y </w:t>
      </w:r>
      <w:r w:rsidRPr="00DC04DA">
        <w:rPr>
          <w:sz w:val="16"/>
          <w:szCs w:val="16"/>
          <w:lang w:val="es-CR"/>
        </w:rPr>
        <w:t xml:space="preserve">Juan </w:t>
      </w:r>
      <w:r w:rsidRPr="00DC04DA">
        <w:rPr>
          <w:sz w:val="16"/>
          <w:szCs w:val="16"/>
        </w:rPr>
        <w:t>Carlos</w:t>
      </w:r>
      <w:r>
        <w:rPr>
          <w:sz w:val="16"/>
          <w:szCs w:val="16"/>
        </w:rPr>
        <w:t xml:space="preserve"> Pacheco </w:t>
      </w:r>
      <w:proofErr w:type="spellStart"/>
      <w:r>
        <w:rPr>
          <w:sz w:val="16"/>
          <w:szCs w:val="16"/>
        </w:rPr>
        <w:t>Euceda</w:t>
      </w:r>
      <w:proofErr w:type="spellEnd"/>
      <w:r>
        <w:rPr>
          <w:sz w:val="16"/>
          <w:szCs w:val="16"/>
        </w:rPr>
        <w:t xml:space="preserve">, </w:t>
      </w:r>
      <w:r w:rsidRPr="00DC04DA">
        <w:rPr>
          <w:sz w:val="16"/>
          <w:szCs w:val="16"/>
        </w:rPr>
        <w:t>así como Danilo Posada</w:t>
      </w:r>
      <w:r>
        <w:rPr>
          <w:sz w:val="16"/>
          <w:szCs w:val="16"/>
        </w:rPr>
        <w:t xml:space="preserve"> y</w:t>
      </w:r>
      <w:r w:rsidRPr="00DC04DA">
        <w:rPr>
          <w:sz w:val="16"/>
          <w:szCs w:val="16"/>
        </w:rPr>
        <w:t xml:space="preserve"> José </w:t>
      </w:r>
      <w:proofErr w:type="spellStart"/>
      <w:r w:rsidRPr="00DC04DA">
        <w:rPr>
          <w:sz w:val="16"/>
          <w:szCs w:val="16"/>
        </w:rPr>
        <w:t>Vigil</w:t>
      </w:r>
      <w:proofErr w:type="spellEnd"/>
      <w:r w:rsidRPr="00DC04DA">
        <w:rPr>
          <w:sz w:val="16"/>
          <w:szCs w:val="16"/>
          <w:lang w:val="es-CO"/>
        </w:rPr>
        <w:t>,</w:t>
      </w:r>
      <w:r w:rsidRPr="00DC04DA">
        <w:rPr>
          <w:sz w:val="16"/>
          <w:szCs w:val="16"/>
        </w:rPr>
        <w:t xml:space="preserve"> y c) por el Estado:</w:t>
      </w:r>
      <w:r w:rsidRPr="00DC04DA">
        <w:rPr>
          <w:sz w:val="16"/>
          <w:szCs w:val="16"/>
          <w:lang w:val="es-ES"/>
        </w:rPr>
        <w:t xml:space="preserve"> </w:t>
      </w:r>
      <w:r w:rsidRPr="00DC04DA">
        <w:rPr>
          <w:sz w:val="16"/>
          <w:szCs w:val="16"/>
          <w:lang w:val="es-CR"/>
        </w:rPr>
        <w:t xml:space="preserve">Ricardo Lara Watson, Sub-Procurador General de la República y Agente Alterno; Jacobo </w:t>
      </w:r>
      <w:proofErr w:type="spellStart"/>
      <w:r w:rsidRPr="00DC04DA">
        <w:rPr>
          <w:sz w:val="16"/>
          <w:szCs w:val="16"/>
          <w:lang w:val="es-CR"/>
        </w:rPr>
        <w:t>Cálix</w:t>
      </w:r>
      <w:proofErr w:type="spellEnd"/>
      <w:r w:rsidRPr="00DC04DA">
        <w:rPr>
          <w:sz w:val="16"/>
          <w:szCs w:val="16"/>
          <w:lang w:val="es-CR"/>
        </w:rPr>
        <w:t xml:space="preserve"> Hernández, Consultor Jurídico, Procuraduría General de la República, y Agente Alterno;</w:t>
      </w:r>
      <w:r w:rsidRPr="00DC04DA">
        <w:rPr>
          <w:sz w:val="16"/>
          <w:szCs w:val="16"/>
        </w:rPr>
        <w:t xml:space="preserve"> </w:t>
      </w:r>
      <w:r w:rsidRPr="00DC04DA">
        <w:rPr>
          <w:sz w:val="16"/>
          <w:szCs w:val="16"/>
          <w:lang w:val="es-CR"/>
        </w:rPr>
        <w:t>Roberto Ramos</w:t>
      </w:r>
      <w:r w:rsidRPr="00F14DA8">
        <w:rPr>
          <w:sz w:val="16"/>
          <w:szCs w:val="16"/>
          <w:lang w:val="es-CR"/>
        </w:rPr>
        <w:t xml:space="preserve"> Bustos, Director de la Unidad de Derechos Humanos, Corte Suprema de Justicia, y Agente Alterno;</w:t>
      </w:r>
      <w:r w:rsidRPr="00F14DA8">
        <w:rPr>
          <w:sz w:val="16"/>
          <w:szCs w:val="16"/>
        </w:rPr>
        <w:t xml:space="preserve"> </w:t>
      </w:r>
      <w:proofErr w:type="spellStart"/>
      <w:r w:rsidRPr="00F14DA8">
        <w:rPr>
          <w:sz w:val="16"/>
          <w:szCs w:val="16"/>
          <w:lang w:val="es-CR"/>
        </w:rPr>
        <w:t>Olbin</w:t>
      </w:r>
      <w:proofErr w:type="spellEnd"/>
      <w:r w:rsidRPr="00F14DA8">
        <w:rPr>
          <w:sz w:val="16"/>
          <w:szCs w:val="16"/>
          <w:lang w:val="es-CR"/>
        </w:rPr>
        <w:t xml:space="preserve"> Antonio Mejía Cambar, Oficial de Derechos Humanos de la Procuraduría General de la República, y</w:t>
      </w:r>
      <w:r w:rsidRPr="00F14DA8">
        <w:rPr>
          <w:sz w:val="16"/>
          <w:szCs w:val="16"/>
        </w:rPr>
        <w:t xml:space="preserve"> </w:t>
      </w:r>
      <w:r w:rsidRPr="00F14DA8">
        <w:rPr>
          <w:sz w:val="16"/>
          <w:szCs w:val="16"/>
          <w:lang w:val="es-CR"/>
        </w:rPr>
        <w:t>Luis Ovidio Chinchilla Fuentes, Oficial de Seguimiento y Convenios en Derechos Humanos de la Secretaría de Estado en los Despachos de Derechos Humanos, Justicia, Gobernación y Descentralización</w:t>
      </w:r>
      <w:r w:rsidRPr="00F14DA8">
        <w:rPr>
          <w:sz w:val="16"/>
          <w:szCs w:val="16"/>
        </w:rPr>
        <w:t>.</w:t>
      </w:r>
    </w:p>
  </w:footnote>
  <w:footnote w:id="8">
    <w:p w14:paraId="5CB818A6" w14:textId="1B8F23B3" w:rsidR="00E02FDB" w:rsidRPr="007B43FC" w:rsidRDefault="00E02FDB" w:rsidP="007B43FC">
      <w:pPr>
        <w:pStyle w:val="Footnotes"/>
      </w:pPr>
      <w:r w:rsidRPr="007B43FC">
        <w:rPr>
          <w:rStyle w:val="FootnoteReference"/>
        </w:rPr>
        <w:footnoteRef/>
      </w:r>
      <w:r>
        <w:t xml:space="preserve"> </w:t>
      </w:r>
      <w:r>
        <w:tab/>
      </w:r>
      <w:r w:rsidRPr="007B43FC">
        <w:t>Los objetos de estas declaraciones se encuentran establecidos en la Resoluci</w:t>
      </w:r>
      <w:r w:rsidRPr="007B43FC">
        <w:rPr>
          <w:rFonts w:eastAsia="Calibri" w:cs="Calibri"/>
        </w:rPr>
        <w:t>ó</w:t>
      </w:r>
      <w:r>
        <w:t>n de la Presidencia de 15 de febrero de 2</w:t>
      </w:r>
      <w:r w:rsidRPr="007B43FC">
        <w:t>017 (</w:t>
      </w:r>
      <w:r w:rsidRPr="007B43FC">
        <w:rPr>
          <w:i/>
        </w:rPr>
        <w:t>supra</w:t>
      </w:r>
      <w:r w:rsidRPr="007B43FC">
        <w:t xml:space="preserve"> </w:t>
      </w:r>
      <w:r>
        <w:t>párr. 8</w:t>
      </w:r>
      <w:r w:rsidRPr="007B43FC">
        <w:t xml:space="preserve">). </w:t>
      </w:r>
    </w:p>
  </w:footnote>
  <w:footnote w:id="9">
    <w:p w14:paraId="1D968AA6" w14:textId="5D5948E4" w:rsidR="00E02FDB" w:rsidRPr="007B43FC" w:rsidRDefault="00E02FDB" w:rsidP="007B43FC">
      <w:pPr>
        <w:pStyle w:val="Footnotes"/>
      </w:pPr>
      <w:r w:rsidRPr="007B43FC">
        <w:rPr>
          <w:rStyle w:val="FootnoteReference"/>
        </w:rPr>
        <w:footnoteRef/>
      </w:r>
      <w:r w:rsidRPr="007B43FC">
        <w:t xml:space="preserve"> </w:t>
      </w:r>
      <w:r>
        <w:tab/>
      </w:r>
      <w:r w:rsidRPr="007B43FC">
        <w:rPr>
          <w:i/>
        </w:rPr>
        <w:t>Cfr.</w:t>
      </w:r>
      <w:r w:rsidRPr="007B43FC">
        <w:t xml:space="preserve"> </w:t>
      </w:r>
      <w:r w:rsidRPr="007B43FC">
        <w:rPr>
          <w:i/>
        </w:rPr>
        <w:t>Caso Vel</w:t>
      </w:r>
      <w:r w:rsidRPr="007B43FC">
        <w:rPr>
          <w:rFonts w:eastAsia="Calibri" w:cs="Calibri"/>
          <w:i/>
        </w:rPr>
        <w:t>á</w:t>
      </w:r>
      <w:r w:rsidRPr="007B43FC">
        <w:rPr>
          <w:i/>
        </w:rPr>
        <w:t>squez Rodr</w:t>
      </w:r>
      <w:r w:rsidRPr="007B43FC">
        <w:rPr>
          <w:rFonts w:eastAsia="Calibri" w:cs="Calibri"/>
          <w:i/>
        </w:rPr>
        <w:t>í</w:t>
      </w:r>
      <w:r w:rsidRPr="007B43FC">
        <w:rPr>
          <w:i/>
        </w:rPr>
        <w:t>guez Vs. Honduras. Fondo</w:t>
      </w:r>
      <w:r w:rsidRPr="00644806">
        <w:t xml:space="preserve">. Sentencia de 29 </w:t>
      </w:r>
      <w:r>
        <w:t>de julio de 1988. Serie C No. 4</w:t>
      </w:r>
      <w:r w:rsidRPr="007B43FC">
        <w:t>, p</w:t>
      </w:r>
      <w:r w:rsidRPr="007B43FC">
        <w:rPr>
          <w:rFonts w:eastAsia="Calibri" w:cs="Calibri"/>
        </w:rPr>
        <w:t>á</w:t>
      </w:r>
      <w:r w:rsidRPr="007B43FC">
        <w:t xml:space="preserve">rr. 140, y </w:t>
      </w:r>
      <w:r w:rsidRPr="007B43FC">
        <w:rPr>
          <w:bCs/>
          <w:i/>
          <w:lang w:val="es-CR"/>
        </w:rPr>
        <w:t xml:space="preserve">Caso </w:t>
      </w:r>
      <w:r w:rsidRPr="004732B3">
        <w:rPr>
          <w:rStyle w:val="Strong"/>
          <w:rFonts w:eastAsia="Calibri"/>
          <w:b w:val="0"/>
          <w:i/>
          <w:color w:val="000000"/>
          <w:shd w:val="clear" w:color="auto" w:fill="FFFFFF"/>
        </w:rPr>
        <w:t>Lagos del Campo Vs. Perú. Excepciones Preliminares, Fondo, Reparaciones y Costas</w:t>
      </w:r>
      <w:r w:rsidRPr="002448B6">
        <w:rPr>
          <w:rStyle w:val="Strong"/>
          <w:rFonts w:eastAsia="Calibri"/>
          <w:b w:val="0"/>
          <w:color w:val="000000"/>
          <w:shd w:val="clear" w:color="auto" w:fill="FFFFFF"/>
        </w:rPr>
        <w:t>. Sentencia de 31 de agosto de 2017. Serie C No. 340</w:t>
      </w:r>
      <w:r w:rsidRPr="007B43FC">
        <w:rPr>
          <w:bCs/>
          <w:lang w:val="es-CR"/>
        </w:rPr>
        <w:t>, p</w:t>
      </w:r>
      <w:r w:rsidRPr="007B43FC">
        <w:rPr>
          <w:rFonts w:eastAsia="Calibri" w:cs="Calibri"/>
          <w:bCs/>
          <w:lang w:val="es-CR"/>
        </w:rPr>
        <w:t>á</w:t>
      </w:r>
      <w:r w:rsidRPr="007B43FC">
        <w:rPr>
          <w:bCs/>
          <w:lang w:val="es-CR"/>
        </w:rPr>
        <w:t xml:space="preserve">rr. </w:t>
      </w:r>
      <w:r>
        <w:rPr>
          <w:bCs/>
          <w:lang w:val="es-CR"/>
        </w:rPr>
        <w:t>27</w:t>
      </w:r>
      <w:r w:rsidRPr="007B43FC">
        <w:rPr>
          <w:bCs/>
          <w:lang w:val="es-CR"/>
        </w:rPr>
        <w:t>.</w:t>
      </w:r>
    </w:p>
  </w:footnote>
  <w:footnote w:id="10">
    <w:p w14:paraId="3351BCD3" w14:textId="6F72EE60" w:rsidR="00E02FDB" w:rsidRPr="007B43FC" w:rsidRDefault="00E02FDB" w:rsidP="007B43FC">
      <w:pPr>
        <w:pStyle w:val="FootnoteText"/>
        <w:ind w:right="-144"/>
        <w:rPr>
          <w:i/>
          <w:spacing w:val="-4"/>
          <w:lang w:val="es-CR"/>
        </w:rPr>
      </w:pPr>
      <w:r w:rsidRPr="007B43FC">
        <w:rPr>
          <w:rStyle w:val="FootnoteReference"/>
          <w:spacing w:val="-4"/>
        </w:rPr>
        <w:footnoteRef/>
      </w:r>
      <w:r w:rsidRPr="007B43FC">
        <w:rPr>
          <w:spacing w:val="-4"/>
          <w:vertAlign w:val="superscript"/>
          <w:lang w:val="es-CR"/>
        </w:rPr>
        <w:t xml:space="preserve"> </w:t>
      </w:r>
      <w:r>
        <w:rPr>
          <w:spacing w:val="-4"/>
          <w:vertAlign w:val="superscript"/>
          <w:lang w:val="es-CR"/>
        </w:rPr>
        <w:tab/>
      </w:r>
      <w:r w:rsidRPr="007B43FC">
        <w:rPr>
          <w:i/>
          <w:spacing w:val="-4"/>
          <w:lang w:val="es-CR"/>
        </w:rPr>
        <w:t>Cfr</w:t>
      </w:r>
      <w:r w:rsidRPr="007B43FC">
        <w:rPr>
          <w:spacing w:val="-4"/>
          <w:lang w:val="es-CR"/>
        </w:rPr>
        <w:t xml:space="preserve">. </w:t>
      </w:r>
      <w:r w:rsidRPr="007B43FC">
        <w:rPr>
          <w:i/>
          <w:spacing w:val="-4"/>
          <w:lang w:val="es-CR"/>
        </w:rPr>
        <w:t>Caso de la “Panel Blanca” (Paniagua Morales y otros) Vs. Guatemala. Fondo.</w:t>
      </w:r>
      <w:r w:rsidRPr="007B43FC">
        <w:rPr>
          <w:spacing w:val="-4"/>
          <w:lang w:val="es-CR"/>
        </w:rPr>
        <w:t xml:space="preserve"> Sentencia de 8 de marzo de 1998. Serie C No. 37, p</w:t>
      </w:r>
      <w:r w:rsidRPr="007B43FC">
        <w:rPr>
          <w:rFonts w:cs="Calibri"/>
          <w:spacing w:val="-4"/>
          <w:lang w:val="es-CR"/>
        </w:rPr>
        <w:t>á</w:t>
      </w:r>
      <w:r w:rsidRPr="007B43FC">
        <w:rPr>
          <w:spacing w:val="-4"/>
          <w:lang w:val="es-CR"/>
        </w:rPr>
        <w:t xml:space="preserve">rr. 76, y </w:t>
      </w:r>
      <w:r w:rsidRPr="007B43FC">
        <w:rPr>
          <w:bCs/>
          <w:i/>
          <w:lang w:val="es-CR"/>
        </w:rPr>
        <w:t xml:space="preserve">Caso </w:t>
      </w:r>
      <w:r>
        <w:rPr>
          <w:rStyle w:val="Strong"/>
          <w:b w:val="0"/>
          <w:i/>
          <w:color w:val="000000"/>
          <w:shd w:val="clear" w:color="auto" w:fill="FFFFFF"/>
        </w:rPr>
        <w:t>Lagos del Campo Vs. Perú</w:t>
      </w:r>
      <w:r>
        <w:rPr>
          <w:i/>
          <w:spacing w:val="-4"/>
          <w:lang w:val="es-CR"/>
        </w:rPr>
        <w:t>,</w:t>
      </w:r>
      <w:r>
        <w:rPr>
          <w:spacing w:val="-4"/>
          <w:lang w:val="es-CR"/>
        </w:rPr>
        <w:t xml:space="preserve"> </w:t>
      </w:r>
      <w:r w:rsidRPr="007B43FC">
        <w:rPr>
          <w:spacing w:val="-4"/>
          <w:lang w:val="es-CR"/>
        </w:rPr>
        <w:t>p</w:t>
      </w:r>
      <w:r w:rsidRPr="007B43FC">
        <w:rPr>
          <w:rFonts w:cs="Calibri"/>
          <w:spacing w:val="-4"/>
          <w:lang w:val="es-CR"/>
        </w:rPr>
        <w:t>á</w:t>
      </w:r>
      <w:r w:rsidRPr="007B43FC">
        <w:rPr>
          <w:spacing w:val="-4"/>
          <w:lang w:val="es-CR"/>
        </w:rPr>
        <w:t xml:space="preserve">rr. </w:t>
      </w:r>
      <w:r>
        <w:rPr>
          <w:spacing w:val="-4"/>
          <w:lang w:val="es-CR"/>
        </w:rPr>
        <w:t>35</w:t>
      </w:r>
      <w:r w:rsidRPr="007B43FC">
        <w:rPr>
          <w:spacing w:val="-4"/>
          <w:lang w:val="es-CR"/>
        </w:rPr>
        <w:t>.</w:t>
      </w:r>
      <w:r>
        <w:rPr>
          <w:spacing w:val="-4"/>
          <w:lang w:val="es-CR"/>
        </w:rPr>
        <w:t xml:space="preserve"> </w:t>
      </w:r>
    </w:p>
  </w:footnote>
  <w:footnote w:id="11">
    <w:p w14:paraId="61C5BF2B" w14:textId="6DAD605E" w:rsidR="00E02FDB" w:rsidRPr="007B43FC" w:rsidRDefault="00E02FDB" w:rsidP="007B43FC">
      <w:pPr>
        <w:pStyle w:val="FootnoteText"/>
        <w:ind w:right="-144"/>
        <w:rPr>
          <w:lang w:val="es-CR"/>
        </w:rPr>
      </w:pPr>
      <w:r w:rsidRPr="007B43FC">
        <w:rPr>
          <w:rStyle w:val="FootnoteReference"/>
        </w:rPr>
        <w:footnoteRef/>
      </w:r>
      <w:r w:rsidRPr="007B43FC">
        <w:rPr>
          <w:vertAlign w:val="superscript"/>
          <w:lang w:val="es-CR"/>
        </w:rPr>
        <w:t xml:space="preserve"> </w:t>
      </w:r>
      <w:r>
        <w:rPr>
          <w:vertAlign w:val="superscript"/>
          <w:lang w:val="es-CR"/>
        </w:rPr>
        <w:tab/>
      </w:r>
      <w:r w:rsidRPr="007B43FC">
        <w:rPr>
          <w:i/>
          <w:lang w:val="es-CR"/>
        </w:rPr>
        <w:t>Cfr. Caso Loayza Tamayo Vs. Per</w:t>
      </w:r>
      <w:r w:rsidRPr="007B43FC">
        <w:rPr>
          <w:rFonts w:cs="Calibri"/>
          <w:i/>
          <w:lang w:val="es-CR"/>
        </w:rPr>
        <w:t>ú</w:t>
      </w:r>
      <w:r w:rsidRPr="007B43FC">
        <w:rPr>
          <w:i/>
          <w:lang w:val="es-CR"/>
        </w:rPr>
        <w:t xml:space="preserve">. Fondo. </w:t>
      </w:r>
      <w:r w:rsidRPr="007B43FC">
        <w:rPr>
          <w:lang w:val="es-CR"/>
        </w:rPr>
        <w:t>Sentencia de 17 de septiembre de 1997. Serie C No. 33, p</w:t>
      </w:r>
      <w:r w:rsidRPr="007B43FC">
        <w:rPr>
          <w:rFonts w:cs="Calibri"/>
          <w:lang w:val="es-CR"/>
        </w:rPr>
        <w:t>á</w:t>
      </w:r>
      <w:r w:rsidRPr="007B43FC">
        <w:rPr>
          <w:lang w:val="es-CR"/>
        </w:rPr>
        <w:t xml:space="preserve">rr. 43, y </w:t>
      </w:r>
      <w:r w:rsidRPr="007B43FC">
        <w:rPr>
          <w:bCs/>
          <w:i/>
          <w:lang w:val="es-CR"/>
        </w:rPr>
        <w:t xml:space="preserve">Caso </w:t>
      </w:r>
      <w:r>
        <w:rPr>
          <w:rStyle w:val="Strong"/>
          <w:b w:val="0"/>
          <w:i/>
          <w:color w:val="000000"/>
          <w:shd w:val="clear" w:color="auto" w:fill="FFFFFF"/>
        </w:rPr>
        <w:t>Lagos del Campo Vs. Perú</w:t>
      </w:r>
      <w:r>
        <w:rPr>
          <w:rStyle w:val="Strong"/>
          <w:b w:val="0"/>
          <w:color w:val="000000"/>
          <w:shd w:val="clear" w:color="auto" w:fill="FFFFFF"/>
        </w:rPr>
        <w:t xml:space="preserve">, </w:t>
      </w:r>
      <w:r w:rsidRPr="007B43FC">
        <w:rPr>
          <w:lang w:val="es-CR"/>
        </w:rPr>
        <w:t>p</w:t>
      </w:r>
      <w:r w:rsidRPr="007B43FC">
        <w:rPr>
          <w:rFonts w:cs="Calibri"/>
          <w:lang w:val="es-CR"/>
        </w:rPr>
        <w:t>á</w:t>
      </w:r>
      <w:r w:rsidRPr="007B43FC">
        <w:rPr>
          <w:lang w:val="es-CR"/>
        </w:rPr>
        <w:t xml:space="preserve">rr. </w:t>
      </w:r>
      <w:r>
        <w:rPr>
          <w:lang w:val="es-CR"/>
        </w:rPr>
        <w:t>34</w:t>
      </w:r>
      <w:r w:rsidRPr="007B43FC">
        <w:rPr>
          <w:lang w:val="es-CR"/>
        </w:rPr>
        <w:t>.</w:t>
      </w:r>
      <w:r>
        <w:rPr>
          <w:lang w:val="es-CR"/>
        </w:rPr>
        <w:t xml:space="preserve"> </w:t>
      </w:r>
    </w:p>
  </w:footnote>
  <w:footnote w:id="12">
    <w:p w14:paraId="78F6C364" w14:textId="71C721B8" w:rsidR="00E02FDB" w:rsidRDefault="00E02FDB" w:rsidP="00FE6554">
      <w:pPr>
        <w:pStyle w:val="FootnoteText"/>
        <w:rPr>
          <w:lang w:val="es-CR"/>
        </w:rPr>
      </w:pPr>
      <w:r>
        <w:rPr>
          <w:rStyle w:val="FootnoteReference"/>
        </w:rPr>
        <w:footnoteRef/>
      </w:r>
      <w:r>
        <w:t xml:space="preserve"> </w:t>
      </w:r>
      <w:r>
        <w:tab/>
      </w:r>
      <w:r>
        <w:rPr>
          <w:i/>
          <w:lang w:val="es-CR"/>
        </w:rPr>
        <w:t>Cfr.</w:t>
      </w:r>
      <w:r>
        <w:rPr>
          <w:lang w:val="es-CR"/>
        </w:rPr>
        <w:t xml:space="preserve">, en el mismo sentido, </w:t>
      </w:r>
      <w:r>
        <w:rPr>
          <w:i/>
          <w:lang w:val="es-CR"/>
        </w:rPr>
        <w:t>Caso Acosta y otros Vs. Nicaragua. Excepciones Preliminares, Fondo, Reparaciones y Costas.</w:t>
      </w:r>
      <w:r>
        <w:rPr>
          <w:lang w:val="es-CR"/>
        </w:rPr>
        <w:t xml:space="preserve"> Sentencia de 25 de marzo de 2017. Serie C No. 334, </w:t>
      </w:r>
      <w:proofErr w:type="spellStart"/>
      <w:r>
        <w:rPr>
          <w:lang w:val="es-CR"/>
        </w:rPr>
        <w:t>párrs</w:t>
      </w:r>
      <w:proofErr w:type="spellEnd"/>
      <w:r>
        <w:rPr>
          <w:lang w:val="es-CR"/>
        </w:rPr>
        <w:t xml:space="preserve">. 30 y 31. La excepción a este principio son los hechos que se califican como supervinientes o cuando se tenga conocimiento de esos hechos o acceso a las pruebas sobre los mismos con posterioridad, siempre que se encuentren ligados a los hechos del proceso. </w:t>
      </w:r>
      <w:r>
        <w:rPr>
          <w:i/>
          <w:lang w:val="es-CR"/>
        </w:rPr>
        <w:t>Cfr</w:t>
      </w:r>
      <w:r>
        <w:rPr>
          <w:lang w:val="es-CR"/>
        </w:rPr>
        <w:t xml:space="preserve">., asimismo, </w:t>
      </w:r>
      <w:r>
        <w:rPr>
          <w:i/>
          <w:iCs/>
        </w:rPr>
        <w:t xml:space="preserve">Caso Cinco Pensionistas Vs. Perú. Fondo, Reparaciones y Costas. </w:t>
      </w:r>
      <w:r>
        <w:t xml:space="preserve">Sentencia de 28 de febrero de 2003. Serie C No. 98, </w:t>
      </w:r>
      <w:r w:rsidRPr="004B326A">
        <w:t>párr.</w:t>
      </w:r>
      <w:r w:rsidRPr="00AD021A">
        <w:rPr>
          <w:highlight w:val="cyan"/>
          <w:lang w:val="es-CR"/>
        </w:rPr>
        <w:t xml:space="preserve"> </w:t>
      </w:r>
      <w:r>
        <w:rPr>
          <w:lang w:val="es-CR"/>
        </w:rPr>
        <w:t>154.</w:t>
      </w:r>
    </w:p>
  </w:footnote>
  <w:footnote w:id="13">
    <w:p w14:paraId="7214D61F" w14:textId="360E4C1A" w:rsidR="00E02FDB" w:rsidRPr="007B43FC" w:rsidRDefault="00E02FDB" w:rsidP="008A2AE0">
      <w:pPr>
        <w:pStyle w:val="FootnoteText"/>
      </w:pPr>
      <w:r w:rsidRPr="007B43FC">
        <w:rPr>
          <w:rStyle w:val="FootnoteReference"/>
        </w:rPr>
        <w:footnoteRef/>
      </w:r>
      <w:r w:rsidRPr="007B43FC">
        <w:t xml:space="preserve"> </w:t>
      </w:r>
      <w:r>
        <w:tab/>
      </w:r>
      <w:r>
        <w:rPr>
          <w:i/>
          <w:lang w:val="es-CR"/>
        </w:rPr>
        <w:t>Cfr</w:t>
      </w:r>
      <w:r w:rsidRPr="004732B3">
        <w:rPr>
          <w:lang w:val="es-CR"/>
        </w:rPr>
        <w:t>.</w:t>
      </w:r>
      <w:r>
        <w:rPr>
          <w:lang w:val="es-CR"/>
        </w:rPr>
        <w:t xml:space="preserve"> Certificación de Acta de Defunción</w:t>
      </w:r>
      <w:r w:rsidRPr="0015130A">
        <w:rPr>
          <w:rFonts w:cs="Arial"/>
        </w:rPr>
        <w:t xml:space="preserve"> </w:t>
      </w:r>
      <w:r w:rsidRPr="007B43FC">
        <w:rPr>
          <w:rFonts w:cs="Times New Roman"/>
          <w:color w:val="0F0F0F"/>
        </w:rPr>
        <w:t>(</w:t>
      </w:r>
      <w:r>
        <w:rPr>
          <w:rFonts w:cs="Times New Roman"/>
          <w:color w:val="0F0F0F"/>
        </w:rPr>
        <w:t>e</w:t>
      </w:r>
      <w:r w:rsidRPr="007B43FC">
        <w:rPr>
          <w:rFonts w:cs="Times New Roman"/>
          <w:color w:val="0F0F0F"/>
        </w:rPr>
        <w:t>x</w:t>
      </w:r>
      <w:r>
        <w:rPr>
          <w:rFonts w:cs="Times New Roman"/>
          <w:color w:val="0F0F0F"/>
        </w:rPr>
        <w:t>pediente de prueba, anexo 3 a la contestación</w:t>
      </w:r>
      <w:r w:rsidRPr="007B43FC">
        <w:rPr>
          <w:rFonts w:cs="Times New Roman"/>
          <w:color w:val="0F0F0F"/>
        </w:rPr>
        <w:t xml:space="preserve">, f. </w:t>
      </w:r>
      <w:r>
        <w:rPr>
          <w:rFonts w:cs="Times New Roman"/>
          <w:color w:val="0F0F0F"/>
        </w:rPr>
        <w:t>2660</w:t>
      </w:r>
      <w:r w:rsidRPr="007B43FC">
        <w:rPr>
          <w:rFonts w:cs="Times New Roman"/>
          <w:color w:val="0F0F0F"/>
        </w:rPr>
        <w:t>).</w:t>
      </w:r>
    </w:p>
  </w:footnote>
  <w:footnote w:id="14">
    <w:p w14:paraId="24676377" w14:textId="78A5ADEE" w:rsidR="00E02FDB" w:rsidRPr="007B43FC" w:rsidRDefault="00E02FDB" w:rsidP="008A2AE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 xml:space="preserve">      </w:t>
      </w:r>
      <w:r w:rsidRPr="007B43FC">
        <w:rPr>
          <w:rFonts w:cs="Arial"/>
          <w:i/>
          <w:sz w:val="16"/>
          <w:szCs w:val="16"/>
        </w:rPr>
        <w:t>Cfr</w:t>
      </w:r>
      <w:r w:rsidRPr="007B43FC">
        <w:rPr>
          <w:rFonts w:cs="Arial"/>
          <w:sz w:val="16"/>
          <w:szCs w:val="16"/>
        </w:rPr>
        <w:t xml:space="preserve">. </w:t>
      </w:r>
      <w:r>
        <w:rPr>
          <w:rFonts w:cs="Arial"/>
          <w:color w:val="000000"/>
          <w:sz w:val="16"/>
          <w:szCs w:val="16"/>
        </w:rPr>
        <w:t>Declaración</w:t>
      </w:r>
      <w:r w:rsidRPr="007B43FC">
        <w:rPr>
          <w:rFonts w:cs="Arial"/>
          <w:color w:val="000000"/>
          <w:sz w:val="16"/>
          <w:szCs w:val="16"/>
        </w:rPr>
        <w:t xml:space="preserve"> de Blanca Rosa Herrera Rodr</w:t>
      </w:r>
      <w:r>
        <w:rPr>
          <w:rFonts w:cs="Arial"/>
          <w:color w:val="000000"/>
          <w:sz w:val="16"/>
          <w:szCs w:val="16"/>
        </w:rPr>
        <w:t>íguez rendida ante COFADEH</w:t>
      </w:r>
      <w:r w:rsidRPr="007B43FC">
        <w:rPr>
          <w:rFonts w:cs="Arial"/>
          <w:color w:val="000000"/>
          <w:sz w:val="16"/>
          <w:szCs w:val="16"/>
        </w:rPr>
        <w:t xml:space="preserve"> de 20 de enero de 2016 </w:t>
      </w:r>
      <w:r w:rsidRPr="007B43FC">
        <w:rPr>
          <w:rFonts w:cs="Times New Roman"/>
          <w:color w:val="0F0F0F"/>
          <w:sz w:val="16"/>
          <w:szCs w:val="16"/>
        </w:rPr>
        <w:t>(</w:t>
      </w:r>
      <w:r>
        <w:rPr>
          <w:rFonts w:cs="Times New Roman"/>
          <w:color w:val="0F0F0F"/>
          <w:sz w:val="16"/>
          <w:szCs w:val="16"/>
        </w:rPr>
        <w:t>e</w:t>
      </w:r>
      <w:r w:rsidRPr="007B43FC">
        <w:rPr>
          <w:rFonts w:cs="Times New Roman"/>
          <w:color w:val="0F0F0F"/>
          <w:sz w:val="16"/>
          <w:szCs w:val="16"/>
        </w:rPr>
        <w:t xml:space="preserve">xpediente de prueba, anexo 10 al </w:t>
      </w:r>
      <w:r>
        <w:rPr>
          <w:rFonts w:cs="Times New Roman"/>
          <w:color w:val="0F0F0F"/>
          <w:sz w:val="16"/>
          <w:szCs w:val="16"/>
        </w:rPr>
        <w:t>e</w:t>
      </w:r>
      <w:r w:rsidRPr="007B43FC">
        <w:rPr>
          <w:rFonts w:cs="Times New Roman"/>
          <w:color w:val="0F0F0F"/>
          <w:sz w:val="16"/>
          <w:szCs w:val="16"/>
        </w:rPr>
        <w:t xml:space="preserve">scrito de </w:t>
      </w:r>
      <w:r>
        <w:rPr>
          <w:rFonts w:cs="Times New Roman"/>
          <w:color w:val="0F0F0F"/>
          <w:sz w:val="16"/>
          <w:szCs w:val="16"/>
        </w:rPr>
        <w:t>s</w:t>
      </w:r>
      <w:r w:rsidRPr="007B43FC">
        <w:rPr>
          <w:rFonts w:cs="Times New Roman"/>
          <w:color w:val="0F0F0F"/>
          <w:sz w:val="16"/>
          <w:szCs w:val="16"/>
        </w:rPr>
        <w:t>olicitudes</w:t>
      </w:r>
      <w:r>
        <w:rPr>
          <w:rFonts w:cs="Times New Roman"/>
          <w:color w:val="0F0F0F"/>
          <w:sz w:val="16"/>
          <w:szCs w:val="16"/>
        </w:rPr>
        <w:t xml:space="preserve"> y a</w:t>
      </w:r>
      <w:r w:rsidRPr="007B43FC">
        <w:rPr>
          <w:rFonts w:cs="Times New Roman"/>
          <w:color w:val="0F0F0F"/>
          <w:sz w:val="16"/>
          <w:szCs w:val="16"/>
        </w:rPr>
        <w:t>rgumentos, fs. 1599 a 1603</w:t>
      </w:r>
      <w:r>
        <w:rPr>
          <w:rFonts w:cs="Times New Roman"/>
          <w:color w:val="0F0F0F"/>
          <w:sz w:val="16"/>
          <w:szCs w:val="16"/>
        </w:rPr>
        <w:t>)</w:t>
      </w:r>
      <w:r w:rsidRPr="007B43FC">
        <w:rPr>
          <w:rFonts w:cs="Arial"/>
          <w:color w:val="000000"/>
          <w:sz w:val="16"/>
          <w:szCs w:val="16"/>
        </w:rPr>
        <w:t xml:space="preserve">. </w:t>
      </w:r>
      <w:r w:rsidRPr="007B43FC">
        <w:rPr>
          <w:sz w:val="16"/>
          <w:szCs w:val="16"/>
        </w:rPr>
        <w:t>Los representantes explicaron que fue en 1997 cuando el señor Pacheco se afilió al</w:t>
      </w:r>
      <w:r>
        <w:rPr>
          <w:sz w:val="16"/>
          <w:szCs w:val="16"/>
        </w:rPr>
        <w:t xml:space="preserve"> Partido Nacional de Honduras. </w:t>
      </w:r>
      <w:r w:rsidRPr="007B43FC">
        <w:rPr>
          <w:rFonts w:cs="Arial"/>
          <w:sz w:val="16"/>
          <w:szCs w:val="16"/>
        </w:rPr>
        <w:t>Era miembro activo en el movimiento de C</w:t>
      </w:r>
      <w:r w:rsidRPr="007B43FC">
        <w:rPr>
          <w:sz w:val="16"/>
          <w:szCs w:val="16"/>
        </w:rPr>
        <w:t>é</w:t>
      </w:r>
      <w:r w:rsidRPr="007B43FC">
        <w:rPr>
          <w:rFonts w:cs="Arial"/>
          <w:sz w:val="16"/>
          <w:szCs w:val="16"/>
        </w:rPr>
        <w:t>sar Castellanos quien asumi</w:t>
      </w:r>
      <w:r w:rsidRPr="007B43FC">
        <w:rPr>
          <w:sz w:val="16"/>
          <w:szCs w:val="16"/>
        </w:rPr>
        <w:t>ó</w:t>
      </w:r>
      <w:r w:rsidRPr="007B43FC">
        <w:rPr>
          <w:rFonts w:cs="Arial"/>
          <w:sz w:val="16"/>
          <w:szCs w:val="16"/>
        </w:rPr>
        <w:t xml:space="preserve"> el cargo de Alcalde de Tegucigalpa en enero de 1998. Cuando muri</w:t>
      </w:r>
      <w:r w:rsidRPr="007B43FC">
        <w:rPr>
          <w:sz w:val="16"/>
          <w:szCs w:val="16"/>
        </w:rPr>
        <w:t>ó</w:t>
      </w:r>
      <w:r w:rsidRPr="007B43FC">
        <w:rPr>
          <w:rFonts w:cs="Arial"/>
          <w:sz w:val="16"/>
          <w:szCs w:val="16"/>
        </w:rPr>
        <w:t xml:space="preserve"> C</w:t>
      </w:r>
      <w:r w:rsidRPr="007B43FC">
        <w:rPr>
          <w:sz w:val="16"/>
          <w:szCs w:val="16"/>
        </w:rPr>
        <w:t>é</w:t>
      </w:r>
      <w:r w:rsidRPr="007B43FC">
        <w:rPr>
          <w:rFonts w:cs="Arial"/>
          <w:sz w:val="16"/>
          <w:szCs w:val="16"/>
        </w:rPr>
        <w:t>sar Castellanos, el se</w:t>
      </w:r>
      <w:r w:rsidRPr="007B43FC">
        <w:rPr>
          <w:sz w:val="16"/>
          <w:szCs w:val="16"/>
        </w:rPr>
        <w:t>ñ</w:t>
      </w:r>
      <w:r w:rsidRPr="007B43FC">
        <w:rPr>
          <w:rFonts w:cs="Arial"/>
          <w:sz w:val="16"/>
          <w:szCs w:val="16"/>
        </w:rPr>
        <w:t>or Pacheco Le</w:t>
      </w:r>
      <w:r w:rsidRPr="007B43FC">
        <w:rPr>
          <w:sz w:val="16"/>
          <w:szCs w:val="16"/>
        </w:rPr>
        <w:t>ó</w:t>
      </w:r>
      <w:r w:rsidRPr="007B43FC">
        <w:rPr>
          <w:rFonts w:cs="Arial"/>
          <w:sz w:val="16"/>
          <w:szCs w:val="16"/>
        </w:rPr>
        <w:t>n se incorpor</w:t>
      </w:r>
      <w:r w:rsidRPr="007B43FC">
        <w:rPr>
          <w:sz w:val="16"/>
          <w:szCs w:val="16"/>
        </w:rPr>
        <w:t>ó</w:t>
      </w:r>
      <w:r w:rsidRPr="007B43FC">
        <w:rPr>
          <w:rFonts w:cs="Arial"/>
          <w:sz w:val="16"/>
          <w:szCs w:val="16"/>
        </w:rPr>
        <w:t xml:space="preserve"> al movimiento liderado por Ricardo Maduro. </w:t>
      </w:r>
    </w:p>
  </w:footnote>
  <w:footnote w:id="15">
    <w:p w14:paraId="2D5F9DFB" w14:textId="177E939E" w:rsidR="00E02FDB" w:rsidRPr="007B43FC" w:rsidRDefault="00E02FDB" w:rsidP="00AD1B7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ab/>
      </w:r>
      <w:r w:rsidRPr="007B43FC">
        <w:rPr>
          <w:rFonts w:cs="Arial"/>
          <w:sz w:val="16"/>
          <w:szCs w:val="16"/>
        </w:rPr>
        <w:t>En las elecciones inte</w:t>
      </w:r>
      <w:r>
        <w:rPr>
          <w:rFonts w:cs="Arial"/>
          <w:sz w:val="16"/>
          <w:szCs w:val="16"/>
        </w:rPr>
        <w:t>rnas de 17 de diciembre de 2000</w:t>
      </w:r>
      <w:r w:rsidRPr="007B43FC">
        <w:rPr>
          <w:rFonts w:cs="Arial"/>
          <w:sz w:val="16"/>
          <w:szCs w:val="16"/>
        </w:rPr>
        <w:t xml:space="preserve"> el se</w:t>
      </w:r>
      <w:r w:rsidRPr="007B43FC">
        <w:rPr>
          <w:sz w:val="16"/>
          <w:szCs w:val="16"/>
        </w:rPr>
        <w:t>ñ</w:t>
      </w:r>
      <w:r w:rsidRPr="007B43FC">
        <w:rPr>
          <w:rFonts w:cs="Arial"/>
          <w:sz w:val="16"/>
          <w:szCs w:val="16"/>
        </w:rPr>
        <w:t>or Pacheco Le</w:t>
      </w:r>
      <w:r w:rsidRPr="007B43FC">
        <w:rPr>
          <w:sz w:val="16"/>
          <w:szCs w:val="16"/>
        </w:rPr>
        <w:t>ó</w:t>
      </w:r>
      <w:r w:rsidRPr="007B43FC">
        <w:rPr>
          <w:rFonts w:cs="Arial"/>
          <w:sz w:val="16"/>
          <w:szCs w:val="16"/>
        </w:rPr>
        <w:t>n gan</w:t>
      </w:r>
      <w:r w:rsidRPr="007B43FC">
        <w:rPr>
          <w:sz w:val="16"/>
          <w:szCs w:val="16"/>
        </w:rPr>
        <w:t>ó</w:t>
      </w:r>
      <w:r w:rsidRPr="007B43FC">
        <w:rPr>
          <w:rFonts w:cs="Arial"/>
          <w:sz w:val="16"/>
          <w:szCs w:val="16"/>
        </w:rPr>
        <w:t xml:space="preserve"> la candidatura y RP fue su suplente.</w:t>
      </w:r>
      <w:r>
        <w:rPr>
          <w:rFonts w:cs="Arial"/>
          <w:sz w:val="16"/>
          <w:szCs w:val="16"/>
        </w:rPr>
        <w:t xml:space="preserve"> </w:t>
      </w:r>
      <w:r w:rsidRPr="007B43FC">
        <w:rPr>
          <w:rFonts w:cs="Arial"/>
          <w:i/>
          <w:sz w:val="16"/>
          <w:szCs w:val="16"/>
        </w:rPr>
        <w:t>Cfr.</w:t>
      </w:r>
      <w:r w:rsidRPr="007B43FC">
        <w:rPr>
          <w:rFonts w:cs="Arial"/>
          <w:sz w:val="16"/>
          <w:szCs w:val="16"/>
        </w:rPr>
        <w:t xml:space="preserve"> </w:t>
      </w:r>
      <w:proofErr w:type="spellStart"/>
      <w:r w:rsidRPr="007B43FC">
        <w:rPr>
          <w:rFonts w:cs="Arial"/>
          <w:color w:val="000000"/>
          <w:sz w:val="16"/>
          <w:szCs w:val="16"/>
        </w:rPr>
        <w:t>Secoff</w:t>
      </w:r>
      <w:proofErr w:type="spellEnd"/>
      <w:r w:rsidRPr="007B43FC">
        <w:rPr>
          <w:rFonts w:cs="Arial"/>
          <w:color w:val="000000"/>
          <w:sz w:val="16"/>
          <w:szCs w:val="16"/>
        </w:rPr>
        <w:t xml:space="preserve">, Mario. Libro </w:t>
      </w:r>
      <w:proofErr w:type="spellStart"/>
      <w:r w:rsidRPr="007B43FC">
        <w:rPr>
          <w:rFonts w:cs="Arial"/>
          <w:color w:val="000000"/>
          <w:sz w:val="16"/>
          <w:szCs w:val="16"/>
        </w:rPr>
        <w:t>Electronico</w:t>
      </w:r>
      <w:proofErr w:type="spellEnd"/>
      <w:r w:rsidRPr="007B43FC">
        <w:rPr>
          <w:rFonts w:cs="Arial"/>
          <w:color w:val="000000"/>
          <w:sz w:val="16"/>
          <w:szCs w:val="16"/>
        </w:rPr>
        <w:t xml:space="preserve">. </w:t>
      </w:r>
      <w:r>
        <w:rPr>
          <w:rFonts w:cs="Arial"/>
          <w:i/>
          <w:iCs/>
          <w:color w:val="000000"/>
          <w:sz w:val="16"/>
          <w:szCs w:val="16"/>
        </w:rPr>
        <w:t>Repú</w:t>
      </w:r>
      <w:r w:rsidRPr="007B43FC">
        <w:rPr>
          <w:rFonts w:cs="Arial"/>
          <w:i/>
          <w:iCs/>
          <w:color w:val="000000"/>
          <w:sz w:val="16"/>
          <w:szCs w:val="16"/>
        </w:rPr>
        <w:t xml:space="preserve">blica de Honduras: Candidatos electos 2002 </w:t>
      </w:r>
      <w:r w:rsidRPr="007B43FC">
        <w:rPr>
          <w:rFonts w:cs="Arial,Italic"/>
          <w:i/>
          <w:iCs/>
          <w:color w:val="000000"/>
          <w:sz w:val="16"/>
          <w:szCs w:val="16"/>
        </w:rPr>
        <w:t xml:space="preserve">– </w:t>
      </w:r>
      <w:r w:rsidRPr="007B43FC">
        <w:rPr>
          <w:rFonts w:cs="Arial"/>
          <w:i/>
          <w:iCs/>
          <w:color w:val="000000"/>
          <w:sz w:val="16"/>
          <w:szCs w:val="16"/>
        </w:rPr>
        <w:t>2006</w:t>
      </w:r>
      <w:r w:rsidRPr="007B43FC">
        <w:rPr>
          <w:rFonts w:cs="Arial"/>
          <w:color w:val="000000"/>
          <w:sz w:val="16"/>
          <w:szCs w:val="16"/>
        </w:rPr>
        <w:t xml:space="preserve">. Disponible en: </w:t>
      </w:r>
      <w:hyperlink r:id="rId1" w:history="1">
        <w:r w:rsidRPr="007B43FC">
          <w:rPr>
            <w:rStyle w:val="Hyperlink"/>
            <w:rFonts w:cs="Arial"/>
            <w:sz w:val="16"/>
            <w:szCs w:val="16"/>
          </w:rPr>
          <w:t>http://www.angelfire.com/ca5/mas/gobi/dip.html</w:t>
        </w:r>
      </w:hyperlink>
      <w:r w:rsidRPr="007B43FC">
        <w:rPr>
          <w:rFonts w:cs="Arial"/>
          <w:color w:val="000000"/>
          <w:sz w:val="16"/>
          <w:szCs w:val="16"/>
        </w:rPr>
        <w:t xml:space="preserve">. </w:t>
      </w:r>
      <w:r>
        <w:rPr>
          <w:rFonts w:cs="Arial"/>
          <w:color w:val="000000"/>
          <w:sz w:val="16"/>
          <w:szCs w:val="16"/>
        </w:rPr>
        <w:t xml:space="preserve">(Sobre el uso de las letras mayúsculas “RP” ver </w:t>
      </w:r>
      <w:r>
        <w:rPr>
          <w:rFonts w:cs="Arial"/>
          <w:i/>
          <w:color w:val="000000"/>
          <w:sz w:val="16"/>
          <w:szCs w:val="16"/>
        </w:rPr>
        <w:t>infra</w:t>
      </w:r>
      <w:r>
        <w:rPr>
          <w:rFonts w:cs="Arial"/>
          <w:color w:val="000000"/>
          <w:sz w:val="16"/>
          <w:szCs w:val="16"/>
        </w:rPr>
        <w:t xml:space="preserve"> la nota a pie de página 18.) </w:t>
      </w:r>
    </w:p>
  </w:footnote>
  <w:footnote w:id="16">
    <w:p w14:paraId="483C602E" w14:textId="33ACEE21" w:rsidR="00E02FDB" w:rsidRPr="00203E0E" w:rsidRDefault="00E02FDB" w:rsidP="008A2AE0">
      <w:pPr>
        <w:pStyle w:val="FootnoteText"/>
        <w:tabs>
          <w:tab w:val="left" w:pos="4140"/>
        </w:tabs>
      </w:pPr>
      <w:r>
        <w:rPr>
          <w:rStyle w:val="FootnoteReference"/>
        </w:rPr>
        <w:footnoteRef/>
      </w:r>
      <w:r>
        <w:t xml:space="preserve"> </w:t>
      </w:r>
      <w:r>
        <w:tab/>
        <w:t xml:space="preserve">La señora Blanca Rosa Herrera Rodríguez ha manifestado </w:t>
      </w:r>
      <w:r w:rsidRPr="008D344C">
        <w:t>ser la “compañera de hogar” y la “esposa”</w:t>
      </w:r>
      <w:r>
        <w:t xml:space="preserve"> de Ángel Pacheco León (Declaración de Blanca Rosa Herrera rendida ante COFADEH). A efectos de lo que se determina en la presente Sentencia se utilizará la voz “compañera”. </w:t>
      </w:r>
    </w:p>
  </w:footnote>
  <w:footnote w:id="17">
    <w:p w14:paraId="3026EF24" w14:textId="4F31DFB8" w:rsidR="00E02FDB" w:rsidRPr="00E75E34" w:rsidRDefault="00E02FDB" w:rsidP="002E44FA">
      <w:pPr>
        <w:rPr>
          <w:sz w:val="16"/>
          <w:szCs w:val="16"/>
        </w:rPr>
      </w:pPr>
      <w:r w:rsidRPr="002D5A5C">
        <w:rPr>
          <w:rStyle w:val="FootnoteReference"/>
        </w:rPr>
        <w:footnoteRef/>
      </w:r>
      <w:r w:rsidRPr="002D5A5C">
        <w:rPr>
          <w:sz w:val="16"/>
          <w:szCs w:val="16"/>
        </w:rPr>
        <w:t xml:space="preserve"> </w:t>
      </w:r>
      <w:r>
        <w:rPr>
          <w:sz w:val="16"/>
          <w:szCs w:val="16"/>
        </w:rPr>
        <w:tab/>
        <w:t>En otras declaraciones rendidas</w:t>
      </w:r>
      <w:r w:rsidRPr="002D5A5C">
        <w:rPr>
          <w:sz w:val="16"/>
          <w:szCs w:val="16"/>
        </w:rPr>
        <w:t xml:space="preserve"> en el </w:t>
      </w:r>
      <w:r>
        <w:rPr>
          <w:sz w:val="16"/>
          <w:szCs w:val="16"/>
        </w:rPr>
        <w:t>marco del trámite internacional, se hace alusión a hechos previos a la muerte del señor Pacheco</w:t>
      </w:r>
      <w:r w:rsidRPr="002D5A5C">
        <w:rPr>
          <w:sz w:val="16"/>
          <w:szCs w:val="16"/>
        </w:rPr>
        <w:t>. (</w:t>
      </w:r>
      <w:r w:rsidRPr="002D5A5C">
        <w:rPr>
          <w:i/>
          <w:sz w:val="16"/>
          <w:szCs w:val="16"/>
        </w:rPr>
        <w:t>Cfr.</w:t>
      </w:r>
      <w:r w:rsidRPr="002D5A5C">
        <w:rPr>
          <w:sz w:val="16"/>
          <w:szCs w:val="16"/>
        </w:rPr>
        <w:t xml:space="preserve"> Comunicación de los peticionarios </w:t>
      </w:r>
      <w:r>
        <w:rPr>
          <w:sz w:val="16"/>
          <w:szCs w:val="16"/>
        </w:rPr>
        <w:t xml:space="preserve">firmada por </w:t>
      </w:r>
      <w:proofErr w:type="spellStart"/>
      <w:r>
        <w:rPr>
          <w:sz w:val="16"/>
          <w:szCs w:val="16"/>
        </w:rPr>
        <w:t>Marleny</w:t>
      </w:r>
      <w:proofErr w:type="spellEnd"/>
      <w:r>
        <w:rPr>
          <w:sz w:val="16"/>
          <w:szCs w:val="16"/>
        </w:rPr>
        <w:t xml:space="preserve"> Pacheco Posadas</w:t>
      </w:r>
      <w:r w:rsidRPr="002D5A5C">
        <w:rPr>
          <w:sz w:val="16"/>
          <w:szCs w:val="16"/>
        </w:rPr>
        <w:t>, de 25 de agosto de 2004, recibida por la Comisión el 27 de agosto de 2004 (</w:t>
      </w:r>
      <w:r>
        <w:rPr>
          <w:sz w:val="16"/>
          <w:szCs w:val="16"/>
        </w:rPr>
        <w:t>e</w:t>
      </w:r>
      <w:r w:rsidRPr="002D5A5C">
        <w:rPr>
          <w:sz w:val="16"/>
          <w:szCs w:val="16"/>
        </w:rPr>
        <w:t>xpediente de prueba, anexo 1 al Informe de Fondo, fs. 5 a 7)</w:t>
      </w:r>
      <w:r>
        <w:rPr>
          <w:sz w:val="16"/>
          <w:szCs w:val="16"/>
        </w:rPr>
        <w:t>; declaración de</w:t>
      </w:r>
      <w:r w:rsidRPr="002D5A5C">
        <w:rPr>
          <w:sz w:val="16"/>
          <w:szCs w:val="16"/>
        </w:rPr>
        <w:t xml:space="preserve"> </w:t>
      </w:r>
      <w:proofErr w:type="spellStart"/>
      <w:r w:rsidRPr="002D5A5C">
        <w:rPr>
          <w:sz w:val="16"/>
          <w:szCs w:val="16"/>
        </w:rPr>
        <w:t>Jimy</w:t>
      </w:r>
      <w:proofErr w:type="spellEnd"/>
      <w:r w:rsidRPr="002D5A5C">
        <w:rPr>
          <w:sz w:val="16"/>
          <w:szCs w:val="16"/>
        </w:rPr>
        <w:t xml:space="preserve"> Javier Pacheco Ort</w:t>
      </w:r>
      <w:r>
        <w:rPr>
          <w:sz w:val="16"/>
          <w:szCs w:val="16"/>
        </w:rPr>
        <w:t>iz rendida ante COFADEH de 23 de febrero 2016 (e</w:t>
      </w:r>
      <w:r w:rsidRPr="002D5A5C">
        <w:rPr>
          <w:sz w:val="16"/>
          <w:szCs w:val="16"/>
        </w:rPr>
        <w:t>xpediente de prueba, anexo 12 al escrito de solicitudes y argumentos, fs. 1609 a 1614)</w:t>
      </w:r>
      <w:r>
        <w:rPr>
          <w:sz w:val="16"/>
          <w:szCs w:val="16"/>
        </w:rPr>
        <w:t>, y</w:t>
      </w:r>
      <w:r w:rsidRPr="002D5A5C">
        <w:rPr>
          <w:rFonts w:cs="Arial"/>
          <w:sz w:val="16"/>
          <w:szCs w:val="16"/>
        </w:rPr>
        <w:t xml:space="preserve"> </w:t>
      </w:r>
      <w:r>
        <w:rPr>
          <w:rFonts w:cs="Arial"/>
          <w:sz w:val="16"/>
          <w:szCs w:val="16"/>
        </w:rPr>
        <w:t>d</w:t>
      </w:r>
      <w:r>
        <w:rPr>
          <w:rFonts w:cs="Arial"/>
          <w:color w:val="000000"/>
          <w:sz w:val="16"/>
          <w:szCs w:val="16"/>
        </w:rPr>
        <w:t>eclaraciones</w:t>
      </w:r>
      <w:r w:rsidRPr="002D5A5C">
        <w:rPr>
          <w:rFonts w:cs="Arial"/>
          <w:color w:val="000000"/>
          <w:sz w:val="16"/>
          <w:szCs w:val="16"/>
        </w:rPr>
        <w:t xml:space="preserve"> de Blanca Rosa Herrer</w:t>
      </w:r>
      <w:r>
        <w:rPr>
          <w:rFonts w:cs="Arial"/>
          <w:color w:val="000000"/>
          <w:sz w:val="16"/>
          <w:szCs w:val="16"/>
        </w:rPr>
        <w:t>a Rodrí</w:t>
      </w:r>
      <w:r w:rsidRPr="002D5A5C">
        <w:rPr>
          <w:rFonts w:cs="Arial"/>
          <w:color w:val="000000"/>
          <w:sz w:val="16"/>
          <w:szCs w:val="16"/>
        </w:rPr>
        <w:t>gue</w:t>
      </w:r>
      <w:r>
        <w:rPr>
          <w:rFonts w:cs="Arial"/>
          <w:color w:val="000000"/>
          <w:sz w:val="16"/>
          <w:szCs w:val="16"/>
        </w:rPr>
        <w:t xml:space="preserve">z, </w:t>
      </w:r>
      <w:r w:rsidRPr="002D5A5C">
        <w:rPr>
          <w:rFonts w:cs="Times New Roman"/>
          <w:color w:val="0F0F0F"/>
          <w:sz w:val="16"/>
          <w:szCs w:val="16"/>
        </w:rPr>
        <w:t>fs. 1599 a 1603)</w:t>
      </w:r>
      <w:r>
        <w:rPr>
          <w:rFonts w:cs="Arial"/>
          <w:color w:val="000000"/>
          <w:sz w:val="16"/>
          <w:szCs w:val="16"/>
        </w:rPr>
        <w:t xml:space="preserve"> y Pedro Canales Torres rendidas ante COFADEH </w:t>
      </w:r>
      <w:r w:rsidRPr="002D5A5C">
        <w:rPr>
          <w:rFonts w:cs="Arial"/>
          <w:color w:val="000000"/>
          <w:sz w:val="16"/>
          <w:szCs w:val="16"/>
        </w:rPr>
        <w:t>(e</w:t>
      </w:r>
      <w:r>
        <w:rPr>
          <w:rFonts w:cs="Times New Roman"/>
          <w:color w:val="0F0F0F"/>
          <w:sz w:val="16"/>
          <w:szCs w:val="16"/>
        </w:rPr>
        <w:t>xpediente de prueba, anexo</w:t>
      </w:r>
      <w:r w:rsidRPr="002D5A5C">
        <w:rPr>
          <w:rFonts w:cs="Times New Roman"/>
          <w:color w:val="0F0F0F"/>
          <w:sz w:val="16"/>
          <w:szCs w:val="16"/>
        </w:rPr>
        <w:t xml:space="preserve"> 8, al escrito de solic</w:t>
      </w:r>
      <w:r>
        <w:rPr>
          <w:rFonts w:cs="Times New Roman"/>
          <w:color w:val="0F0F0F"/>
          <w:sz w:val="16"/>
          <w:szCs w:val="16"/>
        </w:rPr>
        <w:t xml:space="preserve">itudes y argumentos, fs. </w:t>
      </w:r>
      <w:r w:rsidRPr="002D5A5C">
        <w:rPr>
          <w:rFonts w:cs="Times New Roman"/>
          <w:color w:val="0F0F0F"/>
          <w:sz w:val="16"/>
          <w:szCs w:val="16"/>
        </w:rPr>
        <w:t>1590 a 1593)</w:t>
      </w:r>
      <w:r w:rsidRPr="002D5A5C">
        <w:rPr>
          <w:rFonts w:cs="Arial"/>
          <w:sz w:val="16"/>
          <w:szCs w:val="16"/>
        </w:rPr>
        <w:t xml:space="preserve">. </w:t>
      </w:r>
      <w:r>
        <w:rPr>
          <w:rFonts w:cs="Arial"/>
          <w:sz w:val="16"/>
          <w:szCs w:val="16"/>
        </w:rPr>
        <w:t>Hay, e</w:t>
      </w:r>
      <w:r w:rsidRPr="002D5A5C">
        <w:rPr>
          <w:rFonts w:cs="Arial"/>
          <w:sz w:val="16"/>
          <w:szCs w:val="16"/>
        </w:rPr>
        <w:t>n igual sentido</w:t>
      </w:r>
      <w:r>
        <w:rPr>
          <w:rFonts w:cs="Arial"/>
          <w:sz w:val="16"/>
          <w:szCs w:val="16"/>
        </w:rPr>
        <w:t xml:space="preserve">, declaraciones rendidas </w:t>
      </w:r>
      <w:r w:rsidRPr="002D5A5C">
        <w:rPr>
          <w:rFonts w:cs="Arial"/>
          <w:sz w:val="16"/>
          <w:szCs w:val="16"/>
        </w:rPr>
        <w:t>ante la Corte por affidávit</w:t>
      </w:r>
      <w:r>
        <w:rPr>
          <w:rFonts w:cs="Arial"/>
          <w:sz w:val="16"/>
          <w:szCs w:val="16"/>
        </w:rPr>
        <w:t xml:space="preserve"> (expediente de </w:t>
      </w:r>
      <w:r w:rsidRPr="00CE17C0">
        <w:rPr>
          <w:rFonts w:cs="Arial"/>
          <w:i/>
          <w:sz w:val="16"/>
          <w:szCs w:val="16"/>
        </w:rPr>
        <w:t>affidavits</w:t>
      </w:r>
      <w:r>
        <w:rPr>
          <w:rFonts w:cs="Arial"/>
          <w:sz w:val="16"/>
          <w:szCs w:val="16"/>
        </w:rPr>
        <w:t xml:space="preserve"> y peritajes, </w:t>
      </w:r>
      <w:r w:rsidRPr="00D92D1F">
        <w:rPr>
          <w:rFonts w:cs="Arial"/>
          <w:i/>
          <w:sz w:val="16"/>
          <w:szCs w:val="16"/>
        </w:rPr>
        <w:t>a</w:t>
      </w:r>
      <w:r w:rsidRPr="00CE17C0">
        <w:rPr>
          <w:rFonts w:cs="Arial"/>
          <w:i/>
          <w:sz w:val="16"/>
          <w:szCs w:val="16"/>
        </w:rPr>
        <w:t>ffidavits</w:t>
      </w:r>
      <w:r>
        <w:rPr>
          <w:rFonts w:cs="Arial"/>
          <w:sz w:val="16"/>
          <w:szCs w:val="16"/>
        </w:rPr>
        <w:t xml:space="preserve"> de Blanca Rosa Herrera Rodríguez y Pedro Canales Torres, fs. 2705 a 2711 y 2720 a 2726, respectivamente)</w:t>
      </w:r>
      <w:r w:rsidRPr="002D5A5C">
        <w:rPr>
          <w:rFonts w:cs="Arial"/>
          <w:sz w:val="16"/>
          <w:szCs w:val="16"/>
        </w:rPr>
        <w:t xml:space="preserve">. </w:t>
      </w:r>
    </w:p>
  </w:footnote>
  <w:footnote w:id="18">
    <w:p w14:paraId="5D1078DF" w14:textId="47747958" w:rsidR="00E02FDB" w:rsidRPr="00475A31" w:rsidRDefault="00E02FDB" w:rsidP="009B7018">
      <w:pPr>
        <w:pStyle w:val="FootnoteText"/>
      </w:pPr>
      <w:r>
        <w:rPr>
          <w:rStyle w:val="FootnoteReference"/>
        </w:rPr>
        <w:footnoteRef/>
      </w:r>
      <w:r>
        <w:t xml:space="preserve"> </w:t>
      </w:r>
      <w:r>
        <w:tab/>
        <w:t xml:space="preserve">En la presente Sentencia se utilizan letras mayúsculas para señalar a personas que no son parte en el proceso o no han comparecido ante la Corte.   </w:t>
      </w:r>
    </w:p>
  </w:footnote>
  <w:footnote w:id="19">
    <w:p w14:paraId="56A1458A" w14:textId="21BCF8D6" w:rsidR="00E02FDB" w:rsidRPr="0047364C" w:rsidRDefault="00E02FDB" w:rsidP="008A2AE0">
      <w:pPr>
        <w:pStyle w:val="FootnoteText"/>
      </w:pPr>
      <w:r>
        <w:rPr>
          <w:rStyle w:val="FootnoteReference"/>
        </w:rPr>
        <w:footnoteRef/>
      </w:r>
      <w:r>
        <w:t xml:space="preserve"> </w:t>
      </w:r>
      <w:r>
        <w:tab/>
      </w:r>
      <w:r w:rsidRPr="009E2CDD">
        <w:rPr>
          <w:rFonts w:cs="Arial"/>
          <w:bCs/>
          <w:i/>
        </w:rPr>
        <w:t>Cfr.</w:t>
      </w:r>
      <w:r w:rsidRPr="00AD1B70">
        <w:rPr>
          <w:rFonts w:cs="Arial"/>
          <w:bCs/>
        </w:rPr>
        <w:t xml:space="preserve"> </w:t>
      </w:r>
      <w:r>
        <w:rPr>
          <w:rFonts w:cs="Arial"/>
        </w:rPr>
        <w:t>Declaración de</w:t>
      </w:r>
      <w:r w:rsidRPr="009E2CDD">
        <w:rPr>
          <w:rFonts w:cs="Arial"/>
        </w:rPr>
        <w:t xml:space="preserve"> </w:t>
      </w:r>
      <w:proofErr w:type="spellStart"/>
      <w:r w:rsidRPr="009E2CDD">
        <w:rPr>
          <w:rFonts w:cs="Arial"/>
        </w:rPr>
        <w:t>Jimy</w:t>
      </w:r>
      <w:proofErr w:type="spellEnd"/>
      <w:r w:rsidRPr="009E2CDD">
        <w:rPr>
          <w:rFonts w:cs="Arial"/>
        </w:rPr>
        <w:t xml:space="preserve"> Javier Pacheco Ortiz</w:t>
      </w:r>
      <w:r>
        <w:rPr>
          <w:rFonts w:cs="Arial"/>
        </w:rPr>
        <w:t xml:space="preserve"> rendida ante </w:t>
      </w:r>
      <w:r w:rsidRPr="002D5A5C">
        <w:rPr>
          <w:rFonts w:cs="Arial"/>
          <w:color w:val="000000"/>
        </w:rPr>
        <w:t>COFADEH</w:t>
      </w:r>
      <w:r>
        <w:rPr>
          <w:rFonts w:cs="Arial"/>
        </w:rPr>
        <w:t>, fs. 1609 a 1614</w:t>
      </w:r>
      <w:r w:rsidRPr="009E2CDD">
        <w:rPr>
          <w:rFonts w:cs="Arial"/>
        </w:rPr>
        <w:t>.</w:t>
      </w:r>
    </w:p>
  </w:footnote>
  <w:footnote w:id="20">
    <w:p w14:paraId="03F5B1C7" w14:textId="5BC5AAA1" w:rsidR="00E02FDB" w:rsidRPr="0047364C" w:rsidRDefault="00E02FDB" w:rsidP="008A2AE0">
      <w:pPr>
        <w:pStyle w:val="FootnoteText"/>
      </w:pPr>
      <w:r>
        <w:rPr>
          <w:rStyle w:val="FootnoteReference"/>
        </w:rPr>
        <w:footnoteRef/>
      </w:r>
      <w:r>
        <w:t xml:space="preserve"> </w:t>
      </w:r>
      <w:r>
        <w:tab/>
      </w:r>
      <w:r w:rsidRPr="009E2CDD">
        <w:rPr>
          <w:i/>
        </w:rPr>
        <w:t>Cfr.</w:t>
      </w:r>
      <w:r w:rsidRPr="007B43FC">
        <w:t xml:space="preserve"> </w:t>
      </w:r>
      <w:r w:rsidRPr="009E2CDD">
        <w:rPr>
          <w:rFonts w:cs="Arial"/>
          <w:color w:val="0F0F0F"/>
        </w:rPr>
        <w:t>Anexo a la comunicaci</w:t>
      </w:r>
      <w:r w:rsidRPr="009E2CDD">
        <w:rPr>
          <w:rFonts w:cs="Calibri"/>
          <w:color w:val="0F0F0F"/>
        </w:rPr>
        <w:t>ó</w:t>
      </w:r>
      <w:r w:rsidRPr="009E2CDD">
        <w:rPr>
          <w:rFonts w:cs="Arial"/>
          <w:color w:val="0F0F0F"/>
        </w:rPr>
        <w:t>n de los peticionarios de 25 de agosto de 2004, recibida por la Comisión el 27 de agosto de 2004</w:t>
      </w:r>
      <w:r w:rsidRPr="009E2CDD">
        <w:rPr>
          <w:rFonts w:cs="Times New Roman"/>
          <w:color w:val="0F0F0F"/>
        </w:rPr>
        <w:t xml:space="preserve"> (</w:t>
      </w:r>
      <w:r>
        <w:rPr>
          <w:rFonts w:cs="Times New Roman"/>
          <w:color w:val="0F0F0F"/>
        </w:rPr>
        <w:t>e</w:t>
      </w:r>
      <w:r w:rsidRPr="009E2CDD">
        <w:rPr>
          <w:rFonts w:cs="Times New Roman"/>
          <w:color w:val="0F0F0F"/>
        </w:rPr>
        <w:t>xpediente de prueba, anexo 2 al Informe de Fondo, fs. 9 a 331</w:t>
      </w:r>
      <w:r w:rsidRPr="009E2CDD">
        <w:rPr>
          <w:rFonts w:cs="Arial"/>
        </w:rPr>
        <w:t>)</w:t>
      </w:r>
      <w:r>
        <w:rPr>
          <w:rFonts w:cs="Arial"/>
        </w:rPr>
        <w:t>.</w:t>
      </w:r>
    </w:p>
  </w:footnote>
  <w:footnote w:id="21">
    <w:p w14:paraId="03B1CF53" w14:textId="07E6B07E" w:rsidR="00E02FDB" w:rsidRPr="0047364C" w:rsidRDefault="00E02FDB" w:rsidP="008A2AE0">
      <w:pPr>
        <w:pStyle w:val="FootnoteText"/>
      </w:pPr>
      <w:r>
        <w:rPr>
          <w:rStyle w:val="FootnoteReference"/>
        </w:rPr>
        <w:footnoteRef/>
      </w:r>
      <w:r>
        <w:t xml:space="preserve"> </w:t>
      </w:r>
      <w:r>
        <w:tab/>
      </w:r>
      <w:r w:rsidRPr="009E2CDD">
        <w:rPr>
          <w:rFonts w:cs="Arial"/>
          <w:bCs/>
          <w:i/>
        </w:rPr>
        <w:t>Cfr.</w:t>
      </w:r>
      <w:r w:rsidRPr="00AD1B70">
        <w:rPr>
          <w:rFonts w:cs="Arial"/>
          <w:bCs/>
        </w:rPr>
        <w:t xml:space="preserve"> </w:t>
      </w:r>
      <w:r>
        <w:rPr>
          <w:rFonts w:cs="Arial"/>
        </w:rPr>
        <w:t>Declaración de</w:t>
      </w:r>
      <w:r w:rsidRPr="009E2CDD">
        <w:rPr>
          <w:rFonts w:cs="Arial"/>
        </w:rPr>
        <w:t xml:space="preserve"> </w:t>
      </w:r>
      <w:proofErr w:type="spellStart"/>
      <w:r w:rsidRPr="009E2CDD">
        <w:rPr>
          <w:rFonts w:cs="Arial"/>
        </w:rPr>
        <w:t>Jimy</w:t>
      </w:r>
      <w:proofErr w:type="spellEnd"/>
      <w:r w:rsidRPr="009E2CDD">
        <w:rPr>
          <w:rFonts w:cs="Arial"/>
        </w:rPr>
        <w:t xml:space="preserve"> Javier Pacheco Ortiz</w:t>
      </w:r>
      <w:r>
        <w:rPr>
          <w:rFonts w:cs="Arial"/>
        </w:rPr>
        <w:t xml:space="preserve"> rendida ante </w:t>
      </w:r>
      <w:r w:rsidRPr="002D5A5C">
        <w:rPr>
          <w:rFonts w:cs="Arial"/>
          <w:color w:val="000000"/>
        </w:rPr>
        <w:t>COFADEH</w:t>
      </w:r>
      <w:r w:rsidRPr="009E2CDD">
        <w:rPr>
          <w:rFonts w:cs="Arial"/>
        </w:rPr>
        <w:t xml:space="preserve">, y </w:t>
      </w:r>
      <w:r w:rsidRPr="00B86CD7">
        <w:rPr>
          <w:rFonts w:cs="Arial"/>
          <w:color w:val="0F0F0F"/>
        </w:rPr>
        <w:t>Denuncia Criminal presentada por José Pacheco ante el coordinador local del Ministerio Público</w:t>
      </w:r>
      <w:r w:rsidRPr="00B86CD7">
        <w:rPr>
          <w:rFonts w:cs="Times New Roman"/>
          <w:color w:val="0F0F0F"/>
        </w:rPr>
        <w:t xml:space="preserve"> </w:t>
      </w:r>
      <w:r w:rsidRPr="00B86CD7">
        <w:rPr>
          <w:rFonts w:cs="Arial"/>
          <w:color w:val="0F0F0F"/>
        </w:rPr>
        <w:t>el 27 de noviembre de 2001 (</w:t>
      </w:r>
      <w:r w:rsidRPr="00B86CD7">
        <w:rPr>
          <w:rFonts w:cs="Times New Roman"/>
          <w:color w:val="0F0F0F"/>
        </w:rPr>
        <w:t>expediente de prueba, anexo 2 al Informe de Fondo, fs. 207 a 208</w:t>
      </w:r>
      <w:r w:rsidRPr="00B86CD7">
        <w:rPr>
          <w:rFonts w:cs="Arial"/>
        </w:rPr>
        <w:t>)</w:t>
      </w:r>
      <w:r>
        <w:rPr>
          <w:rFonts w:cs="Arial"/>
        </w:rPr>
        <w:t>.</w:t>
      </w:r>
      <w:r w:rsidRPr="009E2CDD">
        <w:rPr>
          <w:rFonts w:cs="Arial"/>
        </w:rPr>
        <w:t xml:space="preserve"> </w:t>
      </w:r>
    </w:p>
  </w:footnote>
  <w:footnote w:id="22">
    <w:p w14:paraId="576B6730" w14:textId="55732E74"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Informe No. 195-2001 de la DGIC de 24 de noviembre de 2001 (expediente de prueba, Anexo 1 a la contestaci</w:t>
      </w:r>
      <w:r w:rsidRPr="007B43FC">
        <w:rPr>
          <w:rFonts w:cs="Calibri"/>
        </w:rPr>
        <w:t>ó</w:t>
      </w:r>
      <w:r w:rsidRPr="007B43FC">
        <w:t>n, fs. 2183 a 219</w:t>
      </w:r>
      <w:r>
        <w:t>8</w:t>
      </w:r>
      <w:r w:rsidRPr="007B43FC">
        <w:t xml:space="preserve">).  </w:t>
      </w:r>
    </w:p>
  </w:footnote>
  <w:footnote w:id="23">
    <w:p w14:paraId="4E627394" w14:textId="55006BF6" w:rsidR="00E02FDB" w:rsidRPr="007B43FC" w:rsidRDefault="00E02FDB" w:rsidP="008A2AE0">
      <w:pPr>
        <w:pStyle w:val="FootnoteText"/>
      </w:pPr>
      <w:r w:rsidRPr="007B43FC">
        <w:rPr>
          <w:rStyle w:val="FootnoteReference"/>
        </w:rPr>
        <w:footnoteRef/>
      </w:r>
      <w:r w:rsidRPr="007B43FC">
        <w:t xml:space="preserve"> </w:t>
      </w:r>
      <w:r>
        <w:tab/>
      </w:r>
      <w:r w:rsidRPr="007B43FC">
        <w:rPr>
          <w:rFonts w:cs="Arial"/>
          <w:bCs/>
          <w:i/>
        </w:rPr>
        <w:t>Cfr.</w:t>
      </w:r>
      <w:r w:rsidRPr="00AD1B70">
        <w:rPr>
          <w:rFonts w:cs="Arial"/>
          <w:bCs/>
        </w:rPr>
        <w:t xml:space="preserve"> </w:t>
      </w:r>
      <w:r>
        <w:rPr>
          <w:rFonts w:cs="Arial"/>
        </w:rPr>
        <w:t>Declaración de</w:t>
      </w:r>
      <w:r w:rsidRPr="007B43FC">
        <w:rPr>
          <w:rFonts w:cs="Arial"/>
        </w:rPr>
        <w:t xml:space="preserve"> </w:t>
      </w:r>
      <w:proofErr w:type="spellStart"/>
      <w:r w:rsidRPr="007B43FC">
        <w:rPr>
          <w:rFonts w:cs="Arial"/>
        </w:rPr>
        <w:t>Jimy</w:t>
      </w:r>
      <w:proofErr w:type="spellEnd"/>
      <w:r w:rsidRPr="007B43FC">
        <w:rPr>
          <w:rFonts w:cs="Arial"/>
        </w:rPr>
        <w:t xml:space="preserve"> Javier Pacheco Ortiz</w:t>
      </w:r>
      <w:r>
        <w:rPr>
          <w:rFonts w:cs="Arial"/>
        </w:rPr>
        <w:t xml:space="preserve"> rendida ante COFADEH</w:t>
      </w:r>
      <w:r w:rsidRPr="008052C3">
        <w:rPr>
          <w:rFonts w:cs="Arial"/>
        </w:rPr>
        <w:t xml:space="preserve">, y </w:t>
      </w:r>
      <w:r>
        <w:rPr>
          <w:rFonts w:cs="Arial"/>
          <w:color w:val="0F0F0F"/>
        </w:rPr>
        <w:t>Denuncia Criminal interpuesta por José Pacheco</w:t>
      </w:r>
      <w:r w:rsidRPr="007B43FC">
        <w:rPr>
          <w:rFonts w:cs="Times New Roman"/>
          <w:color w:val="0F0F0F"/>
        </w:rPr>
        <w:t>.</w:t>
      </w:r>
    </w:p>
  </w:footnote>
  <w:footnote w:id="24">
    <w:p w14:paraId="31F8D81F" w14:textId="6B6FDDC8" w:rsidR="00E02FDB" w:rsidRPr="000F1D8E" w:rsidRDefault="00E02FDB" w:rsidP="008A2AE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ab/>
      </w:r>
      <w:r w:rsidRPr="00C438C1">
        <w:rPr>
          <w:i/>
          <w:sz w:val="16"/>
          <w:szCs w:val="16"/>
        </w:rPr>
        <w:t>Cfr.</w:t>
      </w:r>
      <w:r>
        <w:rPr>
          <w:sz w:val="16"/>
          <w:szCs w:val="16"/>
        </w:rPr>
        <w:t xml:space="preserve"> </w:t>
      </w:r>
      <w:r w:rsidRPr="00E57477">
        <w:rPr>
          <w:rFonts w:cs="Arial"/>
          <w:color w:val="0F0F0F"/>
          <w:sz w:val="16"/>
        </w:rPr>
        <w:t xml:space="preserve">Denuncia Criminal </w:t>
      </w:r>
      <w:r>
        <w:rPr>
          <w:rFonts w:cs="Arial"/>
          <w:color w:val="0F0F0F"/>
          <w:sz w:val="16"/>
        </w:rPr>
        <w:t>presentada</w:t>
      </w:r>
      <w:r w:rsidRPr="00E57477">
        <w:rPr>
          <w:rFonts w:cs="Arial"/>
          <w:color w:val="0F0F0F"/>
          <w:sz w:val="16"/>
        </w:rPr>
        <w:t xml:space="preserve"> por José Pacheco</w:t>
      </w:r>
      <w:r>
        <w:rPr>
          <w:rFonts w:cs="Arial"/>
          <w:sz w:val="16"/>
          <w:szCs w:val="16"/>
        </w:rPr>
        <w:t>; Declaración</w:t>
      </w:r>
      <w:r w:rsidRPr="007B43FC">
        <w:rPr>
          <w:rFonts w:cs="Arial"/>
          <w:sz w:val="16"/>
          <w:szCs w:val="16"/>
        </w:rPr>
        <w:t xml:space="preserve"> </w:t>
      </w:r>
      <w:r>
        <w:rPr>
          <w:rFonts w:cs="Arial"/>
          <w:sz w:val="16"/>
          <w:szCs w:val="16"/>
        </w:rPr>
        <w:t xml:space="preserve">de </w:t>
      </w:r>
      <w:proofErr w:type="spellStart"/>
      <w:r w:rsidRPr="007B43FC">
        <w:rPr>
          <w:rFonts w:cs="Arial"/>
          <w:sz w:val="16"/>
          <w:szCs w:val="16"/>
        </w:rPr>
        <w:t>Jimy</w:t>
      </w:r>
      <w:proofErr w:type="spellEnd"/>
      <w:r w:rsidRPr="007B43FC">
        <w:rPr>
          <w:rFonts w:cs="Arial"/>
          <w:sz w:val="16"/>
          <w:szCs w:val="16"/>
        </w:rPr>
        <w:t xml:space="preserve"> Javier Pacheco Ortiz</w:t>
      </w:r>
      <w:r>
        <w:rPr>
          <w:rFonts w:cs="Arial"/>
          <w:sz w:val="16"/>
          <w:szCs w:val="16"/>
        </w:rPr>
        <w:t xml:space="preserve"> rendida ante COFADEH,</w:t>
      </w:r>
      <w:r w:rsidRPr="00E57477">
        <w:rPr>
          <w:color w:val="0F0F0F"/>
          <w:sz w:val="16"/>
          <w:szCs w:val="16"/>
        </w:rPr>
        <w:t xml:space="preserve"> </w:t>
      </w:r>
      <w:r>
        <w:rPr>
          <w:color w:val="0F0F0F"/>
          <w:sz w:val="16"/>
          <w:szCs w:val="16"/>
        </w:rPr>
        <w:t xml:space="preserve">y </w:t>
      </w:r>
      <w:r w:rsidRPr="00E57477">
        <w:rPr>
          <w:color w:val="0F0F0F"/>
          <w:sz w:val="16"/>
          <w:szCs w:val="16"/>
        </w:rPr>
        <w:t xml:space="preserve">Declaración de </w:t>
      </w:r>
      <w:proofErr w:type="spellStart"/>
      <w:r w:rsidRPr="00E57477">
        <w:rPr>
          <w:color w:val="0F0F0F"/>
          <w:sz w:val="16"/>
          <w:szCs w:val="16"/>
        </w:rPr>
        <w:t>Jimy</w:t>
      </w:r>
      <w:proofErr w:type="spellEnd"/>
      <w:r w:rsidRPr="00E57477">
        <w:rPr>
          <w:color w:val="0F0F0F"/>
          <w:sz w:val="16"/>
          <w:szCs w:val="16"/>
        </w:rPr>
        <w:t xml:space="preserve"> </w:t>
      </w:r>
      <w:r>
        <w:rPr>
          <w:color w:val="0F0F0F"/>
          <w:sz w:val="16"/>
          <w:szCs w:val="16"/>
        </w:rPr>
        <w:t xml:space="preserve">Javier </w:t>
      </w:r>
      <w:r w:rsidRPr="00E57477">
        <w:rPr>
          <w:color w:val="0F0F0F"/>
          <w:sz w:val="16"/>
          <w:szCs w:val="16"/>
        </w:rPr>
        <w:t>Pacheco Ortiz rendida ante la Corte en la audiencia pública de 23 de marzo de 2017.</w:t>
      </w:r>
    </w:p>
  </w:footnote>
  <w:footnote w:id="25">
    <w:p w14:paraId="3287F18F" w14:textId="67D9D243" w:rsidR="00E02FDB" w:rsidRPr="00391C6F" w:rsidRDefault="00E02FDB" w:rsidP="008A2AE0">
      <w:pPr>
        <w:pStyle w:val="PrrafodeSentencia"/>
        <w:numPr>
          <w:ilvl w:val="0"/>
          <w:numId w:val="0"/>
        </w:numPr>
      </w:pPr>
      <w:r w:rsidRPr="00391C6F">
        <w:rPr>
          <w:rStyle w:val="FootnoteReference"/>
        </w:rPr>
        <w:footnoteRef/>
      </w:r>
      <w:r w:rsidRPr="00391C6F">
        <w:rPr>
          <w:sz w:val="16"/>
          <w:szCs w:val="16"/>
        </w:rPr>
        <w:t xml:space="preserve"> </w:t>
      </w:r>
      <w:r>
        <w:rPr>
          <w:sz w:val="16"/>
          <w:szCs w:val="16"/>
        </w:rPr>
        <w:tab/>
      </w:r>
      <w:r w:rsidRPr="00E57477">
        <w:rPr>
          <w:rFonts w:cs="Arial"/>
          <w:color w:val="0F0F0F"/>
          <w:sz w:val="16"/>
          <w:szCs w:val="16"/>
        </w:rPr>
        <w:t xml:space="preserve">Denuncia Criminal </w:t>
      </w:r>
      <w:r>
        <w:rPr>
          <w:rFonts w:cs="Arial"/>
          <w:color w:val="0F0F0F"/>
          <w:sz w:val="16"/>
          <w:szCs w:val="16"/>
        </w:rPr>
        <w:t>presentada por José Pacheco</w:t>
      </w:r>
      <w:r w:rsidRPr="00F33082">
        <w:rPr>
          <w:color w:val="0F0F0F"/>
          <w:sz w:val="16"/>
          <w:szCs w:val="16"/>
        </w:rPr>
        <w:t>;</w:t>
      </w:r>
      <w:r w:rsidRPr="00E57477">
        <w:rPr>
          <w:color w:val="0F0F0F"/>
          <w:sz w:val="12"/>
          <w:szCs w:val="16"/>
        </w:rPr>
        <w:t xml:space="preserve"> </w:t>
      </w:r>
      <w:r>
        <w:rPr>
          <w:color w:val="0F0F0F"/>
          <w:sz w:val="16"/>
          <w:szCs w:val="16"/>
        </w:rPr>
        <w:t>D</w:t>
      </w:r>
      <w:r w:rsidRPr="00391C6F">
        <w:rPr>
          <w:color w:val="0F0F0F"/>
          <w:sz w:val="16"/>
          <w:szCs w:val="16"/>
        </w:rPr>
        <w:t xml:space="preserve">eclaración de </w:t>
      </w:r>
      <w:proofErr w:type="spellStart"/>
      <w:r w:rsidRPr="00391C6F">
        <w:rPr>
          <w:color w:val="0F0F0F"/>
          <w:sz w:val="16"/>
          <w:szCs w:val="16"/>
        </w:rPr>
        <w:t>Jimy</w:t>
      </w:r>
      <w:proofErr w:type="spellEnd"/>
      <w:r w:rsidRPr="00391C6F">
        <w:rPr>
          <w:color w:val="0F0F0F"/>
          <w:sz w:val="16"/>
          <w:szCs w:val="16"/>
        </w:rPr>
        <w:t xml:space="preserve"> Pacheco Ortiz rendid</w:t>
      </w:r>
      <w:r>
        <w:rPr>
          <w:color w:val="0F0F0F"/>
          <w:sz w:val="16"/>
          <w:szCs w:val="16"/>
        </w:rPr>
        <w:t xml:space="preserve">a ante la Corte, </w:t>
      </w:r>
      <w:r>
        <w:rPr>
          <w:sz w:val="16"/>
          <w:szCs w:val="16"/>
        </w:rPr>
        <w:t xml:space="preserve">y </w:t>
      </w:r>
      <w:r w:rsidRPr="008855FB">
        <w:rPr>
          <w:sz w:val="16"/>
          <w:szCs w:val="16"/>
        </w:rPr>
        <w:t xml:space="preserve">Declaración de Francisco Pacheco </w:t>
      </w:r>
      <w:r>
        <w:rPr>
          <w:sz w:val="16"/>
          <w:szCs w:val="16"/>
        </w:rPr>
        <w:t>rendida</w:t>
      </w:r>
      <w:r w:rsidRPr="008855FB">
        <w:rPr>
          <w:sz w:val="16"/>
          <w:szCs w:val="16"/>
        </w:rPr>
        <w:t xml:space="preserve"> ante COFADEH el 18 de febrero de 2016 </w:t>
      </w:r>
      <w:r>
        <w:rPr>
          <w:sz w:val="16"/>
          <w:szCs w:val="16"/>
        </w:rPr>
        <w:t>(e</w:t>
      </w:r>
      <w:r w:rsidRPr="008855FB">
        <w:rPr>
          <w:sz w:val="16"/>
          <w:szCs w:val="16"/>
        </w:rPr>
        <w:t xml:space="preserve">xpediente de prueba, </w:t>
      </w:r>
      <w:r>
        <w:rPr>
          <w:sz w:val="16"/>
          <w:szCs w:val="16"/>
        </w:rPr>
        <w:t>a</w:t>
      </w:r>
      <w:r w:rsidRPr="008855FB">
        <w:rPr>
          <w:sz w:val="16"/>
          <w:szCs w:val="16"/>
        </w:rPr>
        <w:t>nexo 9 al escrito de solicitudes y argumentos, fs. 1594 a 1597</w:t>
      </w:r>
      <w:r>
        <w:rPr>
          <w:sz w:val="16"/>
          <w:szCs w:val="16"/>
        </w:rPr>
        <w:t>).</w:t>
      </w:r>
      <w:r>
        <w:rPr>
          <w:sz w:val="16"/>
          <w:szCs w:val="16"/>
          <w:highlight w:val="green"/>
        </w:rPr>
        <w:t xml:space="preserve"> </w:t>
      </w:r>
    </w:p>
  </w:footnote>
  <w:footnote w:id="26">
    <w:p w14:paraId="620F2661" w14:textId="78567080" w:rsidR="00E02FDB" w:rsidRPr="008D63D0" w:rsidRDefault="00E02FDB" w:rsidP="008A2AE0">
      <w:pPr>
        <w:ind w:right="12"/>
        <w:rPr>
          <w:rFonts w:cs="Cambria"/>
          <w:sz w:val="16"/>
          <w:szCs w:val="16"/>
        </w:rPr>
      </w:pPr>
      <w:r w:rsidRPr="007B43FC">
        <w:rPr>
          <w:rStyle w:val="FootnoteReference"/>
        </w:rPr>
        <w:footnoteRef/>
      </w:r>
      <w:r w:rsidRPr="007B43FC">
        <w:rPr>
          <w:sz w:val="16"/>
          <w:szCs w:val="16"/>
        </w:rPr>
        <w:t xml:space="preserve"> </w:t>
      </w:r>
      <w:r>
        <w:rPr>
          <w:sz w:val="16"/>
          <w:szCs w:val="16"/>
        </w:rPr>
        <w:t xml:space="preserve">    </w:t>
      </w:r>
      <w:r w:rsidRPr="007B43FC">
        <w:rPr>
          <w:rFonts w:cs="Cambria"/>
          <w:sz w:val="16"/>
          <w:szCs w:val="16"/>
        </w:rPr>
        <w:t>Credencial de la Rep</w:t>
      </w:r>
      <w:r w:rsidRPr="007B43FC">
        <w:rPr>
          <w:sz w:val="16"/>
          <w:szCs w:val="16"/>
        </w:rPr>
        <w:t>ú</w:t>
      </w:r>
      <w:r w:rsidRPr="007B43FC">
        <w:rPr>
          <w:rFonts w:cs="Cambria"/>
          <w:sz w:val="16"/>
          <w:szCs w:val="16"/>
        </w:rPr>
        <w:t>blica de Honduras</w:t>
      </w:r>
      <w:r>
        <w:rPr>
          <w:rFonts w:cs="Cambria"/>
          <w:sz w:val="16"/>
          <w:szCs w:val="16"/>
        </w:rPr>
        <w:t xml:space="preserve"> </w:t>
      </w:r>
      <w:r w:rsidRPr="007B43FC">
        <w:rPr>
          <w:rFonts w:cs="Times New Roman"/>
          <w:color w:val="0F0F0F"/>
          <w:sz w:val="16"/>
          <w:szCs w:val="16"/>
        </w:rPr>
        <w:t>(</w:t>
      </w:r>
      <w:r>
        <w:rPr>
          <w:rFonts w:cs="Times New Roman"/>
          <w:color w:val="0F0F0F"/>
          <w:sz w:val="16"/>
          <w:szCs w:val="16"/>
        </w:rPr>
        <w:t>e</w:t>
      </w:r>
      <w:r w:rsidRPr="007B43FC">
        <w:rPr>
          <w:rFonts w:cs="Times New Roman"/>
          <w:color w:val="0F0F0F"/>
          <w:sz w:val="16"/>
          <w:szCs w:val="16"/>
        </w:rPr>
        <w:t>xpediente de pru</w:t>
      </w:r>
      <w:r>
        <w:rPr>
          <w:rFonts w:cs="Times New Roman"/>
          <w:color w:val="0F0F0F"/>
          <w:sz w:val="16"/>
          <w:szCs w:val="16"/>
        </w:rPr>
        <w:t>eba, anexo 2 al Informe de Fondo</w:t>
      </w:r>
      <w:r w:rsidRPr="007B43FC">
        <w:rPr>
          <w:rFonts w:cs="Times New Roman"/>
          <w:color w:val="0F0F0F"/>
          <w:sz w:val="16"/>
          <w:szCs w:val="16"/>
        </w:rPr>
        <w:t>, fs. 9 a 331)</w:t>
      </w:r>
      <w:r>
        <w:rPr>
          <w:rFonts w:cs="Cambria"/>
          <w:sz w:val="16"/>
          <w:szCs w:val="16"/>
        </w:rPr>
        <w:t xml:space="preserve"> y </w:t>
      </w:r>
      <w:proofErr w:type="spellStart"/>
      <w:r>
        <w:rPr>
          <w:rFonts w:cs="Cambria"/>
          <w:sz w:val="16"/>
          <w:szCs w:val="16"/>
        </w:rPr>
        <w:t>Declaracion</w:t>
      </w:r>
      <w:proofErr w:type="spellEnd"/>
      <w:r>
        <w:rPr>
          <w:rFonts w:cs="Cambria"/>
          <w:sz w:val="16"/>
          <w:szCs w:val="16"/>
        </w:rPr>
        <w:t xml:space="preserve"> </w:t>
      </w:r>
      <w:r w:rsidRPr="007B43FC">
        <w:rPr>
          <w:rFonts w:cs="Arial"/>
          <w:sz w:val="16"/>
          <w:szCs w:val="16"/>
        </w:rPr>
        <w:t>de Jos</w:t>
      </w:r>
      <w:r w:rsidRPr="007B43FC">
        <w:rPr>
          <w:sz w:val="16"/>
          <w:szCs w:val="16"/>
        </w:rPr>
        <w:t>é</w:t>
      </w:r>
      <w:r>
        <w:rPr>
          <w:rFonts w:cs="Arial"/>
          <w:sz w:val="16"/>
          <w:szCs w:val="16"/>
        </w:rPr>
        <w:t xml:space="preserve"> Pacheco</w:t>
      </w:r>
      <w:r w:rsidRPr="007B43FC">
        <w:rPr>
          <w:rFonts w:cs="Arial"/>
          <w:sz w:val="16"/>
          <w:szCs w:val="16"/>
        </w:rPr>
        <w:t xml:space="preserve"> de 8 de julio de 2003 (</w:t>
      </w:r>
      <w:r>
        <w:rPr>
          <w:rFonts w:cs="Arial"/>
          <w:sz w:val="16"/>
          <w:szCs w:val="16"/>
        </w:rPr>
        <w:t>e</w:t>
      </w:r>
      <w:r w:rsidRPr="007B43FC">
        <w:rPr>
          <w:rFonts w:cs="Arial"/>
          <w:sz w:val="16"/>
          <w:szCs w:val="16"/>
        </w:rPr>
        <w:t>xp</w:t>
      </w:r>
      <w:r>
        <w:rPr>
          <w:rFonts w:cs="Arial"/>
          <w:sz w:val="16"/>
          <w:szCs w:val="16"/>
        </w:rPr>
        <w:t>ediente de prueba, anexo 16 al escrito de s</w:t>
      </w:r>
      <w:r w:rsidRPr="007B43FC">
        <w:rPr>
          <w:rFonts w:cs="Arial"/>
          <w:sz w:val="16"/>
          <w:szCs w:val="16"/>
        </w:rPr>
        <w:t>olicitudes</w:t>
      </w:r>
      <w:r>
        <w:rPr>
          <w:rFonts w:cs="Arial"/>
          <w:sz w:val="16"/>
          <w:szCs w:val="16"/>
        </w:rPr>
        <w:t xml:space="preserve"> y</w:t>
      </w:r>
      <w:r w:rsidRPr="007B43FC">
        <w:rPr>
          <w:rFonts w:cs="Arial"/>
          <w:sz w:val="16"/>
          <w:szCs w:val="16"/>
        </w:rPr>
        <w:t xml:space="preserve"> </w:t>
      </w:r>
      <w:r>
        <w:rPr>
          <w:rFonts w:cs="Arial"/>
          <w:sz w:val="16"/>
          <w:szCs w:val="16"/>
        </w:rPr>
        <w:t>argumentos, fs. 1628 a 1634)</w:t>
      </w:r>
      <w:r w:rsidRPr="007B43FC">
        <w:rPr>
          <w:rFonts w:cs="Arial"/>
          <w:sz w:val="16"/>
          <w:szCs w:val="16"/>
        </w:rPr>
        <w:t xml:space="preserve">. </w:t>
      </w:r>
      <w:r w:rsidRPr="007F34D7">
        <w:rPr>
          <w:rFonts w:eastAsia="Verdana" w:cs="Verdana"/>
          <w:i/>
          <w:sz w:val="16"/>
          <w:szCs w:val="16"/>
        </w:rPr>
        <w:t>Cfr</w:t>
      </w:r>
      <w:r w:rsidRPr="007F34D7">
        <w:rPr>
          <w:rFonts w:eastAsia="Verdana" w:cs="Verdana"/>
          <w:sz w:val="16"/>
          <w:szCs w:val="16"/>
        </w:rPr>
        <w:t xml:space="preserve">. Declaración de </w:t>
      </w:r>
      <w:proofErr w:type="spellStart"/>
      <w:r w:rsidRPr="007F34D7">
        <w:rPr>
          <w:rFonts w:eastAsia="Verdana" w:cs="Verdana"/>
          <w:sz w:val="16"/>
          <w:szCs w:val="16"/>
        </w:rPr>
        <w:t>Jim</w:t>
      </w:r>
      <w:r>
        <w:rPr>
          <w:rFonts w:eastAsia="Verdana" w:cs="Verdana"/>
          <w:sz w:val="16"/>
          <w:szCs w:val="16"/>
        </w:rPr>
        <w:t>y</w:t>
      </w:r>
      <w:proofErr w:type="spellEnd"/>
      <w:r>
        <w:rPr>
          <w:rFonts w:eastAsia="Verdana" w:cs="Verdana"/>
          <w:sz w:val="16"/>
          <w:szCs w:val="16"/>
        </w:rPr>
        <w:t xml:space="preserve"> Pacheco rendida ante la Corte y </w:t>
      </w:r>
      <w:r>
        <w:rPr>
          <w:sz w:val="16"/>
          <w:szCs w:val="16"/>
        </w:rPr>
        <w:t>D</w:t>
      </w:r>
      <w:r w:rsidRPr="007F34D7">
        <w:rPr>
          <w:sz w:val="16"/>
          <w:szCs w:val="16"/>
        </w:rPr>
        <w:t>eclaración de José Pacheco rendida ante la Corte el 23 de m</w:t>
      </w:r>
      <w:r>
        <w:rPr>
          <w:sz w:val="16"/>
          <w:szCs w:val="16"/>
        </w:rPr>
        <w:t>arzo</w:t>
      </w:r>
      <w:r w:rsidRPr="007F34D7">
        <w:rPr>
          <w:sz w:val="16"/>
          <w:szCs w:val="16"/>
        </w:rPr>
        <w:t xml:space="preserve"> de 2017</w:t>
      </w:r>
      <w:r>
        <w:rPr>
          <w:sz w:val="16"/>
          <w:szCs w:val="16"/>
        </w:rPr>
        <w:t xml:space="preserve"> en la audiencia pública</w:t>
      </w:r>
      <w:r w:rsidRPr="007F34D7">
        <w:rPr>
          <w:sz w:val="16"/>
          <w:szCs w:val="16"/>
        </w:rPr>
        <w:t>.</w:t>
      </w:r>
    </w:p>
  </w:footnote>
  <w:footnote w:id="27">
    <w:p w14:paraId="7A40301A" w14:textId="16BCBC41" w:rsidR="00E02FDB" w:rsidRPr="007B43FC" w:rsidRDefault="00E02FDB" w:rsidP="008A2AE0">
      <w:pPr>
        <w:pStyle w:val="FootnoteText"/>
        <w:rPr>
          <w:lang w:val="es-ES"/>
        </w:rPr>
      </w:pPr>
      <w:r w:rsidRPr="007B43FC">
        <w:rPr>
          <w:rStyle w:val="FootnoteReference"/>
        </w:rPr>
        <w:footnoteRef/>
      </w:r>
      <w:r w:rsidRPr="007B43FC">
        <w:t xml:space="preserve"> </w:t>
      </w:r>
      <w:r>
        <w:tab/>
      </w:r>
      <w:r>
        <w:rPr>
          <w:lang w:val="es-ES"/>
        </w:rPr>
        <w:t>A</w:t>
      </w:r>
      <w:r w:rsidRPr="007B43FC">
        <w:rPr>
          <w:lang w:val="es-ES"/>
        </w:rPr>
        <w:t>lgunas declaraciones de ese per</w:t>
      </w:r>
      <w:r w:rsidRPr="007B43FC">
        <w:rPr>
          <w:rFonts w:cs="Calibri"/>
          <w:lang w:val="es-ES"/>
        </w:rPr>
        <w:t>í</w:t>
      </w:r>
      <w:r w:rsidRPr="007B43FC">
        <w:rPr>
          <w:lang w:val="es-ES"/>
        </w:rPr>
        <w:t>odo y otras posteriores se rese</w:t>
      </w:r>
      <w:r w:rsidRPr="007B43FC">
        <w:rPr>
          <w:rFonts w:cs="Calibri"/>
          <w:lang w:val="es-ES"/>
        </w:rPr>
        <w:t>ñ</w:t>
      </w:r>
      <w:r w:rsidRPr="007B43FC">
        <w:rPr>
          <w:lang w:val="es-ES"/>
        </w:rPr>
        <w:t>an en el apartado correspondiente al examen de las violaciones alegadas respecto de los art</w:t>
      </w:r>
      <w:r w:rsidRPr="007B43FC">
        <w:rPr>
          <w:rFonts w:cs="Calibri"/>
          <w:lang w:val="es-ES"/>
        </w:rPr>
        <w:t>í</w:t>
      </w:r>
      <w:r w:rsidRPr="007B43FC">
        <w:rPr>
          <w:lang w:val="es-ES"/>
        </w:rPr>
        <w:t>culos 8</w:t>
      </w:r>
      <w:r>
        <w:rPr>
          <w:lang w:val="es-ES"/>
        </w:rPr>
        <w:t>.1</w:t>
      </w:r>
      <w:r w:rsidRPr="007B43FC">
        <w:rPr>
          <w:lang w:val="es-ES"/>
        </w:rPr>
        <w:t xml:space="preserve"> y 25</w:t>
      </w:r>
      <w:r>
        <w:rPr>
          <w:lang w:val="es-ES"/>
        </w:rPr>
        <w:t>.1</w:t>
      </w:r>
      <w:r w:rsidRPr="007B43FC">
        <w:rPr>
          <w:lang w:val="es-ES"/>
        </w:rPr>
        <w:t xml:space="preserve"> de la Convenci</w:t>
      </w:r>
      <w:r w:rsidRPr="007B43FC">
        <w:rPr>
          <w:rFonts w:cs="Calibri"/>
          <w:lang w:val="es-ES"/>
        </w:rPr>
        <w:t>ó</w:t>
      </w:r>
      <w:r w:rsidRPr="007B43FC">
        <w:rPr>
          <w:lang w:val="es-ES"/>
        </w:rPr>
        <w:t xml:space="preserve">n. </w:t>
      </w:r>
    </w:p>
  </w:footnote>
  <w:footnote w:id="28">
    <w:p w14:paraId="0B823F9F" w14:textId="3260D003"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Nota del Jefe de Departamentos de Homicidios de la DGIC al Secretario Ejecutivo de la DGIC de 11 de octubre de 200</w:t>
      </w:r>
      <w:r>
        <w:t>4 (expediente de prueba, a</w:t>
      </w:r>
      <w:r w:rsidRPr="007B43FC">
        <w:t>nexo 1 a la contestaci</w:t>
      </w:r>
      <w:r w:rsidRPr="007B43FC">
        <w:rPr>
          <w:rFonts w:cs="Calibri"/>
        </w:rPr>
        <w:t>ó</w:t>
      </w:r>
      <w:r w:rsidRPr="007B43FC">
        <w:t>n, fs. 2101 a 2103).</w:t>
      </w:r>
    </w:p>
  </w:footnote>
  <w:footnote w:id="29">
    <w:p w14:paraId="1ECF7913" w14:textId="3F9C4320" w:rsidR="00E02FDB" w:rsidRPr="007B43FC" w:rsidRDefault="00E02FDB" w:rsidP="008A2AE0">
      <w:pPr>
        <w:pStyle w:val="FootnoteText"/>
      </w:pPr>
      <w:r w:rsidRPr="007B43FC">
        <w:rPr>
          <w:rStyle w:val="FootnoteReference"/>
        </w:rPr>
        <w:footnoteRef/>
      </w:r>
      <w:r w:rsidRPr="007B43FC">
        <w:t xml:space="preserve"> </w:t>
      </w:r>
      <w:r>
        <w:tab/>
      </w:r>
      <w:r w:rsidRPr="007B43FC">
        <w:t>El mismo, en consideraci</w:t>
      </w:r>
      <w:r w:rsidRPr="007B43FC">
        <w:rPr>
          <w:rFonts w:cs="Calibri"/>
        </w:rPr>
        <w:t>ó</w:t>
      </w:r>
      <w:r w:rsidRPr="007B43FC">
        <w:t>n del Estado “por definici</w:t>
      </w:r>
      <w:r w:rsidRPr="007B43FC">
        <w:rPr>
          <w:rFonts w:cs="Calibri"/>
        </w:rPr>
        <w:t>ó</w:t>
      </w:r>
      <w:r w:rsidRPr="007B43FC">
        <w:t>n era m</w:t>
      </w:r>
      <w:r w:rsidRPr="007B43FC">
        <w:rPr>
          <w:rFonts w:cs="Calibri"/>
        </w:rPr>
        <w:t>á</w:t>
      </w:r>
      <w:r w:rsidRPr="007B43FC">
        <w:t>s lento” que el sistema acusatorio implementado despu</w:t>
      </w:r>
      <w:r w:rsidRPr="007B43FC">
        <w:rPr>
          <w:rFonts w:cs="Calibri"/>
        </w:rPr>
        <w:t>é</w:t>
      </w:r>
      <w:r w:rsidRPr="007B43FC">
        <w:t>s. Conforme inform</w:t>
      </w:r>
      <w:r w:rsidRPr="007B43FC">
        <w:rPr>
          <w:rFonts w:cs="Calibri"/>
        </w:rPr>
        <w:t>ó</w:t>
      </w:r>
      <w:r w:rsidRPr="007B43FC">
        <w:t xml:space="preserve"> Honduras, “en la fecha de la comisi</w:t>
      </w:r>
      <w:r w:rsidRPr="007B43FC">
        <w:rPr>
          <w:rFonts w:cs="Calibri"/>
        </w:rPr>
        <w:t>ó</w:t>
      </w:r>
      <w:r w:rsidRPr="007B43FC">
        <w:t>n del hecho, se encontraba vigente el C</w:t>
      </w:r>
      <w:r w:rsidRPr="007B43FC">
        <w:rPr>
          <w:rFonts w:cs="Calibri"/>
        </w:rPr>
        <w:t>ó</w:t>
      </w:r>
      <w:r w:rsidRPr="007B43FC">
        <w:t xml:space="preserve">digo de Procedimientos Penales, Decreto No. 189-84 de 24 de octubre de 1984 y publicado en el Diario Oficial La Gaceta el 27 de febrero de 1985[. </w:t>
      </w:r>
      <w:r w:rsidRPr="007B43FC">
        <w:rPr>
          <w:rFonts w:cs="Calibri"/>
        </w:rPr>
        <w:t>…</w:t>
      </w:r>
      <w:r w:rsidRPr="007B43FC">
        <w:t xml:space="preserve">] En la actualidad rige un proceso penal de corte acusatorio, desde </w:t>
      </w:r>
      <w:r>
        <w:t>l</w:t>
      </w:r>
      <w:r w:rsidRPr="007B43FC">
        <w:t>a entrada en vigencia del actual C</w:t>
      </w:r>
      <w:r w:rsidRPr="007B43FC">
        <w:rPr>
          <w:rFonts w:cs="Calibri"/>
        </w:rPr>
        <w:t>ó</w:t>
      </w:r>
      <w:r w:rsidRPr="007B43FC">
        <w:t>digo Procesal Penal que fue aprobado mediante Decreto No. 9-99-E del 19 de diciembre de 1999 y publicado en el Diario Oficial La Gaceta el 20 de mayo del 2000. Entrando en vigencia el 20 de febrero del a</w:t>
      </w:r>
      <w:r w:rsidRPr="007B43FC">
        <w:rPr>
          <w:rFonts w:cs="Calibri"/>
        </w:rPr>
        <w:t>ñ</w:t>
      </w:r>
      <w:r w:rsidRPr="007B43FC">
        <w:t>o 2002”</w:t>
      </w:r>
      <w:r>
        <w:t>.</w:t>
      </w:r>
      <w:r w:rsidRPr="007B43FC">
        <w:t xml:space="preserve"> </w:t>
      </w:r>
    </w:p>
  </w:footnote>
  <w:footnote w:id="30">
    <w:p w14:paraId="18649E3A" w14:textId="71BFCD06"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Nota del Jefe de Departamentos de Homicidios de la DGIC</w:t>
      </w:r>
      <w:r>
        <w:t xml:space="preserve"> de 11 de octubre de 2004</w:t>
      </w:r>
      <w:r w:rsidRPr="007B43FC">
        <w:t xml:space="preserve">. </w:t>
      </w:r>
    </w:p>
  </w:footnote>
  <w:footnote w:id="31">
    <w:p w14:paraId="6716E61E" w14:textId="18B5C514" w:rsidR="00E02FDB" w:rsidRPr="007B43FC" w:rsidRDefault="00E02FDB" w:rsidP="008A2AE0">
      <w:pPr>
        <w:pStyle w:val="FootnoteText"/>
      </w:pPr>
      <w:r w:rsidRPr="007B43FC">
        <w:rPr>
          <w:rStyle w:val="FootnoteReference"/>
        </w:rPr>
        <w:footnoteRef/>
      </w:r>
      <w:r w:rsidRPr="007B43FC">
        <w:t xml:space="preserve"> </w:t>
      </w:r>
      <w:r>
        <w:tab/>
      </w:r>
      <w:r w:rsidRPr="007B43FC">
        <w:t>Antes, como “no exist</w:t>
      </w:r>
      <w:r w:rsidRPr="007B43FC">
        <w:rPr>
          <w:rFonts w:cs="Calibri"/>
        </w:rPr>
        <w:t>í</w:t>
      </w:r>
      <w:r w:rsidRPr="007B43FC">
        <w:t>a la de Nacaome”, el tr</w:t>
      </w:r>
      <w:r w:rsidRPr="007B43FC">
        <w:rPr>
          <w:rFonts w:cs="Calibri"/>
        </w:rPr>
        <w:t>á</w:t>
      </w:r>
      <w:r w:rsidRPr="007B43FC">
        <w:t>mite hab</w:t>
      </w:r>
      <w:r w:rsidRPr="007B43FC">
        <w:rPr>
          <w:rFonts w:cs="Calibri"/>
        </w:rPr>
        <w:t>í</w:t>
      </w:r>
      <w:r w:rsidRPr="007B43FC">
        <w:t xml:space="preserve">a permanecido “desde su inicio” en “la regional de Choluteca”. </w:t>
      </w:r>
      <w:r w:rsidRPr="007B43FC">
        <w:rPr>
          <w:i/>
        </w:rPr>
        <w:t>Cfr.</w:t>
      </w:r>
      <w:r w:rsidRPr="007B43FC">
        <w:t xml:space="preserve"> Informe de 10 de enero de 2004, remitido por el Jefe de la Secci</w:t>
      </w:r>
      <w:r w:rsidRPr="007B43FC">
        <w:rPr>
          <w:rFonts w:cs="Calibri"/>
        </w:rPr>
        <w:t>ó</w:t>
      </w:r>
      <w:r w:rsidRPr="007B43FC">
        <w:t>n Delitos Contra la Vida de la DGIC a un “Vice Mi</w:t>
      </w:r>
      <w:r>
        <w:t>nistro” (expediente de prueba, a</w:t>
      </w:r>
      <w:r w:rsidRPr="007B43FC">
        <w:t>nexo 1 a la contestaci</w:t>
      </w:r>
      <w:r w:rsidRPr="007B43FC">
        <w:rPr>
          <w:rFonts w:cs="Calibri"/>
        </w:rPr>
        <w:t>ó</w:t>
      </w:r>
      <w:r w:rsidRPr="007B43FC">
        <w:t>n, fs</w:t>
      </w:r>
      <w:r>
        <w:t>.</w:t>
      </w:r>
      <w:r w:rsidRPr="007B43FC">
        <w:t xml:space="preserve"> 2110 a 2112). </w:t>
      </w:r>
    </w:p>
  </w:footnote>
  <w:footnote w:id="32">
    <w:p w14:paraId="7486FEF0" w14:textId="1C7A2155"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Escrito</w:t>
      </w:r>
      <w:r>
        <w:t xml:space="preserve"> de</w:t>
      </w:r>
      <w:r w:rsidRPr="007B43FC">
        <w:t xml:space="preserve"> recusaci</w:t>
      </w:r>
      <w:r w:rsidRPr="007B43FC">
        <w:rPr>
          <w:rFonts w:cs="Calibri"/>
        </w:rPr>
        <w:t>ó</w:t>
      </w:r>
      <w:r w:rsidRPr="007B43FC">
        <w:t>n de 18 de enero de 200</w:t>
      </w:r>
      <w:r>
        <w:t>5 (expediente de prueba, a</w:t>
      </w:r>
      <w:r w:rsidRPr="007B43FC">
        <w:t>nexo 2 a la contestaci</w:t>
      </w:r>
      <w:r w:rsidRPr="007B43FC">
        <w:rPr>
          <w:rFonts w:cs="Calibri"/>
        </w:rPr>
        <w:t>ó</w:t>
      </w:r>
      <w:r w:rsidRPr="007B43FC">
        <w:t>n, fs. 2548 a 2</w:t>
      </w:r>
      <w:r>
        <w:t>5</w:t>
      </w:r>
      <w:r w:rsidRPr="007B43FC">
        <w:t xml:space="preserve">50). </w:t>
      </w:r>
    </w:p>
  </w:footnote>
  <w:footnote w:id="33">
    <w:p w14:paraId="79EF288E" w14:textId="777CFDF6" w:rsidR="00E02FDB" w:rsidRPr="007B43FC" w:rsidRDefault="00E02FDB" w:rsidP="008A2AE0">
      <w:pPr>
        <w:pStyle w:val="FootnoteText"/>
      </w:pPr>
      <w:r w:rsidRPr="007B43FC">
        <w:rPr>
          <w:rStyle w:val="FootnoteReference"/>
        </w:rPr>
        <w:footnoteRef/>
      </w:r>
      <w:r w:rsidRPr="007B43FC">
        <w:t xml:space="preserve"> </w:t>
      </w:r>
      <w:r>
        <w:tab/>
      </w:r>
      <w:r w:rsidRPr="007B43FC">
        <w:rPr>
          <w:i/>
        </w:rPr>
        <w:t xml:space="preserve">Cfr. </w:t>
      </w:r>
      <w:r w:rsidRPr="007B43FC">
        <w:t xml:space="preserve">Oficio FRCH-OD-118-2014 de 6 de junio </w:t>
      </w:r>
      <w:r>
        <w:t>de 2014 (expediente de prueba, a</w:t>
      </w:r>
      <w:r w:rsidRPr="007B43FC">
        <w:t>nexo 2 a la contestaci</w:t>
      </w:r>
      <w:r w:rsidRPr="007B43FC">
        <w:rPr>
          <w:rFonts w:cs="Calibri"/>
        </w:rPr>
        <w:t>ó</w:t>
      </w:r>
      <w:r w:rsidRPr="007B43FC">
        <w:t>n, fs. 2587 y 2588).</w:t>
      </w:r>
      <w:r w:rsidRPr="007B43FC">
        <w:rPr>
          <w:rFonts w:cs="Cambria"/>
        </w:rPr>
        <w:t xml:space="preserve"> Dicho Fiscal, en dos documentos diversos, expres</w:t>
      </w:r>
      <w:r w:rsidRPr="007B43FC">
        <w:rPr>
          <w:rFonts w:cs="Calibri"/>
        </w:rPr>
        <w:t>ó</w:t>
      </w:r>
      <w:r w:rsidRPr="007B43FC">
        <w:rPr>
          <w:rFonts w:cs="Cambria"/>
        </w:rPr>
        <w:t xml:space="preserve"> fechas distintas respecto a cu</w:t>
      </w:r>
      <w:r w:rsidRPr="007B43FC">
        <w:rPr>
          <w:rFonts w:cs="Calibri"/>
        </w:rPr>
        <w:t>á</w:t>
      </w:r>
      <w:r w:rsidRPr="007B43FC">
        <w:rPr>
          <w:rFonts w:cs="Cambria"/>
        </w:rPr>
        <w:t>ndo el caso se le hab</w:t>
      </w:r>
      <w:r w:rsidRPr="007B43FC">
        <w:rPr>
          <w:rFonts w:cs="Calibri"/>
        </w:rPr>
        <w:t>í</w:t>
      </w:r>
      <w:r>
        <w:rPr>
          <w:rFonts w:cs="Cambria"/>
        </w:rPr>
        <w:t>a asignado, indicó</w:t>
      </w:r>
      <w:r w:rsidRPr="007B43FC">
        <w:rPr>
          <w:rFonts w:cs="Cambria"/>
        </w:rPr>
        <w:t xml:space="preserve"> en uno que fue “en febrero de 2005” (</w:t>
      </w:r>
      <w:r>
        <w:rPr>
          <w:i/>
        </w:rPr>
        <w:t>c</w:t>
      </w:r>
      <w:r w:rsidRPr="007B43FC">
        <w:rPr>
          <w:i/>
        </w:rPr>
        <w:t>fr.</w:t>
      </w:r>
      <w:r w:rsidRPr="007B43FC">
        <w:t xml:space="preserve"> Oficio FRCH-0D-89-2015 de 22 de abril de 2015</w:t>
      </w:r>
      <w:r>
        <w:t>;</w:t>
      </w:r>
      <w:r w:rsidRPr="007B43FC">
        <w:t xml:space="preserve"> </w:t>
      </w:r>
      <w:r>
        <w:t>expediente de prueba, a</w:t>
      </w:r>
      <w:r w:rsidRPr="007B43FC">
        <w:t>nexo 2 a la contestaci</w:t>
      </w:r>
      <w:r w:rsidRPr="007B43FC">
        <w:rPr>
          <w:rFonts w:cs="Calibri"/>
        </w:rPr>
        <w:t>ó</w:t>
      </w:r>
      <w:r w:rsidRPr="007B43FC">
        <w:t>n, fs. 2590 y 2591)</w:t>
      </w:r>
      <w:r w:rsidRPr="007B43FC">
        <w:rPr>
          <w:rFonts w:cs="Cambria"/>
        </w:rPr>
        <w:t>, y en otro que fue el “21 de mayo de 2007” (</w:t>
      </w:r>
      <w:r>
        <w:rPr>
          <w:i/>
        </w:rPr>
        <w:t>c</w:t>
      </w:r>
      <w:r w:rsidRPr="007B43FC">
        <w:rPr>
          <w:i/>
        </w:rPr>
        <w:t xml:space="preserve">fr. </w:t>
      </w:r>
      <w:r w:rsidRPr="007B43FC">
        <w:t>Oficio FRCH-OD-118-2014 de 6 de junio de 2014</w:t>
      </w:r>
      <w:r>
        <w:t>;</w:t>
      </w:r>
      <w:r w:rsidRPr="007B43FC">
        <w:t xml:space="preserve"> </w:t>
      </w:r>
      <w:r>
        <w:t>expediente de prueba, a</w:t>
      </w:r>
      <w:r w:rsidRPr="007B43FC">
        <w:t>nexo 2 a la contestaci</w:t>
      </w:r>
      <w:r w:rsidRPr="007B43FC">
        <w:rPr>
          <w:rFonts w:cs="Calibri"/>
        </w:rPr>
        <w:t>ó</w:t>
      </w:r>
      <w:r>
        <w:t>n, fs. 2587 y 2588</w:t>
      </w:r>
      <w:r w:rsidRPr="007B43FC">
        <w:t>)</w:t>
      </w:r>
      <w:r w:rsidRPr="007B43FC">
        <w:rPr>
          <w:rFonts w:cs="Cambria"/>
        </w:rPr>
        <w:t>.</w:t>
      </w:r>
    </w:p>
  </w:footnote>
  <w:footnote w:id="34">
    <w:p w14:paraId="66F3DB07" w14:textId="0D6DB9C1" w:rsidR="00E02FDB" w:rsidRPr="007B43FC" w:rsidRDefault="00E02FDB" w:rsidP="008A2AE0">
      <w:pPr>
        <w:pStyle w:val="FootnoteText"/>
      </w:pPr>
      <w:r w:rsidRPr="007B43FC">
        <w:rPr>
          <w:rStyle w:val="FootnoteReference"/>
        </w:rPr>
        <w:footnoteRef/>
      </w:r>
      <w:r w:rsidRPr="007B43FC">
        <w:t xml:space="preserve"> </w:t>
      </w:r>
      <w:r>
        <w:tab/>
      </w:r>
      <w:r w:rsidRPr="007B43FC">
        <w:rPr>
          <w:i/>
        </w:rPr>
        <w:t xml:space="preserve">Cfr. </w:t>
      </w:r>
      <w:r w:rsidRPr="007B43FC">
        <w:t>Oficio FRCH-OD-118-2014.</w:t>
      </w:r>
    </w:p>
  </w:footnote>
  <w:footnote w:id="35">
    <w:p w14:paraId="342676BB" w14:textId="7FEC3BEA" w:rsidR="00E02FDB" w:rsidRPr="007B43FC" w:rsidRDefault="00E02FDB" w:rsidP="008A2AE0">
      <w:pPr>
        <w:pStyle w:val="FootnoteText"/>
      </w:pPr>
      <w:r w:rsidRPr="007B43FC">
        <w:rPr>
          <w:rStyle w:val="FootnoteReference"/>
        </w:rPr>
        <w:footnoteRef/>
      </w:r>
      <w:r w:rsidRPr="007B43FC">
        <w:t xml:space="preserve"> </w:t>
      </w:r>
      <w:r>
        <w:tab/>
      </w:r>
      <w:r w:rsidRPr="007B43FC">
        <w:rPr>
          <w:rFonts w:cs="Arial"/>
          <w:color w:val="0F0F0F"/>
        </w:rPr>
        <w:t>Comunicaci</w:t>
      </w:r>
      <w:r w:rsidRPr="007B43FC">
        <w:rPr>
          <w:rFonts w:cs="Calibri"/>
          <w:color w:val="0F0F0F"/>
        </w:rPr>
        <w:t>ó</w:t>
      </w:r>
      <w:r w:rsidRPr="007B43FC">
        <w:rPr>
          <w:rFonts w:cs="Arial"/>
          <w:color w:val="0F0F0F"/>
        </w:rPr>
        <w:t xml:space="preserve">n de los peticionarios entregada en audiencia ante </w:t>
      </w:r>
      <w:r w:rsidRPr="007B43FC">
        <w:rPr>
          <w:rFonts w:cs="Arial"/>
          <w:color w:val="242424"/>
        </w:rPr>
        <w:t xml:space="preserve">la </w:t>
      </w:r>
      <w:r>
        <w:rPr>
          <w:rFonts w:cs="Arial"/>
          <w:color w:val="0F0F0F"/>
        </w:rPr>
        <w:t>Comisión</w:t>
      </w:r>
      <w:r w:rsidRPr="007B43FC">
        <w:rPr>
          <w:rFonts w:cs="Arial"/>
          <w:color w:val="0F0F0F"/>
        </w:rPr>
        <w:t xml:space="preserve"> el 30 de octubre de 2014 </w:t>
      </w:r>
      <w:r w:rsidRPr="007B43FC">
        <w:rPr>
          <w:rFonts w:cs="Times New Roman"/>
          <w:color w:val="0F0F0F"/>
        </w:rPr>
        <w:t>(</w:t>
      </w:r>
      <w:r>
        <w:rPr>
          <w:rFonts w:cs="Times New Roman"/>
          <w:color w:val="0F0F0F"/>
        </w:rPr>
        <w:t>e</w:t>
      </w:r>
      <w:r w:rsidRPr="007B43FC">
        <w:rPr>
          <w:rFonts w:cs="Times New Roman"/>
          <w:color w:val="0F0F0F"/>
        </w:rPr>
        <w:t>xpediente de prueba, anexo 4 al I</w:t>
      </w:r>
      <w:r>
        <w:rPr>
          <w:rFonts w:cs="Times New Roman"/>
          <w:color w:val="0F0F0F"/>
        </w:rPr>
        <w:t>nforme de Fondo, fs. 339 a 352), y</w:t>
      </w:r>
      <w:r w:rsidRPr="007B43FC">
        <w:t xml:space="preserve"> Memor</w:t>
      </w:r>
      <w:r w:rsidRPr="007B43FC">
        <w:rPr>
          <w:rFonts w:cs="Calibri"/>
        </w:rPr>
        <w:t>á</w:t>
      </w:r>
      <w:r w:rsidRPr="007B43FC">
        <w:t>ndum de 6 de junio de 2014 remitido por el Coordinador Regional de Fiscales, Zona Sur a un Fiscal Titular del Ministerio P</w:t>
      </w:r>
      <w:r w:rsidRPr="007B43FC">
        <w:rPr>
          <w:rFonts w:cs="Calibri"/>
        </w:rPr>
        <w:t>ú</w:t>
      </w:r>
      <w:r w:rsidRPr="007B43FC">
        <w:t xml:space="preserve">blico (expediente de prueba, </w:t>
      </w:r>
      <w:r>
        <w:t>a</w:t>
      </w:r>
      <w:r w:rsidRPr="007B43FC">
        <w:t>nexo 2 a la contestaci</w:t>
      </w:r>
      <w:r w:rsidRPr="007B43FC">
        <w:rPr>
          <w:rFonts w:cs="Calibri"/>
        </w:rPr>
        <w:t>ó</w:t>
      </w:r>
      <w:r w:rsidRPr="007B43FC">
        <w:t>n, f. 2584).</w:t>
      </w:r>
      <w:r>
        <w:t xml:space="preserve"> En su declaración por </w:t>
      </w:r>
      <w:r w:rsidRPr="00E37239">
        <w:rPr>
          <w:i/>
        </w:rPr>
        <w:t>a</w:t>
      </w:r>
      <w:r w:rsidRPr="00AD021A">
        <w:rPr>
          <w:i/>
        </w:rPr>
        <w:t>ffidávit</w:t>
      </w:r>
      <w:r>
        <w:t xml:space="preserve">, </w:t>
      </w:r>
      <w:proofErr w:type="spellStart"/>
      <w:r>
        <w:t>Marleny</w:t>
      </w:r>
      <w:proofErr w:type="spellEnd"/>
      <w:r>
        <w:t xml:space="preserve"> Pacheco Posadas expresó que la Fiscal de la Fiscalía de Derechos Humanos que inicialmente estaba llevando el caso fue separada de su cargo “pocos días después [de] que había reorientado la investigación”, y que por tal motivo ella (</w:t>
      </w:r>
      <w:proofErr w:type="spellStart"/>
      <w:r>
        <w:t>Marleny</w:t>
      </w:r>
      <w:proofErr w:type="spellEnd"/>
      <w:r>
        <w:t xml:space="preserve"> Pacheco Posadas) solicitó por escrito al Fiscal General de la República la reconsideración de tal remoción, sin obtener respuesta</w:t>
      </w:r>
      <w:r w:rsidRPr="00333448">
        <w:t xml:space="preserve"> </w:t>
      </w:r>
      <w:r w:rsidRPr="00491593">
        <w:t xml:space="preserve">(expediente de </w:t>
      </w:r>
      <w:r w:rsidRPr="00491593">
        <w:rPr>
          <w:i/>
        </w:rPr>
        <w:t xml:space="preserve">affidavits </w:t>
      </w:r>
      <w:r w:rsidRPr="00491593">
        <w:t>y peritajes, fs. 2712 a 2719).</w:t>
      </w:r>
    </w:p>
  </w:footnote>
  <w:footnote w:id="36">
    <w:p w14:paraId="42A5BFF2" w14:textId="55D9EF11" w:rsidR="00E02FDB" w:rsidRPr="007B43FC" w:rsidRDefault="00E02FDB" w:rsidP="008A2AE0">
      <w:pPr>
        <w:pStyle w:val="FootnoteText"/>
      </w:pPr>
      <w:r w:rsidRPr="007B43FC">
        <w:rPr>
          <w:rStyle w:val="FootnoteReference"/>
        </w:rPr>
        <w:footnoteRef/>
      </w:r>
      <w:r w:rsidRPr="007B43FC">
        <w:t xml:space="preserve"> </w:t>
      </w:r>
      <w:r>
        <w:tab/>
      </w:r>
      <w:r w:rsidRPr="007B43FC">
        <w:t>Prove</w:t>
      </w:r>
      <w:r w:rsidRPr="007B43FC">
        <w:rPr>
          <w:rFonts w:cs="Calibri"/>
        </w:rPr>
        <w:t>í</w:t>
      </w:r>
      <w:r w:rsidRPr="007B43FC">
        <w:t>do del Juzgado de Letras Seccional de Nacaome, Departamento de Valle, de 24 de noviembre de 2001</w:t>
      </w:r>
      <w:r>
        <w:t xml:space="preserve">. </w:t>
      </w:r>
      <w:r w:rsidRPr="007B43FC">
        <w:rPr>
          <w:rFonts w:cs="Arial"/>
          <w:color w:val="0F0F0F"/>
        </w:rPr>
        <w:t>Anexo a la comunicaci</w:t>
      </w:r>
      <w:r w:rsidRPr="007B43FC">
        <w:rPr>
          <w:rFonts w:cs="Calibri"/>
          <w:color w:val="0F0F0F"/>
        </w:rPr>
        <w:t>ó</w:t>
      </w:r>
      <w:r w:rsidRPr="007B43FC">
        <w:rPr>
          <w:rFonts w:cs="Arial"/>
          <w:color w:val="0F0F0F"/>
        </w:rPr>
        <w:t>n de los peticionarios de 25 de agosto de 2004</w:t>
      </w:r>
      <w:r>
        <w:rPr>
          <w:rFonts w:cs="Times New Roman"/>
          <w:color w:val="0F0F0F"/>
        </w:rPr>
        <w:t xml:space="preserve"> (expediente de prueba, anexo 2 al Informe de Fondo,</w:t>
      </w:r>
      <w:r w:rsidRPr="007B43FC">
        <w:rPr>
          <w:rFonts w:cs="Times New Roman"/>
          <w:color w:val="0F0F0F"/>
        </w:rPr>
        <w:t xml:space="preserve"> fs. </w:t>
      </w:r>
      <w:r>
        <w:rPr>
          <w:rFonts w:cs="Times New Roman"/>
          <w:color w:val="0F0F0F"/>
        </w:rPr>
        <w:t>140 a 141).</w:t>
      </w:r>
      <w:r w:rsidRPr="007B43FC">
        <w:rPr>
          <w:rFonts w:cs="Times New Roman"/>
          <w:color w:val="0F0F0F"/>
        </w:rPr>
        <w:t xml:space="preserve"> </w:t>
      </w:r>
    </w:p>
  </w:footnote>
  <w:footnote w:id="37">
    <w:p w14:paraId="6BC182D9" w14:textId="279FD96B" w:rsidR="00E02FDB" w:rsidRPr="006E7225"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Informe sobre reconocimiento de cad</w:t>
      </w:r>
      <w:r w:rsidRPr="007B43FC">
        <w:rPr>
          <w:rFonts w:cs="Calibri"/>
        </w:rPr>
        <w:t>á</w:t>
      </w:r>
      <w:r w:rsidRPr="007B43FC">
        <w:t xml:space="preserve">ver, de 24 de noviembre </w:t>
      </w:r>
      <w:r>
        <w:t>de 2001 (expediente de prueba, a</w:t>
      </w:r>
      <w:r w:rsidRPr="007B43FC">
        <w:t>nexo 1</w:t>
      </w:r>
      <w:r>
        <w:t xml:space="preserve"> a la contestación</w:t>
      </w:r>
      <w:r w:rsidRPr="007B43FC">
        <w:t>, fs. 2147 a 2149). El informe indica</w:t>
      </w:r>
      <w:r>
        <w:t xml:space="preserve"> que a</w:t>
      </w:r>
      <w:r w:rsidRPr="007B43FC">
        <w:t xml:space="preserve"> la 1</w:t>
      </w:r>
      <w:r>
        <w:t>:</w:t>
      </w:r>
      <w:r w:rsidRPr="007B43FC">
        <w:t>10 a</w:t>
      </w:r>
      <w:r>
        <w:t>.</w:t>
      </w:r>
      <w:r w:rsidRPr="007B43FC">
        <w:t>m</w:t>
      </w:r>
      <w:r>
        <w:t>.</w:t>
      </w:r>
      <w:r w:rsidRPr="007B43FC">
        <w:t xml:space="preserve"> un polic</w:t>
      </w:r>
      <w:r w:rsidRPr="007B43FC">
        <w:rPr>
          <w:rFonts w:cs="Calibri"/>
        </w:rPr>
        <w:t>í</w:t>
      </w:r>
      <w:r w:rsidRPr="007B43FC">
        <w:t>a preventivo inform</w:t>
      </w:r>
      <w:r w:rsidRPr="007B43FC">
        <w:rPr>
          <w:rFonts w:cs="Calibri"/>
        </w:rPr>
        <w:t>ó</w:t>
      </w:r>
      <w:r w:rsidRPr="007B43FC">
        <w:t xml:space="preserve"> a la “Secci</w:t>
      </w:r>
      <w:r w:rsidRPr="007B43FC">
        <w:rPr>
          <w:rFonts w:cs="Calibri"/>
        </w:rPr>
        <w:t>ó</w:t>
      </w:r>
      <w:r w:rsidRPr="007B43FC">
        <w:t>n Homicidios” de la DGIC sobre el homicidio del se</w:t>
      </w:r>
      <w:r w:rsidRPr="007B43FC">
        <w:rPr>
          <w:rFonts w:cs="Calibri"/>
        </w:rPr>
        <w:t>ñ</w:t>
      </w:r>
      <w:r w:rsidRPr="007B43FC">
        <w:t>or Pacheco, y que 50 minutos despu</w:t>
      </w:r>
      <w:r w:rsidRPr="007B43FC">
        <w:rPr>
          <w:rFonts w:cs="Calibri"/>
        </w:rPr>
        <w:t>é</w:t>
      </w:r>
      <w:r w:rsidRPr="007B43FC">
        <w:t>s personal policial arrib</w:t>
      </w:r>
      <w:r w:rsidRPr="007B43FC">
        <w:rPr>
          <w:rFonts w:cs="Calibri"/>
        </w:rPr>
        <w:t>ó</w:t>
      </w:r>
      <w:r w:rsidRPr="007B43FC">
        <w:t xml:space="preserve"> al Hospital San Lorenzo. De la lectura del documento no queda claro si el polic</w:t>
      </w:r>
      <w:r w:rsidRPr="007B43FC">
        <w:rPr>
          <w:rFonts w:cs="Calibri"/>
        </w:rPr>
        <w:t>í</w:t>
      </w:r>
      <w:r w:rsidRPr="007B43FC">
        <w:t>a preventivo tom</w:t>
      </w:r>
      <w:r w:rsidRPr="007B43FC">
        <w:rPr>
          <w:rFonts w:cs="Calibri"/>
        </w:rPr>
        <w:t>ó</w:t>
      </w:r>
      <w:r w:rsidRPr="007B43FC">
        <w:t xml:space="preserve"> conocimiento del hecho a la 1</w:t>
      </w:r>
      <w:r>
        <w:t>:</w:t>
      </w:r>
      <w:r w:rsidRPr="007B43FC">
        <w:t>10 a</w:t>
      </w:r>
      <w:r>
        <w:t>.</w:t>
      </w:r>
      <w:r w:rsidRPr="007B43FC">
        <w:t>m</w:t>
      </w:r>
      <w:r>
        <w:t>.</w:t>
      </w:r>
      <w:r w:rsidRPr="007B43FC">
        <w:t xml:space="preserve"> o si comunic</w:t>
      </w:r>
      <w:r w:rsidRPr="007B43FC">
        <w:rPr>
          <w:rFonts w:cs="Calibri"/>
        </w:rPr>
        <w:t>ó</w:t>
      </w:r>
      <w:r>
        <w:t xml:space="preserve"> </w:t>
      </w:r>
      <w:r w:rsidRPr="006E7225">
        <w:t>el mismo a</w:t>
      </w:r>
      <w:r>
        <w:t xml:space="preserve"> </w:t>
      </w:r>
      <w:r w:rsidRPr="006E7225">
        <w:t>l</w:t>
      </w:r>
      <w:r>
        <w:t>a</w:t>
      </w:r>
      <w:r w:rsidRPr="006E7225">
        <w:t xml:space="preserve"> “Secci</w:t>
      </w:r>
      <w:r w:rsidRPr="006E7225">
        <w:rPr>
          <w:rFonts w:cs="Calibri"/>
        </w:rPr>
        <w:t>ó</w:t>
      </w:r>
      <w:r w:rsidRPr="006E7225">
        <w:t xml:space="preserve">n Homicidios” a esa hora. </w:t>
      </w:r>
    </w:p>
  </w:footnote>
  <w:footnote w:id="38">
    <w:p w14:paraId="79C5BA29" w14:textId="3F37828F" w:rsidR="00E02FDB" w:rsidRPr="007B43FC" w:rsidRDefault="00E02FDB" w:rsidP="008A2AE0">
      <w:pPr>
        <w:pStyle w:val="FootnoteText"/>
      </w:pPr>
      <w:r w:rsidRPr="006E7225">
        <w:rPr>
          <w:rStyle w:val="FootnoteReference"/>
        </w:rPr>
        <w:footnoteRef/>
      </w:r>
      <w:r w:rsidRPr="006E7225">
        <w:t xml:space="preserve"> </w:t>
      </w:r>
      <w:r>
        <w:tab/>
      </w:r>
      <w:r w:rsidRPr="006E7225">
        <w:t>Diez casquillo</w:t>
      </w:r>
      <w:r>
        <w:t xml:space="preserve">s color dorado y uno plateado, </w:t>
      </w:r>
      <w:r w:rsidRPr="006E7225">
        <w:t>dos balas “</w:t>
      </w:r>
      <w:proofErr w:type="spellStart"/>
      <w:r w:rsidRPr="006E7225">
        <w:t>semi</w:t>
      </w:r>
      <w:proofErr w:type="spellEnd"/>
      <w:r w:rsidRPr="006E7225">
        <w:t xml:space="preserve"> deformadas”, fragmentos de bala y un cheque a nombre del se</w:t>
      </w:r>
      <w:r w:rsidRPr="006E7225">
        <w:rPr>
          <w:rFonts w:cs="Calibri"/>
        </w:rPr>
        <w:t>ñ</w:t>
      </w:r>
      <w:r w:rsidRPr="006E7225">
        <w:t xml:space="preserve">or </w:t>
      </w:r>
      <w:r>
        <w:t>GB</w:t>
      </w:r>
      <w:r w:rsidRPr="006E7225">
        <w:t>. Se encontr</w:t>
      </w:r>
      <w:r w:rsidRPr="006E7225">
        <w:rPr>
          <w:rFonts w:cs="Calibri"/>
        </w:rPr>
        <w:t>ó</w:t>
      </w:r>
      <w:r w:rsidRPr="006E7225">
        <w:t xml:space="preserve"> tambi</w:t>
      </w:r>
      <w:r w:rsidRPr="006E7225">
        <w:rPr>
          <w:rFonts w:cs="Calibri"/>
        </w:rPr>
        <w:t>é</w:t>
      </w:r>
      <w:r w:rsidRPr="006E7225">
        <w:t>n un reloj roto, un frasco con pastillas de menta, una lapicera, una camisa y documentos con n</w:t>
      </w:r>
      <w:r w:rsidRPr="006E7225">
        <w:rPr>
          <w:rFonts w:cs="Calibri"/>
        </w:rPr>
        <w:t>ú</w:t>
      </w:r>
      <w:r w:rsidRPr="006E7225">
        <w:t>meros telef</w:t>
      </w:r>
      <w:r w:rsidRPr="006E7225">
        <w:rPr>
          <w:rFonts w:cs="Calibri"/>
        </w:rPr>
        <w:t>ó</w:t>
      </w:r>
      <w:r w:rsidRPr="006E7225">
        <w:t>nicos</w:t>
      </w:r>
      <w:r>
        <w:t>.</w:t>
      </w:r>
      <w:r w:rsidRPr="006E7225">
        <w:t xml:space="preserve"> </w:t>
      </w:r>
      <w:r w:rsidRPr="006E7225">
        <w:rPr>
          <w:i/>
        </w:rPr>
        <w:t xml:space="preserve">Cfr. </w:t>
      </w:r>
      <w:r w:rsidRPr="007B43FC">
        <w:t>Prove</w:t>
      </w:r>
      <w:r w:rsidRPr="007B43FC">
        <w:rPr>
          <w:rFonts w:cs="Calibri"/>
        </w:rPr>
        <w:t>í</w:t>
      </w:r>
      <w:r w:rsidRPr="007B43FC">
        <w:t>do del Juzgado de Letras Seccional de Nacaome, Departamento de Valle, de 24 de noviembre de 2001</w:t>
      </w:r>
      <w:r>
        <w:rPr>
          <w:rFonts w:cs="Times New Roman"/>
          <w:color w:val="0F0F0F"/>
        </w:rPr>
        <w:t>;</w:t>
      </w:r>
      <w:r w:rsidRPr="006E7225">
        <w:rPr>
          <w:rFonts w:cs="Times New Roman"/>
          <w:color w:val="0F0F0F"/>
        </w:rPr>
        <w:t xml:space="preserve"> </w:t>
      </w:r>
      <w:r w:rsidRPr="006E7225">
        <w:t xml:space="preserve">Informe No. 195-2001 de la DGIC; </w:t>
      </w:r>
      <w:r>
        <w:t>I</w:t>
      </w:r>
      <w:r w:rsidRPr="006E7225">
        <w:t>nforme de 30 de noviembre de 2001 de un agente de investigaci</w:t>
      </w:r>
      <w:r w:rsidRPr="006E7225">
        <w:rPr>
          <w:rFonts w:cs="Calibri"/>
        </w:rPr>
        <w:t>ó</w:t>
      </w:r>
      <w:r w:rsidRPr="006E7225">
        <w:t xml:space="preserve">n de </w:t>
      </w:r>
      <w:r>
        <w:t>la DGIC (expediente de prueba, a</w:t>
      </w:r>
      <w:r w:rsidRPr="006E7225">
        <w:t>nexo 1 a la contestaci</w:t>
      </w:r>
      <w:r w:rsidRPr="006E7225">
        <w:rPr>
          <w:rFonts w:cs="Calibri"/>
        </w:rPr>
        <w:t>ó</w:t>
      </w:r>
      <w:r w:rsidRPr="006E7225">
        <w:t xml:space="preserve">n, f. 2221), y nota de 24 de noviembre de 2001 </w:t>
      </w:r>
      <w:r>
        <w:t xml:space="preserve">de </w:t>
      </w:r>
      <w:r w:rsidRPr="006E7225">
        <w:t>un agente de investigaci</w:t>
      </w:r>
      <w:r w:rsidRPr="006E7225">
        <w:rPr>
          <w:rFonts w:cs="Calibri"/>
        </w:rPr>
        <w:t>ó</w:t>
      </w:r>
      <w:r w:rsidRPr="006E7225">
        <w:t xml:space="preserve">n </w:t>
      </w:r>
      <w:r>
        <w:t>dirigida a otro (expediente de prueba, a</w:t>
      </w:r>
      <w:r w:rsidRPr="006E7225">
        <w:t>nexo 1 a la contestaci</w:t>
      </w:r>
      <w:r w:rsidRPr="006E7225">
        <w:rPr>
          <w:rFonts w:cs="Calibri"/>
        </w:rPr>
        <w:t>ó</w:t>
      </w:r>
      <w:r w:rsidRPr="006E7225">
        <w:t>n, f.</w:t>
      </w:r>
      <w:r>
        <w:t xml:space="preserve"> </w:t>
      </w:r>
      <w:r w:rsidRPr="006E7225">
        <w:t>2154).</w:t>
      </w:r>
      <w:r w:rsidRPr="007B43FC">
        <w:t xml:space="preserve">  </w:t>
      </w:r>
    </w:p>
  </w:footnote>
  <w:footnote w:id="39">
    <w:p w14:paraId="3183B659" w14:textId="3ED69F33" w:rsidR="00E02FDB" w:rsidRPr="007B43FC" w:rsidRDefault="00E02FDB" w:rsidP="008A2AE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ab/>
        <w:t>Declaración de la persona referida ante la DGIC de 6 de diciembre de 2001 (expediente de prueba, anexo 2 al Informe de Fondo,</w:t>
      </w:r>
      <w:r w:rsidRPr="007B43FC">
        <w:rPr>
          <w:rFonts w:cs="Times New Roman"/>
          <w:color w:val="0F0F0F"/>
          <w:sz w:val="16"/>
          <w:szCs w:val="16"/>
        </w:rPr>
        <w:t xml:space="preserve"> fs. </w:t>
      </w:r>
      <w:r>
        <w:rPr>
          <w:rFonts w:cs="Times New Roman"/>
          <w:color w:val="0F0F0F"/>
          <w:sz w:val="16"/>
          <w:szCs w:val="16"/>
        </w:rPr>
        <w:t>245 a 246)</w:t>
      </w:r>
      <w:r>
        <w:rPr>
          <w:sz w:val="16"/>
          <w:szCs w:val="16"/>
        </w:rPr>
        <w:t>, e</w:t>
      </w:r>
      <w:r w:rsidRPr="007B43FC">
        <w:rPr>
          <w:sz w:val="16"/>
          <w:szCs w:val="16"/>
        </w:rPr>
        <w:t xml:space="preserve"> Informe No. 195-2001 de la DGIC.  </w:t>
      </w:r>
    </w:p>
  </w:footnote>
  <w:footnote w:id="40">
    <w:p w14:paraId="24F74D20" w14:textId="29D9CDF7" w:rsidR="00E02FDB" w:rsidRPr="007B43FC" w:rsidRDefault="00E02FDB" w:rsidP="008A2AE0">
      <w:pPr>
        <w:pStyle w:val="FootnoteText"/>
      </w:pPr>
      <w:r w:rsidRPr="007B43FC">
        <w:rPr>
          <w:rStyle w:val="FootnoteReference"/>
        </w:rPr>
        <w:footnoteRef/>
      </w:r>
      <w:r w:rsidRPr="007B43FC">
        <w:t xml:space="preserve"> </w:t>
      </w:r>
      <w:r>
        <w:tab/>
      </w:r>
      <w:r w:rsidRPr="00C011CF">
        <w:rPr>
          <w:i/>
        </w:rPr>
        <w:t>Cfr.</w:t>
      </w:r>
      <w:r w:rsidRPr="007B43FC">
        <w:t xml:space="preserve"> Informe No. 195-2</w:t>
      </w:r>
      <w:r>
        <w:t>001 de la DGIC</w:t>
      </w:r>
      <w:r w:rsidRPr="007B43FC">
        <w:t>. El “</w:t>
      </w:r>
      <w:r w:rsidRPr="007B43FC">
        <w:rPr>
          <w:rFonts w:cs="Calibri"/>
        </w:rPr>
        <w:t>á</w:t>
      </w:r>
      <w:r w:rsidRPr="007B43FC">
        <w:t>lbum fotogr</w:t>
      </w:r>
      <w:r w:rsidRPr="007B43FC">
        <w:rPr>
          <w:rFonts w:cs="Calibri"/>
        </w:rPr>
        <w:t>á</w:t>
      </w:r>
      <w:r w:rsidRPr="007B43FC">
        <w:t>fico” contiene 40 fotograf</w:t>
      </w:r>
      <w:r w:rsidRPr="007B43FC">
        <w:rPr>
          <w:rFonts w:cs="Calibri"/>
        </w:rPr>
        <w:t>í</w:t>
      </w:r>
      <w:r w:rsidRPr="007B43FC">
        <w:t>as</w:t>
      </w:r>
      <w:r>
        <w:t>, las cuales</w:t>
      </w:r>
      <w:r w:rsidRPr="007B43FC">
        <w:t xml:space="preserve"> son: del rostro del se</w:t>
      </w:r>
      <w:r w:rsidRPr="007B43FC">
        <w:rPr>
          <w:rFonts w:cs="Calibri"/>
        </w:rPr>
        <w:t>ñ</w:t>
      </w:r>
      <w:r w:rsidRPr="007B43FC">
        <w:t>or Pacheco, del inmueble en el que ocurri</w:t>
      </w:r>
      <w:r w:rsidRPr="007B43FC">
        <w:rPr>
          <w:rFonts w:cs="Calibri"/>
        </w:rPr>
        <w:t>ó</w:t>
      </w:r>
      <w:r w:rsidRPr="007B43FC">
        <w:t xml:space="preserve"> su muerte (desde el exterior y el interior), de objetos y sangre encontrados all</w:t>
      </w:r>
      <w:r w:rsidRPr="007B43FC">
        <w:rPr>
          <w:rFonts w:cs="Calibri"/>
        </w:rPr>
        <w:t>í</w:t>
      </w:r>
      <w:r w:rsidRPr="007B43FC">
        <w:t>, de pisadas en lugar, de casquillos y fragmentos de bala encontrados en el sitio, de impactos en mosaicos (seg</w:t>
      </w:r>
      <w:r w:rsidRPr="007B43FC">
        <w:rPr>
          <w:rFonts w:cs="Calibri"/>
        </w:rPr>
        <w:t>ú</w:t>
      </w:r>
      <w:r w:rsidRPr="007B43FC">
        <w:t>n se indica, posiblemente de bala), de un veh</w:t>
      </w:r>
      <w:r w:rsidRPr="007B43FC">
        <w:rPr>
          <w:rFonts w:cs="Calibri"/>
        </w:rPr>
        <w:t>í</w:t>
      </w:r>
      <w:r w:rsidRPr="007B43FC">
        <w:t xml:space="preserve">culo calificado como “sospechoso”, de calzado decomisado a los “sospechosos” </w:t>
      </w:r>
      <w:r>
        <w:t xml:space="preserve">FV </w:t>
      </w:r>
      <w:r w:rsidRPr="007B43FC">
        <w:t xml:space="preserve">y </w:t>
      </w:r>
      <w:r>
        <w:t>HE</w:t>
      </w:r>
      <w:r w:rsidRPr="007B43FC">
        <w:t>, de un “sospechoso” con vestimenta con manchas de sangre y de vestimenta manchada de sangre</w:t>
      </w:r>
      <w:r>
        <w:t xml:space="preserve"> (expediente de prueba, a</w:t>
      </w:r>
      <w:r w:rsidRPr="007B43FC">
        <w:t>nexo 1 a la contestaci</w:t>
      </w:r>
      <w:r w:rsidRPr="007B43FC">
        <w:rPr>
          <w:rFonts w:cs="Calibri"/>
        </w:rPr>
        <w:t>ó</w:t>
      </w:r>
      <w:r w:rsidRPr="007B43FC">
        <w:t>n, fs. 2199 a 2220</w:t>
      </w:r>
      <w:r>
        <w:t>)</w:t>
      </w:r>
      <w:r w:rsidRPr="007B43FC">
        <w:t xml:space="preserve">.  </w:t>
      </w:r>
    </w:p>
  </w:footnote>
  <w:footnote w:id="41">
    <w:p w14:paraId="3E568178" w14:textId="0F209FCE"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Documento denominado “Diagrama de heridas” de 24 de noviembre de 2001</w:t>
      </w:r>
      <w:r>
        <w:t xml:space="preserve"> (expediente de prueba, a</w:t>
      </w:r>
      <w:r w:rsidRPr="007B43FC">
        <w:t>nexo 1 a la contestaci</w:t>
      </w:r>
      <w:r w:rsidRPr="007B43FC">
        <w:rPr>
          <w:rFonts w:cs="Calibri"/>
        </w:rPr>
        <w:t>ó</w:t>
      </w:r>
      <w:r w:rsidRPr="007B43FC">
        <w:t>n, fs. 2197 y 2198</w:t>
      </w:r>
      <w:r>
        <w:t>)</w:t>
      </w:r>
      <w:r w:rsidRPr="007B43FC">
        <w:t xml:space="preserve">. </w:t>
      </w:r>
    </w:p>
  </w:footnote>
  <w:footnote w:id="42">
    <w:p w14:paraId="17B19EF4" w14:textId="0B6D0F26" w:rsidR="00E02FDB" w:rsidRPr="007B43FC" w:rsidRDefault="00E02FDB" w:rsidP="008A2AE0">
      <w:pPr>
        <w:pStyle w:val="FootnoteText"/>
      </w:pPr>
      <w:r w:rsidRPr="007B43FC">
        <w:rPr>
          <w:rStyle w:val="FootnoteReference"/>
        </w:rPr>
        <w:footnoteRef/>
      </w:r>
      <w:r w:rsidRPr="007B43FC">
        <w:t xml:space="preserve"> </w:t>
      </w:r>
      <w:r>
        <w:tab/>
      </w:r>
      <w:r w:rsidRPr="007B43FC">
        <w:t>Prove</w:t>
      </w:r>
      <w:r w:rsidRPr="007B43FC">
        <w:rPr>
          <w:rFonts w:cs="Calibri"/>
        </w:rPr>
        <w:t>í</w:t>
      </w:r>
      <w:r w:rsidRPr="007B43FC">
        <w:t>do del Juzgado de Letras Seccional de Nacaome, Departamento de Valle, de 24 de noviembre de 2001</w:t>
      </w:r>
      <w:r w:rsidRPr="007B43FC">
        <w:rPr>
          <w:rFonts w:cs="Times New Roman"/>
          <w:color w:val="0F0F0F"/>
        </w:rPr>
        <w:t xml:space="preserve">. </w:t>
      </w:r>
    </w:p>
  </w:footnote>
  <w:footnote w:id="43">
    <w:p w14:paraId="142BBFA0" w14:textId="571025FF" w:rsidR="00E02FDB" w:rsidRPr="007B43FC" w:rsidRDefault="00E02FDB" w:rsidP="008A2AE0">
      <w:pPr>
        <w:pStyle w:val="FootnoteText"/>
      </w:pPr>
      <w:r w:rsidRPr="007B43FC">
        <w:rPr>
          <w:rStyle w:val="FootnoteReference"/>
        </w:rPr>
        <w:footnoteRef/>
      </w:r>
      <w:r>
        <w:t xml:space="preserve"> </w:t>
      </w:r>
      <w:r>
        <w:tab/>
      </w:r>
      <w:r w:rsidRPr="00F62024">
        <w:rPr>
          <w:i/>
        </w:rPr>
        <w:t>Cfr.</w:t>
      </w:r>
      <w:r>
        <w:rPr>
          <w:i/>
        </w:rPr>
        <w:t xml:space="preserve"> </w:t>
      </w:r>
      <w:r w:rsidRPr="007B43FC">
        <w:t>Certificaci</w:t>
      </w:r>
      <w:r w:rsidRPr="007B43FC">
        <w:rPr>
          <w:rFonts w:cs="Calibri"/>
        </w:rPr>
        <w:t>ó</w:t>
      </w:r>
      <w:r w:rsidRPr="007B43FC">
        <w:t>n A-1422-01 de 7 de abril de 2005, expedida por el Director de Medicina Forense del Ministerio P</w:t>
      </w:r>
      <w:r w:rsidRPr="007B43FC">
        <w:rPr>
          <w:rFonts w:cs="Calibri"/>
        </w:rPr>
        <w:t>ú</w:t>
      </w:r>
      <w:r w:rsidRPr="007B43FC">
        <w:t>blico, a requerimiento de la Fiscal</w:t>
      </w:r>
      <w:r w:rsidRPr="007B43FC">
        <w:rPr>
          <w:rFonts w:cs="Calibri"/>
        </w:rPr>
        <w:t>í</w:t>
      </w:r>
      <w:r w:rsidRPr="007B43FC">
        <w:t>a Especial de los Derechos Hum</w:t>
      </w:r>
      <w:r>
        <w:t>anos (expediente de prueba, a</w:t>
      </w:r>
      <w:r w:rsidRPr="007B43FC">
        <w:t>nexo 2 a la contestaci</w:t>
      </w:r>
      <w:r w:rsidRPr="007B43FC">
        <w:rPr>
          <w:rFonts w:cs="Calibri"/>
        </w:rPr>
        <w:t>ó</w:t>
      </w:r>
      <w:r>
        <w:t>n, fs. 2563 a 2567).</w:t>
      </w:r>
    </w:p>
  </w:footnote>
  <w:footnote w:id="44">
    <w:p w14:paraId="6D630D74" w14:textId="4457B8B7" w:rsidR="00E02FDB" w:rsidRPr="001D4755" w:rsidRDefault="00E02FDB" w:rsidP="008A2AE0">
      <w:pPr>
        <w:pStyle w:val="FootnoteText"/>
      </w:pPr>
      <w:r>
        <w:rPr>
          <w:rStyle w:val="FootnoteReference"/>
        </w:rPr>
        <w:footnoteRef/>
      </w:r>
      <w:r>
        <w:t xml:space="preserve"> </w:t>
      </w:r>
      <w:r>
        <w:tab/>
        <w:t xml:space="preserve">Declaración de </w:t>
      </w:r>
      <w:proofErr w:type="spellStart"/>
      <w:r>
        <w:t>Marleny</w:t>
      </w:r>
      <w:proofErr w:type="spellEnd"/>
      <w:r>
        <w:t xml:space="preserve"> Pacheco Posadas rendida por </w:t>
      </w:r>
      <w:r w:rsidRPr="007C065F">
        <w:rPr>
          <w:i/>
        </w:rPr>
        <w:t>affidávit</w:t>
      </w:r>
      <w:r w:rsidRPr="007C4756">
        <w:t>.</w:t>
      </w:r>
      <w:r>
        <w:t xml:space="preserve">  </w:t>
      </w:r>
    </w:p>
  </w:footnote>
  <w:footnote w:id="45">
    <w:p w14:paraId="0C07FB0D" w14:textId="6513791F" w:rsidR="00E02FDB" w:rsidRPr="00333448" w:rsidRDefault="00E02FDB" w:rsidP="008A2AE0">
      <w:pPr>
        <w:pStyle w:val="FootnoteText"/>
        <w:rPr>
          <w:color w:val="FF0000"/>
        </w:rPr>
      </w:pPr>
      <w:r w:rsidRPr="007B43FC">
        <w:rPr>
          <w:rStyle w:val="FootnoteReference"/>
        </w:rPr>
        <w:footnoteRef/>
      </w:r>
      <w:r w:rsidRPr="007B43FC">
        <w:t xml:space="preserve"> </w:t>
      </w:r>
      <w:r>
        <w:tab/>
      </w:r>
      <w:r w:rsidRPr="007C065F">
        <w:rPr>
          <w:i/>
        </w:rPr>
        <w:t xml:space="preserve">Cfr. </w:t>
      </w:r>
      <w:r w:rsidRPr="00B86CD7">
        <w:rPr>
          <w:rFonts w:cs="Arial"/>
          <w:color w:val="0F0F0F"/>
        </w:rPr>
        <w:t>Denuncia Criminal presentada por José Pacheco ante el coordinador local del Ministerio Público</w:t>
      </w:r>
      <w:r w:rsidRPr="00B86CD7">
        <w:rPr>
          <w:rFonts w:cs="Times New Roman"/>
          <w:color w:val="0F0F0F"/>
        </w:rPr>
        <w:t xml:space="preserve"> </w:t>
      </w:r>
      <w:r w:rsidRPr="00B86CD7">
        <w:rPr>
          <w:rFonts w:cs="Arial"/>
          <w:color w:val="0F0F0F"/>
        </w:rPr>
        <w:t>el 27 de noviembre de 2001</w:t>
      </w:r>
      <w:r w:rsidRPr="00B86CD7">
        <w:rPr>
          <w:rFonts w:cs="Arial"/>
        </w:rPr>
        <w:t>.</w:t>
      </w:r>
    </w:p>
  </w:footnote>
  <w:footnote w:id="46">
    <w:p w14:paraId="2936E862" w14:textId="2537BB38"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Declaraciones de los se</w:t>
      </w:r>
      <w:r w:rsidRPr="007B43FC">
        <w:rPr>
          <w:rFonts w:cs="Calibri"/>
        </w:rPr>
        <w:t>ñ</w:t>
      </w:r>
      <w:r w:rsidRPr="007B43FC">
        <w:t xml:space="preserve">ores HE, FV </w:t>
      </w:r>
      <w:r w:rsidRPr="0057192D">
        <w:t xml:space="preserve">y JM, de 24 de noviembre </w:t>
      </w:r>
      <w:r>
        <w:t>de 2001 (expediente de prueba, a</w:t>
      </w:r>
      <w:r w:rsidRPr="0057192D">
        <w:t>nexo 1 a la contestaci</w:t>
      </w:r>
      <w:r w:rsidRPr="0057192D">
        <w:rPr>
          <w:rFonts w:cs="Calibri"/>
        </w:rPr>
        <w:t>ó</w:t>
      </w:r>
      <w:r w:rsidRPr="0057192D">
        <w:t>n, fs. 2155</w:t>
      </w:r>
      <w:r>
        <w:t xml:space="preserve"> a 2160</w:t>
      </w:r>
      <w:r w:rsidRPr="007B43FC">
        <w:t>). Pese a que l</w:t>
      </w:r>
      <w:r>
        <w:t xml:space="preserve">os documentos referidos son de </w:t>
      </w:r>
      <w:r w:rsidRPr="007B43FC">
        <w:t>24 de noviembre de 2001, y otro documento indica que la detenci</w:t>
      </w:r>
      <w:r w:rsidRPr="007B43FC">
        <w:rPr>
          <w:rFonts w:cs="Calibri"/>
        </w:rPr>
        <w:t>ó</w:t>
      </w:r>
      <w:r w:rsidRPr="007B43FC">
        <w:t>n se realiz</w:t>
      </w:r>
      <w:r w:rsidRPr="007B43FC">
        <w:rPr>
          <w:rFonts w:cs="Calibri"/>
        </w:rPr>
        <w:t>ó</w:t>
      </w:r>
      <w:r w:rsidRPr="007B43FC">
        <w:t xml:space="preserve"> en esa fecha (</w:t>
      </w:r>
      <w:r w:rsidRPr="007B43FC">
        <w:rPr>
          <w:i/>
        </w:rPr>
        <w:t xml:space="preserve">cfr. </w:t>
      </w:r>
      <w:r w:rsidRPr="007B43FC">
        <w:t>Nota del Jefe del Departamento de Homicidios de la DGIC al “Director por Ley DGIC” de 27 de noviembre de 2002 (expediente de prueba, Anexo 2 a la contestaci</w:t>
      </w:r>
      <w:r w:rsidRPr="007B43FC">
        <w:rPr>
          <w:rFonts w:cs="Calibri"/>
        </w:rPr>
        <w:t>ó</w:t>
      </w:r>
      <w:r>
        <w:t>n, f</w:t>
      </w:r>
      <w:r w:rsidRPr="007B43FC">
        <w:t>s</w:t>
      </w:r>
      <w:r>
        <w:t>.</w:t>
      </w:r>
      <w:r w:rsidRPr="007B43FC">
        <w:t xml:space="preserve"> 2316 y 2317))</w:t>
      </w:r>
      <w:r>
        <w:t>, u</w:t>
      </w:r>
      <w:r w:rsidRPr="007B43FC">
        <w:t>n tercer documento indica que la detenci</w:t>
      </w:r>
      <w:r w:rsidRPr="007B43FC">
        <w:rPr>
          <w:rFonts w:cs="Calibri"/>
        </w:rPr>
        <w:t>ó</w:t>
      </w:r>
      <w:r w:rsidRPr="007B43FC">
        <w:t>n se realiz</w:t>
      </w:r>
      <w:r w:rsidRPr="007B43FC">
        <w:rPr>
          <w:rFonts w:cs="Calibri"/>
        </w:rPr>
        <w:t>ó</w:t>
      </w:r>
      <w:r w:rsidRPr="007B43FC">
        <w:t xml:space="preserve"> el 25 de noviembre de 2001 (</w:t>
      </w:r>
      <w:r>
        <w:rPr>
          <w:i/>
        </w:rPr>
        <w:t>c</w:t>
      </w:r>
      <w:r w:rsidRPr="007B43FC">
        <w:rPr>
          <w:i/>
        </w:rPr>
        <w:t>fr</w:t>
      </w:r>
      <w:r w:rsidRPr="007B43FC">
        <w:t>. Nota del Jefe de Departamentos de Homicidios de la DGIC de 11 de octubre de 2002). Adem</w:t>
      </w:r>
      <w:r w:rsidRPr="007B43FC">
        <w:rPr>
          <w:rFonts w:cs="Calibri"/>
        </w:rPr>
        <w:t>á</w:t>
      </w:r>
      <w:r w:rsidRPr="007B43FC">
        <w:t>s, consta un documento incompleto que transcribe una declaraci</w:t>
      </w:r>
      <w:r w:rsidRPr="007B43FC">
        <w:rPr>
          <w:rFonts w:cs="Calibri"/>
        </w:rPr>
        <w:t>ó</w:t>
      </w:r>
      <w:r w:rsidRPr="007B43FC">
        <w:t>n del se</w:t>
      </w:r>
      <w:r w:rsidRPr="007B43FC">
        <w:rPr>
          <w:rFonts w:cs="Calibri"/>
        </w:rPr>
        <w:t>ñ</w:t>
      </w:r>
      <w:r w:rsidRPr="007B43FC">
        <w:t>or HE de 25 de noviembre de 2001, en que llega a advertirse que narra lo que hizo el 23 de noviembre de 2001 (</w:t>
      </w:r>
      <w:r>
        <w:rPr>
          <w:i/>
        </w:rPr>
        <w:t>c</w:t>
      </w:r>
      <w:r w:rsidRPr="007B43FC">
        <w:rPr>
          <w:i/>
        </w:rPr>
        <w:t>fr.</w:t>
      </w:r>
      <w:r>
        <w:t xml:space="preserve"> expediente de prueba, a</w:t>
      </w:r>
      <w:r w:rsidRPr="007B43FC">
        <w:t>nexo 2 a la contestaci</w:t>
      </w:r>
      <w:r w:rsidRPr="007B43FC">
        <w:rPr>
          <w:rFonts w:cs="Calibri"/>
        </w:rPr>
        <w:t>ó</w:t>
      </w:r>
      <w:r w:rsidRPr="007B43FC">
        <w:t>n, fs. 2344 y 2345). Tambi</w:t>
      </w:r>
      <w:r w:rsidRPr="007B43FC">
        <w:rPr>
          <w:rFonts w:cs="Calibri"/>
        </w:rPr>
        <w:t>é</w:t>
      </w:r>
      <w:r w:rsidRPr="007B43FC">
        <w:t>n constan declaraciones de los se</w:t>
      </w:r>
      <w:r w:rsidRPr="007B43FC">
        <w:rPr>
          <w:rFonts w:cs="Calibri"/>
        </w:rPr>
        <w:t>ñ</w:t>
      </w:r>
      <w:r w:rsidRPr="007B43FC">
        <w:t>ores JM y FV</w:t>
      </w:r>
      <w:r>
        <w:t xml:space="preserve"> </w:t>
      </w:r>
      <w:r w:rsidRPr="007B43FC">
        <w:t>de 25 de noviembre de 2001, en que narran sus actividades durante el 23 del mi</w:t>
      </w:r>
      <w:r>
        <w:t>s</w:t>
      </w:r>
      <w:r w:rsidRPr="007B43FC">
        <w:t>mos mes y a</w:t>
      </w:r>
      <w:r w:rsidRPr="007B43FC">
        <w:rPr>
          <w:rFonts w:cs="Calibri"/>
        </w:rPr>
        <w:t>ñ</w:t>
      </w:r>
      <w:r w:rsidRPr="007B43FC">
        <w:t>o (</w:t>
      </w:r>
      <w:r>
        <w:rPr>
          <w:i/>
        </w:rPr>
        <w:t>c</w:t>
      </w:r>
      <w:r w:rsidRPr="007B43FC">
        <w:rPr>
          <w:i/>
        </w:rPr>
        <w:t>fr.</w:t>
      </w:r>
      <w:r>
        <w:t xml:space="preserve"> expediente de prueba, a</w:t>
      </w:r>
      <w:r w:rsidRPr="007B43FC">
        <w:t>nexo 2 a la contestaci</w:t>
      </w:r>
      <w:r w:rsidRPr="007B43FC">
        <w:rPr>
          <w:rFonts w:cs="Calibri"/>
        </w:rPr>
        <w:t>ó</w:t>
      </w:r>
      <w:r w:rsidRPr="007B43FC">
        <w:t>n, fs. 2346 y 2347, y 2348 y 2349, respectivamente). El 27 de noviembre rindieron declaraci</w:t>
      </w:r>
      <w:r w:rsidRPr="007B43FC">
        <w:rPr>
          <w:rFonts w:cs="Calibri"/>
        </w:rPr>
        <w:t>ó</w:t>
      </w:r>
      <w:r w:rsidRPr="007B43FC">
        <w:t>n indagatoria los se</w:t>
      </w:r>
      <w:r w:rsidRPr="007B43FC">
        <w:rPr>
          <w:rFonts w:cs="Calibri"/>
        </w:rPr>
        <w:t>ñ</w:t>
      </w:r>
      <w:r w:rsidRPr="007B43FC">
        <w:t>ores HE y FV</w:t>
      </w:r>
      <w:r>
        <w:t xml:space="preserve"> </w:t>
      </w:r>
      <w:r w:rsidRPr="007B43FC">
        <w:t>(</w:t>
      </w:r>
      <w:r>
        <w:rPr>
          <w:i/>
        </w:rPr>
        <w:t>c</w:t>
      </w:r>
      <w:r w:rsidRPr="007B43FC">
        <w:rPr>
          <w:i/>
        </w:rPr>
        <w:t>fr.</w:t>
      </w:r>
      <w:r w:rsidRPr="007B43FC">
        <w:t xml:space="preserve"> Declaraciones indagatorias de 27 de noviembre de 2001 </w:t>
      </w:r>
      <w:r>
        <w:t>-</w:t>
      </w:r>
      <w:r w:rsidRPr="007B43FC">
        <w:t>documentos parcialmente ilegibles</w:t>
      </w:r>
      <w:r>
        <w:t>- (expediente de prueba, a</w:t>
      </w:r>
      <w:r w:rsidRPr="007B43FC">
        <w:t>nexo 2 a la contestaci</w:t>
      </w:r>
      <w:r w:rsidRPr="007B43FC">
        <w:rPr>
          <w:rFonts w:cs="Calibri"/>
        </w:rPr>
        <w:t>ó</w:t>
      </w:r>
      <w:r w:rsidRPr="007B43FC">
        <w:t xml:space="preserve">n, fs. 2357 a 2359, y 2371 y 2372).  </w:t>
      </w:r>
    </w:p>
  </w:footnote>
  <w:footnote w:id="47">
    <w:p w14:paraId="3A7DB618" w14:textId="582D6D7E"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Informe No. 195-2001 de la DGIC</w:t>
      </w:r>
      <w:r>
        <w:t>.</w:t>
      </w:r>
      <w:r w:rsidRPr="007B43FC">
        <w:t xml:space="preserve"> El agente policial </w:t>
      </w:r>
      <w:r w:rsidRPr="0057192D">
        <w:t xml:space="preserve">WM </w:t>
      </w:r>
      <w:r w:rsidRPr="007B43FC">
        <w:t>declar</w:t>
      </w:r>
      <w:r w:rsidRPr="007B43FC">
        <w:rPr>
          <w:rFonts w:cs="Calibri"/>
        </w:rPr>
        <w:t>ó</w:t>
      </w:r>
      <w:r w:rsidRPr="007B43FC">
        <w:t xml:space="preserve"> que el primero fue detenido en la sede del Partido Liberal, y que los otros cuando se encontraban en un veh</w:t>
      </w:r>
      <w:r w:rsidRPr="007B43FC">
        <w:rPr>
          <w:rFonts w:cs="Calibri"/>
        </w:rPr>
        <w:t>í</w:t>
      </w:r>
      <w:r w:rsidRPr="007B43FC">
        <w:t>culo blanco, en el que se encontraron manchas que los polic</w:t>
      </w:r>
      <w:r w:rsidRPr="007B43FC">
        <w:rPr>
          <w:rFonts w:cs="Calibri"/>
        </w:rPr>
        <w:t>í</w:t>
      </w:r>
      <w:r w:rsidRPr="007B43FC">
        <w:t>as pen</w:t>
      </w:r>
      <w:r>
        <w:t>saron que eran de sangre humana.</w:t>
      </w:r>
      <w:r w:rsidRPr="007B43FC">
        <w:t xml:space="preserve"> En el Informe de Fondo se indic</w:t>
      </w:r>
      <w:r w:rsidRPr="007B43FC">
        <w:rPr>
          <w:rFonts w:cs="Calibri"/>
        </w:rPr>
        <w:t>ó</w:t>
      </w:r>
      <w:r w:rsidRPr="007B43FC">
        <w:t xml:space="preserve"> que luego se determin</w:t>
      </w:r>
      <w:r w:rsidRPr="007B43FC">
        <w:rPr>
          <w:rFonts w:cs="Calibri"/>
        </w:rPr>
        <w:t>ó</w:t>
      </w:r>
      <w:r w:rsidRPr="007B43FC">
        <w:t xml:space="preserve"> las manchas eran de carne animal que transportaba ese veh</w:t>
      </w:r>
      <w:r w:rsidRPr="007B43FC">
        <w:rPr>
          <w:rFonts w:cs="Calibri"/>
        </w:rPr>
        <w:t>í</w:t>
      </w:r>
      <w:r w:rsidRPr="007B43FC">
        <w:t xml:space="preserve">culo. </w:t>
      </w:r>
    </w:p>
  </w:footnote>
  <w:footnote w:id="48">
    <w:p w14:paraId="03BF7CEE" w14:textId="26D4539C" w:rsidR="00E02FDB" w:rsidRPr="007B43FC" w:rsidRDefault="00E02FDB" w:rsidP="008A2AE0">
      <w:pPr>
        <w:pStyle w:val="FootnoteText"/>
        <w:rPr>
          <w:i/>
        </w:rPr>
      </w:pPr>
      <w:r w:rsidRPr="007B43FC">
        <w:rPr>
          <w:rStyle w:val="FootnoteReference"/>
        </w:rPr>
        <w:footnoteRef/>
      </w:r>
      <w:r w:rsidRPr="007B43FC">
        <w:t xml:space="preserve"> </w:t>
      </w:r>
      <w:r>
        <w:tab/>
      </w:r>
      <w:r w:rsidRPr="007B43FC">
        <w:rPr>
          <w:i/>
        </w:rPr>
        <w:t xml:space="preserve">Cfr. </w:t>
      </w:r>
      <w:r w:rsidRPr="007B43FC">
        <w:t>Acta de la diligencia de confrontaci</w:t>
      </w:r>
      <w:r w:rsidRPr="007B43FC">
        <w:rPr>
          <w:rFonts w:cs="Calibri"/>
        </w:rPr>
        <w:t>ó</w:t>
      </w:r>
      <w:r w:rsidRPr="007B43FC">
        <w:t xml:space="preserve">n de 27 de noviembre </w:t>
      </w:r>
      <w:r>
        <w:t>de 2001 (expediente de prueba, a</w:t>
      </w:r>
      <w:r w:rsidRPr="007B43FC">
        <w:t>nexo 2 a la contestaci</w:t>
      </w:r>
      <w:r w:rsidRPr="007B43FC">
        <w:rPr>
          <w:rFonts w:cs="Calibri"/>
        </w:rPr>
        <w:t>ó</w:t>
      </w:r>
      <w:r w:rsidRPr="007B43FC">
        <w:t>n, f</w:t>
      </w:r>
      <w:r>
        <w:t>.</w:t>
      </w:r>
      <w:r w:rsidRPr="007B43FC">
        <w:t xml:space="preserve"> 237</w:t>
      </w:r>
      <w:r>
        <w:t>0</w:t>
      </w:r>
      <w:r w:rsidRPr="007B43FC">
        <w:t>). El documento se encuentra parcialmente ilegible.</w:t>
      </w:r>
      <w:r w:rsidRPr="007B43FC">
        <w:rPr>
          <w:i/>
        </w:rPr>
        <w:t xml:space="preserve"> </w:t>
      </w:r>
    </w:p>
  </w:footnote>
  <w:footnote w:id="49">
    <w:p w14:paraId="64287181" w14:textId="3FB819DC" w:rsidR="00E02FDB" w:rsidRPr="007B43FC" w:rsidRDefault="00E02FDB" w:rsidP="008A2AE0">
      <w:pPr>
        <w:pStyle w:val="FootnoteText"/>
      </w:pPr>
      <w:r w:rsidRPr="007B43FC">
        <w:rPr>
          <w:rStyle w:val="FootnoteReference"/>
        </w:rPr>
        <w:footnoteRef/>
      </w:r>
      <w:r w:rsidRPr="007B43FC">
        <w:t xml:space="preserve"> </w:t>
      </w:r>
      <w:r>
        <w:tab/>
      </w:r>
      <w:r w:rsidRPr="007B43FC">
        <w:t>Consecuentemente, el 3 de diciembre de 2001 se orden</w:t>
      </w:r>
      <w:r w:rsidRPr="007B43FC">
        <w:rPr>
          <w:rFonts w:cs="Calibri"/>
        </w:rPr>
        <w:t>ó</w:t>
      </w:r>
      <w:r w:rsidRPr="007B43FC">
        <w:t xml:space="preserve"> la realizaci</w:t>
      </w:r>
      <w:r w:rsidRPr="007B43FC">
        <w:rPr>
          <w:rFonts w:cs="Calibri"/>
        </w:rPr>
        <w:t>ó</w:t>
      </w:r>
      <w:r w:rsidRPr="007B43FC">
        <w:t>n de un “peritaje de tipolog</w:t>
      </w:r>
      <w:r w:rsidRPr="007B43FC">
        <w:rPr>
          <w:rFonts w:cs="Calibri"/>
        </w:rPr>
        <w:t>í</w:t>
      </w:r>
      <w:r w:rsidRPr="007B43FC">
        <w:t>a de sangre” a los se</w:t>
      </w:r>
      <w:r w:rsidRPr="007B43FC">
        <w:rPr>
          <w:rFonts w:cs="Calibri"/>
        </w:rPr>
        <w:t>ñ</w:t>
      </w:r>
      <w:r>
        <w:t xml:space="preserve">ores HE y FV. </w:t>
      </w:r>
      <w:r>
        <w:rPr>
          <w:i/>
        </w:rPr>
        <w:t>C</w:t>
      </w:r>
      <w:r w:rsidRPr="007B43FC">
        <w:rPr>
          <w:i/>
        </w:rPr>
        <w:t>fr.</w:t>
      </w:r>
      <w:r w:rsidRPr="007B43FC">
        <w:t xml:space="preserve"> Resoluci</w:t>
      </w:r>
      <w:r w:rsidRPr="007B43FC">
        <w:rPr>
          <w:rFonts w:cs="Calibri"/>
        </w:rPr>
        <w:t>ó</w:t>
      </w:r>
      <w:r w:rsidRPr="007B43FC">
        <w:t xml:space="preserve">n del Juzgado de Letras de 3 de diciembre </w:t>
      </w:r>
      <w:r>
        <w:t>de 2001 (expediente de prueba, a</w:t>
      </w:r>
      <w:r w:rsidRPr="007B43FC">
        <w:t>nexo 2 a la Contestaci</w:t>
      </w:r>
      <w:r w:rsidRPr="007B43FC">
        <w:rPr>
          <w:rFonts w:cs="Calibri"/>
        </w:rPr>
        <w:t>ó</w:t>
      </w:r>
      <w:r w:rsidRPr="007B43FC">
        <w:t>n, f</w:t>
      </w:r>
      <w:r>
        <w:t>.</w:t>
      </w:r>
      <w:r w:rsidRPr="007B43FC">
        <w:t xml:space="preserve"> 2418).</w:t>
      </w:r>
    </w:p>
  </w:footnote>
  <w:footnote w:id="50">
    <w:p w14:paraId="7E9740CB" w14:textId="4E41B507" w:rsidR="00E02FDB" w:rsidRPr="007B43FC" w:rsidRDefault="00E02FDB" w:rsidP="00AD2614">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ab/>
      </w:r>
      <w:r w:rsidRPr="007B43FC">
        <w:rPr>
          <w:sz w:val="16"/>
          <w:szCs w:val="16"/>
        </w:rPr>
        <w:t xml:space="preserve">Auto de prisión de 30 de noviembre de 2001 emitido por </w:t>
      </w:r>
      <w:r>
        <w:rPr>
          <w:sz w:val="16"/>
          <w:szCs w:val="16"/>
        </w:rPr>
        <w:t xml:space="preserve">el Juzgado de Letras Seccional, </w:t>
      </w:r>
      <w:r w:rsidRPr="007B43FC">
        <w:rPr>
          <w:sz w:val="16"/>
          <w:szCs w:val="16"/>
        </w:rPr>
        <w:t xml:space="preserve">Nacaome, Departamento de Valle, y “Carta de Libertad” de 30 de noviembre de 2001 a favor del señor </w:t>
      </w:r>
      <w:r>
        <w:rPr>
          <w:sz w:val="16"/>
          <w:szCs w:val="16"/>
        </w:rPr>
        <w:t>JM (expediente de prueba, a</w:t>
      </w:r>
      <w:r w:rsidRPr="007B43FC">
        <w:rPr>
          <w:sz w:val="16"/>
          <w:szCs w:val="16"/>
        </w:rPr>
        <w:t>nexo 2 a la contestación, fs</w:t>
      </w:r>
      <w:r>
        <w:rPr>
          <w:sz w:val="16"/>
          <w:szCs w:val="16"/>
        </w:rPr>
        <w:t>.</w:t>
      </w:r>
      <w:r w:rsidRPr="007B43FC">
        <w:rPr>
          <w:sz w:val="16"/>
          <w:szCs w:val="16"/>
        </w:rPr>
        <w:t xml:space="preserve"> 2320 a 2322, y 2415, respectivamente). Luego se realizaron otras diligencias. El 6 de diciembre de 2001 la DGIC solicitó al Registro Nacional de las Personas “padrón fotográfico” de SC, FV y HE</w:t>
      </w:r>
      <w:r>
        <w:rPr>
          <w:sz w:val="16"/>
          <w:szCs w:val="16"/>
        </w:rPr>
        <w:t xml:space="preserve"> </w:t>
      </w:r>
      <w:r w:rsidRPr="007B43FC">
        <w:rPr>
          <w:sz w:val="16"/>
          <w:szCs w:val="16"/>
        </w:rPr>
        <w:t>(</w:t>
      </w:r>
      <w:r>
        <w:rPr>
          <w:i/>
          <w:sz w:val="16"/>
          <w:szCs w:val="16"/>
        </w:rPr>
        <w:t>c</w:t>
      </w:r>
      <w:r w:rsidRPr="00C011CF">
        <w:rPr>
          <w:i/>
          <w:sz w:val="16"/>
          <w:szCs w:val="16"/>
        </w:rPr>
        <w:t>fr</w:t>
      </w:r>
      <w:r w:rsidRPr="007B43FC">
        <w:rPr>
          <w:sz w:val="16"/>
          <w:szCs w:val="16"/>
        </w:rPr>
        <w:t>. Comunicación de 6 de diciembre de 2001 del Coordinador Regional de la GDIC de Choluteca dirigida al Re</w:t>
      </w:r>
      <w:r>
        <w:rPr>
          <w:sz w:val="16"/>
          <w:szCs w:val="16"/>
        </w:rPr>
        <w:t>gistro Nacional de las Personas; expediente de prueba, a</w:t>
      </w:r>
      <w:r w:rsidRPr="007B43FC">
        <w:rPr>
          <w:sz w:val="16"/>
          <w:szCs w:val="16"/>
        </w:rPr>
        <w:t xml:space="preserve">nexo 1 a la </w:t>
      </w:r>
      <w:r>
        <w:rPr>
          <w:sz w:val="16"/>
          <w:szCs w:val="16"/>
        </w:rPr>
        <w:t>c</w:t>
      </w:r>
      <w:r w:rsidRPr="007B43FC">
        <w:rPr>
          <w:sz w:val="16"/>
          <w:szCs w:val="16"/>
        </w:rPr>
        <w:t>ontestación, f. 2298.)</w:t>
      </w:r>
      <w:r>
        <w:rPr>
          <w:sz w:val="16"/>
          <w:szCs w:val="16"/>
        </w:rPr>
        <w:t>.</w:t>
      </w:r>
      <w:r w:rsidRPr="007B43FC">
        <w:rPr>
          <w:sz w:val="16"/>
          <w:szCs w:val="16"/>
        </w:rPr>
        <w:t xml:space="preserve"> Las fotografías de la última persona nombrada consta en el expediente interno de la investigación (</w:t>
      </w:r>
      <w:r>
        <w:rPr>
          <w:i/>
          <w:sz w:val="16"/>
          <w:szCs w:val="16"/>
        </w:rPr>
        <w:t>c</w:t>
      </w:r>
      <w:r w:rsidRPr="000324D6">
        <w:rPr>
          <w:i/>
          <w:sz w:val="16"/>
          <w:szCs w:val="16"/>
        </w:rPr>
        <w:t>fr</w:t>
      </w:r>
      <w:r w:rsidRPr="007B43FC">
        <w:rPr>
          <w:sz w:val="16"/>
          <w:szCs w:val="16"/>
        </w:rPr>
        <w:t xml:space="preserve">. </w:t>
      </w:r>
      <w:r>
        <w:rPr>
          <w:sz w:val="16"/>
          <w:szCs w:val="16"/>
        </w:rPr>
        <w:t>expediente de prueba, a</w:t>
      </w:r>
      <w:r w:rsidRPr="007B43FC">
        <w:rPr>
          <w:sz w:val="16"/>
          <w:szCs w:val="16"/>
        </w:rPr>
        <w:t xml:space="preserve">nexo 1 a la </w:t>
      </w:r>
      <w:r>
        <w:rPr>
          <w:sz w:val="16"/>
          <w:szCs w:val="16"/>
        </w:rPr>
        <w:t>c</w:t>
      </w:r>
      <w:r w:rsidRPr="007B43FC">
        <w:rPr>
          <w:sz w:val="16"/>
          <w:szCs w:val="16"/>
        </w:rPr>
        <w:t>ontestación, f. 2302). L</w:t>
      </w:r>
      <w:r>
        <w:rPr>
          <w:sz w:val="16"/>
          <w:szCs w:val="16"/>
        </w:rPr>
        <w:t>a</w:t>
      </w:r>
      <w:r w:rsidRPr="007B43FC">
        <w:rPr>
          <w:sz w:val="16"/>
          <w:szCs w:val="16"/>
        </w:rPr>
        <w:t>s últim</w:t>
      </w:r>
      <w:r>
        <w:rPr>
          <w:sz w:val="16"/>
          <w:szCs w:val="16"/>
        </w:rPr>
        <w:t>a</w:t>
      </w:r>
      <w:r w:rsidRPr="007B43FC">
        <w:rPr>
          <w:sz w:val="16"/>
          <w:szCs w:val="16"/>
        </w:rPr>
        <w:t xml:space="preserve">s dos </w:t>
      </w:r>
      <w:r>
        <w:rPr>
          <w:sz w:val="16"/>
          <w:szCs w:val="16"/>
        </w:rPr>
        <w:t>personas</w:t>
      </w:r>
      <w:r w:rsidRPr="007B43FC">
        <w:rPr>
          <w:sz w:val="16"/>
          <w:szCs w:val="16"/>
        </w:rPr>
        <w:t xml:space="preserve"> aludid</w:t>
      </w:r>
      <w:r>
        <w:rPr>
          <w:sz w:val="16"/>
          <w:szCs w:val="16"/>
        </w:rPr>
        <w:t>a</w:t>
      </w:r>
      <w:r w:rsidRPr="007B43FC">
        <w:rPr>
          <w:sz w:val="16"/>
          <w:szCs w:val="16"/>
        </w:rPr>
        <w:t>s prestaron declaraciones, en calidad de “</w:t>
      </w:r>
      <w:proofErr w:type="spellStart"/>
      <w:r w:rsidRPr="007B43FC">
        <w:rPr>
          <w:sz w:val="16"/>
          <w:szCs w:val="16"/>
        </w:rPr>
        <w:t>sospechos</w:t>
      </w:r>
      <w:proofErr w:type="spellEnd"/>
      <w:r>
        <w:rPr>
          <w:sz w:val="16"/>
          <w:szCs w:val="16"/>
        </w:rPr>
        <w:t>[a]</w:t>
      </w:r>
      <w:r w:rsidRPr="007B43FC">
        <w:rPr>
          <w:sz w:val="16"/>
          <w:szCs w:val="16"/>
        </w:rPr>
        <w:t>s” el 3 de diciembre de 2001 (</w:t>
      </w:r>
      <w:r>
        <w:rPr>
          <w:i/>
          <w:sz w:val="16"/>
          <w:szCs w:val="16"/>
        </w:rPr>
        <w:t>c</w:t>
      </w:r>
      <w:r w:rsidRPr="007B43FC">
        <w:rPr>
          <w:i/>
          <w:sz w:val="16"/>
          <w:szCs w:val="16"/>
        </w:rPr>
        <w:t xml:space="preserve">fr. </w:t>
      </w:r>
      <w:r w:rsidRPr="007B43FC">
        <w:rPr>
          <w:sz w:val="16"/>
          <w:szCs w:val="16"/>
        </w:rPr>
        <w:t>Declaraciones de FV</w:t>
      </w:r>
      <w:r>
        <w:rPr>
          <w:sz w:val="16"/>
          <w:szCs w:val="16"/>
        </w:rPr>
        <w:t xml:space="preserve"> y HE de 3 de diciembre de 2001; e</w:t>
      </w:r>
      <w:r w:rsidRPr="007B43FC">
        <w:rPr>
          <w:sz w:val="16"/>
          <w:szCs w:val="16"/>
        </w:rPr>
        <w:t>xpediente de prueba, Anexo 1 a la contestación, fs. 2243 a 2248</w:t>
      </w:r>
      <w:r>
        <w:rPr>
          <w:sz w:val="16"/>
          <w:szCs w:val="16"/>
        </w:rPr>
        <w:t>)</w:t>
      </w:r>
      <w:r w:rsidRPr="007B43FC">
        <w:rPr>
          <w:sz w:val="16"/>
          <w:szCs w:val="16"/>
        </w:rPr>
        <w:t>. FV señaló que la policía lo aprehendió “el sábado” cuando estaba con HE, quien (según dijo el primero) “</w:t>
      </w:r>
      <w:proofErr w:type="gramStart"/>
      <w:r w:rsidRPr="007B43FC">
        <w:rPr>
          <w:sz w:val="16"/>
          <w:szCs w:val="16"/>
        </w:rPr>
        <w:t>trabaja[</w:t>
      </w:r>
      <w:proofErr w:type="spellStart"/>
      <w:proofErr w:type="gramEnd"/>
      <w:r w:rsidRPr="007B43FC">
        <w:rPr>
          <w:sz w:val="16"/>
          <w:szCs w:val="16"/>
        </w:rPr>
        <w:t>ba</w:t>
      </w:r>
      <w:proofErr w:type="spellEnd"/>
      <w:r w:rsidRPr="007B43FC">
        <w:rPr>
          <w:sz w:val="16"/>
          <w:szCs w:val="16"/>
        </w:rPr>
        <w:t>] para [MV] como motorista”, mientras estaban llevando carne para la comida que se repartiría entre votantes, y que la sangre que tenía e</w:t>
      </w:r>
      <w:r>
        <w:rPr>
          <w:sz w:val="16"/>
          <w:szCs w:val="16"/>
        </w:rPr>
        <w:t>n su ropa era de la carne. HE</w:t>
      </w:r>
      <w:r w:rsidRPr="007B43FC">
        <w:rPr>
          <w:sz w:val="16"/>
          <w:szCs w:val="16"/>
        </w:rPr>
        <w:t xml:space="preserve"> declaró en forma concordante.</w:t>
      </w:r>
      <w:r w:rsidRPr="007B43FC">
        <w:rPr>
          <w:i/>
          <w:sz w:val="16"/>
          <w:szCs w:val="16"/>
        </w:rPr>
        <w:t xml:space="preserve"> </w:t>
      </w:r>
      <w:r w:rsidRPr="007B43FC">
        <w:rPr>
          <w:sz w:val="16"/>
          <w:szCs w:val="16"/>
        </w:rPr>
        <w:t>El 7 de diciembre de 2001 el Juzgado de Letras dispuso que se tomara declaración a seis personas propuestas el 5 de diciembre anterior por el Fiscal como testigos en la causa contra los señores HE, FV y JM</w:t>
      </w:r>
      <w:r w:rsidRPr="007B43FC">
        <w:rPr>
          <w:i/>
          <w:sz w:val="16"/>
          <w:szCs w:val="16"/>
        </w:rPr>
        <w:t xml:space="preserve"> </w:t>
      </w:r>
      <w:r w:rsidRPr="007B43FC">
        <w:rPr>
          <w:sz w:val="16"/>
          <w:szCs w:val="16"/>
        </w:rPr>
        <w:t>(</w:t>
      </w:r>
      <w:r>
        <w:rPr>
          <w:i/>
          <w:sz w:val="16"/>
          <w:szCs w:val="16"/>
        </w:rPr>
        <w:t>c</w:t>
      </w:r>
      <w:r w:rsidRPr="007B43FC">
        <w:rPr>
          <w:i/>
          <w:sz w:val="16"/>
          <w:szCs w:val="16"/>
        </w:rPr>
        <w:t>fr.</w:t>
      </w:r>
      <w:r w:rsidRPr="007B43FC">
        <w:rPr>
          <w:sz w:val="16"/>
          <w:szCs w:val="16"/>
        </w:rPr>
        <w:t xml:space="preserve"> Escrito titulado “se nominan testigos” de 5 de diciembre de 2001 y Providencia del Juzgado de Letras de 7 de diciembre de 2001 (expediente de prueba, </w:t>
      </w:r>
      <w:r>
        <w:rPr>
          <w:sz w:val="16"/>
          <w:szCs w:val="16"/>
        </w:rPr>
        <w:t>a</w:t>
      </w:r>
      <w:r w:rsidRPr="007B43FC">
        <w:rPr>
          <w:sz w:val="16"/>
          <w:szCs w:val="16"/>
        </w:rPr>
        <w:t xml:space="preserve">nexo 2 a la contestación, fs. 2429 y 2430, respectivamente). Las declaraciones de cinco de las </w:t>
      </w:r>
      <w:r>
        <w:rPr>
          <w:sz w:val="16"/>
          <w:szCs w:val="16"/>
        </w:rPr>
        <w:t xml:space="preserve">seis </w:t>
      </w:r>
      <w:r w:rsidRPr="007B43FC">
        <w:rPr>
          <w:sz w:val="16"/>
          <w:szCs w:val="16"/>
        </w:rPr>
        <w:t>personas respe</w:t>
      </w:r>
      <w:r>
        <w:rPr>
          <w:sz w:val="16"/>
          <w:szCs w:val="16"/>
        </w:rPr>
        <w:t>c</w:t>
      </w:r>
      <w:r w:rsidRPr="007B43FC">
        <w:rPr>
          <w:sz w:val="16"/>
          <w:szCs w:val="16"/>
        </w:rPr>
        <w:t>tivas constan en el expediente; sin embargo, tienen fecha de 5 o 6 de diciembre de 2001, es decir, anterior a la disposición judicial que ordenó recibirlas (</w:t>
      </w:r>
      <w:r w:rsidRPr="007B43FC">
        <w:rPr>
          <w:i/>
          <w:sz w:val="16"/>
          <w:szCs w:val="16"/>
        </w:rPr>
        <w:t>cfr.</w:t>
      </w:r>
      <w:r w:rsidRPr="007B43FC">
        <w:rPr>
          <w:sz w:val="16"/>
          <w:szCs w:val="16"/>
        </w:rPr>
        <w:t xml:space="preserve"> expediente de prueba, Anexo 2 a la contestación, fs.</w:t>
      </w:r>
      <w:r>
        <w:rPr>
          <w:sz w:val="16"/>
          <w:szCs w:val="16"/>
        </w:rPr>
        <w:t xml:space="preserve"> 2432, 2433, 2437, 2438, 2439). Respecto de la declaración restante, consta en el </w:t>
      </w:r>
      <w:r w:rsidRPr="00AE14A6">
        <w:rPr>
          <w:sz w:val="16"/>
          <w:szCs w:val="16"/>
        </w:rPr>
        <w:t>Memorándum del Fiscal del Ministerio Público del departamento de Valle, de fecha 15 de julio de 2004, que la declaración fue tomada (</w:t>
      </w:r>
      <w:r w:rsidRPr="00AE14A6">
        <w:rPr>
          <w:i/>
          <w:sz w:val="16"/>
          <w:szCs w:val="16"/>
        </w:rPr>
        <w:t>cfr.</w:t>
      </w:r>
      <w:r w:rsidRPr="00AE14A6">
        <w:rPr>
          <w:sz w:val="16"/>
          <w:szCs w:val="16"/>
        </w:rPr>
        <w:t xml:space="preserve"> expediente de prueba, Anexo 13 al Informe de Fondo, fs. 390 a 397).</w:t>
      </w:r>
      <w:r w:rsidRPr="00BB5F4C">
        <w:rPr>
          <w:sz w:val="16"/>
          <w:szCs w:val="16"/>
        </w:rPr>
        <w:t xml:space="preserve"> </w:t>
      </w:r>
    </w:p>
  </w:footnote>
  <w:footnote w:id="51">
    <w:p w14:paraId="5833B7AC" w14:textId="2AE27C27" w:rsidR="00E02FDB" w:rsidRPr="007B43FC" w:rsidRDefault="00E02FDB" w:rsidP="00585FD0">
      <w:pPr>
        <w:pStyle w:val="FootnoteText"/>
      </w:pPr>
      <w:r w:rsidRPr="007B43FC">
        <w:rPr>
          <w:rStyle w:val="FootnoteReference"/>
        </w:rPr>
        <w:footnoteRef/>
      </w:r>
      <w:r w:rsidRPr="007B43FC">
        <w:t xml:space="preserve"> </w:t>
      </w:r>
      <w:r>
        <w:tab/>
      </w:r>
      <w:r w:rsidRPr="007B43FC">
        <w:rPr>
          <w:i/>
        </w:rPr>
        <w:t>Cfr.</w:t>
      </w:r>
      <w:r w:rsidRPr="007B43FC">
        <w:t xml:space="preserve"> Resoluci</w:t>
      </w:r>
      <w:r w:rsidRPr="007B43FC">
        <w:rPr>
          <w:rFonts w:cs="Calibri"/>
        </w:rPr>
        <w:t>ó</w:t>
      </w:r>
      <w:r w:rsidRPr="007B43FC">
        <w:t xml:space="preserve">n del Juzgado de Letras de 8 de enero de 2002 (expediente de prueba, </w:t>
      </w:r>
      <w:r>
        <w:t>a</w:t>
      </w:r>
      <w:r w:rsidRPr="007B43FC">
        <w:t xml:space="preserve">nexo 2 a la </w:t>
      </w:r>
      <w:r>
        <w:t>c</w:t>
      </w:r>
      <w:r w:rsidRPr="007B43FC">
        <w:t>ontestaci</w:t>
      </w:r>
      <w:r w:rsidRPr="007B43FC">
        <w:rPr>
          <w:rFonts w:cs="Calibri"/>
        </w:rPr>
        <w:t>ó</w:t>
      </w:r>
      <w:r w:rsidRPr="007B43FC">
        <w:t>n, fs. 2471 a 2475), y “Cartas de Libertad” de la misma fecha (expediente d</w:t>
      </w:r>
      <w:r>
        <w:t>e prueba, a</w:t>
      </w:r>
      <w:r w:rsidRPr="007B43FC">
        <w:t>nexo 2 a la contestaci</w:t>
      </w:r>
      <w:r w:rsidRPr="007B43FC">
        <w:rPr>
          <w:rFonts w:cs="Calibri"/>
        </w:rPr>
        <w:t>ó</w:t>
      </w:r>
      <w:r w:rsidRPr="007B43FC">
        <w:t xml:space="preserve">n, fs. 2476 y 2477). </w:t>
      </w:r>
    </w:p>
  </w:footnote>
  <w:footnote w:id="52">
    <w:p w14:paraId="3BA671C5" w14:textId="79B4B04B" w:rsidR="00E02FDB" w:rsidRPr="00D37329" w:rsidRDefault="00E02FDB" w:rsidP="00D37329">
      <w:pPr>
        <w:autoSpaceDE w:val="0"/>
        <w:autoSpaceDN w:val="0"/>
        <w:adjustRightInd w:val="0"/>
        <w:rPr>
          <w:sz w:val="16"/>
          <w:szCs w:val="16"/>
        </w:rPr>
      </w:pPr>
      <w:r w:rsidRPr="007B43FC">
        <w:rPr>
          <w:rStyle w:val="FootnoteReference"/>
        </w:rPr>
        <w:footnoteRef/>
      </w:r>
      <w:r w:rsidRPr="007B43FC">
        <w:t xml:space="preserve"> </w:t>
      </w:r>
      <w:r>
        <w:tab/>
      </w:r>
      <w:r w:rsidRPr="00B44D5C">
        <w:rPr>
          <w:i/>
          <w:sz w:val="16"/>
          <w:szCs w:val="16"/>
        </w:rPr>
        <w:t>Cfr.</w:t>
      </w:r>
      <w:r w:rsidRPr="00B44D5C">
        <w:rPr>
          <w:sz w:val="16"/>
          <w:szCs w:val="16"/>
        </w:rPr>
        <w:t xml:space="preserve"> </w:t>
      </w:r>
      <w:r w:rsidRPr="00B44D5C">
        <w:rPr>
          <w:rFonts w:eastAsiaTheme="minorHAnsi" w:cs="Arial"/>
          <w:color w:val="0F0F0F"/>
          <w:sz w:val="16"/>
          <w:szCs w:val="16"/>
          <w:lang w:val="es-CR"/>
        </w:rPr>
        <w:t>Memorándum del Fiscal del Ministerio Público del departamento de Valle, de fecha 15 de julio de 2004. Anexo a la comunicación de los peticionarios de 29 de septiembre de 2004</w:t>
      </w:r>
      <w:r w:rsidRPr="00B44D5C">
        <w:rPr>
          <w:rFonts w:cs="Times New Roman"/>
          <w:color w:val="0F0F0F"/>
          <w:sz w:val="16"/>
          <w:szCs w:val="16"/>
        </w:rPr>
        <w:t xml:space="preserve"> (Expediente de prueba, Anexo 13 al Informe de Fondo, fs. 390 a 397)</w:t>
      </w:r>
      <w:r w:rsidRPr="00B44D5C">
        <w:rPr>
          <w:rFonts w:cs="Cambria"/>
          <w:sz w:val="16"/>
          <w:szCs w:val="16"/>
        </w:rPr>
        <w:t>.</w:t>
      </w:r>
      <w:r w:rsidRPr="00D37329">
        <w:rPr>
          <w:rFonts w:cs="Cambria"/>
          <w:sz w:val="16"/>
          <w:szCs w:val="16"/>
        </w:rPr>
        <w:t xml:space="preserve"> Tiempo despu</w:t>
      </w:r>
      <w:r w:rsidRPr="00D37329">
        <w:rPr>
          <w:sz w:val="16"/>
          <w:szCs w:val="16"/>
        </w:rPr>
        <w:t>é</w:t>
      </w:r>
      <w:r w:rsidRPr="00D37329">
        <w:rPr>
          <w:rFonts w:cs="Cambria"/>
          <w:sz w:val="16"/>
          <w:szCs w:val="16"/>
        </w:rPr>
        <w:t>s el Jefe del Departamento de Homicidios de la DGIC se</w:t>
      </w:r>
      <w:r w:rsidRPr="00D37329">
        <w:rPr>
          <w:sz w:val="16"/>
          <w:szCs w:val="16"/>
        </w:rPr>
        <w:t>ñ</w:t>
      </w:r>
      <w:r w:rsidRPr="00D37329">
        <w:rPr>
          <w:rFonts w:cs="Cambria"/>
          <w:sz w:val="16"/>
          <w:szCs w:val="16"/>
        </w:rPr>
        <w:t>alar</w:t>
      </w:r>
      <w:r w:rsidRPr="00D37329">
        <w:rPr>
          <w:sz w:val="16"/>
          <w:szCs w:val="16"/>
        </w:rPr>
        <w:t>í</w:t>
      </w:r>
      <w:r w:rsidRPr="00D37329">
        <w:rPr>
          <w:rFonts w:cs="Cambria"/>
          <w:sz w:val="16"/>
          <w:szCs w:val="16"/>
        </w:rPr>
        <w:t>a que las tres personas “lograron su libertad por no existir suficientes m</w:t>
      </w:r>
      <w:r w:rsidRPr="00D37329">
        <w:rPr>
          <w:sz w:val="16"/>
          <w:szCs w:val="16"/>
        </w:rPr>
        <w:t>é</w:t>
      </w:r>
      <w:r w:rsidRPr="00D37329">
        <w:rPr>
          <w:rFonts w:cs="Cambria"/>
          <w:sz w:val="16"/>
          <w:szCs w:val="16"/>
        </w:rPr>
        <w:t>ritos en su contra ya que los an</w:t>
      </w:r>
      <w:r w:rsidRPr="00D37329">
        <w:rPr>
          <w:sz w:val="16"/>
          <w:szCs w:val="16"/>
        </w:rPr>
        <w:t>á</w:t>
      </w:r>
      <w:r w:rsidRPr="00D37329">
        <w:rPr>
          <w:rFonts w:cs="Cambria"/>
          <w:sz w:val="16"/>
          <w:szCs w:val="16"/>
        </w:rPr>
        <w:t>lisis practicados en sus vestimentas no [</w:t>
      </w:r>
      <w:r w:rsidRPr="00D37329">
        <w:rPr>
          <w:sz w:val="16"/>
          <w:szCs w:val="16"/>
        </w:rPr>
        <w:t>…</w:t>
      </w:r>
      <w:r w:rsidRPr="00D37329">
        <w:rPr>
          <w:rFonts w:cs="Cambria"/>
          <w:sz w:val="16"/>
          <w:szCs w:val="16"/>
        </w:rPr>
        <w:t>] encontraron indicios que los relacionaran con el caso ni fueron identificados [por] [J]</w:t>
      </w:r>
      <w:proofErr w:type="spellStart"/>
      <w:r w:rsidRPr="00D37329">
        <w:rPr>
          <w:rFonts w:cs="Cambria"/>
          <w:sz w:val="16"/>
          <w:szCs w:val="16"/>
        </w:rPr>
        <w:t>im</w:t>
      </w:r>
      <w:proofErr w:type="spellEnd"/>
      <w:r w:rsidRPr="00D37329">
        <w:rPr>
          <w:rFonts w:cs="Cambria"/>
          <w:sz w:val="16"/>
          <w:szCs w:val="16"/>
        </w:rPr>
        <w:t>[y] Javier Pacheco” (</w:t>
      </w:r>
      <w:r w:rsidRPr="00D37329">
        <w:rPr>
          <w:i/>
          <w:sz w:val="16"/>
          <w:szCs w:val="16"/>
        </w:rPr>
        <w:t>cfr.</w:t>
      </w:r>
      <w:r w:rsidRPr="00D37329">
        <w:rPr>
          <w:sz w:val="16"/>
          <w:szCs w:val="16"/>
        </w:rPr>
        <w:t xml:space="preserve"> Nota del Jefe de Departamentos de Homicidios de la DGIC al Secretario Ejecutivo de la DGIC de 11 de octubre de 2004).</w:t>
      </w:r>
    </w:p>
  </w:footnote>
  <w:footnote w:id="53">
    <w:p w14:paraId="7B6753E7" w14:textId="236EE946" w:rsidR="00E02FDB" w:rsidRPr="007B43FC" w:rsidRDefault="00E02FDB" w:rsidP="008A2AE0">
      <w:pPr>
        <w:pStyle w:val="FootnoteText"/>
      </w:pPr>
      <w:r w:rsidRPr="007B43FC">
        <w:rPr>
          <w:rStyle w:val="FootnoteReference"/>
        </w:rPr>
        <w:footnoteRef/>
      </w:r>
      <w:r w:rsidRPr="007B43FC">
        <w:t xml:space="preserve"> </w:t>
      </w:r>
      <w:r>
        <w:tab/>
      </w:r>
      <w:r w:rsidRPr="007B43FC">
        <w:rPr>
          <w:i/>
        </w:rPr>
        <w:t xml:space="preserve">Cfr. </w:t>
      </w:r>
      <w:r>
        <w:t>expediente de prueba, a</w:t>
      </w:r>
      <w:r w:rsidRPr="007B43FC">
        <w:t xml:space="preserve">nexo 1 a la </w:t>
      </w:r>
      <w:r>
        <w:t>c</w:t>
      </w:r>
      <w:r w:rsidRPr="007B43FC">
        <w:t>ontestaci</w:t>
      </w:r>
      <w:r w:rsidRPr="007B43FC">
        <w:rPr>
          <w:rFonts w:cs="Calibri"/>
        </w:rPr>
        <w:t>ó</w:t>
      </w:r>
      <w:r w:rsidRPr="007B43FC">
        <w:t>n</w:t>
      </w:r>
      <w:r>
        <w:t>:</w:t>
      </w:r>
      <w:r w:rsidRPr="007B43FC">
        <w:t xml:space="preserve"> fs. 2171 </w:t>
      </w:r>
      <w:r>
        <w:t>a 2178</w:t>
      </w:r>
      <w:r w:rsidRPr="007B43FC">
        <w:t>; 2223 a 22</w:t>
      </w:r>
      <w:r>
        <w:t>4</w:t>
      </w:r>
      <w:r w:rsidRPr="007B43FC">
        <w:t>2; 22</w:t>
      </w:r>
      <w:r>
        <w:t xml:space="preserve">49 a </w:t>
      </w:r>
      <w:r w:rsidRPr="007B43FC">
        <w:t>236</w:t>
      </w:r>
      <w:r>
        <w:t>8</w:t>
      </w:r>
      <w:r w:rsidRPr="007B43FC">
        <w:t xml:space="preserve">; </w:t>
      </w:r>
      <w:r>
        <w:t xml:space="preserve">2181 a 2182; 2286 a 2291; y </w:t>
      </w:r>
      <w:r w:rsidRPr="007B43FC">
        <w:t>2294 y 229</w:t>
      </w:r>
      <w:r>
        <w:t>7, y a</w:t>
      </w:r>
      <w:r w:rsidRPr="007B43FC">
        <w:t>nexo 2 a la contestaci</w:t>
      </w:r>
      <w:r w:rsidRPr="007B43FC">
        <w:rPr>
          <w:rFonts w:cs="Calibri"/>
        </w:rPr>
        <w:t>ó</w:t>
      </w:r>
      <w:r w:rsidRPr="007B43FC">
        <w:t>n</w:t>
      </w:r>
      <w:r>
        <w:t>:</w:t>
      </w:r>
      <w:r w:rsidRPr="007B43FC">
        <w:t xml:space="preserve"> fs. 2328 </w:t>
      </w:r>
      <w:r>
        <w:t>a</w:t>
      </w:r>
      <w:r w:rsidRPr="007B43FC">
        <w:t xml:space="preserve"> 2343.  </w:t>
      </w:r>
    </w:p>
  </w:footnote>
  <w:footnote w:id="54">
    <w:p w14:paraId="460AADBE" w14:textId="6C4305C6" w:rsidR="00E02FDB" w:rsidRPr="007B43FC" w:rsidRDefault="00E02FDB" w:rsidP="008A2AE0">
      <w:pPr>
        <w:pStyle w:val="FootnoteText"/>
      </w:pPr>
      <w:r w:rsidRPr="007B43FC">
        <w:rPr>
          <w:rStyle w:val="FootnoteReference"/>
        </w:rPr>
        <w:footnoteRef/>
      </w:r>
      <w:r w:rsidRPr="007B43FC">
        <w:t xml:space="preserve"> </w:t>
      </w:r>
      <w:r>
        <w:tab/>
      </w:r>
      <w:r w:rsidRPr="008924EC">
        <w:rPr>
          <w:i/>
        </w:rPr>
        <w:t xml:space="preserve">Cfr. </w:t>
      </w:r>
      <w:r w:rsidRPr="008924EC">
        <w:t>expediente de prueba</w:t>
      </w:r>
      <w:r>
        <w:t>, a</w:t>
      </w:r>
      <w:r w:rsidRPr="007B43FC">
        <w:t>nexo 1 a la contestaci</w:t>
      </w:r>
      <w:r w:rsidRPr="007B43FC">
        <w:rPr>
          <w:rFonts w:cs="Calibri"/>
        </w:rPr>
        <w:t>ó</w:t>
      </w:r>
      <w:r w:rsidRPr="007B43FC">
        <w:t>n, fs. 2292</w:t>
      </w:r>
      <w:r>
        <w:t xml:space="preserve"> a 2293</w:t>
      </w:r>
      <w:r w:rsidRPr="007B43FC">
        <w:t xml:space="preserve">, y 2296 </w:t>
      </w:r>
      <w:r>
        <w:t>a</w:t>
      </w:r>
      <w:r w:rsidRPr="007B43FC">
        <w:t xml:space="preserve"> 2297</w:t>
      </w:r>
      <w:r>
        <w:t>.</w:t>
      </w:r>
    </w:p>
  </w:footnote>
  <w:footnote w:id="55">
    <w:p w14:paraId="22B8305C" w14:textId="0A5BBF79" w:rsidR="00E02FDB" w:rsidRPr="007B43FC" w:rsidRDefault="00E02FDB" w:rsidP="008A2AE0">
      <w:pPr>
        <w:pStyle w:val="FootnoteText"/>
      </w:pPr>
      <w:r w:rsidRPr="007B43FC">
        <w:rPr>
          <w:rStyle w:val="FootnoteReference"/>
        </w:rPr>
        <w:footnoteRef/>
      </w:r>
      <w:r w:rsidRPr="007B43FC">
        <w:t xml:space="preserve"> </w:t>
      </w:r>
      <w:r>
        <w:tab/>
      </w:r>
      <w:r>
        <w:rPr>
          <w:i/>
        </w:rPr>
        <w:t>C</w:t>
      </w:r>
      <w:r w:rsidRPr="007B43FC">
        <w:rPr>
          <w:i/>
        </w:rPr>
        <w:t>fr.</w:t>
      </w:r>
      <w:r>
        <w:t xml:space="preserve"> expediente de prueba, a</w:t>
      </w:r>
      <w:r w:rsidRPr="007B43FC">
        <w:t>nexo 2 a la contestaci</w:t>
      </w:r>
      <w:r w:rsidRPr="007B43FC">
        <w:rPr>
          <w:rFonts w:cs="Calibri"/>
        </w:rPr>
        <w:t>ó</w:t>
      </w:r>
      <w:r w:rsidRPr="007B43FC">
        <w:t>n, fs. 2385 a 2403.</w:t>
      </w:r>
    </w:p>
  </w:footnote>
  <w:footnote w:id="56">
    <w:p w14:paraId="0F240733" w14:textId="03FF8909" w:rsidR="00E02FDB" w:rsidRPr="007B43FC" w:rsidRDefault="00E02FDB" w:rsidP="008A2AE0">
      <w:pPr>
        <w:pStyle w:val="FootnoteText"/>
      </w:pPr>
      <w:r w:rsidRPr="007B43FC">
        <w:rPr>
          <w:rStyle w:val="FootnoteReference"/>
        </w:rPr>
        <w:footnoteRef/>
      </w:r>
      <w:r w:rsidRPr="007B43FC">
        <w:t xml:space="preserve"> </w:t>
      </w:r>
      <w:r>
        <w:tab/>
      </w:r>
      <w:r w:rsidRPr="007B43FC">
        <w:rPr>
          <w:i/>
        </w:rPr>
        <w:t xml:space="preserve">Cfr. </w:t>
      </w:r>
      <w:r>
        <w:t>expediente de prueba, a</w:t>
      </w:r>
      <w:r w:rsidRPr="007B43FC">
        <w:t>nexo 2 a la contestaci</w:t>
      </w:r>
      <w:r w:rsidRPr="007B43FC">
        <w:rPr>
          <w:rFonts w:cs="Calibri"/>
        </w:rPr>
        <w:t>ó</w:t>
      </w:r>
      <w:r w:rsidRPr="007B43FC">
        <w:t>n, fs. 2449, 2450, 2451, 2452, 2453, 2454,</w:t>
      </w:r>
      <w:r>
        <w:t xml:space="preserve"> </w:t>
      </w:r>
      <w:r w:rsidRPr="007B43FC">
        <w:t>2455, 2456, 2458, 2459, 2460, 2461, 2462, 2463, 2464, 2465, 2467, 2469, 2470 y 2478.</w:t>
      </w:r>
      <w:r w:rsidRPr="007B43FC">
        <w:rPr>
          <w:i/>
        </w:rPr>
        <w:t xml:space="preserve"> </w:t>
      </w:r>
      <w:r w:rsidRPr="007B43FC">
        <w:t>Tambi</w:t>
      </w:r>
      <w:r w:rsidRPr="007B43FC">
        <w:rPr>
          <w:rFonts w:cs="Calibri"/>
        </w:rPr>
        <w:t>é</w:t>
      </w:r>
      <w:r w:rsidRPr="007B43FC">
        <w:t>n consta una declaraci</w:t>
      </w:r>
      <w:r w:rsidRPr="007B43FC">
        <w:rPr>
          <w:rFonts w:cs="Calibri"/>
        </w:rPr>
        <w:t>ó</w:t>
      </w:r>
      <w:r w:rsidRPr="007B43FC">
        <w:t xml:space="preserve">n ilegible de 13 de diciembre </w:t>
      </w:r>
      <w:r>
        <w:t>de 2001 (expediente de prueba, a</w:t>
      </w:r>
      <w:r w:rsidRPr="007B43FC">
        <w:t>nexo 2 a la contestaci</w:t>
      </w:r>
      <w:r w:rsidRPr="007B43FC">
        <w:rPr>
          <w:rFonts w:cs="Calibri"/>
        </w:rPr>
        <w:t>ó</w:t>
      </w:r>
      <w:r w:rsidRPr="007B43FC">
        <w:t>n, f. 2457).</w:t>
      </w:r>
    </w:p>
  </w:footnote>
  <w:footnote w:id="57">
    <w:p w14:paraId="7434F7D5" w14:textId="74CFF825" w:rsidR="00E02FDB" w:rsidRPr="007B43FC" w:rsidRDefault="00E02FDB" w:rsidP="008A2AE0">
      <w:pPr>
        <w:pStyle w:val="FootnoteText"/>
      </w:pPr>
      <w:r w:rsidRPr="007B43FC">
        <w:rPr>
          <w:rStyle w:val="FootnoteReference"/>
        </w:rPr>
        <w:footnoteRef/>
      </w:r>
      <w:r w:rsidRPr="007B43FC">
        <w:t xml:space="preserve"> </w:t>
      </w:r>
      <w:r>
        <w:tab/>
      </w:r>
      <w:proofErr w:type="spellStart"/>
      <w:r w:rsidRPr="007B43FC">
        <w:t>Jimy</w:t>
      </w:r>
      <w:proofErr w:type="spellEnd"/>
      <w:r w:rsidRPr="007B43FC">
        <w:t xml:space="preserve"> Pacheco describi</w:t>
      </w:r>
      <w:r w:rsidRPr="007B43FC">
        <w:rPr>
          <w:rFonts w:cs="Calibri"/>
        </w:rPr>
        <w:t>ó</w:t>
      </w:r>
      <w:r w:rsidRPr="007B43FC">
        <w:t xml:space="preserve"> el modo en que sucedieron los hechos que </w:t>
      </w:r>
      <w:r w:rsidRPr="007C4756">
        <w:t>el 23</w:t>
      </w:r>
      <w:r w:rsidRPr="007B43FC">
        <w:t xml:space="preserve"> de noviembre de 2001 derivaron en la muerte del se</w:t>
      </w:r>
      <w:r w:rsidRPr="007B43FC">
        <w:rPr>
          <w:rFonts w:cs="Calibri"/>
        </w:rPr>
        <w:t>ñ</w:t>
      </w:r>
      <w:r w:rsidRPr="007B43FC">
        <w:t>or Pacheco (</w:t>
      </w:r>
      <w:r>
        <w:rPr>
          <w:i/>
        </w:rPr>
        <w:t>c</w:t>
      </w:r>
      <w:r w:rsidRPr="007B43FC">
        <w:rPr>
          <w:i/>
        </w:rPr>
        <w:t>fr.</w:t>
      </w:r>
      <w:r w:rsidRPr="007B43FC">
        <w:t xml:space="preserve"> Declaraci</w:t>
      </w:r>
      <w:r w:rsidRPr="007B43FC">
        <w:rPr>
          <w:rFonts w:cs="Calibri"/>
        </w:rPr>
        <w:t>ó</w:t>
      </w:r>
      <w:r w:rsidRPr="007B43FC">
        <w:t xml:space="preserve">n de </w:t>
      </w:r>
      <w:proofErr w:type="spellStart"/>
      <w:r w:rsidRPr="007B43FC">
        <w:t>Jimy</w:t>
      </w:r>
      <w:proofErr w:type="spellEnd"/>
      <w:r w:rsidRPr="007B43FC">
        <w:t xml:space="preserve"> Pacheco ante la DGIC </w:t>
      </w:r>
      <w:r>
        <w:t>de 27 de noviembre de 2001; expediente de prueba, a</w:t>
      </w:r>
      <w:r w:rsidRPr="00333448">
        <w:t>nexos 1 y 3 a la contestaci</w:t>
      </w:r>
      <w:r w:rsidRPr="00333448">
        <w:rPr>
          <w:rFonts w:cs="Calibri"/>
        </w:rPr>
        <w:t>ó</w:t>
      </w:r>
      <w:r w:rsidRPr="00333448">
        <w:t>n,</w:t>
      </w:r>
      <w:r w:rsidRPr="007B43FC">
        <w:t xml:space="preserve"> fs. 2161 </w:t>
      </w:r>
      <w:r>
        <w:t>a</w:t>
      </w:r>
      <w:r w:rsidRPr="007B43FC">
        <w:t xml:space="preserve"> 2162, y 2612 </w:t>
      </w:r>
      <w:r>
        <w:t>a</w:t>
      </w:r>
      <w:r w:rsidRPr="007B43FC">
        <w:t xml:space="preserve"> 2613). Miguel </w:t>
      </w:r>
      <w:r w:rsidRPr="007B43FC">
        <w:rPr>
          <w:rFonts w:cs="Calibri"/>
        </w:rPr>
        <w:t>Á</w:t>
      </w:r>
      <w:r w:rsidRPr="007B43FC">
        <w:t xml:space="preserve">ngel Pacheco </w:t>
      </w:r>
      <w:proofErr w:type="spellStart"/>
      <w:r>
        <w:t>Devicente</w:t>
      </w:r>
      <w:proofErr w:type="spellEnd"/>
      <w:r>
        <w:t xml:space="preserve"> </w:t>
      </w:r>
      <w:r w:rsidRPr="007B43FC">
        <w:t>declar</w:t>
      </w:r>
      <w:r w:rsidRPr="007B43FC">
        <w:rPr>
          <w:rFonts w:cs="Calibri"/>
        </w:rPr>
        <w:t>ó</w:t>
      </w:r>
      <w:r w:rsidRPr="007B43FC">
        <w:t xml:space="preserve"> lo sucedido el 21 de noviembre </w:t>
      </w:r>
      <w:r>
        <w:t xml:space="preserve">de 2001 </w:t>
      </w:r>
      <w:r w:rsidRPr="007B43FC">
        <w:t>(</w:t>
      </w:r>
      <w:r>
        <w:rPr>
          <w:i/>
        </w:rPr>
        <w:t>c</w:t>
      </w:r>
      <w:r w:rsidRPr="007B43FC">
        <w:rPr>
          <w:i/>
        </w:rPr>
        <w:t>fr.</w:t>
      </w:r>
      <w:r w:rsidRPr="007B43FC">
        <w:t xml:space="preserve"> Declaraci</w:t>
      </w:r>
      <w:r w:rsidRPr="007B43FC">
        <w:rPr>
          <w:rFonts w:cs="Calibri"/>
        </w:rPr>
        <w:t>ó</w:t>
      </w:r>
      <w:r w:rsidRPr="007B43FC">
        <w:t xml:space="preserve">n de Miguel </w:t>
      </w:r>
      <w:r w:rsidRPr="007B43FC">
        <w:rPr>
          <w:rFonts w:cs="Calibri"/>
        </w:rPr>
        <w:t>Á</w:t>
      </w:r>
      <w:r w:rsidRPr="007B43FC">
        <w:t xml:space="preserve">ngel Pacheco </w:t>
      </w:r>
      <w:proofErr w:type="spellStart"/>
      <w:r>
        <w:t>Devicente</w:t>
      </w:r>
      <w:proofErr w:type="spellEnd"/>
      <w:r>
        <w:t xml:space="preserve"> </w:t>
      </w:r>
      <w:r w:rsidRPr="007B43FC">
        <w:t>ante la DGIC de 27 de noviembre de 2001</w:t>
      </w:r>
      <w:r>
        <w:t>;</w:t>
      </w:r>
      <w:r w:rsidRPr="007B43FC">
        <w:t xml:space="preserve"> expediente de prueba, </w:t>
      </w:r>
      <w:r>
        <w:t>a</w:t>
      </w:r>
      <w:r w:rsidRPr="007B43FC">
        <w:t>nexo 1 a la contestaci</w:t>
      </w:r>
      <w:r w:rsidRPr="007B43FC">
        <w:rPr>
          <w:rFonts w:cs="Calibri"/>
        </w:rPr>
        <w:t>ó</w:t>
      </w:r>
      <w:r w:rsidRPr="007B43FC">
        <w:t xml:space="preserve">n, fs. 2163 </w:t>
      </w:r>
      <w:r>
        <w:t>a</w:t>
      </w:r>
      <w:r w:rsidRPr="007B43FC">
        <w:t xml:space="preserve"> 2164).</w:t>
      </w:r>
    </w:p>
  </w:footnote>
  <w:footnote w:id="58">
    <w:p w14:paraId="2F148B15" w14:textId="5F52ED4A"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Declaraci</w:t>
      </w:r>
      <w:r w:rsidRPr="007B43FC">
        <w:rPr>
          <w:rFonts w:cs="Calibri"/>
        </w:rPr>
        <w:t>ó</w:t>
      </w:r>
      <w:r w:rsidRPr="007B43FC">
        <w:t xml:space="preserve">n de </w:t>
      </w:r>
      <w:r>
        <w:t xml:space="preserve">RR </w:t>
      </w:r>
      <w:r w:rsidRPr="007B43FC">
        <w:t xml:space="preserve">ante la DGIC de 29 de noviembre de 2001 (expediente de prueba, </w:t>
      </w:r>
      <w:r>
        <w:t>a</w:t>
      </w:r>
      <w:r w:rsidRPr="007B43FC">
        <w:t>nexo 1 a la contestaci</w:t>
      </w:r>
      <w:r w:rsidRPr="007B43FC">
        <w:rPr>
          <w:rFonts w:cs="Calibri"/>
        </w:rPr>
        <w:t>ó</w:t>
      </w:r>
      <w:r w:rsidRPr="007B43FC">
        <w:t xml:space="preserve">n, fs. 2179 </w:t>
      </w:r>
      <w:r>
        <w:t>a</w:t>
      </w:r>
      <w:r w:rsidRPr="007B43FC">
        <w:t xml:space="preserve"> 2180). El mismo d</w:t>
      </w:r>
      <w:r w:rsidRPr="007B43FC">
        <w:rPr>
          <w:rFonts w:cs="Calibri"/>
        </w:rPr>
        <w:t>í</w:t>
      </w:r>
      <w:r w:rsidRPr="007B43FC">
        <w:t>a se tom</w:t>
      </w:r>
      <w:r w:rsidRPr="007B43FC">
        <w:rPr>
          <w:rFonts w:cs="Calibri"/>
        </w:rPr>
        <w:t>ó</w:t>
      </w:r>
      <w:r w:rsidRPr="007B43FC">
        <w:t xml:space="preserve"> declaraci</w:t>
      </w:r>
      <w:r w:rsidRPr="007B43FC">
        <w:rPr>
          <w:rFonts w:cs="Calibri"/>
        </w:rPr>
        <w:t>ó</w:t>
      </w:r>
      <w:r w:rsidRPr="007B43FC">
        <w:t>n, en car</w:t>
      </w:r>
      <w:r w:rsidRPr="007B43FC">
        <w:rPr>
          <w:rFonts w:cs="Calibri"/>
        </w:rPr>
        <w:t>á</w:t>
      </w:r>
      <w:r w:rsidRPr="007B43FC">
        <w:t>cter de “testigo” a la madre del “sospechoso”, quien refiri</w:t>
      </w:r>
      <w:r w:rsidRPr="007B43FC">
        <w:rPr>
          <w:rFonts w:cs="Calibri"/>
        </w:rPr>
        <w:t>ó</w:t>
      </w:r>
      <w:r w:rsidRPr="007B43FC">
        <w:t xml:space="preserve"> qu</w:t>
      </w:r>
      <w:r w:rsidRPr="007B43FC">
        <w:rPr>
          <w:rFonts w:cs="Calibri"/>
        </w:rPr>
        <w:t>é</w:t>
      </w:r>
      <w:r w:rsidRPr="007B43FC">
        <w:t xml:space="preserve"> hizo su hijo el 23 de noviembre de 2001 (</w:t>
      </w:r>
      <w:r>
        <w:rPr>
          <w:i/>
        </w:rPr>
        <w:t>c</w:t>
      </w:r>
      <w:r w:rsidRPr="007B43FC">
        <w:rPr>
          <w:i/>
        </w:rPr>
        <w:t>fr.</w:t>
      </w:r>
      <w:r w:rsidRPr="007B43FC">
        <w:t xml:space="preserve"> Declaraci</w:t>
      </w:r>
      <w:r w:rsidRPr="007B43FC">
        <w:rPr>
          <w:rFonts w:cs="Calibri"/>
        </w:rPr>
        <w:t>ó</w:t>
      </w:r>
      <w:r>
        <w:t>n de MR</w:t>
      </w:r>
      <w:r w:rsidRPr="007B43FC">
        <w:t xml:space="preserve"> ante la DGIC </w:t>
      </w:r>
      <w:r>
        <w:t xml:space="preserve">de 29 de noviembre de 2001; </w:t>
      </w:r>
      <w:r w:rsidRPr="007B43FC">
        <w:t xml:space="preserve">expediente de prueba, </w:t>
      </w:r>
      <w:r>
        <w:t>a</w:t>
      </w:r>
      <w:r w:rsidRPr="007B43FC">
        <w:t>nexo 1 a la contestaci</w:t>
      </w:r>
      <w:r w:rsidRPr="007B43FC">
        <w:rPr>
          <w:rFonts w:cs="Calibri"/>
        </w:rPr>
        <w:t>ó</w:t>
      </w:r>
      <w:r w:rsidRPr="007B43FC">
        <w:t xml:space="preserve">n, fs. 2181 </w:t>
      </w:r>
      <w:r>
        <w:t>a</w:t>
      </w:r>
      <w:r w:rsidRPr="007B43FC">
        <w:t xml:space="preserve"> 2182). Adem</w:t>
      </w:r>
      <w:r w:rsidRPr="007B43FC">
        <w:rPr>
          <w:rFonts w:cs="Calibri"/>
        </w:rPr>
        <w:t>á</w:t>
      </w:r>
      <w:r w:rsidRPr="007B43FC">
        <w:t>s, consta una declaraci</w:t>
      </w:r>
      <w:r w:rsidRPr="007B43FC">
        <w:rPr>
          <w:rFonts w:cs="Calibri"/>
        </w:rPr>
        <w:t>ó</w:t>
      </w:r>
      <w:r w:rsidRPr="007B43FC">
        <w:t>n d</w:t>
      </w:r>
      <w:r>
        <w:t>e</w:t>
      </w:r>
      <w:r w:rsidRPr="007B43FC">
        <w:t xml:space="preserve"> </w:t>
      </w:r>
      <w:r>
        <w:t xml:space="preserve">RR </w:t>
      </w:r>
      <w:r w:rsidRPr="007B43FC">
        <w:t xml:space="preserve">de 25 de noviembre de 2001, que se encuentra parcialmente ilegible, pero en la que puede advertirse que </w:t>
      </w:r>
      <w:r w:rsidRPr="007B43FC">
        <w:rPr>
          <w:rFonts w:cs="Calibri"/>
        </w:rPr>
        <w:t>é</w:t>
      </w:r>
      <w:r w:rsidRPr="007B43FC">
        <w:t>l indica que no conoce al se</w:t>
      </w:r>
      <w:r w:rsidRPr="007B43FC">
        <w:rPr>
          <w:rFonts w:cs="Calibri"/>
        </w:rPr>
        <w:t>ñ</w:t>
      </w:r>
      <w:r w:rsidRPr="007B43FC">
        <w:t>or Pacheco (</w:t>
      </w:r>
      <w:r>
        <w:rPr>
          <w:i/>
        </w:rPr>
        <w:t>c</w:t>
      </w:r>
      <w:r w:rsidRPr="007B43FC">
        <w:rPr>
          <w:i/>
        </w:rPr>
        <w:t>fr</w:t>
      </w:r>
      <w:r>
        <w:t>. expediente de prueba, a</w:t>
      </w:r>
      <w:r w:rsidRPr="007B43FC">
        <w:t>nexo 2 a la contestaci</w:t>
      </w:r>
      <w:r w:rsidRPr="007B43FC">
        <w:rPr>
          <w:rFonts w:cs="Calibri"/>
        </w:rPr>
        <w:t>ó</w:t>
      </w:r>
      <w:r w:rsidRPr="007B43FC">
        <w:t xml:space="preserve">n, fs. 2350 a 2352). </w:t>
      </w:r>
    </w:p>
  </w:footnote>
  <w:footnote w:id="59">
    <w:p w14:paraId="42288343" w14:textId="155CCD63" w:rsidR="00E02FDB" w:rsidRPr="007B43FC" w:rsidRDefault="00E02FDB" w:rsidP="008A2AE0">
      <w:pPr>
        <w:pStyle w:val="FootnoteText"/>
      </w:pPr>
      <w:r w:rsidRPr="007B43FC">
        <w:rPr>
          <w:rStyle w:val="FootnoteReference"/>
        </w:rPr>
        <w:footnoteRef/>
      </w:r>
      <w:r w:rsidRPr="007B43FC">
        <w:t xml:space="preserve"> </w:t>
      </w:r>
      <w:r>
        <w:tab/>
      </w:r>
      <w:r w:rsidRPr="00E953DF">
        <w:rPr>
          <w:i/>
        </w:rPr>
        <w:t>Cfr</w:t>
      </w:r>
      <w:r w:rsidRPr="007B43FC">
        <w:t>. Declaraci</w:t>
      </w:r>
      <w:r w:rsidRPr="007B43FC">
        <w:rPr>
          <w:rFonts w:cs="Calibri"/>
        </w:rPr>
        <w:t>ó</w:t>
      </w:r>
      <w:r w:rsidRPr="007B43FC">
        <w:t>n de JE ante la Fiscal</w:t>
      </w:r>
      <w:r w:rsidRPr="007B43FC">
        <w:rPr>
          <w:rFonts w:cs="Calibri"/>
        </w:rPr>
        <w:t>í</w:t>
      </w:r>
      <w:r w:rsidRPr="007B43FC">
        <w:t xml:space="preserve">a de 5 de diciembre </w:t>
      </w:r>
      <w:r>
        <w:t>de 2001 (expediente de prueba, a</w:t>
      </w:r>
      <w:r w:rsidRPr="007B43FC">
        <w:t>nexo 2 a la contestaci</w:t>
      </w:r>
      <w:r w:rsidRPr="007B43FC">
        <w:rPr>
          <w:rFonts w:cs="Calibri"/>
        </w:rPr>
        <w:t>ó</w:t>
      </w:r>
      <w:r w:rsidRPr="007B43FC">
        <w:t xml:space="preserve">n, f. 2431). </w:t>
      </w:r>
    </w:p>
  </w:footnote>
  <w:footnote w:id="60">
    <w:p w14:paraId="27408AFE" w14:textId="41CB2DD0" w:rsidR="00E02FDB" w:rsidRPr="007B43FC" w:rsidRDefault="00E02FDB" w:rsidP="008A2AE0">
      <w:pPr>
        <w:pStyle w:val="FootnoteText"/>
      </w:pPr>
      <w:r w:rsidRPr="007B43FC">
        <w:rPr>
          <w:rStyle w:val="FootnoteReference"/>
        </w:rPr>
        <w:footnoteRef/>
      </w:r>
      <w:r w:rsidRPr="007B43FC">
        <w:t xml:space="preserve"> </w:t>
      </w:r>
      <w:r>
        <w:tab/>
      </w:r>
      <w:r w:rsidRPr="007B43FC">
        <w:rPr>
          <w:i/>
        </w:rPr>
        <w:t xml:space="preserve">Cfr. </w:t>
      </w:r>
      <w:r w:rsidRPr="007B43FC">
        <w:t>Declaraci</w:t>
      </w:r>
      <w:r w:rsidRPr="007B43FC">
        <w:rPr>
          <w:rFonts w:cs="Calibri"/>
        </w:rPr>
        <w:t>ó</w:t>
      </w:r>
      <w:r>
        <w:t>n de RP</w:t>
      </w:r>
      <w:r w:rsidRPr="007B43FC">
        <w:t xml:space="preserve"> de 11 de diciembre </w:t>
      </w:r>
      <w:r>
        <w:t>de 2001 (expediente de prueba, a</w:t>
      </w:r>
      <w:r w:rsidRPr="007B43FC">
        <w:t>nexo 2 a la contestaci</w:t>
      </w:r>
      <w:r w:rsidRPr="007B43FC">
        <w:rPr>
          <w:rFonts w:cs="Calibri"/>
        </w:rPr>
        <w:t>ó</w:t>
      </w:r>
      <w:r w:rsidRPr="007B43FC">
        <w:t xml:space="preserve">n, fs. 2442 </w:t>
      </w:r>
      <w:r>
        <w:t>a</w:t>
      </w:r>
      <w:r w:rsidRPr="007B43FC">
        <w:t xml:space="preserve"> 2443). </w:t>
      </w:r>
    </w:p>
  </w:footnote>
  <w:footnote w:id="61">
    <w:p w14:paraId="7220EA18" w14:textId="4536AFB8" w:rsidR="00E02FDB" w:rsidRPr="007B43FC" w:rsidRDefault="00E02FDB" w:rsidP="008A2AE0">
      <w:pPr>
        <w:pStyle w:val="FootnoteText"/>
      </w:pPr>
      <w:r w:rsidRPr="007B43FC">
        <w:rPr>
          <w:rStyle w:val="FootnoteReference"/>
        </w:rPr>
        <w:footnoteRef/>
      </w:r>
      <w:r w:rsidRPr="007B43FC">
        <w:t xml:space="preserve"> </w:t>
      </w:r>
      <w:r>
        <w:tab/>
      </w:r>
      <w:r w:rsidRPr="007B43FC">
        <w:rPr>
          <w:i/>
        </w:rPr>
        <w:t xml:space="preserve">Cfr. </w:t>
      </w:r>
      <w:r w:rsidRPr="007B43FC">
        <w:t>Declaraci</w:t>
      </w:r>
      <w:r w:rsidRPr="007B43FC">
        <w:rPr>
          <w:rFonts w:cs="Calibri"/>
        </w:rPr>
        <w:t>ó</w:t>
      </w:r>
      <w:r w:rsidRPr="007B43FC">
        <w:t xml:space="preserve">n de BC de 11 de diciembre </w:t>
      </w:r>
      <w:r>
        <w:t>de 2001 (expediente de prueba, a</w:t>
      </w:r>
      <w:r w:rsidRPr="007B43FC">
        <w:t>nexo 2 a la contestaci</w:t>
      </w:r>
      <w:r w:rsidRPr="007B43FC">
        <w:rPr>
          <w:rFonts w:cs="Calibri"/>
        </w:rPr>
        <w:t>ó</w:t>
      </w:r>
      <w:r w:rsidRPr="007B43FC">
        <w:t xml:space="preserve">n, fs. 2444 </w:t>
      </w:r>
      <w:r>
        <w:t>a</w:t>
      </w:r>
      <w:r w:rsidRPr="007B43FC">
        <w:t xml:space="preserve"> 2445). </w:t>
      </w:r>
    </w:p>
  </w:footnote>
  <w:footnote w:id="62">
    <w:p w14:paraId="73C180EB" w14:textId="23E6EE1D" w:rsidR="00E02FDB" w:rsidRPr="007B43FC" w:rsidRDefault="00E02FDB" w:rsidP="008A2AE0">
      <w:pPr>
        <w:pStyle w:val="FootnoteText"/>
      </w:pPr>
      <w:r w:rsidRPr="007B43FC">
        <w:rPr>
          <w:rStyle w:val="FootnoteReference"/>
        </w:rPr>
        <w:footnoteRef/>
      </w:r>
      <w:r w:rsidRPr="007B43FC">
        <w:t xml:space="preserve"> </w:t>
      </w:r>
      <w:r>
        <w:tab/>
      </w:r>
      <w:r w:rsidRPr="007B43FC">
        <w:t>Conforme indica el documento: “Dos tubos de vidrio, un afiche de propaganda, cuatro pantalones, tres camisas, dos pares de tenis, un coj</w:t>
      </w:r>
      <w:r w:rsidRPr="007B43FC">
        <w:rPr>
          <w:rFonts w:cs="Calibri"/>
        </w:rPr>
        <w:t>í</w:t>
      </w:r>
      <w:r w:rsidRPr="007B43FC">
        <w:t xml:space="preserve">n, restos de sangre seca”. </w:t>
      </w:r>
    </w:p>
  </w:footnote>
  <w:footnote w:id="63">
    <w:p w14:paraId="617BAE48" w14:textId="7C9F9875"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t xml:space="preserve"> Dictamen </w:t>
      </w:r>
      <w:r w:rsidRPr="007B43FC">
        <w:t xml:space="preserve">del Laboratorio </w:t>
      </w:r>
      <w:proofErr w:type="spellStart"/>
      <w:r w:rsidRPr="007B43FC">
        <w:t>Criminal</w:t>
      </w:r>
      <w:r w:rsidRPr="007B43FC">
        <w:rPr>
          <w:rFonts w:cs="Calibri"/>
        </w:rPr>
        <w:t>í</w:t>
      </w:r>
      <w:r w:rsidRPr="007B43FC">
        <w:t>stico</w:t>
      </w:r>
      <w:proofErr w:type="spellEnd"/>
      <w:r w:rsidRPr="007B43FC">
        <w:t xml:space="preserve"> y de Ciencias Forenses de la Direcci</w:t>
      </w:r>
      <w:r w:rsidRPr="007B43FC">
        <w:rPr>
          <w:rFonts w:cs="Calibri"/>
        </w:rPr>
        <w:t>ó</w:t>
      </w:r>
      <w:r w:rsidRPr="007B43FC">
        <w:t>n de Medicina Forense del Ministerio p</w:t>
      </w:r>
      <w:r w:rsidRPr="007B43FC">
        <w:rPr>
          <w:rFonts w:cs="Calibri"/>
        </w:rPr>
        <w:t>ú</w:t>
      </w:r>
      <w:r w:rsidRPr="007B43FC">
        <w:t xml:space="preserve">blico </w:t>
      </w:r>
      <w:r>
        <w:t xml:space="preserve">de </w:t>
      </w:r>
      <w:r w:rsidRPr="007B43FC">
        <w:t xml:space="preserve">30 de noviembre </w:t>
      </w:r>
      <w:r>
        <w:t>de 2001 (expediente de prueba, a</w:t>
      </w:r>
      <w:r w:rsidRPr="007B43FC">
        <w:t>nexo 1 a la contestaci</w:t>
      </w:r>
      <w:r w:rsidRPr="007B43FC">
        <w:rPr>
          <w:rFonts w:cs="Calibri"/>
        </w:rPr>
        <w:t>ó</w:t>
      </w:r>
      <w:r w:rsidRPr="007B43FC">
        <w:t xml:space="preserve">n, fs. 2141 a 2143). </w:t>
      </w:r>
    </w:p>
  </w:footnote>
  <w:footnote w:id="64">
    <w:p w14:paraId="3E71CB4A" w14:textId="08675A4F" w:rsidR="00E02FDB" w:rsidRPr="007B43FC" w:rsidRDefault="00E02FDB" w:rsidP="00003024">
      <w:pPr>
        <w:pStyle w:val="FootnoteText"/>
      </w:pPr>
      <w:r w:rsidRPr="007B43FC">
        <w:rPr>
          <w:rStyle w:val="FootnoteReference"/>
        </w:rPr>
        <w:footnoteRef/>
      </w:r>
      <w:r w:rsidRPr="007B43FC">
        <w:t xml:space="preserve"> </w:t>
      </w:r>
      <w:r>
        <w:tab/>
      </w:r>
      <w:r w:rsidRPr="007B43FC">
        <w:rPr>
          <w:i/>
        </w:rPr>
        <w:t>Cfr</w:t>
      </w:r>
      <w:r w:rsidRPr="007B43FC">
        <w:t xml:space="preserve">. Dictamen del Laboratorio </w:t>
      </w:r>
      <w:proofErr w:type="spellStart"/>
      <w:r w:rsidRPr="007B43FC">
        <w:t>Criminal</w:t>
      </w:r>
      <w:r w:rsidRPr="007B43FC">
        <w:rPr>
          <w:rFonts w:cs="Calibri"/>
        </w:rPr>
        <w:t>í</w:t>
      </w:r>
      <w:r w:rsidRPr="007B43FC">
        <w:t>stico</w:t>
      </w:r>
      <w:proofErr w:type="spellEnd"/>
      <w:r w:rsidRPr="007B43FC">
        <w:t xml:space="preserve"> y de Ciencias Forenses de la Direcci</w:t>
      </w:r>
      <w:r w:rsidRPr="007B43FC">
        <w:rPr>
          <w:rFonts w:cs="Calibri"/>
        </w:rPr>
        <w:t>ó</w:t>
      </w:r>
      <w:r w:rsidRPr="007B43FC">
        <w:t>n de Medicina Forense del Ministerio p</w:t>
      </w:r>
      <w:r w:rsidRPr="007B43FC">
        <w:rPr>
          <w:rFonts w:cs="Calibri"/>
        </w:rPr>
        <w:t>ú</w:t>
      </w:r>
      <w:r w:rsidRPr="007B43FC">
        <w:t xml:space="preserve">blico de 13 de diciembre </w:t>
      </w:r>
      <w:r>
        <w:t>de 2001 (expediente de prueba, a</w:t>
      </w:r>
      <w:r w:rsidRPr="007B43FC">
        <w:t>nexo 1 a la contestaci</w:t>
      </w:r>
      <w:r w:rsidRPr="007B43FC">
        <w:rPr>
          <w:rFonts w:cs="Calibri"/>
        </w:rPr>
        <w:t>ó</w:t>
      </w:r>
      <w:r w:rsidRPr="007B43FC">
        <w:t xml:space="preserve">n, fs. 2139 y 2140). </w:t>
      </w:r>
    </w:p>
  </w:footnote>
  <w:footnote w:id="65">
    <w:p w14:paraId="60D9E42F" w14:textId="54AB97CE" w:rsidR="00E02FDB" w:rsidRPr="007B43FC" w:rsidRDefault="00E02FDB" w:rsidP="008A2AE0">
      <w:pPr>
        <w:pStyle w:val="FootnoteText"/>
        <w:rPr>
          <w:i/>
        </w:rPr>
      </w:pPr>
      <w:r w:rsidRPr="007B43FC">
        <w:rPr>
          <w:rStyle w:val="FootnoteReference"/>
        </w:rPr>
        <w:footnoteRef/>
      </w:r>
      <w:r w:rsidRPr="007B43FC">
        <w:t xml:space="preserve"> </w:t>
      </w:r>
      <w:r>
        <w:tab/>
      </w:r>
      <w:r w:rsidRPr="007B43FC">
        <w:rPr>
          <w:i/>
        </w:rPr>
        <w:t xml:space="preserve">Cfr. </w:t>
      </w:r>
      <w:r w:rsidRPr="007B43FC">
        <w:t>“Acta de decomiso o secuestro” de 30 de noviembre de 2011 y nota de remisi</w:t>
      </w:r>
      <w:r w:rsidRPr="007B43FC">
        <w:rPr>
          <w:rFonts w:cs="Calibri"/>
        </w:rPr>
        <w:t>ó</w:t>
      </w:r>
      <w:r w:rsidRPr="007B43FC">
        <w:t>n del mismo d</w:t>
      </w:r>
      <w:r w:rsidRPr="007B43FC">
        <w:rPr>
          <w:rFonts w:cs="Calibri"/>
        </w:rPr>
        <w:t>í</w:t>
      </w:r>
      <w:r w:rsidRPr="007B43FC">
        <w:t xml:space="preserve">a, dirigida al “Jefe de la </w:t>
      </w:r>
      <w:proofErr w:type="spellStart"/>
      <w:r w:rsidRPr="007B43FC">
        <w:t>divi</w:t>
      </w:r>
      <w:proofErr w:type="spellEnd"/>
      <w:r w:rsidRPr="007B43FC">
        <w:t>[s]i[</w:t>
      </w:r>
      <w:proofErr w:type="spellStart"/>
      <w:r w:rsidRPr="007B43FC">
        <w:rPr>
          <w:rFonts w:cs="Calibri"/>
        </w:rPr>
        <w:t>ó</w:t>
      </w:r>
      <w:proofErr w:type="spellEnd"/>
      <w:r w:rsidRPr="007B43FC">
        <w:t>]n de la escena del crimen” (expe</w:t>
      </w:r>
      <w:r>
        <w:t>diente de prueba, a</w:t>
      </w:r>
      <w:r w:rsidRPr="007B43FC">
        <w:t>nexo 1 a la contestaci</w:t>
      </w:r>
      <w:r w:rsidRPr="007B43FC">
        <w:rPr>
          <w:rFonts w:cs="Calibri"/>
        </w:rPr>
        <w:t>ó</w:t>
      </w:r>
      <w:r w:rsidRPr="007B43FC">
        <w:t>n, fs. 2285 y 2284, respectivamente</w:t>
      </w:r>
      <w:r>
        <w:t>)</w:t>
      </w:r>
      <w:r w:rsidRPr="007B43FC">
        <w:t xml:space="preserve">. </w:t>
      </w:r>
    </w:p>
  </w:footnote>
  <w:footnote w:id="66">
    <w:p w14:paraId="2213CBB9" w14:textId="3853BDFF" w:rsidR="00E02FDB" w:rsidRPr="00BB1740" w:rsidRDefault="00E02FDB" w:rsidP="008A2AE0">
      <w:pPr>
        <w:pStyle w:val="FootnoteText"/>
      </w:pPr>
      <w:r w:rsidRPr="007B43FC">
        <w:rPr>
          <w:rStyle w:val="FootnoteReference"/>
        </w:rPr>
        <w:footnoteRef/>
      </w:r>
      <w:r w:rsidRPr="007B43FC">
        <w:t xml:space="preserve"> </w:t>
      </w:r>
      <w:r>
        <w:tab/>
      </w:r>
      <w:r w:rsidRPr="007B43FC">
        <w:rPr>
          <w:i/>
        </w:rPr>
        <w:t xml:space="preserve">Cfr. </w:t>
      </w:r>
      <w:r>
        <w:t>Oficio</w:t>
      </w:r>
      <w:r w:rsidRPr="007B43FC">
        <w:t xml:space="preserve"> de</w:t>
      </w:r>
      <w:r>
        <w:t xml:space="preserve"> 4 de noviembre de 2001 dirigido</w:t>
      </w:r>
      <w:r w:rsidRPr="007B43FC">
        <w:t xml:space="preserve"> a un agente de investigaci</w:t>
      </w:r>
      <w:r w:rsidRPr="007B43FC">
        <w:rPr>
          <w:rFonts w:cs="Calibri"/>
        </w:rPr>
        <w:t>ó</w:t>
      </w:r>
      <w:r w:rsidRPr="007B43FC">
        <w:t>n de homicidios por un “t</w:t>
      </w:r>
      <w:r w:rsidRPr="007B43FC">
        <w:rPr>
          <w:rFonts w:cs="Calibri"/>
        </w:rPr>
        <w:t>é</w:t>
      </w:r>
      <w:r w:rsidRPr="007B43FC">
        <w:t xml:space="preserve">cnico [en] escena del crimen”, y el documento titulado “Solicitud de </w:t>
      </w:r>
      <w:r>
        <w:t>Dictamen”</w:t>
      </w:r>
      <w:r w:rsidRPr="00BB1740">
        <w:t xml:space="preserve"> de 4 de diciembre </w:t>
      </w:r>
      <w:r>
        <w:t>de 2001 (expediente de prueba, a</w:t>
      </w:r>
      <w:r w:rsidRPr="00BB1740">
        <w:t>nexo 1 a la contestaci</w:t>
      </w:r>
      <w:r w:rsidRPr="00BB1740">
        <w:rPr>
          <w:rFonts w:cs="Calibri"/>
        </w:rPr>
        <w:t>ó</w:t>
      </w:r>
      <w:r w:rsidRPr="00BB1740">
        <w:t>n, fs. 2281</w:t>
      </w:r>
      <w:r>
        <w:t xml:space="preserve"> a</w:t>
      </w:r>
      <w:r w:rsidRPr="00BB1740">
        <w:t xml:space="preserve"> 2283).</w:t>
      </w:r>
    </w:p>
  </w:footnote>
  <w:footnote w:id="67">
    <w:p w14:paraId="4E755128" w14:textId="44076872" w:rsidR="00E02FDB" w:rsidRPr="007B43FC" w:rsidRDefault="00E02FDB" w:rsidP="008A2AE0">
      <w:pPr>
        <w:pStyle w:val="FootnoteText"/>
      </w:pPr>
      <w:r w:rsidRPr="00BB1740">
        <w:rPr>
          <w:rStyle w:val="FootnoteReference"/>
        </w:rPr>
        <w:footnoteRef/>
      </w:r>
      <w:r w:rsidRPr="00BB1740">
        <w:t xml:space="preserve"> </w:t>
      </w:r>
      <w:r>
        <w:tab/>
        <w:t>Documento titulado “</w:t>
      </w:r>
      <w:proofErr w:type="spellStart"/>
      <w:r>
        <w:t>Comparescencia</w:t>
      </w:r>
      <w:proofErr w:type="spellEnd"/>
      <w:r>
        <w:t xml:space="preserve">. Emisión de </w:t>
      </w:r>
      <w:proofErr w:type="spellStart"/>
      <w:r>
        <w:t>Dictámen</w:t>
      </w:r>
      <w:proofErr w:type="spellEnd"/>
      <w:r>
        <w:t xml:space="preserve">”, de 7 de diciembre de 2001 (expediente de prueba, anexo 2 al Informe de Fondo, </w:t>
      </w:r>
      <w:r w:rsidRPr="00BB1740">
        <w:rPr>
          <w:rFonts w:cs="Times New Roman"/>
          <w:color w:val="0F0F0F"/>
        </w:rPr>
        <w:t xml:space="preserve">fs. </w:t>
      </w:r>
      <w:r>
        <w:rPr>
          <w:rFonts w:cs="Times New Roman"/>
          <w:color w:val="0F0F0F"/>
        </w:rPr>
        <w:t>10 y</w:t>
      </w:r>
      <w:r w:rsidRPr="00BB1740">
        <w:rPr>
          <w:rFonts w:cs="Times New Roman"/>
          <w:color w:val="0F0F0F"/>
        </w:rPr>
        <w:t xml:space="preserve"> </w:t>
      </w:r>
      <w:r>
        <w:rPr>
          <w:rFonts w:cs="Times New Roman"/>
          <w:color w:val="0F0F0F"/>
        </w:rPr>
        <w:t>11, y a</w:t>
      </w:r>
      <w:r w:rsidRPr="00BB1740">
        <w:t>nexo 2 a la contestaci</w:t>
      </w:r>
      <w:r w:rsidRPr="00BB1740">
        <w:rPr>
          <w:rFonts w:cs="Calibri"/>
        </w:rPr>
        <w:t>ó</w:t>
      </w:r>
      <w:r w:rsidRPr="00BB1740">
        <w:t xml:space="preserve">n, fs. 2440 </w:t>
      </w:r>
      <w:r>
        <w:t xml:space="preserve">y </w:t>
      </w:r>
      <w:r w:rsidRPr="00BB1740">
        <w:t xml:space="preserve">2441). </w:t>
      </w:r>
    </w:p>
  </w:footnote>
  <w:footnote w:id="68">
    <w:p w14:paraId="05B74B12" w14:textId="5E363C6F"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Resoluci</w:t>
      </w:r>
      <w:r w:rsidRPr="007B43FC">
        <w:rPr>
          <w:rFonts w:cs="Calibri"/>
        </w:rPr>
        <w:t>ó</w:t>
      </w:r>
      <w:r w:rsidRPr="007B43FC">
        <w:t xml:space="preserve">n del Juzgado de Letras de 7 de diciembre de 2001 (expediente de prueba, </w:t>
      </w:r>
      <w:r>
        <w:t>a</w:t>
      </w:r>
      <w:r w:rsidRPr="007B43FC">
        <w:t>nexo 2 a la contestaci</w:t>
      </w:r>
      <w:r w:rsidRPr="007B43FC">
        <w:rPr>
          <w:rFonts w:cs="Calibri"/>
        </w:rPr>
        <w:t>ó</w:t>
      </w:r>
      <w:r w:rsidRPr="007B43FC">
        <w:t>n, f. 2</w:t>
      </w:r>
      <w:r>
        <w:t>4</w:t>
      </w:r>
      <w:r w:rsidRPr="007B43FC">
        <w:t xml:space="preserve">28).  </w:t>
      </w:r>
    </w:p>
  </w:footnote>
  <w:footnote w:id="69">
    <w:p w14:paraId="63C7955A" w14:textId="7EF56F03"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Dictamen del Laboratorio </w:t>
      </w:r>
      <w:proofErr w:type="spellStart"/>
      <w:r w:rsidRPr="007B43FC">
        <w:t>Criminal</w:t>
      </w:r>
      <w:r w:rsidRPr="007B43FC">
        <w:rPr>
          <w:rFonts w:cs="Calibri"/>
        </w:rPr>
        <w:t>í</w:t>
      </w:r>
      <w:r w:rsidRPr="007B43FC">
        <w:t>stico</w:t>
      </w:r>
      <w:proofErr w:type="spellEnd"/>
      <w:r w:rsidRPr="007B43FC">
        <w:t xml:space="preserve"> y de Ciencias Forenses de la Direcci</w:t>
      </w:r>
      <w:r w:rsidRPr="007B43FC">
        <w:rPr>
          <w:rFonts w:cs="Calibri"/>
        </w:rPr>
        <w:t>ó</w:t>
      </w:r>
      <w:r w:rsidRPr="007B43FC">
        <w:t>n de Medicina Forense del M</w:t>
      </w:r>
      <w:r>
        <w:t>inisterio P</w:t>
      </w:r>
      <w:r w:rsidRPr="007B43FC">
        <w:rPr>
          <w:rFonts w:cs="Calibri"/>
        </w:rPr>
        <w:t>ú</w:t>
      </w:r>
      <w:r w:rsidRPr="007B43FC">
        <w:t xml:space="preserve">blico de 14 de enero </w:t>
      </w:r>
      <w:r>
        <w:t>de 2002 (expediente de prueba, a</w:t>
      </w:r>
      <w:r w:rsidRPr="007B43FC">
        <w:t>nexo 1 a la contestaci</w:t>
      </w:r>
      <w:r w:rsidRPr="007B43FC">
        <w:rPr>
          <w:rFonts w:cs="Calibri"/>
        </w:rPr>
        <w:t>ó</w:t>
      </w:r>
      <w:r w:rsidRPr="007B43FC">
        <w:t xml:space="preserve">n, fs. 2137 y 2138). </w:t>
      </w:r>
    </w:p>
  </w:footnote>
  <w:footnote w:id="70">
    <w:p w14:paraId="7AB99727" w14:textId="526BCB1A" w:rsidR="00E02FDB" w:rsidRPr="007B43FC" w:rsidRDefault="00E02FDB" w:rsidP="00B31737">
      <w:pPr>
        <w:autoSpaceDE w:val="0"/>
        <w:autoSpaceDN w:val="0"/>
        <w:adjustRightInd w:val="0"/>
      </w:pPr>
      <w:r w:rsidRPr="007B43FC">
        <w:rPr>
          <w:rStyle w:val="FootnoteReference"/>
        </w:rPr>
        <w:footnoteRef/>
      </w:r>
      <w:r w:rsidRPr="007B43FC">
        <w:t xml:space="preserve"> </w:t>
      </w:r>
      <w:r>
        <w:tab/>
      </w:r>
      <w:r w:rsidRPr="00B31737">
        <w:rPr>
          <w:i/>
          <w:sz w:val="16"/>
          <w:szCs w:val="16"/>
        </w:rPr>
        <w:t>Cfr.</w:t>
      </w:r>
      <w:r w:rsidRPr="00B31737">
        <w:rPr>
          <w:sz w:val="16"/>
          <w:szCs w:val="16"/>
        </w:rPr>
        <w:t xml:space="preserve"> Informe de Investigación de 20 de diciembre de 2001 (expediente de prueba, anexo 2 al Informe de Fondo,</w:t>
      </w:r>
      <w:r w:rsidRPr="00B31737">
        <w:rPr>
          <w:rFonts w:cs="Times New Roman"/>
          <w:color w:val="0F0F0F"/>
          <w:sz w:val="16"/>
          <w:szCs w:val="16"/>
        </w:rPr>
        <w:t xml:space="preserve"> fs. 287 a 290, y </w:t>
      </w:r>
      <w:r w:rsidRPr="00B31737">
        <w:rPr>
          <w:rFonts w:cs="Cambria"/>
          <w:sz w:val="16"/>
          <w:szCs w:val="16"/>
        </w:rPr>
        <w:t>anexo 2 a la contestaci</w:t>
      </w:r>
      <w:r w:rsidRPr="00B31737">
        <w:rPr>
          <w:sz w:val="16"/>
          <w:szCs w:val="16"/>
        </w:rPr>
        <w:t>ó</w:t>
      </w:r>
      <w:r w:rsidRPr="00B31737">
        <w:rPr>
          <w:rFonts w:cs="Cambria"/>
          <w:sz w:val="16"/>
          <w:szCs w:val="16"/>
        </w:rPr>
        <w:t xml:space="preserve">n, fs. 2133 a 2135). </w:t>
      </w:r>
      <w:r w:rsidRPr="007B43FC">
        <w:rPr>
          <w:highlight w:val="yellow"/>
        </w:rPr>
        <w:t xml:space="preserve"> </w:t>
      </w:r>
    </w:p>
  </w:footnote>
  <w:footnote w:id="71">
    <w:p w14:paraId="3CE89DDE" w14:textId="4533DCE5" w:rsidR="00E02FDB" w:rsidRPr="007B43FC" w:rsidRDefault="00E02FDB" w:rsidP="008A2AE0">
      <w:pPr>
        <w:pStyle w:val="FootnoteText"/>
      </w:pPr>
      <w:r w:rsidRPr="007B43FC">
        <w:rPr>
          <w:rStyle w:val="FootnoteReference"/>
        </w:rPr>
        <w:footnoteRef/>
      </w:r>
      <w:r w:rsidRPr="007B43FC">
        <w:t xml:space="preserve"> </w:t>
      </w:r>
      <w:r>
        <w:tab/>
      </w:r>
      <w:r w:rsidRPr="007B43FC">
        <w:t>En otro documento, de 27 de noviembre de 2002, se aclara que “el calzado tipo [t]</w:t>
      </w:r>
      <w:proofErr w:type="spellStart"/>
      <w:r w:rsidRPr="007B43FC">
        <w:t>enis</w:t>
      </w:r>
      <w:proofErr w:type="spellEnd"/>
      <w:r w:rsidRPr="007B43FC">
        <w:t xml:space="preserve"> del se</w:t>
      </w:r>
      <w:r w:rsidRPr="007B43FC">
        <w:rPr>
          <w:rFonts w:cs="Calibri"/>
        </w:rPr>
        <w:t>ñ</w:t>
      </w:r>
      <w:r w:rsidRPr="007B43FC">
        <w:t>or [FV]</w:t>
      </w:r>
      <w:r>
        <w:t>,</w:t>
      </w:r>
      <w:r w:rsidRPr="007B43FC">
        <w:t xml:space="preserve"> dio positivo a sangre humana, adem</w:t>
      </w:r>
      <w:r w:rsidRPr="007B43FC">
        <w:rPr>
          <w:rFonts w:cs="Calibri"/>
        </w:rPr>
        <w:t>á</w:t>
      </w:r>
      <w:r w:rsidRPr="007B43FC">
        <w:t xml:space="preserve">s de ser compatible con el tipo de sangre del </w:t>
      </w:r>
      <w:proofErr w:type="gramStart"/>
      <w:r w:rsidRPr="007B43FC">
        <w:t>fallecido[.</w:t>
      </w:r>
      <w:proofErr w:type="gramEnd"/>
      <w:r w:rsidRPr="007B43FC">
        <w:t xml:space="preserve"> A]l tener conocimiento los familiares del occiso solicitaron a la Fiscal</w:t>
      </w:r>
      <w:r w:rsidRPr="007B43FC">
        <w:rPr>
          <w:rFonts w:cs="Calibri"/>
        </w:rPr>
        <w:t>í</w:t>
      </w:r>
      <w:r w:rsidRPr="007B43FC">
        <w:t>a enviar la evidencia a los [l]</w:t>
      </w:r>
      <w:proofErr w:type="spellStart"/>
      <w:r w:rsidRPr="007B43FC">
        <w:t>aboratorios</w:t>
      </w:r>
      <w:proofErr w:type="spellEnd"/>
      <w:r w:rsidRPr="007B43FC">
        <w:t xml:space="preserve"> de Estados Unidos, para practicarle el examen de ADN, pero al [27 de noviembre de 2002] no ha[</w:t>
      </w:r>
      <w:proofErr w:type="spellStart"/>
      <w:r w:rsidRPr="007B43FC">
        <w:t>b</w:t>
      </w:r>
      <w:r w:rsidRPr="007B43FC">
        <w:rPr>
          <w:rFonts w:cs="Calibri"/>
        </w:rPr>
        <w:t>í</w:t>
      </w:r>
      <w:r w:rsidRPr="007B43FC">
        <w:t>a</w:t>
      </w:r>
      <w:proofErr w:type="spellEnd"/>
      <w:r w:rsidRPr="007B43FC">
        <w:t>] llegado el resultado” (Nota del Jefe del Departamento de Homicidios de la DGIC al “Director por Ley DG</w:t>
      </w:r>
      <w:r>
        <w:t>IC” de 27 de noviembre de 2002; expediente de prueba, a</w:t>
      </w:r>
      <w:r w:rsidRPr="007B43FC">
        <w:t>nexo 2 a la contestaci</w:t>
      </w:r>
      <w:r w:rsidRPr="007B43FC">
        <w:rPr>
          <w:rFonts w:cs="Calibri"/>
        </w:rPr>
        <w:t>ó</w:t>
      </w:r>
      <w:r>
        <w:t>n, fs. 2316 y 2317</w:t>
      </w:r>
      <w:r w:rsidRPr="007B43FC">
        <w:t xml:space="preserve">). </w:t>
      </w:r>
    </w:p>
  </w:footnote>
  <w:footnote w:id="72">
    <w:p w14:paraId="42FD1A4D" w14:textId="2E19F0B1" w:rsidR="00E02FDB" w:rsidRPr="007B43FC" w:rsidRDefault="00E02FDB" w:rsidP="008A2AE0">
      <w:pPr>
        <w:pStyle w:val="FootnoteText"/>
      </w:pPr>
      <w:r w:rsidRPr="007B43FC">
        <w:rPr>
          <w:rStyle w:val="FootnoteReference"/>
        </w:rPr>
        <w:footnoteRef/>
      </w:r>
      <w:r w:rsidRPr="007B43FC">
        <w:t xml:space="preserve"> </w:t>
      </w:r>
      <w:r>
        <w:tab/>
      </w:r>
      <w:r w:rsidRPr="007B43FC">
        <w:t>El</w:t>
      </w:r>
      <w:r>
        <w:t xml:space="preserve"> Informe indica que el tercero, </w:t>
      </w:r>
      <w:r w:rsidRPr="007B43FC">
        <w:t>se</w:t>
      </w:r>
      <w:r w:rsidRPr="007B43FC">
        <w:rPr>
          <w:rFonts w:cs="Calibri"/>
        </w:rPr>
        <w:t>ñ</w:t>
      </w:r>
      <w:r w:rsidRPr="007B43FC">
        <w:t>or [JM], no pudo ser entrevistado nuevamente</w:t>
      </w:r>
      <w:r>
        <w:t>,</w:t>
      </w:r>
      <w:r w:rsidRPr="007B43FC">
        <w:t xml:space="preserve"> pues hab</w:t>
      </w:r>
      <w:r w:rsidRPr="007B43FC">
        <w:rPr>
          <w:rFonts w:cs="Calibri"/>
        </w:rPr>
        <w:t>í</w:t>
      </w:r>
      <w:r>
        <w:t xml:space="preserve">a sido puesto </w:t>
      </w:r>
      <w:r w:rsidRPr="007B43FC">
        <w:t xml:space="preserve">en libertad por el juez interviniente. </w:t>
      </w:r>
    </w:p>
  </w:footnote>
  <w:footnote w:id="73">
    <w:p w14:paraId="02E6CED9" w14:textId="412DACE1" w:rsidR="00E02FDB" w:rsidRPr="007B43FC" w:rsidRDefault="00E02FDB" w:rsidP="008A2AE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ab/>
      </w:r>
      <w:r w:rsidRPr="007B43FC">
        <w:rPr>
          <w:i/>
          <w:sz w:val="16"/>
          <w:szCs w:val="16"/>
        </w:rPr>
        <w:t xml:space="preserve">Cfr. </w:t>
      </w:r>
      <w:r>
        <w:rPr>
          <w:rFonts w:cs="Cambria"/>
          <w:sz w:val="16"/>
          <w:szCs w:val="16"/>
        </w:rPr>
        <w:t>I</w:t>
      </w:r>
      <w:r w:rsidRPr="007B43FC">
        <w:rPr>
          <w:rFonts w:cs="Cambria"/>
          <w:sz w:val="16"/>
          <w:szCs w:val="16"/>
        </w:rPr>
        <w:t>nforme de investigaci</w:t>
      </w:r>
      <w:r w:rsidRPr="007B43FC">
        <w:rPr>
          <w:sz w:val="16"/>
          <w:szCs w:val="16"/>
        </w:rPr>
        <w:t>ó</w:t>
      </w:r>
      <w:r w:rsidRPr="007B43FC">
        <w:rPr>
          <w:rFonts w:cs="Cambria"/>
          <w:sz w:val="16"/>
          <w:szCs w:val="16"/>
        </w:rPr>
        <w:t xml:space="preserve">n de 20 de diciembre de 2001. </w:t>
      </w:r>
    </w:p>
  </w:footnote>
  <w:footnote w:id="74">
    <w:p w14:paraId="6B9A0A42" w14:textId="362289CC"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Resoluci</w:t>
      </w:r>
      <w:r w:rsidRPr="007B43FC">
        <w:rPr>
          <w:rFonts w:cs="Calibri"/>
        </w:rPr>
        <w:t>ó</w:t>
      </w:r>
      <w:r w:rsidRPr="007B43FC">
        <w:t>n del Juzgado de Letras de 24 de enero de 2002 (expediente de prueba, Anexo 2 a la contestaci</w:t>
      </w:r>
      <w:r w:rsidRPr="007B43FC">
        <w:rPr>
          <w:rFonts w:cs="Calibri"/>
        </w:rPr>
        <w:t>ó</w:t>
      </w:r>
      <w:r w:rsidRPr="007B43FC">
        <w:t xml:space="preserve">n, fs. 2485 a 2486). </w:t>
      </w:r>
    </w:p>
  </w:footnote>
  <w:footnote w:id="75">
    <w:p w14:paraId="0F88855C" w14:textId="4956AEA1" w:rsidR="00E02FDB" w:rsidRPr="007B43FC" w:rsidRDefault="00E02FDB" w:rsidP="008A2AE0">
      <w:pPr>
        <w:pStyle w:val="FootnoteText"/>
      </w:pPr>
      <w:r w:rsidRPr="007B43FC">
        <w:rPr>
          <w:rStyle w:val="FootnoteReference"/>
        </w:rPr>
        <w:footnoteRef/>
      </w:r>
      <w:r>
        <w:t xml:space="preserve"> </w:t>
      </w:r>
      <w:r>
        <w:tab/>
        <w:t>En 2004</w:t>
      </w:r>
      <w:r w:rsidRPr="007B43FC">
        <w:t xml:space="preserve"> el Jefe del Departamento de Homicidios de la DGIC explicar</w:t>
      </w:r>
      <w:r w:rsidRPr="007B43FC">
        <w:rPr>
          <w:rFonts w:cs="Calibri"/>
        </w:rPr>
        <w:t>í</w:t>
      </w:r>
      <w:r w:rsidRPr="007B43FC">
        <w:t xml:space="preserve">a que los </w:t>
      </w:r>
      <w:r w:rsidRPr="006C77DE">
        <w:t>allanamientos se</w:t>
      </w:r>
      <w:r>
        <w:t xml:space="preserve"> </w:t>
      </w:r>
      <w:r w:rsidRPr="00384CAC">
        <w:t>realizaron “porque la informaci</w:t>
      </w:r>
      <w:r w:rsidRPr="00384CAC">
        <w:rPr>
          <w:rFonts w:cs="Calibri"/>
        </w:rPr>
        <w:t>ó</w:t>
      </w:r>
      <w:r w:rsidRPr="00384CAC">
        <w:t>n existente [indicaba] que los autores intelectuales son los se</w:t>
      </w:r>
      <w:r w:rsidRPr="00384CAC">
        <w:rPr>
          <w:rFonts w:cs="Calibri"/>
        </w:rPr>
        <w:t>ñ</w:t>
      </w:r>
      <w:r w:rsidRPr="00384CAC">
        <w:t xml:space="preserve">ores: [BC] </w:t>
      </w:r>
      <w:r>
        <w:t>y [RP,</w:t>
      </w:r>
      <w:r w:rsidRPr="007B43FC">
        <w:t xml:space="preserve">] este </w:t>
      </w:r>
      <w:r w:rsidRPr="007B43FC">
        <w:rPr>
          <w:rFonts w:cs="Calibri"/>
        </w:rPr>
        <w:t>ú</w:t>
      </w:r>
      <w:r w:rsidRPr="007B43FC">
        <w:t xml:space="preserve">ltimo </w:t>
      </w:r>
      <w:r>
        <w:t>d</w:t>
      </w:r>
      <w:r w:rsidRPr="007B43FC">
        <w:t>iputado suplente por la primera diputaci</w:t>
      </w:r>
      <w:r w:rsidRPr="007B43FC">
        <w:rPr>
          <w:rFonts w:cs="Calibri"/>
        </w:rPr>
        <w:t>ó</w:t>
      </w:r>
      <w:r w:rsidRPr="007B43FC">
        <w:t>n de [V]</w:t>
      </w:r>
      <w:proofErr w:type="spellStart"/>
      <w:r w:rsidRPr="007B43FC">
        <w:t>alle</w:t>
      </w:r>
      <w:proofErr w:type="spellEnd"/>
      <w:r w:rsidRPr="007B43FC">
        <w:t xml:space="preserve"> del [P]</w:t>
      </w:r>
      <w:proofErr w:type="spellStart"/>
      <w:r w:rsidRPr="007B43FC">
        <w:t>artido</w:t>
      </w:r>
      <w:proofErr w:type="spellEnd"/>
      <w:r w:rsidRPr="007B43FC">
        <w:t xml:space="preserve"> [N]</w:t>
      </w:r>
      <w:proofErr w:type="spellStart"/>
      <w:r w:rsidRPr="007B43FC">
        <w:t>acional</w:t>
      </w:r>
      <w:proofErr w:type="spellEnd"/>
      <w:r w:rsidRPr="007B43FC">
        <w:t>”. Asimismo se</w:t>
      </w:r>
      <w:r w:rsidRPr="007B43FC">
        <w:rPr>
          <w:rFonts w:cs="Calibri"/>
        </w:rPr>
        <w:t>ñ</w:t>
      </w:r>
      <w:r w:rsidRPr="007B43FC">
        <w:t>al</w:t>
      </w:r>
      <w:r w:rsidRPr="007B43FC">
        <w:rPr>
          <w:rFonts w:cs="Calibri"/>
        </w:rPr>
        <w:t>ó</w:t>
      </w:r>
      <w:r w:rsidRPr="007B43FC">
        <w:t xml:space="preserve"> que a tal entendimiento se arrib</w:t>
      </w:r>
      <w:r w:rsidRPr="007B43FC">
        <w:rPr>
          <w:rFonts w:cs="Calibri"/>
        </w:rPr>
        <w:t>ó</w:t>
      </w:r>
      <w:r w:rsidRPr="007B43FC">
        <w:t xml:space="preserve"> dado que BC “constantemente” amenazaba al se</w:t>
      </w:r>
      <w:r w:rsidRPr="007B43FC">
        <w:rPr>
          <w:rFonts w:cs="Calibri"/>
        </w:rPr>
        <w:t>ñ</w:t>
      </w:r>
      <w:r w:rsidRPr="007B43FC">
        <w:t xml:space="preserve">or Pacheco “de que </w:t>
      </w:r>
      <w:proofErr w:type="spellStart"/>
      <w:r w:rsidRPr="007B43FC">
        <w:t>jam</w:t>
      </w:r>
      <w:proofErr w:type="spellEnd"/>
      <w:r w:rsidRPr="007B43FC">
        <w:t>[</w:t>
      </w:r>
      <w:r w:rsidRPr="007B43FC">
        <w:rPr>
          <w:rFonts w:cs="Calibri"/>
        </w:rPr>
        <w:t>á</w:t>
      </w:r>
      <w:r w:rsidRPr="007B43FC">
        <w:t xml:space="preserve">]s iba a llegar a ser diputado </w:t>
      </w:r>
      <w:proofErr w:type="gramStart"/>
      <w:r w:rsidRPr="007B43FC">
        <w:t>por[</w:t>
      </w:r>
      <w:proofErr w:type="gramEnd"/>
      <w:r w:rsidRPr="007B43FC">
        <w:t>que] qui</w:t>
      </w:r>
      <w:r w:rsidRPr="007B43FC">
        <w:rPr>
          <w:rFonts w:cs="Calibri"/>
        </w:rPr>
        <w:t>é</w:t>
      </w:r>
      <w:r w:rsidRPr="007B43FC">
        <w:t>n ten</w:t>
      </w:r>
      <w:r w:rsidRPr="007B43FC">
        <w:rPr>
          <w:rFonts w:cs="Calibri"/>
        </w:rPr>
        <w:t>í</w:t>
      </w:r>
      <w:r w:rsidRPr="007B43FC">
        <w:t>a</w:t>
      </w:r>
      <w:r>
        <w:t xml:space="preserve"> que ser primer diputado era [RP</w:t>
      </w:r>
      <w:r w:rsidRPr="007B43FC">
        <w:t>]”. Se</w:t>
      </w:r>
      <w:r w:rsidRPr="007B43FC">
        <w:rPr>
          <w:rFonts w:cs="Calibri"/>
        </w:rPr>
        <w:t>ñ</w:t>
      </w:r>
      <w:r w:rsidRPr="007B43FC">
        <w:t>al</w:t>
      </w:r>
      <w:r w:rsidRPr="007B43FC">
        <w:rPr>
          <w:rFonts w:cs="Calibri"/>
        </w:rPr>
        <w:t>ó</w:t>
      </w:r>
      <w:r w:rsidRPr="007B43FC">
        <w:t xml:space="preserve"> que “de estas amenazas son testigos la Gobernadora actual [en 2004] de Valle la </w:t>
      </w:r>
      <w:proofErr w:type="spellStart"/>
      <w:proofErr w:type="gramStart"/>
      <w:r w:rsidRPr="007B43FC">
        <w:t>Lic</w:t>
      </w:r>
      <w:proofErr w:type="spellEnd"/>
      <w:r w:rsidRPr="007B43FC">
        <w:t>[</w:t>
      </w:r>
      <w:proofErr w:type="spellStart"/>
      <w:proofErr w:type="gramEnd"/>
      <w:r w:rsidRPr="007B43FC">
        <w:t>enciada</w:t>
      </w:r>
      <w:proofErr w:type="spellEnd"/>
      <w:r>
        <w:t xml:space="preserve"> SR</w:t>
      </w:r>
      <w:r w:rsidRPr="007B43FC">
        <w:t>] y el se</w:t>
      </w:r>
      <w:r w:rsidRPr="007B43FC">
        <w:rPr>
          <w:rFonts w:cs="Calibri"/>
        </w:rPr>
        <w:t>ñ</w:t>
      </w:r>
      <w:r w:rsidRPr="007B43FC">
        <w:t>or: J</w:t>
      </w:r>
      <w:r>
        <w:t>B</w:t>
      </w:r>
      <w:r w:rsidRPr="007B43FC">
        <w:t>, ya que andando siempre en campa</w:t>
      </w:r>
      <w:r w:rsidRPr="007B43FC">
        <w:rPr>
          <w:rFonts w:cs="Calibri"/>
        </w:rPr>
        <w:t>ñ</w:t>
      </w:r>
      <w:r w:rsidRPr="007B43FC">
        <w:t>a pol</w:t>
      </w:r>
      <w:r w:rsidRPr="007B43FC">
        <w:rPr>
          <w:rFonts w:cs="Calibri"/>
        </w:rPr>
        <w:t>í</w:t>
      </w:r>
      <w:r w:rsidRPr="007B43FC">
        <w:t>tica aseguran [</w:t>
      </w:r>
      <w:r w:rsidRPr="007B43FC">
        <w:rPr>
          <w:rFonts w:cs="Calibri"/>
        </w:rPr>
        <w:t>…</w:t>
      </w:r>
      <w:r w:rsidRPr="007B43FC">
        <w:t>] que fueron amenazados en varias ocasiones por el se</w:t>
      </w:r>
      <w:r w:rsidRPr="007B43FC">
        <w:rPr>
          <w:rFonts w:cs="Calibri"/>
        </w:rPr>
        <w:t>ñ</w:t>
      </w:r>
      <w:r w:rsidRPr="007B43FC">
        <w:t>or [BC] y su hermano [SC]” (</w:t>
      </w:r>
      <w:r>
        <w:rPr>
          <w:i/>
        </w:rPr>
        <w:t>c</w:t>
      </w:r>
      <w:r w:rsidRPr="007B43FC">
        <w:rPr>
          <w:i/>
        </w:rPr>
        <w:t>fr</w:t>
      </w:r>
      <w:r w:rsidRPr="007B43FC">
        <w:t>. Nota del Jefe de Departamentos de Homicidios de la DGIC de 11 de octubre de 2002</w:t>
      </w:r>
      <w:r>
        <w:t>)</w:t>
      </w:r>
      <w:r w:rsidRPr="007B43FC">
        <w:t xml:space="preserve">.  </w:t>
      </w:r>
    </w:p>
  </w:footnote>
  <w:footnote w:id="76">
    <w:p w14:paraId="2A8285B8" w14:textId="58B0BF51" w:rsidR="00E02FDB" w:rsidRPr="007B43FC" w:rsidRDefault="00E02FDB" w:rsidP="00A451AA">
      <w:pPr>
        <w:pStyle w:val="FootnoteText"/>
      </w:pPr>
      <w:r w:rsidRPr="007B43FC">
        <w:rPr>
          <w:rStyle w:val="FootnoteReference"/>
        </w:rPr>
        <w:footnoteRef/>
      </w:r>
      <w:r w:rsidRPr="007B43FC">
        <w:t xml:space="preserve"> </w:t>
      </w:r>
      <w:r>
        <w:tab/>
      </w:r>
      <w:r w:rsidRPr="00695C09">
        <w:t>Respecto al arma encontrada a WC, se practic</w:t>
      </w:r>
      <w:r w:rsidRPr="00695C09">
        <w:rPr>
          <w:rFonts w:cs="Calibri"/>
        </w:rPr>
        <w:t>ó</w:t>
      </w:r>
      <w:r w:rsidRPr="00695C09">
        <w:t xml:space="preserve"> </w:t>
      </w:r>
      <w:r w:rsidRPr="00695C09">
        <w:rPr>
          <w:rFonts w:cs="Arial"/>
        </w:rPr>
        <w:t>el examen de bal</w:t>
      </w:r>
      <w:r w:rsidRPr="00695C09">
        <w:rPr>
          <w:rFonts w:cs="Calibri"/>
        </w:rPr>
        <w:t>í</w:t>
      </w:r>
      <w:r w:rsidRPr="00695C09">
        <w:rPr>
          <w:rFonts w:cs="Arial"/>
        </w:rPr>
        <w:t>stica respectivo, pero la Direcci</w:t>
      </w:r>
      <w:r w:rsidRPr="00695C09">
        <w:rPr>
          <w:rFonts w:cs="Calibri"/>
        </w:rPr>
        <w:t>ó</w:t>
      </w:r>
      <w:r w:rsidRPr="00695C09">
        <w:rPr>
          <w:rFonts w:cs="Arial"/>
        </w:rPr>
        <w:t>n de Medicina Forense determin</w:t>
      </w:r>
      <w:r w:rsidRPr="00695C09">
        <w:rPr>
          <w:rFonts w:cs="Calibri"/>
        </w:rPr>
        <w:t>ó</w:t>
      </w:r>
      <w:r w:rsidRPr="00695C09">
        <w:rPr>
          <w:rFonts w:cs="Arial"/>
        </w:rPr>
        <w:t xml:space="preserve"> que no fue el arma util</w:t>
      </w:r>
      <w:r>
        <w:rPr>
          <w:rFonts w:cs="Arial"/>
        </w:rPr>
        <w:t>izada para cometer el homicidio (</w:t>
      </w:r>
      <w:r>
        <w:rPr>
          <w:rFonts w:cs="Arial"/>
          <w:i/>
        </w:rPr>
        <w:t xml:space="preserve">cfr. </w:t>
      </w:r>
      <w:r w:rsidRPr="00695C09">
        <w:t>Acta de ejecución de los allana</w:t>
      </w:r>
      <w:r>
        <w:t>mientos de 25 de enero de 2002 (</w:t>
      </w:r>
      <w:r w:rsidRPr="00695C09">
        <w:t>expediente de prueba, anexo 2 a la</w:t>
      </w:r>
      <w:r>
        <w:t xml:space="preserve"> contestación, fs. 2487 a 2488);</w:t>
      </w:r>
      <w:r w:rsidRPr="00695C09">
        <w:t xml:space="preserve"> </w:t>
      </w:r>
      <w:r>
        <w:t>S</w:t>
      </w:r>
      <w:r w:rsidRPr="00695C09">
        <w:t>olicitud de Dictamen Balístico presentad</w:t>
      </w:r>
      <w:r>
        <w:t>a</w:t>
      </w:r>
      <w:r w:rsidRPr="00695C09">
        <w:t xml:space="preserve"> por el Fiscal del Ministerio Público en Juzgado de Letras Seccional de Nacaome, Departamento de Valle</w:t>
      </w:r>
      <w:r>
        <w:t>,</w:t>
      </w:r>
      <w:r w:rsidRPr="00695C09">
        <w:t xml:space="preserve"> de 30 de enero de 2002 (expediente de prueba, </w:t>
      </w:r>
      <w:r>
        <w:t>a</w:t>
      </w:r>
      <w:r w:rsidRPr="00695C09">
        <w:t>nexo 2 a la</w:t>
      </w:r>
      <w:r>
        <w:t xml:space="preserve"> contestación, fs. 2489 a 2490), y</w:t>
      </w:r>
      <w:r w:rsidRPr="00695C09">
        <w:t xml:space="preserve"> Pericia bal</w:t>
      </w:r>
      <w:r w:rsidRPr="00695C09">
        <w:rPr>
          <w:rFonts w:cs="Calibri"/>
        </w:rPr>
        <w:t>í</w:t>
      </w:r>
      <w:r w:rsidRPr="00695C09">
        <w:t>stica realizada en la Direcci</w:t>
      </w:r>
      <w:r w:rsidRPr="00695C09">
        <w:rPr>
          <w:rFonts w:cs="Calibri"/>
        </w:rPr>
        <w:t>ó</w:t>
      </w:r>
      <w:r w:rsidRPr="00695C09">
        <w:t>n de Medicina Forense del Ministerio P</w:t>
      </w:r>
      <w:r w:rsidRPr="00695C09">
        <w:rPr>
          <w:rFonts w:cs="Calibri"/>
        </w:rPr>
        <w:t>ú</w:t>
      </w:r>
      <w:r w:rsidRPr="00695C09">
        <w:t>blico de 12 abril 2002 (expediente de prueba, Anexo 3 a la contestación, fs. 2698 a 2699)</w:t>
      </w:r>
      <w:r>
        <w:t>)</w:t>
      </w:r>
      <w:r w:rsidRPr="00695C09">
        <w:t>.</w:t>
      </w:r>
      <w:r w:rsidRPr="007B43FC">
        <w:t xml:space="preserve"> </w:t>
      </w:r>
    </w:p>
  </w:footnote>
  <w:footnote w:id="77">
    <w:p w14:paraId="1BD0E89F" w14:textId="53A4C861" w:rsidR="00E02FDB" w:rsidRPr="007B43FC" w:rsidRDefault="00E02FDB" w:rsidP="008A2AE0">
      <w:pPr>
        <w:pStyle w:val="FootnoteText"/>
      </w:pPr>
      <w:r w:rsidRPr="007B43FC">
        <w:rPr>
          <w:rStyle w:val="FootnoteReference"/>
        </w:rPr>
        <w:footnoteRef/>
      </w:r>
      <w:r w:rsidRPr="007B43FC">
        <w:t xml:space="preserve"> </w:t>
      </w:r>
      <w:r>
        <w:tab/>
      </w:r>
      <w:r w:rsidRPr="007B43FC">
        <w:rPr>
          <w:i/>
        </w:rPr>
        <w:t xml:space="preserve">Cfr. </w:t>
      </w:r>
      <w:r w:rsidRPr="007B43FC">
        <w:t xml:space="preserve">Informe de la DGIC No 242-02 de 25 de enero </w:t>
      </w:r>
      <w:r>
        <w:t>de 2002 (expediente de prueba, a</w:t>
      </w:r>
      <w:r w:rsidRPr="007B43FC">
        <w:t>nexo 2 a la contestaci</w:t>
      </w:r>
      <w:r w:rsidRPr="007B43FC">
        <w:rPr>
          <w:rFonts w:cs="Calibri"/>
        </w:rPr>
        <w:t>ó</w:t>
      </w:r>
      <w:r w:rsidRPr="007B43FC">
        <w:t>n, fs. 2125 y 2126). De los allanamientos se dej</w:t>
      </w:r>
      <w:r w:rsidRPr="007B43FC">
        <w:rPr>
          <w:rFonts w:cs="Calibri"/>
        </w:rPr>
        <w:t>ó</w:t>
      </w:r>
      <w:r w:rsidRPr="007B43FC">
        <w:t xml:space="preserve"> registro fotogr</w:t>
      </w:r>
      <w:r w:rsidRPr="007B43FC">
        <w:rPr>
          <w:rFonts w:cs="Calibri"/>
        </w:rPr>
        <w:t>á</w:t>
      </w:r>
      <w:r w:rsidRPr="007B43FC">
        <w:t>fico (</w:t>
      </w:r>
      <w:r>
        <w:rPr>
          <w:i/>
        </w:rPr>
        <w:t>c</w:t>
      </w:r>
      <w:r w:rsidRPr="00C011CF">
        <w:rPr>
          <w:i/>
        </w:rPr>
        <w:t>fr</w:t>
      </w:r>
      <w:r w:rsidRPr="007B43FC">
        <w:t xml:space="preserve">. </w:t>
      </w:r>
      <w:r w:rsidRPr="0068376F">
        <w:rPr>
          <w:rFonts w:cs="Calibri"/>
        </w:rPr>
        <w:t>Á</w:t>
      </w:r>
      <w:r w:rsidRPr="0068376F">
        <w:t>lbum fotogr</w:t>
      </w:r>
      <w:r w:rsidRPr="0068376F">
        <w:rPr>
          <w:rFonts w:cs="Calibri"/>
        </w:rPr>
        <w:t>á</w:t>
      </w:r>
      <w:r w:rsidRPr="0068376F">
        <w:t>fico de 25 de enero de 2002</w:t>
      </w:r>
      <w:r>
        <w:t xml:space="preserve">; </w:t>
      </w:r>
      <w:r w:rsidRPr="0068376F">
        <w:t xml:space="preserve">expediente de prueba, </w:t>
      </w:r>
      <w:r>
        <w:t>a</w:t>
      </w:r>
      <w:r w:rsidRPr="0068376F">
        <w:t>nexo 2 a la contestaci</w:t>
      </w:r>
      <w:r w:rsidRPr="0068376F">
        <w:rPr>
          <w:rFonts w:cs="Calibri"/>
        </w:rPr>
        <w:t>ó</w:t>
      </w:r>
      <w:r w:rsidRPr="0068376F">
        <w:t>n, fs. 2127 a 2132).</w:t>
      </w:r>
      <w:r w:rsidRPr="007B43FC">
        <w:t xml:space="preserve"> Ver tambi</w:t>
      </w:r>
      <w:r w:rsidRPr="007B43FC">
        <w:rPr>
          <w:rFonts w:cs="Calibri"/>
        </w:rPr>
        <w:t>é</w:t>
      </w:r>
      <w:r w:rsidRPr="007B43FC">
        <w:t>n el Acta de 25 de enero de 2002 relativa a los allanamientos prac</w:t>
      </w:r>
      <w:r>
        <w:t>ticados (expediente de prueba, a</w:t>
      </w:r>
      <w:r w:rsidRPr="007B43FC">
        <w:t>nexo 2 a la contestaci</w:t>
      </w:r>
      <w:r w:rsidRPr="007B43FC">
        <w:rPr>
          <w:rFonts w:cs="Calibri"/>
        </w:rPr>
        <w:t>ó</w:t>
      </w:r>
      <w:r w:rsidRPr="007B43FC">
        <w:t xml:space="preserve">n, fs. 2487 y 2488). </w:t>
      </w:r>
    </w:p>
  </w:footnote>
  <w:footnote w:id="78">
    <w:p w14:paraId="3878EAD0" w14:textId="6D40E266"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Informe de 10 de enero de 2004, remitido por el Jefe de la Secci</w:t>
      </w:r>
      <w:r w:rsidRPr="007B43FC">
        <w:rPr>
          <w:rFonts w:cs="Calibri"/>
        </w:rPr>
        <w:t>ó</w:t>
      </w:r>
      <w:r w:rsidRPr="007B43FC">
        <w:t>n Delitos Contra la Vida de la DGIC a un “Vice Ministro”. Ver tambi</w:t>
      </w:r>
      <w:r w:rsidRPr="007B43FC">
        <w:rPr>
          <w:rFonts w:cs="Calibri"/>
        </w:rPr>
        <w:t>é</w:t>
      </w:r>
      <w:r w:rsidRPr="007B43FC">
        <w:t>n Nota del Jefe de Departamentos de Homicidios de la DGIC al Secretario Ejecutivo de la DGIC de 11 de octubre de 200</w:t>
      </w:r>
      <w:r>
        <w:t>4</w:t>
      </w:r>
      <w:r w:rsidRPr="007B43FC">
        <w:t>.</w:t>
      </w:r>
    </w:p>
  </w:footnote>
  <w:footnote w:id="79">
    <w:p w14:paraId="11D4F93E" w14:textId="480FE309"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Comunicaci</w:t>
      </w:r>
      <w:r w:rsidRPr="007B43FC">
        <w:rPr>
          <w:rFonts w:cs="Calibri"/>
        </w:rPr>
        <w:t>ó</w:t>
      </w:r>
      <w:r w:rsidRPr="007B43FC">
        <w:t xml:space="preserve">n del Coordinador Regional de la DGIC de Choluteca dirigida a </w:t>
      </w:r>
      <w:proofErr w:type="spellStart"/>
      <w:r w:rsidRPr="007B43FC">
        <w:t>Hondutel</w:t>
      </w:r>
      <w:proofErr w:type="spellEnd"/>
      <w:r w:rsidRPr="007B43FC">
        <w:t xml:space="preserve">, de 29 de enero de 2002 y respuesta de </w:t>
      </w:r>
      <w:proofErr w:type="spellStart"/>
      <w:r w:rsidRPr="007B43FC">
        <w:t>Hondutel</w:t>
      </w:r>
      <w:proofErr w:type="spellEnd"/>
      <w:r w:rsidRPr="007B43FC">
        <w:t>, de 5 de febrero de 2002 (expediente de prueb</w:t>
      </w:r>
      <w:r>
        <w:t>a, anexo 1 a la c</w:t>
      </w:r>
      <w:r w:rsidRPr="007B43FC">
        <w:t>ontestaci</w:t>
      </w:r>
      <w:r w:rsidRPr="007B43FC">
        <w:rPr>
          <w:rFonts w:cs="Calibri"/>
        </w:rPr>
        <w:t>ó</w:t>
      </w:r>
      <w:r>
        <w:t>n, fs. 2309 y 2310).</w:t>
      </w:r>
    </w:p>
  </w:footnote>
  <w:footnote w:id="80">
    <w:p w14:paraId="326A8489" w14:textId="32219480" w:rsidR="00E02FDB" w:rsidRPr="007B43FC" w:rsidRDefault="00E02FDB" w:rsidP="008A2AE0">
      <w:pPr>
        <w:pStyle w:val="FootnoteText"/>
      </w:pPr>
      <w:r w:rsidRPr="007B43FC">
        <w:rPr>
          <w:rStyle w:val="FootnoteReference"/>
        </w:rPr>
        <w:footnoteRef/>
      </w:r>
      <w:r w:rsidRPr="007B43FC">
        <w:t xml:space="preserve"> </w:t>
      </w:r>
      <w:r>
        <w:tab/>
      </w:r>
      <w:r w:rsidRPr="00AD1B70">
        <w:rPr>
          <w:i/>
        </w:rPr>
        <w:t>Cfr.</w:t>
      </w:r>
      <w:r w:rsidRPr="007B43FC">
        <w:t xml:space="preserve"> Informe de la DGIC de 11 de febrero </w:t>
      </w:r>
      <w:r>
        <w:t>de 2002 (expediente de prueba, a</w:t>
      </w:r>
      <w:r w:rsidRPr="007B43FC">
        <w:t>nexo 1 a la contestaci</w:t>
      </w:r>
      <w:r w:rsidRPr="007B43FC">
        <w:rPr>
          <w:rFonts w:cs="Calibri"/>
        </w:rPr>
        <w:t>ó</w:t>
      </w:r>
      <w:r>
        <w:t>n, fs. 2115 a 2117).</w:t>
      </w:r>
    </w:p>
  </w:footnote>
  <w:footnote w:id="81">
    <w:p w14:paraId="3B6B3A69" w14:textId="5CD097FA" w:rsidR="00E02FDB" w:rsidRPr="007B43FC" w:rsidRDefault="00E02FDB" w:rsidP="008A2AE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ab/>
      </w:r>
      <w:r w:rsidRPr="007B43FC">
        <w:rPr>
          <w:sz w:val="16"/>
          <w:szCs w:val="16"/>
        </w:rPr>
        <w:t>El Estado informó que esta persona falleció (</w:t>
      </w:r>
      <w:r>
        <w:rPr>
          <w:i/>
          <w:sz w:val="16"/>
          <w:szCs w:val="16"/>
        </w:rPr>
        <w:t>c</w:t>
      </w:r>
      <w:r w:rsidRPr="007B43FC">
        <w:rPr>
          <w:i/>
          <w:sz w:val="16"/>
          <w:szCs w:val="16"/>
        </w:rPr>
        <w:t>fr</w:t>
      </w:r>
      <w:r w:rsidRPr="007B43FC">
        <w:rPr>
          <w:sz w:val="16"/>
          <w:szCs w:val="16"/>
        </w:rPr>
        <w:t xml:space="preserve">. </w:t>
      </w:r>
      <w:r w:rsidRPr="007B43FC">
        <w:rPr>
          <w:rFonts w:cs="Arial"/>
          <w:sz w:val="16"/>
          <w:szCs w:val="16"/>
        </w:rPr>
        <w:t>Certificaci</w:t>
      </w:r>
      <w:r w:rsidRPr="007B43FC">
        <w:rPr>
          <w:sz w:val="16"/>
          <w:szCs w:val="16"/>
        </w:rPr>
        <w:t>ó</w:t>
      </w:r>
      <w:r w:rsidRPr="007B43FC">
        <w:rPr>
          <w:rFonts w:cs="Arial"/>
          <w:sz w:val="16"/>
          <w:szCs w:val="16"/>
        </w:rPr>
        <w:t>n de Acta de Defunci</w:t>
      </w:r>
      <w:r w:rsidRPr="007B43FC">
        <w:rPr>
          <w:sz w:val="16"/>
          <w:szCs w:val="16"/>
        </w:rPr>
        <w:t>ó</w:t>
      </w:r>
      <w:r w:rsidRPr="007B43FC">
        <w:rPr>
          <w:rFonts w:cs="Arial"/>
          <w:sz w:val="16"/>
          <w:szCs w:val="16"/>
        </w:rPr>
        <w:t>n No. 0801-2005-01668 del se</w:t>
      </w:r>
      <w:r w:rsidRPr="007B43FC">
        <w:rPr>
          <w:sz w:val="16"/>
          <w:szCs w:val="16"/>
        </w:rPr>
        <w:t>ñ</w:t>
      </w:r>
      <w:r w:rsidRPr="007B43FC">
        <w:rPr>
          <w:rFonts w:cs="Arial"/>
          <w:sz w:val="16"/>
          <w:szCs w:val="16"/>
        </w:rPr>
        <w:t>or JE</w:t>
      </w:r>
      <w:r>
        <w:rPr>
          <w:rFonts w:cs="Arial"/>
          <w:sz w:val="16"/>
          <w:szCs w:val="16"/>
        </w:rPr>
        <w:t>;</w:t>
      </w:r>
      <w:r w:rsidRPr="007B43FC">
        <w:rPr>
          <w:rFonts w:cs="Arial"/>
          <w:sz w:val="16"/>
          <w:szCs w:val="16"/>
        </w:rPr>
        <w:t xml:space="preserve"> </w:t>
      </w:r>
      <w:r>
        <w:rPr>
          <w:rFonts w:cs="Arial"/>
          <w:sz w:val="16"/>
          <w:szCs w:val="16"/>
        </w:rPr>
        <w:t>e</w:t>
      </w:r>
      <w:r w:rsidRPr="007B43FC">
        <w:rPr>
          <w:rFonts w:cs="Arial"/>
          <w:sz w:val="16"/>
          <w:szCs w:val="16"/>
        </w:rPr>
        <w:t xml:space="preserve">xpediente de prueba, </w:t>
      </w:r>
      <w:r>
        <w:rPr>
          <w:rFonts w:cs="Arial"/>
          <w:sz w:val="16"/>
          <w:szCs w:val="16"/>
        </w:rPr>
        <w:t>a</w:t>
      </w:r>
      <w:r w:rsidRPr="007B43FC">
        <w:rPr>
          <w:rFonts w:cs="Arial"/>
          <w:sz w:val="16"/>
          <w:szCs w:val="16"/>
        </w:rPr>
        <w:t xml:space="preserve">nexo 3 a la </w:t>
      </w:r>
      <w:r>
        <w:rPr>
          <w:rFonts w:cs="Arial"/>
          <w:sz w:val="16"/>
          <w:szCs w:val="16"/>
        </w:rPr>
        <w:t>c</w:t>
      </w:r>
      <w:r w:rsidRPr="007B43FC">
        <w:rPr>
          <w:rFonts w:cs="Arial"/>
          <w:sz w:val="16"/>
          <w:szCs w:val="16"/>
        </w:rPr>
        <w:t>ontestaci</w:t>
      </w:r>
      <w:r w:rsidRPr="007B43FC">
        <w:rPr>
          <w:sz w:val="16"/>
          <w:szCs w:val="16"/>
        </w:rPr>
        <w:t>ó</w:t>
      </w:r>
      <w:r w:rsidRPr="007B43FC">
        <w:rPr>
          <w:rFonts w:cs="Arial"/>
          <w:sz w:val="16"/>
          <w:szCs w:val="16"/>
        </w:rPr>
        <w:t xml:space="preserve">n, f. </w:t>
      </w:r>
      <w:r>
        <w:rPr>
          <w:rFonts w:cs="Arial"/>
          <w:sz w:val="16"/>
          <w:szCs w:val="16"/>
        </w:rPr>
        <w:t>2652</w:t>
      </w:r>
      <w:r w:rsidRPr="007B43FC">
        <w:rPr>
          <w:rFonts w:cs="Arial"/>
          <w:sz w:val="16"/>
          <w:szCs w:val="16"/>
        </w:rPr>
        <w:t>).</w:t>
      </w:r>
    </w:p>
  </w:footnote>
  <w:footnote w:id="82">
    <w:p w14:paraId="1BACA24B" w14:textId="176DF1F4" w:rsidR="00E02FDB" w:rsidRPr="007B43FC" w:rsidRDefault="00E02FDB" w:rsidP="008A2AE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ab/>
        <w:t>Informe de la DGIC</w:t>
      </w:r>
      <w:r w:rsidRPr="007B43FC">
        <w:rPr>
          <w:sz w:val="16"/>
          <w:szCs w:val="16"/>
        </w:rPr>
        <w:t xml:space="preserve"> de 28 de noviembre de 2002. Anexo a la comunicación de los peticionarios </w:t>
      </w:r>
      <w:r>
        <w:rPr>
          <w:sz w:val="16"/>
          <w:szCs w:val="16"/>
        </w:rPr>
        <w:t xml:space="preserve">de 25 de </w:t>
      </w:r>
      <w:proofErr w:type="spellStart"/>
      <w:r>
        <w:rPr>
          <w:sz w:val="16"/>
          <w:szCs w:val="16"/>
        </w:rPr>
        <w:t>agoston</w:t>
      </w:r>
      <w:proofErr w:type="spellEnd"/>
      <w:r w:rsidRPr="007B43FC">
        <w:rPr>
          <w:sz w:val="16"/>
          <w:szCs w:val="16"/>
        </w:rPr>
        <w:t xml:space="preserve"> de 2004 (expediente</w:t>
      </w:r>
      <w:r>
        <w:rPr>
          <w:rFonts w:cs="Cambria"/>
          <w:sz w:val="16"/>
          <w:szCs w:val="16"/>
        </w:rPr>
        <w:t xml:space="preserve"> de prueba, a</w:t>
      </w:r>
      <w:r w:rsidRPr="007B43FC">
        <w:rPr>
          <w:rFonts w:cs="Cambria"/>
          <w:sz w:val="16"/>
          <w:szCs w:val="16"/>
        </w:rPr>
        <w:t>nexo 14 al Informe de Fondo, fs. 399 a 340).</w:t>
      </w:r>
    </w:p>
  </w:footnote>
  <w:footnote w:id="83">
    <w:p w14:paraId="48DACA0C" w14:textId="3D1EF9BC" w:rsidR="00E02FDB" w:rsidRPr="007B43FC" w:rsidRDefault="00E02FDB" w:rsidP="008A2AE0">
      <w:pPr>
        <w:pStyle w:val="FootnoteText"/>
      </w:pPr>
      <w:r w:rsidRPr="007B43FC">
        <w:rPr>
          <w:rStyle w:val="FootnoteReference"/>
        </w:rPr>
        <w:footnoteRef/>
      </w:r>
      <w:r w:rsidRPr="007B43FC">
        <w:t xml:space="preserve"> </w:t>
      </w:r>
      <w:r>
        <w:tab/>
      </w:r>
      <w:r w:rsidRPr="007B43FC">
        <w:t>Respecto a WC, consta en el acervo probatorio un documento de 25 de enero de 2002 por medio del que se deja constancia de la “</w:t>
      </w:r>
      <w:proofErr w:type="spellStart"/>
      <w:r w:rsidRPr="007B43FC">
        <w:t>remi</w:t>
      </w:r>
      <w:proofErr w:type="spellEnd"/>
      <w:r w:rsidRPr="007B43FC">
        <w:t>[</w:t>
      </w:r>
      <w:proofErr w:type="spellStart"/>
      <w:r w:rsidRPr="007B43FC">
        <w:t>si</w:t>
      </w:r>
      <w:r w:rsidRPr="007B43FC">
        <w:rPr>
          <w:rFonts w:cs="Calibri"/>
        </w:rPr>
        <w:t>ó</w:t>
      </w:r>
      <w:r w:rsidRPr="007B43FC">
        <w:t>n</w:t>
      </w:r>
      <w:proofErr w:type="spellEnd"/>
      <w:r w:rsidRPr="007B43FC">
        <w:t>]” al “Juez de Paz de lo Criminal” de una “pistola [</w:t>
      </w:r>
      <w:r w:rsidRPr="007B43FC">
        <w:rPr>
          <w:rFonts w:cs="Calibri"/>
        </w:rPr>
        <w:t>…</w:t>
      </w:r>
      <w:r w:rsidRPr="007B43FC">
        <w:t>] calibre 9mm” encontrada en su “casa habitaci</w:t>
      </w:r>
      <w:r w:rsidRPr="007B43FC">
        <w:rPr>
          <w:rFonts w:cs="Calibri"/>
        </w:rPr>
        <w:t>ó</w:t>
      </w:r>
      <w:r w:rsidRPr="007B43FC">
        <w:t>n” (</w:t>
      </w:r>
      <w:r>
        <w:rPr>
          <w:i/>
        </w:rPr>
        <w:t>c</w:t>
      </w:r>
      <w:r w:rsidRPr="007B43FC">
        <w:rPr>
          <w:i/>
        </w:rPr>
        <w:t>fr</w:t>
      </w:r>
      <w:r w:rsidRPr="007B43FC">
        <w:t>. Comunicaci</w:t>
      </w:r>
      <w:r w:rsidRPr="007B43FC">
        <w:rPr>
          <w:rFonts w:cs="Calibri"/>
        </w:rPr>
        <w:t>ó</w:t>
      </w:r>
      <w:r w:rsidRPr="007B43FC">
        <w:t>n de 25 de enero de 2002 dirigida al Juez de Paz en lo Criminal por el Coo</w:t>
      </w:r>
      <w:r>
        <w:t>rdinador Regional de la D.G.I.C;</w:t>
      </w:r>
      <w:r w:rsidRPr="007B43FC">
        <w:t xml:space="preserve"> </w:t>
      </w:r>
      <w:r>
        <w:t>e</w:t>
      </w:r>
      <w:r w:rsidRPr="007B43FC">
        <w:t xml:space="preserve">xpediente de prueba, </w:t>
      </w:r>
      <w:r>
        <w:t>a</w:t>
      </w:r>
      <w:r w:rsidRPr="007B43FC">
        <w:t xml:space="preserve">nexo 1 a la </w:t>
      </w:r>
      <w:r>
        <w:t>c</w:t>
      </w:r>
      <w:r w:rsidRPr="007B43FC">
        <w:t>ontestaci</w:t>
      </w:r>
      <w:r w:rsidRPr="007B43FC">
        <w:rPr>
          <w:rFonts w:cs="Calibri"/>
        </w:rPr>
        <w:t>ó</w:t>
      </w:r>
      <w:r w:rsidRPr="007B43FC">
        <w:t>n</w:t>
      </w:r>
      <w:r>
        <w:t xml:space="preserve">, </w:t>
      </w:r>
      <w:r w:rsidRPr="007B43FC">
        <w:t>f. 2311).</w:t>
      </w:r>
    </w:p>
  </w:footnote>
  <w:footnote w:id="84">
    <w:p w14:paraId="0C860E0C" w14:textId="689B11DB" w:rsidR="00E02FDB" w:rsidRPr="007B43FC" w:rsidRDefault="00E02FDB" w:rsidP="008A2AE0">
      <w:pPr>
        <w:pStyle w:val="FootnoteText"/>
      </w:pPr>
      <w:r w:rsidRPr="007B43FC">
        <w:rPr>
          <w:rStyle w:val="FootnoteReference"/>
        </w:rPr>
        <w:footnoteRef/>
      </w:r>
      <w:r w:rsidRPr="007B43FC">
        <w:t xml:space="preserve"> </w:t>
      </w:r>
      <w:r>
        <w:tab/>
      </w:r>
      <w:r>
        <w:rPr>
          <w:rFonts w:cs="Arial"/>
          <w:color w:val="0F0F0F"/>
        </w:rPr>
        <w:t>Informe de Investigación Criminal de 11 de febrero de 2002</w:t>
      </w:r>
      <w:r w:rsidRPr="007B43FC">
        <w:rPr>
          <w:rFonts w:cs="Times New Roman"/>
          <w:color w:val="0F0F0F"/>
        </w:rPr>
        <w:t xml:space="preserve"> (</w:t>
      </w:r>
      <w:r>
        <w:rPr>
          <w:rFonts w:cs="Times New Roman"/>
          <w:color w:val="0F0F0F"/>
        </w:rPr>
        <w:t>e</w:t>
      </w:r>
      <w:r w:rsidRPr="007B43FC">
        <w:rPr>
          <w:rFonts w:cs="Times New Roman"/>
          <w:color w:val="0F0F0F"/>
        </w:rPr>
        <w:t xml:space="preserve">xpediente de prueba, anexo 2 al Informe de Fondo, fs. </w:t>
      </w:r>
      <w:r>
        <w:rPr>
          <w:rFonts w:cs="Times New Roman"/>
          <w:color w:val="0F0F0F"/>
        </w:rPr>
        <w:t>291</w:t>
      </w:r>
      <w:r w:rsidRPr="007B43FC">
        <w:rPr>
          <w:rFonts w:cs="Times New Roman"/>
          <w:color w:val="0F0F0F"/>
        </w:rPr>
        <w:t xml:space="preserve"> a </w:t>
      </w:r>
      <w:r>
        <w:rPr>
          <w:rFonts w:cs="Times New Roman"/>
          <w:color w:val="0F0F0F"/>
        </w:rPr>
        <w:t>293</w:t>
      </w:r>
      <w:r w:rsidRPr="007B43FC">
        <w:rPr>
          <w:rFonts w:cs="Times New Roman"/>
          <w:color w:val="0F0F0F"/>
        </w:rPr>
        <w:t>).</w:t>
      </w:r>
      <w:r>
        <w:rPr>
          <w:rFonts w:cs="Times New Roman"/>
          <w:color w:val="0F0F0F"/>
        </w:rPr>
        <w:t xml:space="preserve"> </w:t>
      </w:r>
      <w:r w:rsidRPr="007B43FC">
        <w:t>El informe indic</w:t>
      </w:r>
      <w:r w:rsidRPr="007B43FC">
        <w:rPr>
          <w:rFonts w:cs="Calibri"/>
        </w:rPr>
        <w:t>ó</w:t>
      </w:r>
      <w:r w:rsidRPr="007B43FC">
        <w:t xml:space="preserve"> que esas personas, dadas “declaraciones que se manejan en el expediente” y “versiones verbales de </w:t>
      </w:r>
      <w:proofErr w:type="gramStart"/>
      <w:r w:rsidRPr="007B43FC">
        <w:t>testigos[</w:t>
      </w:r>
      <w:proofErr w:type="gramEnd"/>
      <w:r w:rsidRPr="007B43FC">
        <w:t>,</w:t>
      </w:r>
      <w:r w:rsidRPr="007B43FC">
        <w:rPr>
          <w:rFonts w:cs="Calibri"/>
        </w:rPr>
        <w:t>…</w:t>
      </w:r>
      <w:r w:rsidRPr="007B43FC">
        <w:t>] pudieran ser los responsables intelectuales del asesinato del se</w:t>
      </w:r>
      <w:r w:rsidRPr="007B43FC">
        <w:rPr>
          <w:rFonts w:cs="Calibri"/>
        </w:rPr>
        <w:t>ñ</w:t>
      </w:r>
      <w:r w:rsidRPr="007B43FC">
        <w:t xml:space="preserve">or </w:t>
      </w:r>
      <w:r>
        <w:t>[</w:t>
      </w:r>
      <w:r w:rsidRPr="007B43FC">
        <w:t>Pacheco</w:t>
      </w:r>
      <w:r>
        <w:t>]</w:t>
      </w:r>
      <w:r w:rsidRPr="007B43FC">
        <w:t>, pero a</w:t>
      </w:r>
      <w:r w:rsidRPr="007B43FC">
        <w:rPr>
          <w:rFonts w:cs="Calibri"/>
        </w:rPr>
        <w:t>ú</w:t>
      </w:r>
      <w:r w:rsidRPr="007B43FC">
        <w:t>n no existe evidencia alguna que los involucre en el hecho”. Mencion</w:t>
      </w:r>
      <w:r w:rsidRPr="007B43FC">
        <w:rPr>
          <w:rFonts w:cs="Calibri"/>
        </w:rPr>
        <w:t>ó</w:t>
      </w:r>
      <w:r w:rsidRPr="007B43FC">
        <w:t xml:space="preserve"> tambi</w:t>
      </w:r>
      <w:r w:rsidRPr="007B43FC">
        <w:rPr>
          <w:rFonts w:cs="Calibri"/>
        </w:rPr>
        <w:t>é</w:t>
      </w:r>
      <w:r w:rsidRPr="007B43FC">
        <w:t>n el documento que hubo intentos de hacer seguimientos de las personas “</w:t>
      </w:r>
      <w:proofErr w:type="gramStart"/>
      <w:r w:rsidRPr="007B43FC">
        <w:t>sospechosas[</w:t>
      </w:r>
      <w:proofErr w:type="gramEnd"/>
      <w:r w:rsidRPr="007B43FC">
        <w:t>, quienes] se moviliza[</w:t>
      </w:r>
      <w:proofErr w:type="spellStart"/>
      <w:r w:rsidRPr="007B43FC">
        <w:t>b</w:t>
      </w:r>
      <w:r>
        <w:t>a</w:t>
      </w:r>
      <w:proofErr w:type="spellEnd"/>
      <w:r w:rsidRPr="007B43FC">
        <w:t xml:space="preserve">]n entre Valle, Choluteca, Tegucigalpa y </w:t>
      </w:r>
      <w:proofErr w:type="spellStart"/>
      <w:r w:rsidRPr="007B43FC">
        <w:t>Olancha</w:t>
      </w:r>
      <w:proofErr w:type="spellEnd"/>
      <w:r w:rsidRPr="007B43FC">
        <w:t xml:space="preserve">”, pero </w:t>
      </w:r>
      <w:r w:rsidRPr="007B43FC">
        <w:rPr>
          <w:rFonts w:cs="Calibri"/>
        </w:rPr>
        <w:t>é</w:t>
      </w:r>
      <w:r w:rsidRPr="007B43FC">
        <w:t>stas “t[</w:t>
      </w:r>
      <w:proofErr w:type="spellStart"/>
      <w:r w:rsidRPr="007B43FC">
        <w:t>en</w:t>
      </w:r>
      <w:r w:rsidRPr="007B43FC">
        <w:rPr>
          <w:rFonts w:cs="Calibri"/>
        </w:rPr>
        <w:t>í</w:t>
      </w:r>
      <w:r w:rsidRPr="007B43FC">
        <w:t>an</w:t>
      </w:r>
      <w:proofErr w:type="spellEnd"/>
      <w:r w:rsidRPr="007B43FC">
        <w:t>] identificados los veh</w:t>
      </w:r>
      <w:r w:rsidRPr="007B43FC">
        <w:rPr>
          <w:rFonts w:cs="Calibri"/>
        </w:rPr>
        <w:t>í</w:t>
      </w:r>
      <w:r w:rsidRPr="007B43FC">
        <w:t>culos</w:t>
      </w:r>
      <w:r>
        <w:t>”</w:t>
      </w:r>
      <w:r w:rsidRPr="007B43FC">
        <w:t>, por lo que se solicitaba al Director de la DGIC un veh</w:t>
      </w:r>
      <w:r w:rsidRPr="007B43FC">
        <w:rPr>
          <w:rFonts w:cs="Calibri"/>
        </w:rPr>
        <w:t>í</w:t>
      </w:r>
      <w:r w:rsidRPr="007B43FC">
        <w:t>culo para el caso espec</w:t>
      </w:r>
      <w:r w:rsidRPr="007B43FC">
        <w:rPr>
          <w:rFonts w:cs="Calibri"/>
        </w:rPr>
        <w:t>í</w:t>
      </w:r>
      <w:r w:rsidRPr="007B43FC">
        <w:t xml:space="preserve">fico. </w:t>
      </w:r>
    </w:p>
  </w:footnote>
  <w:footnote w:id="85">
    <w:p w14:paraId="0DD5941D" w14:textId="6D85A713" w:rsidR="00E02FDB" w:rsidRPr="007B43FC" w:rsidRDefault="00E02FDB" w:rsidP="008A2AE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ab/>
      </w:r>
      <w:r w:rsidRPr="007B43FC">
        <w:rPr>
          <w:rFonts w:cs="Arial"/>
          <w:sz w:val="16"/>
          <w:szCs w:val="16"/>
        </w:rPr>
        <w:t>Solicitud de Allanamiento</w:t>
      </w:r>
      <w:r>
        <w:rPr>
          <w:rFonts w:cs="Arial"/>
          <w:sz w:val="16"/>
          <w:szCs w:val="16"/>
        </w:rPr>
        <w:t>,</w:t>
      </w:r>
      <w:r w:rsidRPr="007B43FC">
        <w:rPr>
          <w:rFonts w:cs="Arial"/>
          <w:sz w:val="16"/>
          <w:szCs w:val="16"/>
        </w:rPr>
        <w:t xml:space="preserve"> presentad</w:t>
      </w:r>
      <w:r>
        <w:rPr>
          <w:rFonts w:cs="Arial"/>
          <w:sz w:val="16"/>
          <w:szCs w:val="16"/>
        </w:rPr>
        <w:t>a</w:t>
      </w:r>
      <w:r w:rsidRPr="007B43FC">
        <w:rPr>
          <w:rFonts w:cs="Arial"/>
          <w:sz w:val="16"/>
          <w:szCs w:val="16"/>
        </w:rPr>
        <w:t xml:space="preserve"> por el Fiscal del Ministerio P</w:t>
      </w:r>
      <w:r>
        <w:rPr>
          <w:rFonts w:cs="Arial"/>
          <w:sz w:val="16"/>
          <w:szCs w:val="16"/>
        </w:rPr>
        <w:t>ú</w:t>
      </w:r>
      <w:r w:rsidRPr="007B43FC">
        <w:rPr>
          <w:rFonts w:cs="Arial"/>
          <w:sz w:val="16"/>
          <w:szCs w:val="16"/>
        </w:rPr>
        <w:t>blico en Juzgado de Letras Seccional de Nacaome, dep</w:t>
      </w:r>
      <w:r>
        <w:rPr>
          <w:rFonts w:cs="Arial"/>
          <w:sz w:val="16"/>
          <w:szCs w:val="16"/>
        </w:rPr>
        <w:t>artamen</w:t>
      </w:r>
      <w:r w:rsidRPr="007B43FC">
        <w:rPr>
          <w:rFonts w:cs="Arial"/>
          <w:sz w:val="16"/>
          <w:szCs w:val="16"/>
        </w:rPr>
        <w:t xml:space="preserve">to </w:t>
      </w:r>
      <w:r>
        <w:rPr>
          <w:rFonts w:cs="Arial"/>
          <w:sz w:val="16"/>
          <w:szCs w:val="16"/>
        </w:rPr>
        <w:t>d</w:t>
      </w:r>
      <w:r w:rsidRPr="007B43FC">
        <w:rPr>
          <w:rFonts w:cs="Arial"/>
          <w:sz w:val="16"/>
          <w:szCs w:val="16"/>
        </w:rPr>
        <w:t>e Valle</w:t>
      </w:r>
      <w:r>
        <w:rPr>
          <w:rFonts w:cs="Arial"/>
          <w:sz w:val="16"/>
          <w:szCs w:val="16"/>
        </w:rPr>
        <w:t>,</w:t>
      </w:r>
      <w:r w:rsidRPr="007B43FC">
        <w:rPr>
          <w:rFonts w:cs="Arial"/>
          <w:sz w:val="16"/>
          <w:szCs w:val="16"/>
        </w:rPr>
        <w:t xml:space="preserve"> de 24 de enero de 2002 y ejecutad</w:t>
      </w:r>
      <w:r>
        <w:rPr>
          <w:rFonts w:cs="Arial"/>
          <w:sz w:val="16"/>
          <w:szCs w:val="16"/>
        </w:rPr>
        <w:t>a</w:t>
      </w:r>
      <w:r w:rsidRPr="007B43FC">
        <w:rPr>
          <w:rFonts w:cs="Arial"/>
          <w:sz w:val="16"/>
          <w:szCs w:val="16"/>
        </w:rPr>
        <w:t xml:space="preserve"> el 25 de enero de 2002 </w:t>
      </w:r>
      <w:r>
        <w:rPr>
          <w:sz w:val="16"/>
          <w:szCs w:val="16"/>
        </w:rPr>
        <w:t>(expediente de prueba, a</w:t>
      </w:r>
      <w:r w:rsidRPr="007B43FC">
        <w:rPr>
          <w:sz w:val="16"/>
          <w:szCs w:val="16"/>
        </w:rPr>
        <w:t>nexo 2 a la contestación, f. 2</w:t>
      </w:r>
      <w:r>
        <w:rPr>
          <w:sz w:val="16"/>
          <w:szCs w:val="16"/>
        </w:rPr>
        <w:t>482</w:t>
      </w:r>
      <w:r w:rsidRPr="007B43FC">
        <w:rPr>
          <w:sz w:val="16"/>
          <w:szCs w:val="16"/>
        </w:rPr>
        <w:t>)</w:t>
      </w:r>
      <w:r w:rsidRPr="007B43FC">
        <w:rPr>
          <w:rFonts w:cs="Arial"/>
          <w:sz w:val="16"/>
          <w:szCs w:val="16"/>
        </w:rPr>
        <w:t>.</w:t>
      </w:r>
    </w:p>
  </w:footnote>
  <w:footnote w:id="86">
    <w:p w14:paraId="559FE763" w14:textId="3B676ED3"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Informe de la DGIC de 11 de febrero de 2002.  </w:t>
      </w:r>
    </w:p>
  </w:footnote>
  <w:footnote w:id="87">
    <w:p w14:paraId="727CAC69" w14:textId="07BB6927" w:rsidR="00E02FDB" w:rsidRPr="007B43FC" w:rsidRDefault="00E02FDB" w:rsidP="008A2AE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 xml:space="preserve">     </w:t>
      </w:r>
      <w:r w:rsidRPr="007B43FC">
        <w:rPr>
          <w:i/>
          <w:sz w:val="16"/>
          <w:szCs w:val="16"/>
        </w:rPr>
        <w:t>Cfr.</w:t>
      </w:r>
      <w:r w:rsidRPr="007B43FC">
        <w:rPr>
          <w:sz w:val="16"/>
          <w:szCs w:val="16"/>
        </w:rPr>
        <w:t xml:space="preserve"> Memorándum del Fiscal del Ministerio Público del departamento de Valle, de 15 de julio de 2004</w:t>
      </w:r>
      <w:r>
        <w:rPr>
          <w:sz w:val="16"/>
          <w:szCs w:val="16"/>
        </w:rPr>
        <w:t xml:space="preserve"> (expediente de prueba, a</w:t>
      </w:r>
      <w:r w:rsidRPr="007B43FC">
        <w:rPr>
          <w:sz w:val="16"/>
          <w:szCs w:val="16"/>
        </w:rPr>
        <w:t>nexo 13 al Informe de Fondo, fs. 390 a 397).</w:t>
      </w:r>
    </w:p>
  </w:footnote>
  <w:footnote w:id="88">
    <w:p w14:paraId="33EF241E" w14:textId="4163429D" w:rsidR="00E02FDB" w:rsidRPr="007B43FC" w:rsidRDefault="00E02FDB" w:rsidP="008A2AE0">
      <w:pPr>
        <w:pStyle w:val="FootnoteText"/>
      </w:pPr>
      <w:r w:rsidRPr="007B43FC">
        <w:rPr>
          <w:rStyle w:val="FootnoteReference"/>
        </w:rPr>
        <w:footnoteRef/>
      </w:r>
      <w:r w:rsidRPr="007B43FC">
        <w:t xml:space="preserve"> </w:t>
      </w:r>
      <w:r>
        <w:tab/>
      </w:r>
      <w:r w:rsidRPr="007B43FC">
        <w:rPr>
          <w:i/>
        </w:rPr>
        <w:t xml:space="preserve">Cfr. </w:t>
      </w:r>
      <w:r w:rsidRPr="007B43FC">
        <w:t>Declaraci</w:t>
      </w:r>
      <w:r w:rsidRPr="007B43FC">
        <w:rPr>
          <w:rFonts w:cs="Calibri"/>
        </w:rPr>
        <w:t>ó</w:t>
      </w:r>
      <w:r w:rsidRPr="007B43FC">
        <w:t xml:space="preserve">n de </w:t>
      </w:r>
      <w:r w:rsidRPr="00AC477C">
        <w:t>SM</w:t>
      </w:r>
      <w:r w:rsidRPr="007B43FC">
        <w:t xml:space="preserve"> de 30 de septiembre </w:t>
      </w:r>
      <w:r>
        <w:t>de 2004 (expediente de prueba, a</w:t>
      </w:r>
      <w:r w:rsidRPr="007B43FC">
        <w:t>nexo 3 a la contestaci</w:t>
      </w:r>
      <w:r w:rsidRPr="007B43FC">
        <w:rPr>
          <w:rFonts w:cs="Calibri"/>
        </w:rPr>
        <w:t>ó</w:t>
      </w:r>
      <w:r w:rsidRPr="007B43FC">
        <w:t xml:space="preserve">n, fs. 2614 a 2616). </w:t>
      </w:r>
    </w:p>
  </w:footnote>
  <w:footnote w:id="89">
    <w:p w14:paraId="784962FE" w14:textId="17FF5FD2"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Nota del Jefe de Departamentos de Homicidios de la DGIC </w:t>
      </w:r>
      <w:r>
        <w:t>de 11 de octubre de 2002</w:t>
      </w:r>
      <w:r w:rsidRPr="007B43FC">
        <w:t xml:space="preserve">.  </w:t>
      </w:r>
    </w:p>
  </w:footnote>
  <w:footnote w:id="90">
    <w:p w14:paraId="3267B125" w14:textId="4EB19388"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Oficio No. D-DGIC-121-2005 del Director General de la DGIC al Director de Capacitaci</w:t>
      </w:r>
      <w:r w:rsidRPr="007B43FC">
        <w:rPr>
          <w:rFonts w:cs="Calibri"/>
        </w:rPr>
        <w:t>ó</w:t>
      </w:r>
      <w:r w:rsidRPr="007B43FC">
        <w:t>n y Desarrollo Policial Secci</w:t>
      </w:r>
      <w:r w:rsidRPr="007B43FC">
        <w:rPr>
          <w:rFonts w:cs="Calibri"/>
        </w:rPr>
        <w:t>ó</w:t>
      </w:r>
      <w:r w:rsidRPr="007B43FC">
        <w:t>n Pol</w:t>
      </w:r>
      <w:r w:rsidRPr="007B43FC">
        <w:rPr>
          <w:rFonts w:cs="Calibri"/>
        </w:rPr>
        <w:t>í</w:t>
      </w:r>
      <w:r w:rsidRPr="007B43FC">
        <w:t xml:space="preserve">tica/INL de 1 de marzo de 2005 (expediente de prueba, </w:t>
      </w:r>
      <w:r>
        <w:t>a</w:t>
      </w:r>
      <w:r w:rsidRPr="007B43FC">
        <w:t>nexo 1 a la contestaci</w:t>
      </w:r>
      <w:r w:rsidRPr="007B43FC">
        <w:rPr>
          <w:rFonts w:cs="Calibri"/>
        </w:rPr>
        <w:t>ó</w:t>
      </w:r>
      <w:r w:rsidRPr="007B43FC">
        <w:t xml:space="preserve">n, fs. 2098 a 2100). </w:t>
      </w:r>
    </w:p>
  </w:footnote>
  <w:footnote w:id="91">
    <w:p w14:paraId="4F03B07B" w14:textId="3AA5FB2F"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Resoluci</w:t>
      </w:r>
      <w:r w:rsidRPr="007B43FC">
        <w:rPr>
          <w:rFonts w:cs="Calibri"/>
        </w:rPr>
        <w:t>ó</w:t>
      </w:r>
      <w:r w:rsidRPr="007B43FC">
        <w:t xml:space="preserve">n del Juzgado de Letras de </w:t>
      </w:r>
      <w:r w:rsidRPr="00F07B77">
        <w:t>20 de septiembre</w:t>
      </w:r>
      <w:r w:rsidRPr="007B43FC">
        <w:t xml:space="preserve"> de 2004 (expediente de prueba, </w:t>
      </w:r>
      <w:r>
        <w:t>a</w:t>
      </w:r>
      <w:r w:rsidRPr="007B43FC">
        <w:t>nexo 2 a la contestaci</w:t>
      </w:r>
      <w:r w:rsidRPr="007B43FC">
        <w:rPr>
          <w:rFonts w:cs="Calibri"/>
        </w:rPr>
        <w:t>ó</w:t>
      </w:r>
      <w:r w:rsidRPr="007B43FC">
        <w:t xml:space="preserve">n, f. 2545).  </w:t>
      </w:r>
    </w:p>
  </w:footnote>
  <w:footnote w:id="92">
    <w:p w14:paraId="5B9648EE" w14:textId="5B39771E" w:rsidR="00E02FDB" w:rsidRPr="007B43FC" w:rsidRDefault="00E02FDB" w:rsidP="008A2AE0">
      <w:pPr>
        <w:pStyle w:val="FootnoteText"/>
      </w:pPr>
      <w:r w:rsidRPr="007B43FC">
        <w:rPr>
          <w:rStyle w:val="FootnoteReference"/>
        </w:rPr>
        <w:footnoteRef/>
      </w:r>
      <w:r w:rsidRPr="007B43FC">
        <w:t xml:space="preserve"> </w:t>
      </w:r>
      <w:r>
        <w:tab/>
      </w:r>
      <w:r w:rsidRPr="007B43FC">
        <w:rPr>
          <w:rFonts w:cs="Times New Roman"/>
          <w:color w:val="0F0F0F"/>
        </w:rPr>
        <w:t>Comunicaci</w:t>
      </w:r>
      <w:r w:rsidRPr="007B43FC">
        <w:rPr>
          <w:rFonts w:cs="Calibri"/>
          <w:color w:val="0F0F0F"/>
        </w:rPr>
        <w:t>ó</w:t>
      </w:r>
      <w:r w:rsidRPr="007B43FC">
        <w:rPr>
          <w:rFonts w:cs="Times New Roman"/>
          <w:color w:val="0F0F0F"/>
        </w:rPr>
        <w:t>n del Estado de 18 de mayo de 2007 (</w:t>
      </w:r>
      <w:r>
        <w:rPr>
          <w:rFonts w:cs="Times New Roman"/>
          <w:color w:val="0F0F0F"/>
        </w:rPr>
        <w:t>e</w:t>
      </w:r>
      <w:r w:rsidRPr="007B43FC">
        <w:rPr>
          <w:rFonts w:cs="Times New Roman"/>
          <w:color w:val="0F0F0F"/>
        </w:rPr>
        <w:t>xpediente de prueba, anexo 12 al Informe de Fondo, fs. 385 a 388).</w:t>
      </w:r>
    </w:p>
  </w:footnote>
  <w:footnote w:id="93">
    <w:p w14:paraId="2F78C208" w14:textId="72CBC8D8" w:rsidR="00E02FDB" w:rsidRPr="007B43FC" w:rsidRDefault="00E02FDB" w:rsidP="008A2AE0">
      <w:pPr>
        <w:autoSpaceDE w:val="0"/>
        <w:autoSpaceDN w:val="0"/>
        <w:adjustRightInd w:val="0"/>
        <w:rPr>
          <w:sz w:val="16"/>
          <w:szCs w:val="16"/>
        </w:rPr>
      </w:pPr>
      <w:r w:rsidRPr="007B43FC">
        <w:rPr>
          <w:rStyle w:val="FootnoteReference"/>
        </w:rPr>
        <w:footnoteRef/>
      </w:r>
      <w:r w:rsidRPr="007B43FC">
        <w:rPr>
          <w:sz w:val="16"/>
          <w:szCs w:val="16"/>
        </w:rPr>
        <w:t xml:space="preserve"> </w:t>
      </w:r>
      <w:r>
        <w:rPr>
          <w:sz w:val="16"/>
          <w:szCs w:val="16"/>
        </w:rPr>
        <w:tab/>
      </w:r>
      <w:r w:rsidRPr="007B43FC">
        <w:rPr>
          <w:sz w:val="16"/>
          <w:szCs w:val="16"/>
        </w:rPr>
        <w:t xml:space="preserve">Honduras detalló que previamente, el 10 de agosto de 2005 la </w:t>
      </w:r>
      <w:r w:rsidRPr="007B43FC">
        <w:rPr>
          <w:rFonts w:cs="Arial"/>
          <w:sz w:val="16"/>
          <w:szCs w:val="16"/>
        </w:rPr>
        <w:t>Fiscal</w:t>
      </w:r>
      <w:r w:rsidRPr="007B43FC">
        <w:rPr>
          <w:sz w:val="16"/>
          <w:szCs w:val="16"/>
        </w:rPr>
        <w:t>í</w:t>
      </w:r>
      <w:r w:rsidRPr="007B43FC">
        <w:rPr>
          <w:rFonts w:cs="Arial"/>
          <w:sz w:val="16"/>
          <w:szCs w:val="16"/>
        </w:rPr>
        <w:t>a Especial de Derechos Humanos hab</w:t>
      </w:r>
      <w:r w:rsidRPr="007B43FC">
        <w:rPr>
          <w:sz w:val="16"/>
          <w:szCs w:val="16"/>
        </w:rPr>
        <w:t>í</w:t>
      </w:r>
      <w:r w:rsidRPr="007B43FC">
        <w:rPr>
          <w:rFonts w:cs="Arial"/>
          <w:sz w:val="16"/>
          <w:szCs w:val="16"/>
        </w:rPr>
        <w:t>a solicitado al Juez de Letras Segundo Departamental de Choluteca la exhumaci</w:t>
      </w:r>
      <w:r w:rsidRPr="007B43FC">
        <w:rPr>
          <w:sz w:val="16"/>
          <w:szCs w:val="16"/>
        </w:rPr>
        <w:t>ó</w:t>
      </w:r>
      <w:r w:rsidRPr="007B43FC">
        <w:rPr>
          <w:rFonts w:cs="Arial"/>
          <w:sz w:val="16"/>
          <w:szCs w:val="16"/>
        </w:rPr>
        <w:t>n del cad</w:t>
      </w:r>
      <w:r w:rsidRPr="007B43FC">
        <w:rPr>
          <w:sz w:val="16"/>
          <w:szCs w:val="16"/>
        </w:rPr>
        <w:t>á</w:t>
      </w:r>
      <w:r w:rsidRPr="007B43FC">
        <w:rPr>
          <w:rFonts w:cs="Arial"/>
          <w:sz w:val="16"/>
          <w:szCs w:val="16"/>
        </w:rPr>
        <w:t>ver, lo que fue autorizado cinco d</w:t>
      </w:r>
      <w:r w:rsidRPr="007B43FC">
        <w:rPr>
          <w:sz w:val="16"/>
          <w:szCs w:val="16"/>
        </w:rPr>
        <w:t>í</w:t>
      </w:r>
      <w:r w:rsidRPr="007B43FC">
        <w:rPr>
          <w:rFonts w:cs="Arial"/>
          <w:sz w:val="16"/>
          <w:szCs w:val="16"/>
        </w:rPr>
        <w:t>as despu</w:t>
      </w:r>
      <w:r w:rsidRPr="007B43FC">
        <w:rPr>
          <w:sz w:val="16"/>
          <w:szCs w:val="16"/>
        </w:rPr>
        <w:t>é</w:t>
      </w:r>
      <w:r w:rsidRPr="007B43FC">
        <w:rPr>
          <w:rFonts w:cs="Arial"/>
          <w:sz w:val="16"/>
          <w:szCs w:val="16"/>
        </w:rPr>
        <w:t>s</w:t>
      </w:r>
      <w:r w:rsidRPr="0010516B">
        <w:rPr>
          <w:rFonts w:cs="Arial"/>
          <w:sz w:val="16"/>
          <w:szCs w:val="16"/>
        </w:rPr>
        <w:t xml:space="preserve"> (</w:t>
      </w:r>
      <w:r w:rsidRPr="007B43FC">
        <w:rPr>
          <w:rFonts w:cs="Arial"/>
          <w:i/>
          <w:sz w:val="16"/>
          <w:szCs w:val="16"/>
        </w:rPr>
        <w:t>cfr</w:t>
      </w:r>
      <w:r w:rsidRPr="007B43FC">
        <w:rPr>
          <w:rFonts w:cs="Arial"/>
          <w:sz w:val="16"/>
          <w:szCs w:val="16"/>
        </w:rPr>
        <w:t>. Solicitud de Dictamen, de 13 de agosto de 2005</w:t>
      </w:r>
      <w:r>
        <w:rPr>
          <w:rFonts w:cs="Arial"/>
          <w:sz w:val="16"/>
          <w:szCs w:val="16"/>
        </w:rPr>
        <w:t>;</w:t>
      </w:r>
      <w:r w:rsidRPr="007B43FC">
        <w:rPr>
          <w:rFonts w:cs="Arial"/>
          <w:sz w:val="16"/>
          <w:szCs w:val="16"/>
        </w:rPr>
        <w:t xml:space="preserve"> expediente de prueba, </w:t>
      </w:r>
      <w:r>
        <w:rPr>
          <w:rFonts w:cs="Arial"/>
          <w:sz w:val="16"/>
          <w:szCs w:val="16"/>
        </w:rPr>
        <w:t>a</w:t>
      </w:r>
      <w:r w:rsidRPr="007B43FC">
        <w:rPr>
          <w:rFonts w:cs="Arial"/>
          <w:sz w:val="16"/>
          <w:szCs w:val="16"/>
        </w:rPr>
        <w:t>nexo 2 a la contestaci</w:t>
      </w:r>
      <w:r w:rsidRPr="007B43FC">
        <w:rPr>
          <w:sz w:val="16"/>
          <w:szCs w:val="16"/>
        </w:rPr>
        <w:t>ó</w:t>
      </w:r>
      <w:r>
        <w:rPr>
          <w:rFonts w:cs="Arial"/>
          <w:sz w:val="16"/>
          <w:szCs w:val="16"/>
        </w:rPr>
        <w:t>n, f</w:t>
      </w:r>
      <w:r w:rsidRPr="007B43FC">
        <w:rPr>
          <w:rFonts w:cs="Arial"/>
          <w:sz w:val="16"/>
          <w:szCs w:val="16"/>
        </w:rPr>
        <w:t>s</w:t>
      </w:r>
      <w:r>
        <w:rPr>
          <w:rFonts w:cs="Arial"/>
          <w:sz w:val="16"/>
          <w:szCs w:val="16"/>
        </w:rPr>
        <w:t>.</w:t>
      </w:r>
      <w:r w:rsidRPr="007B43FC">
        <w:rPr>
          <w:rFonts w:cs="Arial"/>
          <w:sz w:val="16"/>
          <w:szCs w:val="16"/>
        </w:rPr>
        <w:t xml:space="preserve"> 2568 a 2570). Honduras se</w:t>
      </w:r>
      <w:r w:rsidRPr="007B43FC">
        <w:rPr>
          <w:sz w:val="16"/>
          <w:szCs w:val="16"/>
        </w:rPr>
        <w:t>ñ</w:t>
      </w:r>
      <w:r w:rsidRPr="007B43FC">
        <w:rPr>
          <w:rFonts w:cs="Arial"/>
          <w:sz w:val="16"/>
          <w:szCs w:val="16"/>
        </w:rPr>
        <w:t>al</w:t>
      </w:r>
      <w:r w:rsidRPr="007B43FC">
        <w:rPr>
          <w:sz w:val="16"/>
          <w:szCs w:val="16"/>
        </w:rPr>
        <w:t>ó</w:t>
      </w:r>
      <w:r w:rsidRPr="007B43FC">
        <w:rPr>
          <w:rFonts w:cs="Arial"/>
          <w:sz w:val="16"/>
          <w:szCs w:val="16"/>
        </w:rPr>
        <w:t xml:space="preserve"> tambi</w:t>
      </w:r>
      <w:r w:rsidRPr="007B43FC">
        <w:rPr>
          <w:sz w:val="16"/>
          <w:szCs w:val="16"/>
        </w:rPr>
        <w:t>é</w:t>
      </w:r>
      <w:r w:rsidRPr="007B43FC">
        <w:rPr>
          <w:rFonts w:cs="Arial"/>
          <w:sz w:val="16"/>
          <w:szCs w:val="16"/>
        </w:rPr>
        <w:t>n que luego, el 9 de septiembre de 2005 se nombr</w:t>
      </w:r>
      <w:r w:rsidRPr="007B43FC">
        <w:rPr>
          <w:sz w:val="16"/>
          <w:szCs w:val="16"/>
        </w:rPr>
        <w:t>ó</w:t>
      </w:r>
      <w:r w:rsidRPr="007B43FC">
        <w:rPr>
          <w:rFonts w:cs="Arial"/>
          <w:sz w:val="16"/>
          <w:szCs w:val="16"/>
        </w:rPr>
        <w:t xml:space="preserve"> a un pat</w:t>
      </w:r>
      <w:r w:rsidRPr="007B43FC">
        <w:rPr>
          <w:sz w:val="16"/>
          <w:szCs w:val="16"/>
        </w:rPr>
        <w:t>ó</w:t>
      </w:r>
      <w:r w:rsidRPr="007B43FC">
        <w:rPr>
          <w:rFonts w:cs="Arial"/>
          <w:sz w:val="16"/>
          <w:szCs w:val="16"/>
        </w:rPr>
        <w:t>logo forense como perito para realizar la exhumaci</w:t>
      </w:r>
      <w:r w:rsidRPr="007B43FC">
        <w:rPr>
          <w:sz w:val="16"/>
          <w:szCs w:val="16"/>
        </w:rPr>
        <w:t>ó</w:t>
      </w:r>
      <w:r w:rsidRPr="007B43FC">
        <w:rPr>
          <w:rFonts w:cs="Arial"/>
          <w:sz w:val="16"/>
          <w:szCs w:val="16"/>
        </w:rPr>
        <w:t>n y tomar muestras para el an</w:t>
      </w:r>
      <w:r w:rsidRPr="007B43FC">
        <w:rPr>
          <w:sz w:val="16"/>
          <w:szCs w:val="16"/>
        </w:rPr>
        <w:t>á</w:t>
      </w:r>
      <w:r w:rsidRPr="007B43FC">
        <w:rPr>
          <w:rFonts w:cs="Arial"/>
          <w:sz w:val="16"/>
          <w:szCs w:val="16"/>
        </w:rPr>
        <w:t xml:space="preserve">lisis de ADN. </w:t>
      </w:r>
    </w:p>
  </w:footnote>
  <w:footnote w:id="94">
    <w:p w14:paraId="660E9BE8" w14:textId="54436348" w:rsidR="00E02FDB" w:rsidRPr="006C2F4F" w:rsidRDefault="00E02FDB" w:rsidP="006C2F4F">
      <w:pPr>
        <w:autoSpaceDE w:val="0"/>
        <w:autoSpaceDN w:val="0"/>
        <w:adjustRightInd w:val="0"/>
        <w:rPr>
          <w:rFonts w:cs="Cambria"/>
          <w:sz w:val="16"/>
          <w:szCs w:val="16"/>
        </w:rPr>
      </w:pPr>
      <w:r w:rsidRPr="007B43FC">
        <w:rPr>
          <w:rStyle w:val="FootnoteReference"/>
        </w:rPr>
        <w:footnoteRef/>
      </w:r>
      <w:r w:rsidRPr="007B43FC">
        <w:rPr>
          <w:sz w:val="16"/>
          <w:szCs w:val="16"/>
        </w:rPr>
        <w:t xml:space="preserve"> </w:t>
      </w:r>
      <w:r>
        <w:rPr>
          <w:sz w:val="16"/>
          <w:szCs w:val="16"/>
        </w:rPr>
        <w:tab/>
      </w:r>
      <w:r w:rsidRPr="006C2F4F">
        <w:rPr>
          <w:rFonts w:cs="Cambria"/>
          <w:sz w:val="16"/>
          <w:szCs w:val="16"/>
        </w:rPr>
        <w:t>Comisión Interamericana, Audiencia p</w:t>
      </w:r>
      <w:r w:rsidRPr="006C2F4F">
        <w:rPr>
          <w:sz w:val="16"/>
          <w:szCs w:val="16"/>
        </w:rPr>
        <w:t>ú</w:t>
      </w:r>
      <w:r w:rsidRPr="006C2F4F">
        <w:rPr>
          <w:rFonts w:cs="Cambria"/>
          <w:sz w:val="16"/>
          <w:szCs w:val="16"/>
        </w:rPr>
        <w:t>blica de 14 de octubre de 2014. 153</w:t>
      </w:r>
      <w:r w:rsidRPr="006C2F4F">
        <w:rPr>
          <w:sz w:val="16"/>
          <w:szCs w:val="16"/>
        </w:rPr>
        <w:t>°</w:t>
      </w:r>
      <w:r w:rsidRPr="006C2F4F">
        <w:rPr>
          <w:rFonts w:cs="Cambria"/>
          <w:sz w:val="16"/>
          <w:szCs w:val="16"/>
        </w:rPr>
        <w:t xml:space="preserve"> Per</w:t>
      </w:r>
      <w:r w:rsidRPr="006C2F4F">
        <w:rPr>
          <w:sz w:val="16"/>
          <w:szCs w:val="16"/>
        </w:rPr>
        <w:t>í</w:t>
      </w:r>
      <w:r w:rsidRPr="006C2F4F">
        <w:rPr>
          <w:rFonts w:cs="Cambria"/>
          <w:sz w:val="16"/>
          <w:szCs w:val="16"/>
        </w:rPr>
        <w:t xml:space="preserve">odo de Sesiones. Disponible </w:t>
      </w:r>
      <w:proofErr w:type="spellStart"/>
      <w:r w:rsidRPr="006C2F4F">
        <w:rPr>
          <w:rFonts w:cs="Cambria"/>
          <w:sz w:val="16"/>
          <w:szCs w:val="16"/>
        </w:rPr>
        <w:t>en:</w:t>
      </w:r>
      <w:hyperlink r:id="rId2" w:history="1">
        <w:r w:rsidRPr="006C2F4F">
          <w:rPr>
            <w:rStyle w:val="Hyperlink"/>
            <w:rFonts w:cs="Cambria"/>
            <w:sz w:val="16"/>
            <w:szCs w:val="16"/>
          </w:rPr>
          <w:t>https</w:t>
        </w:r>
        <w:proofErr w:type="spellEnd"/>
        <w:r w:rsidRPr="006C2F4F">
          <w:rPr>
            <w:rStyle w:val="Hyperlink"/>
            <w:rFonts w:cs="Cambria"/>
            <w:sz w:val="16"/>
            <w:szCs w:val="16"/>
          </w:rPr>
          <w:t>://www.youtube.com/watch?v=vwvkbeQgHLo</w:t>
        </w:r>
      </w:hyperlink>
      <w:r w:rsidRPr="006C2F4F">
        <w:rPr>
          <w:rFonts w:cs="Cambria"/>
          <w:sz w:val="16"/>
          <w:szCs w:val="16"/>
        </w:rPr>
        <w:t>. El Estado precis</w:t>
      </w:r>
      <w:r w:rsidRPr="006C2F4F">
        <w:rPr>
          <w:sz w:val="16"/>
          <w:szCs w:val="16"/>
        </w:rPr>
        <w:t>ó</w:t>
      </w:r>
      <w:r w:rsidRPr="006C2F4F">
        <w:rPr>
          <w:rFonts w:cs="Cambria"/>
          <w:sz w:val="16"/>
          <w:szCs w:val="16"/>
        </w:rPr>
        <w:t xml:space="preserve"> en su contestaci</w:t>
      </w:r>
      <w:r w:rsidRPr="006C2F4F">
        <w:rPr>
          <w:sz w:val="16"/>
          <w:szCs w:val="16"/>
        </w:rPr>
        <w:t>ó</w:t>
      </w:r>
      <w:r w:rsidRPr="006C2F4F">
        <w:rPr>
          <w:rFonts w:cs="Cambria"/>
          <w:sz w:val="16"/>
          <w:szCs w:val="16"/>
        </w:rPr>
        <w:t>n que: “Dicha exhumaci</w:t>
      </w:r>
      <w:r w:rsidRPr="006C2F4F">
        <w:rPr>
          <w:sz w:val="16"/>
          <w:szCs w:val="16"/>
        </w:rPr>
        <w:t>ó</w:t>
      </w:r>
      <w:r w:rsidRPr="006C2F4F">
        <w:rPr>
          <w:rFonts w:cs="Cambria"/>
          <w:sz w:val="16"/>
          <w:szCs w:val="16"/>
        </w:rPr>
        <w:t>n ten</w:t>
      </w:r>
      <w:r w:rsidRPr="006C2F4F">
        <w:rPr>
          <w:sz w:val="16"/>
          <w:szCs w:val="16"/>
        </w:rPr>
        <w:t>í</w:t>
      </w:r>
      <w:r w:rsidRPr="006C2F4F">
        <w:rPr>
          <w:rFonts w:cs="Cambria"/>
          <w:sz w:val="16"/>
          <w:szCs w:val="16"/>
        </w:rPr>
        <w:t>a por objeto analizar el ADN y determinar el RH, [</w:t>
      </w:r>
      <w:r w:rsidRPr="006C2F4F">
        <w:rPr>
          <w:sz w:val="16"/>
          <w:szCs w:val="16"/>
        </w:rPr>
        <w:t>…</w:t>
      </w:r>
      <w:r w:rsidRPr="006C2F4F">
        <w:rPr>
          <w:rFonts w:cs="Cambria"/>
          <w:sz w:val="16"/>
          <w:szCs w:val="16"/>
        </w:rPr>
        <w:t>] as</w:t>
      </w:r>
      <w:r w:rsidRPr="006C2F4F">
        <w:rPr>
          <w:sz w:val="16"/>
          <w:szCs w:val="16"/>
        </w:rPr>
        <w:t>í</w:t>
      </w:r>
      <w:r w:rsidRPr="006C2F4F">
        <w:rPr>
          <w:rFonts w:cs="Cambria"/>
          <w:sz w:val="16"/>
          <w:szCs w:val="16"/>
        </w:rPr>
        <w:t xml:space="preserve"> como las comparaciones con los residuos sangu</w:t>
      </w:r>
      <w:r w:rsidRPr="006C2F4F">
        <w:rPr>
          <w:sz w:val="16"/>
          <w:szCs w:val="16"/>
        </w:rPr>
        <w:t>í</w:t>
      </w:r>
      <w:r w:rsidRPr="006C2F4F">
        <w:rPr>
          <w:rFonts w:cs="Cambria"/>
          <w:sz w:val="16"/>
          <w:szCs w:val="16"/>
        </w:rPr>
        <w:t>neos encontrados en la escena del crimen, por lo que [fueron] enviados siete indicios a los Laboratorios de Gen</w:t>
      </w:r>
      <w:r w:rsidRPr="006C2F4F">
        <w:rPr>
          <w:sz w:val="16"/>
          <w:szCs w:val="16"/>
        </w:rPr>
        <w:t>é</w:t>
      </w:r>
      <w:r w:rsidRPr="006C2F4F">
        <w:rPr>
          <w:rFonts w:cs="Cambria"/>
          <w:sz w:val="16"/>
          <w:szCs w:val="16"/>
        </w:rPr>
        <w:t>tica Forense, incluido un afiche pol</w:t>
      </w:r>
      <w:r w:rsidRPr="006C2F4F">
        <w:rPr>
          <w:sz w:val="16"/>
          <w:szCs w:val="16"/>
        </w:rPr>
        <w:t>í</w:t>
      </w:r>
      <w:r w:rsidRPr="006C2F4F">
        <w:rPr>
          <w:rFonts w:cs="Cambria"/>
          <w:sz w:val="16"/>
          <w:szCs w:val="16"/>
        </w:rPr>
        <w:t xml:space="preserve">tico al que se </w:t>
      </w:r>
      <w:proofErr w:type="gramStart"/>
      <w:r w:rsidRPr="006C2F4F">
        <w:rPr>
          <w:rFonts w:cs="Cambria"/>
          <w:sz w:val="16"/>
          <w:szCs w:val="16"/>
        </w:rPr>
        <w:t>ha[</w:t>
      </w:r>
      <w:proofErr w:type="spellStart"/>
      <w:proofErr w:type="gramEnd"/>
      <w:r w:rsidRPr="006C2F4F">
        <w:rPr>
          <w:rFonts w:cs="Cambria"/>
          <w:sz w:val="16"/>
          <w:szCs w:val="16"/>
        </w:rPr>
        <w:t>b</w:t>
      </w:r>
      <w:r w:rsidRPr="006C2F4F">
        <w:rPr>
          <w:sz w:val="16"/>
          <w:szCs w:val="16"/>
        </w:rPr>
        <w:t>í</w:t>
      </w:r>
      <w:r w:rsidRPr="006C2F4F">
        <w:rPr>
          <w:rFonts w:cs="Cambria"/>
          <w:sz w:val="16"/>
          <w:szCs w:val="16"/>
        </w:rPr>
        <w:t>a</w:t>
      </w:r>
      <w:proofErr w:type="spellEnd"/>
      <w:r w:rsidRPr="006C2F4F">
        <w:rPr>
          <w:rFonts w:cs="Cambria"/>
          <w:sz w:val="16"/>
          <w:szCs w:val="16"/>
        </w:rPr>
        <w:t xml:space="preserve"> hecho] menci</w:t>
      </w:r>
      <w:r w:rsidRPr="006C2F4F">
        <w:rPr>
          <w:sz w:val="16"/>
          <w:szCs w:val="16"/>
        </w:rPr>
        <w:t>ó</w:t>
      </w:r>
      <w:r w:rsidRPr="006C2F4F">
        <w:rPr>
          <w:rFonts w:cs="Cambria"/>
          <w:sz w:val="16"/>
          <w:szCs w:val="16"/>
        </w:rPr>
        <w:t xml:space="preserve">n por parte de los peticionarios y restos </w:t>
      </w:r>
      <w:r w:rsidRPr="006C2F4F">
        <w:rPr>
          <w:sz w:val="16"/>
          <w:szCs w:val="16"/>
        </w:rPr>
        <w:t>ó</w:t>
      </w:r>
      <w:r w:rsidRPr="006C2F4F">
        <w:rPr>
          <w:rFonts w:cs="Cambria"/>
          <w:sz w:val="16"/>
          <w:szCs w:val="16"/>
        </w:rPr>
        <w:t>seos. Despu</w:t>
      </w:r>
      <w:r w:rsidRPr="006C2F4F">
        <w:rPr>
          <w:sz w:val="16"/>
          <w:szCs w:val="16"/>
        </w:rPr>
        <w:t>é</w:t>
      </w:r>
      <w:r w:rsidRPr="006C2F4F">
        <w:rPr>
          <w:rFonts w:cs="Cambria"/>
          <w:sz w:val="16"/>
          <w:szCs w:val="16"/>
        </w:rPr>
        <w:t xml:space="preserve">s de </w:t>
      </w:r>
      <w:proofErr w:type="gramStart"/>
      <w:r w:rsidRPr="006C2F4F">
        <w:rPr>
          <w:rFonts w:cs="Cambria"/>
          <w:sz w:val="16"/>
          <w:szCs w:val="16"/>
        </w:rPr>
        <w:t>haber[</w:t>
      </w:r>
      <w:proofErr w:type="gramEnd"/>
      <w:r w:rsidRPr="006C2F4F">
        <w:rPr>
          <w:rFonts w:cs="Cambria"/>
          <w:sz w:val="16"/>
          <w:szCs w:val="16"/>
        </w:rPr>
        <w:t>se] realizado la exhumaci</w:t>
      </w:r>
      <w:r w:rsidRPr="006C2F4F">
        <w:rPr>
          <w:sz w:val="16"/>
          <w:szCs w:val="16"/>
        </w:rPr>
        <w:t>ó</w:t>
      </w:r>
      <w:r w:rsidRPr="006C2F4F">
        <w:rPr>
          <w:rFonts w:cs="Cambria"/>
          <w:sz w:val="16"/>
          <w:szCs w:val="16"/>
        </w:rPr>
        <w:t xml:space="preserve">n y ser analizados todos los </w:t>
      </w:r>
      <w:r w:rsidRPr="00F07B77">
        <w:rPr>
          <w:rFonts w:cs="Cambria"/>
          <w:sz w:val="16"/>
          <w:szCs w:val="16"/>
        </w:rPr>
        <w:t>indicios, se d[</w:t>
      </w:r>
      <w:proofErr w:type="spellStart"/>
      <w:r w:rsidRPr="00F07B77">
        <w:rPr>
          <w:rFonts w:cs="Cambria"/>
          <w:sz w:val="16"/>
          <w:szCs w:val="16"/>
        </w:rPr>
        <w:t>ió</w:t>
      </w:r>
      <w:proofErr w:type="spellEnd"/>
      <w:r w:rsidRPr="00F07B77">
        <w:rPr>
          <w:rFonts w:cs="Cambria"/>
          <w:sz w:val="16"/>
          <w:szCs w:val="16"/>
        </w:rPr>
        <w:t xml:space="preserve">] un dictamen [que] </w:t>
      </w:r>
      <w:proofErr w:type="spellStart"/>
      <w:r w:rsidRPr="00F07B77">
        <w:rPr>
          <w:rFonts w:cs="Cambria"/>
          <w:sz w:val="16"/>
          <w:szCs w:val="16"/>
        </w:rPr>
        <w:t>establec</w:t>
      </w:r>
      <w:proofErr w:type="spellEnd"/>
      <w:r w:rsidRPr="00F07B77">
        <w:rPr>
          <w:rFonts w:cs="Cambria"/>
          <w:sz w:val="16"/>
          <w:szCs w:val="16"/>
        </w:rPr>
        <w:t>[</w:t>
      </w:r>
      <w:proofErr w:type="spellStart"/>
      <w:r w:rsidRPr="00F07B77">
        <w:rPr>
          <w:rFonts w:cs="Cambria"/>
          <w:sz w:val="16"/>
          <w:szCs w:val="16"/>
        </w:rPr>
        <w:t>ió</w:t>
      </w:r>
      <w:proofErr w:type="spellEnd"/>
      <w:r w:rsidRPr="00F07B77">
        <w:rPr>
          <w:rFonts w:cs="Cambria"/>
          <w:sz w:val="16"/>
          <w:szCs w:val="16"/>
        </w:rPr>
        <w:t>] que el perfil genético encontrado en el afiche, entre otros, no corresponde al perfil genético del occiso”.</w:t>
      </w:r>
    </w:p>
  </w:footnote>
  <w:footnote w:id="95">
    <w:p w14:paraId="597FED92" w14:textId="54C1B621" w:rsidR="00E02FDB" w:rsidRPr="00F262A7" w:rsidRDefault="00E02FDB" w:rsidP="008A2AE0">
      <w:pPr>
        <w:pStyle w:val="FootnoteText"/>
        <w:rPr>
          <w:i/>
        </w:rPr>
      </w:pPr>
      <w:r w:rsidRPr="007B43FC">
        <w:rPr>
          <w:rStyle w:val="FootnoteReference"/>
        </w:rPr>
        <w:footnoteRef/>
      </w:r>
      <w:r w:rsidRPr="007B43FC">
        <w:t xml:space="preserve"> </w:t>
      </w:r>
      <w:r>
        <w:tab/>
      </w:r>
      <w:r w:rsidRPr="00C011CF">
        <w:rPr>
          <w:i/>
        </w:rPr>
        <w:t>Cfr.</w:t>
      </w:r>
      <w:r w:rsidRPr="007B43FC">
        <w:t xml:space="preserve"> Declaraci</w:t>
      </w:r>
      <w:r w:rsidRPr="007B43FC">
        <w:rPr>
          <w:rFonts w:cs="Calibri"/>
        </w:rPr>
        <w:t>ó</w:t>
      </w:r>
      <w:r w:rsidRPr="007B43FC">
        <w:t xml:space="preserve">n de SM de 11 de enero </w:t>
      </w:r>
      <w:r>
        <w:t>de 2008 (expediente de prueba, a</w:t>
      </w:r>
      <w:r w:rsidRPr="007B43FC">
        <w:t>nexo 3 a la contestaci</w:t>
      </w:r>
      <w:r w:rsidRPr="007B43FC">
        <w:rPr>
          <w:rFonts w:cs="Calibri"/>
        </w:rPr>
        <w:t>ó</w:t>
      </w:r>
      <w:r w:rsidRPr="007B43FC">
        <w:t xml:space="preserve">n, fs. 2630 a 2635). </w:t>
      </w:r>
    </w:p>
  </w:footnote>
  <w:footnote w:id="96">
    <w:p w14:paraId="1BC9CF29" w14:textId="281D12D8" w:rsidR="00E02FDB" w:rsidRPr="007B43FC" w:rsidRDefault="00E02FDB" w:rsidP="008A2AE0">
      <w:pPr>
        <w:pStyle w:val="FootnoteText"/>
      </w:pPr>
      <w:r w:rsidRPr="007B43FC">
        <w:rPr>
          <w:rStyle w:val="FootnoteReference"/>
        </w:rPr>
        <w:footnoteRef/>
      </w:r>
      <w:r w:rsidRPr="007B43FC">
        <w:t xml:space="preserve"> </w:t>
      </w:r>
      <w:r>
        <w:tab/>
      </w:r>
      <w:r w:rsidRPr="007B43FC">
        <w:t>El Estado en su contestaci</w:t>
      </w:r>
      <w:r w:rsidRPr="007B43FC">
        <w:rPr>
          <w:rFonts w:cs="Calibri"/>
        </w:rPr>
        <w:t>ó</w:t>
      </w:r>
      <w:r w:rsidRPr="007B43FC">
        <w:t>n indic</w:t>
      </w:r>
      <w:r w:rsidRPr="007B43FC">
        <w:rPr>
          <w:rFonts w:cs="Calibri"/>
        </w:rPr>
        <w:t>ó</w:t>
      </w:r>
      <w:r w:rsidRPr="007B43FC">
        <w:t xml:space="preserve"> que la declaraci</w:t>
      </w:r>
      <w:r w:rsidRPr="007B43FC">
        <w:rPr>
          <w:rFonts w:cs="Calibri"/>
        </w:rPr>
        <w:t>ó</w:t>
      </w:r>
      <w:r w:rsidRPr="007B43FC">
        <w:t>n se hab</w:t>
      </w:r>
      <w:r w:rsidRPr="007B43FC">
        <w:rPr>
          <w:rFonts w:cs="Calibri"/>
        </w:rPr>
        <w:t>í</w:t>
      </w:r>
      <w:r w:rsidRPr="007B43FC">
        <w:t>a tomado el 28 de mayo, sin embargo, de la prueba aportada por el Estado surge que fue el 22 de ese mes (</w:t>
      </w:r>
      <w:r>
        <w:rPr>
          <w:i/>
        </w:rPr>
        <w:t>c</w:t>
      </w:r>
      <w:r w:rsidRPr="007B43FC">
        <w:rPr>
          <w:i/>
        </w:rPr>
        <w:t>fr.</w:t>
      </w:r>
      <w:r w:rsidRPr="007B43FC">
        <w:t xml:space="preserve"> </w:t>
      </w:r>
      <w:r>
        <w:t xml:space="preserve">Declaración </w:t>
      </w:r>
      <w:r w:rsidRPr="007B43FC">
        <w:t xml:space="preserve">de </w:t>
      </w:r>
      <w:proofErr w:type="spellStart"/>
      <w:r w:rsidRPr="007B43FC">
        <w:t>Jimy</w:t>
      </w:r>
      <w:proofErr w:type="spellEnd"/>
      <w:r w:rsidRPr="007B43FC">
        <w:t xml:space="preserve"> Pacheco ante la DGIC de 22 de mayo de 2008</w:t>
      </w:r>
      <w:r>
        <w:t>;</w:t>
      </w:r>
      <w:r w:rsidRPr="007B43FC">
        <w:t xml:space="preserve"> expediente de prueba, </w:t>
      </w:r>
      <w:r>
        <w:t>a</w:t>
      </w:r>
      <w:r w:rsidRPr="007B43FC">
        <w:t>nexo 3 a la contestaci</w:t>
      </w:r>
      <w:r w:rsidRPr="007B43FC">
        <w:rPr>
          <w:rFonts w:cs="Calibri"/>
        </w:rPr>
        <w:t>ó</w:t>
      </w:r>
      <w:r w:rsidRPr="007B43FC">
        <w:t>n, fs. 2636 a 2641).</w:t>
      </w:r>
    </w:p>
  </w:footnote>
  <w:footnote w:id="97">
    <w:p w14:paraId="281D188F" w14:textId="0E72A1BE" w:rsidR="00E02FDB" w:rsidRPr="007B43FC" w:rsidRDefault="00E02FDB" w:rsidP="008A2AE0">
      <w:pPr>
        <w:pStyle w:val="FootnoteText"/>
      </w:pPr>
      <w:r w:rsidRPr="007B43FC">
        <w:rPr>
          <w:rStyle w:val="FootnoteReference"/>
        </w:rPr>
        <w:footnoteRef/>
      </w:r>
      <w:r w:rsidRPr="007B43FC">
        <w:t xml:space="preserve"> </w:t>
      </w:r>
      <w:r>
        <w:tab/>
      </w:r>
      <w:r w:rsidRPr="007B43FC">
        <w:t>Nota de 16 de febrero de 2009 remitida por el Fiscal del Ministerio P</w:t>
      </w:r>
      <w:r w:rsidRPr="007B43FC">
        <w:rPr>
          <w:rFonts w:cs="Calibri"/>
        </w:rPr>
        <w:t>ú</w:t>
      </w:r>
      <w:r w:rsidRPr="007B43FC">
        <w:t xml:space="preserve">blico Titular I al Coordinador Regional de Fiscales, Zona Sur (expediente de prueba, </w:t>
      </w:r>
      <w:r>
        <w:t>a</w:t>
      </w:r>
      <w:r w:rsidRPr="007B43FC">
        <w:t>nexo 2 a la contestaci</w:t>
      </w:r>
      <w:r w:rsidRPr="007B43FC">
        <w:rPr>
          <w:rFonts w:cs="Calibri"/>
        </w:rPr>
        <w:t>ó</w:t>
      </w:r>
      <w:r w:rsidRPr="007B43FC">
        <w:t xml:space="preserve">n, f. 2575). </w:t>
      </w:r>
    </w:p>
  </w:footnote>
  <w:footnote w:id="98">
    <w:p w14:paraId="7F43F66B" w14:textId="2EFD8291" w:rsidR="00E02FDB" w:rsidRPr="007B43FC" w:rsidRDefault="00E02FDB" w:rsidP="008A2AE0">
      <w:pPr>
        <w:pStyle w:val="FootnoteText"/>
      </w:pPr>
      <w:r w:rsidRPr="007B43FC">
        <w:rPr>
          <w:rStyle w:val="FootnoteReference"/>
        </w:rPr>
        <w:footnoteRef/>
      </w:r>
      <w:r w:rsidRPr="007B43FC">
        <w:t xml:space="preserve"> </w:t>
      </w:r>
      <w:r>
        <w:tab/>
      </w:r>
      <w:r w:rsidRPr="007B43FC">
        <w:t>La Comisi</w:t>
      </w:r>
      <w:r w:rsidRPr="007B43FC">
        <w:rPr>
          <w:rFonts w:cs="Calibri"/>
        </w:rPr>
        <w:t>ó</w:t>
      </w:r>
      <w:r w:rsidRPr="007B43FC">
        <w:t>n y el Estado presentaron documentos de igual conten</w:t>
      </w:r>
      <w:r>
        <w:t>i</w:t>
      </w:r>
      <w:r w:rsidRPr="007B43FC">
        <w:t>do pero de distinta fecha y numeraci</w:t>
      </w:r>
      <w:r w:rsidRPr="007B43FC">
        <w:rPr>
          <w:rFonts w:cs="Calibri"/>
        </w:rPr>
        <w:t>ó</w:t>
      </w:r>
      <w:r w:rsidRPr="007B43FC">
        <w:t xml:space="preserve">n: </w:t>
      </w:r>
      <w:r w:rsidRPr="007B43FC">
        <w:rPr>
          <w:i/>
        </w:rPr>
        <w:t>cfr.</w:t>
      </w:r>
      <w:r w:rsidRPr="007B43FC">
        <w:t xml:space="preserve"> Oficio DGFRCH-OD-043-2010 de 1 de marzo de 2010, remitido por el Fiscal del Ministerio P</w:t>
      </w:r>
      <w:r w:rsidRPr="007B43FC">
        <w:rPr>
          <w:rFonts w:cs="Calibri"/>
        </w:rPr>
        <w:t>ú</w:t>
      </w:r>
      <w:r w:rsidRPr="007B43FC">
        <w:t xml:space="preserve">blico Titular I al Coordinador Regional de Fiscales, Zona Sur (expediente de prueba, </w:t>
      </w:r>
      <w:r>
        <w:t>a</w:t>
      </w:r>
      <w:r w:rsidRPr="007B43FC">
        <w:t>nexo 17 al Informe de Fondo, fs. 409 y 410)</w:t>
      </w:r>
      <w:r>
        <w:t>,</w:t>
      </w:r>
      <w:r w:rsidRPr="007B43FC">
        <w:t xml:space="preserve"> y Oficio FRCH-OD-178-2010, de 19 de agosto de 2010, con iguales remitente y desti</w:t>
      </w:r>
      <w:r>
        <w:t>natario (expediente de prueba, a</w:t>
      </w:r>
      <w:r w:rsidRPr="007B43FC">
        <w:t>nexo 2 a la contestaci</w:t>
      </w:r>
      <w:r w:rsidRPr="007B43FC">
        <w:rPr>
          <w:rFonts w:cs="Calibri"/>
        </w:rPr>
        <w:t>ó</w:t>
      </w:r>
      <w:r w:rsidRPr="007B43FC">
        <w:t xml:space="preserve">n, fs. 2577 y 2578).  </w:t>
      </w:r>
    </w:p>
  </w:footnote>
  <w:footnote w:id="99">
    <w:p w14:paraId="6D516A38" w14:textId="13ADE917" w:rsidR="00E02FDB" w:rsidRPr="007B43FC" w:rsidRDefault="00E02FDB" w:rsidP="008A2AE0">
      <w:pPr>
        <w:pStyle w:val="FootnoteText"/>
      </w:pPr>
      <w:r w:rsidRPr="007B43FC">
        <w:rPr>
          <w:rStyle w:val="FootnoteReference"/>
        </w:rPr>
        <w:footnoteRef/>
      </w:r>
      <w:r w:rsidRPr="007B43FC">
        <w:t xml:space="preserve"> </w:t>
      </w:r>
      <w:r>
        <w:tab/>
      </w:r>
      <w:r w:rsidRPr="007B43FC">
        <w:t>Asimismo, los informes reiteraron lo se</w:t>
      </w:r>
      <w:r w:rsidRPr="007B43FC">
        <w:rPr>
          <w:rFonts w:cs="Calibri"/>
        </w:rPr>
        <w:t>ñ</w:t>
      </w:r>
      <w:r w:rsidRPr="007B43FC">
        <w:t>alado en l</w:t>
      </w:r>
      <w:r>
        <w:t>a</w:t>
      </w:r>
      <w:r w:rsidRPr="007B43FC">
        <w:t xml:space="preserve"> comunicaci</w:t>
      </w:r>
      <w:r w:rsidRPr="007B43FC">
        <w:rPr>
          <w:rFonts w:cs="Calibri"/>
        </w:rPr>
        <w:t>ó</w:t>
      </w:r>
      <w:r w:rsidRPr="007B43FC">
        <w:t>n de 1</w:t>
      </w:r>
      <w:r>
        <w:t>9</w:t>
      </w:r>
      <w:r w:rsidRPr="007B43FC">
        <w:t xml:space="preserve"> de febrero de 2006, </w:t>
      </w:r>
      <w:r>
        <w:t xml:space="preserve">de </w:t>
      </w:r>
      <w:r w:rsidRPr="007B43FC">
        <w:t>que “no ha[</w:t>
      </w:r>
      <w:proofErr w:type="spellStart"/>
      <w:r w:rsidRPr="007B43FC">
        <w:t>b</w:t>
      </w:r>
      <w:r w:rsidRPr="007B43FC">
        <w:rPr>
          <w:rFonts w:cs="Calibri"/>
        </w:rPr>
        <w:t>í</w:t>
      </w:r>
      <w:r w:rsidRPr="007B43FC">
        <w:t>a</w:t>
      </w:r>
      <w:proofErr w:type="spellEnd"/>
      <w:r w:rsidRPr="007B43FC">
        <w:t>] aportado ning</w:t>
      </w:r>
      <w:r w:rsidRPr="007B43FC">
        <w:rPr>
          <w:rFonts w:cs="Calibri"/>
        </w:rPr>
        <w:t>ú</w:t>
      </w:r>
      <w:r w:rsidRPr="007B43FC">
        <w:t>n elemento de prueba” para identificar a los autores del atentado cometido contra el se</w:t>
      </w:r>
      <w:r w:rsidRPr="007B43FC">
        <w:rPr>
          <w:rFonts w:cs="Calibri"/>
        </w:rPr>
        <w:t>ñ</w:t>
      </w:r>
      <w:r w:rsidRPr="007B43FC">
        <w:t xml:space="preserve">or Pacheco, y que “se </w:t>
      </w:r>
      <w:proofErr w:type="spellStart"/>
      <w:r w:rsidRPr="007B43FC">
        <w:t>contin</w:t>
      </w:r>
      <w:proofErr w:type="spellEnd"/>
      <w:r w:rsidRPr="007B43FC">
        <w:t>[</w:t>
      </w:r>
      <w:proofErr w:type="spellStart"/>
      <w:r w:rsidRPr="007B43FC">
        <w:t>uaba</w:t>
      </w:r>
      <w:proofErr w:type="spellEnd"/>
      <w:r w:rsidRPr="007B43FC">
        <w:t xml:space="preserve">] manejando como </w:t>
      </w:r>
      <w:r w:rsidRPr="001926E5">
        <w:t>hip</w:t>
      </w:r>
      <w:r w:rsidRPr="001926E5">
        <w:rPr>
          <w:rFonts w:cs="Calibri"/>
        </w:rPr>
        <w:t>ó</w:t>
      </w:r>
      <w:r w:rsidRPr="001926E5">
        <w:t xml:space="preserve">tesis </w:t>
      </w:r>
      <w:r w:rsidRPr="001926E5">
        <w:rPr>
          <w:rFonts w:cs="Calibri"/>
        </w:rPr>
        <w:t>ú</w:t>
      </w:r>
      <w:r w:rsidRPr="001926E5">
        <w:t>nica que el autor ejecutivo del crimen fue un polic</w:t>
      </w:r>
      <w:r w:rsidRPr="001926E5">
        <w:rPr>
          <w:rFonts w:cs="Calibri"/>
        </w:rPr>
        <w:t>í</w:t>
      </w:r>
      <w:r w:rsidRPr="001926E5">
        <w:t xml:space="preserve">a preventivo, y como autor inductivo BC, MV y otro hombre </w:t>
      </w:r>
      <w:r w:rsidRPr="00F262A7">
        <w:t>conocido como Chicho</w:t>
      </w:r>
      <w:r w:rsidRPr="001926E5">
        <w:t>, no aport</w:t>
      </w:r>
      <w:r w:rsidRPr="001926E5">
        <w:rPr>
          <w:rFonts w:cs="Calibri"/>
        </w:rPr>
        <w:t>á</w:t>
      </w:r>
      <w:r w:rsidRPr="001926E5">
        <w:t>ndose a la fecha ninguna declaraci</w:t>
      </w:r>
      <w:r w:rsidRPr="001926E5">
        <w:rPr>
          <w:rFonts w:cs="Calibri"/>
        </w:rPr>
        <w:t>ó</w:t>
      </w:r>
      <w:r w:rsidRPr="001926E5">
        <w:t>n o elemento de prueba que demuestre o acredite tales extremos”.</w:t>
      </w:r>
    </w:p>
  </w:footnote>
  <w:footnote w:id="100">
    <w:p w14:paraId="6764D037" w14:textId="2393BC4D"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Oficio FRCH-0D-231-2013 de 13 de dici</w:t>
      </w:r>
      <w:r>
        <w:t>embre de 2013</w:t>
      </w:r>
      <w:r w:rsidRPr="007B43FC">
        <w:t xml:space="preserve"> remitido por un Fiscal del Ministerio P</w:t>
      </w:r>
      <w:r w:rsidRPr="007B43FC">
        <w:rPr>
          <w:rFonts w:cs="Calibri"/>
        </w:rPr>
        <w:t>ú</w:t>
      </w:r>
      <w:r w:rsidRPr="007B43FC">
        <w:t xml:space="preserve">blico al Coordinador Regional de Fiscales, Zona Sur (expediente de prueba, </w:t>
      </w:r>
      <w:r>
        <w:t>a</w:t>
      </w:r>
      <w:r w:rsidRPr="007B43FC">
        <w:t>nexo 2 a la contestaci</w:t>
      </w:r>
      <w:r w:rsidRPr="007B43FC">
        <w:rPr>
          <w:rFonts w:cs="Calibri"/>
        </w:rPr>
        <w:t>ó</w:t>
      </w:r>
      <w:r w:rsidRPr="007B43FC">
        <w:t xml:space="preserve">n, f. 2582). </w:t>
      </w:r>
    </w:p>
  </w:footnote>
  <w:footnote w:id="101">
    <w:p w14:paraId="2194C126" w14:textId="53BBB04E"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t xml:space="preserve"> Oficio FRCH-OD-90-2015 </w:t>
      </w:r>
      <w:r w:rsidRPr="007B43FC">
        <w:t xml:space="preserve">de 22 de abril de 2015 (expediente de prueba, </w:t>
      </w:r>
      <w:r>
        <w:t>a</w:t>
      </w:r>
      <w:r w:rsidRPr="007B43FC">
        <w:t>nexo 2 a la contestaci</w:t>
      </w:r>
      <w:r w:rsidRPr="007B43FC">
        <w:rPr>
          <w:rFonts w:cs="Calibri"/>
        </w:rPr>
        <w:t>ó</w:t>
      </w:r>
      <w:r w:rsidRPr="007B43FC">
        <w:t xml:space="preserve">n, f. 2589). </w:t>
      </w:r>
    </w:p>
  </w:footnote>
  <w:footnote w:id="102">
    <w:p w14:paraId="62C2893F" w14:textId="1A9C5B20" w:rsidR="00E02FDB" w:rsidRPr="007B43FC" w:rsidRDefault="00E02FDB" w:rsidP="008A2AE0">
      <w:pPr>
        <w:pStyle w:val="FootnoteText"/>
      </w:pPr>
      <w:r w:rsidRPr="007B43FC">
        <w:rPr>
          <w:rStyle w:val="FootnoteReference"/>
        </w:rPr>
        <w:footnoteRef/>
      </w:r>
      <w:r w:rsidRPr="007B43FC">
        <w:rPr>
          <w:i/>
        </w:rPr>
        <w:t xml:space="preserve"> </w:t>
      </w:r>
      <w:r>
        <w:rPr>
          <w:i/>
        </w:rPr>
        <w:tab/>
      </w:r>
      <w:r w:rsidRPr="007B43FC">
        <w:rPr>
          <w:i/>
        </w:rPr>
        <w:t>Cfr</w:t>
      </w:r>
      <w:r>
        <w:t>. Oficio FRCH-OD-90-2015</w:t>
      </w:r>
      <w:r w:rsidRPr="007B43FC">
        <w:t xml:space="preserve">. </w:t>
      </w:r>
    </w:p>
  </w:footnote>
  <w:footnote w:id="103">
    <w:p w14:paraId="5C1829CD" w14:textId="00998625" w:rsidR="00E02FDB" w:rsidRPr="007B43FC" w:rsidRDefault="00E02FDB" w:rsidP="008A2AE0">
      <w:pPr>
        <w:pStyle w:val="FootnoteText"/>
      </w:pPr>
      <w:r w:rsidRPr="007B43FC">
        <w:rPr>
          <w:rStyle w:val="FootnoteReference"/>
        </w:rPr>
        <w:footnoteRef/>
      </w:r>
      <w:r w:rsidRPr="007B43FC">
        <w:t xml:space="preserve"> </w:t>
      </w:r>
      <w:r>
        <w:tab/>
      </w:r>
      <w:r w:rsidRPr="006C2F4F">
        <w:rPr>
          <w:i/>
        </w:rPr>
        <w:t>Cfr</w:t>
      </w:r>
      <w:r>
        <w:t>.</w:t>
      </w:r>
      <w:r w:rsidRPr="007B43FC">
        <w:t xml:space="preserve"> Ampliaci</w:t>
      </w:r>
      <w:r w:rsidRPr="007B43FC">
        <w:rPr>
          <w:rFonts w:cs="Calibri"/>
        </w:rPr>
        <w:t>ó</w:t>
      </w:r>
      <w:r w:rsidRPr="007B43FC">
        <w:t>n de declaraci</w:t>
      </w:r>
      <w:r w:rsidRPr="007B43FC">
        <w:rPr>
          <w:rFonts w:cs="Calibri"/>
        </w:rPr>
        <w:t>ó</w:t>
      </w:r>
      <w:r w:rsidRPr="007B43FC">
        <w:t xml:space="preserve">n de ofendido de 24 de febrero </w:t>
      </w:r>
      <w:r>
        <w:t>de 2014 (expediente de prueba, a</w:t>
      </w:r>
      <w:r w:rsidRPr="007B43FC">
        <w:t>nexo 3 a la contestaci</w:t>
      </w:r>
      <w:r w:rsidRPr="007B43FC">
        <w:rPr>
          <w:rFonts w:cs="Calibri"/>
        </w:rPr>
        <w:t>ó</w:t>
      </w:r>
      <w:r w:rsidRPr="007B43FC">
        <w:t xml:space="preserve">n, fs. 2642 y 2643). </w:t>
      </w:r>
    </w:p>
  </w:footnote>
  <w:footnote w:id="104">
    <w:p w14:paraId="2608773D" w14:textId="48351F58"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Nota de</w:t>
      </w:r>
      <w:r>
        <w:t>l</w:t>
      </w:r>
      <w:r w:rsidRPr="007B43FC">
        <w:t xml:space="preserve"> Fiscal de Derechos Humanos remitida a un Fiscal del Ministerio P</w:t>
      </w:r>
      <w:r w:rsidRPr="007B43FC">
        <w:rPr>
          <w:rFonts w:cs="Calibri"/>
        </w:rPr>
        <w:t>ú</w:t>
      </w:r>
      <w:r w:rsidRPr="007B43FC">
        <w:t>blico</w:t>
      </w:r>
      <w:r>
        <w:t xml:space="preserve"> de </w:t>
      </w:r>
      <w:r w:rsidRPr="007B43FC">
        <w:t>19 de marzo de 2014, (expediente de prueba,</w:t>
      </w:r>
      <w:r>
        <w:t xml:space="preserve"> a</w:t>
      </w:r>
      <w:r w:rsidRPr="007B43FC">
        <w:t>nexo 2 a la contestaci</w:t>
      </w:r>
      <w:r w:rsidRPr="007B43FC">
        <w:rPr>
          <w:rFonts w:cs="Calibri"/>
        </w:rPr>
        <w:t>ó</w:t>
      </w:r>
      <w:r w:rsidRPr="007B43FC">
        <w:t xml:space="preserve">n, f. 2583). </w:t>
      </w:r>
    </w:p>
  </w:footnote>
  <w:footnote w:id="105">
    <w:p w14:paraId="2DD329DD" w14:textId="3A92ED31" w:rsidR="00E02FDB" w:rsidRPr="007B43FC" w:rsidRDefault="00E02FDB" w:rsidP="008A2AE0">
      <w:pPr>
        <w:pStyle w:val="FootnoteText"/>
      </w:pPr>
      <w:r w:rsidRPr="007B43FC">
        <w:rPr>
          <w:rStyle w:val="FootnoteReference"/>
        </w:rPr>
        <w:footnoteRef/>
      </w:r>
      <w:r w:rsidRPr="007B43FC">
        <w:t xml:space="preserve"> </w:t>
      </w:r>
      <w:r>
        <w:tab/>
      </w:r>
      <w:r w:rsidRPr="007B43FC">
        <w:rPr>
          <w:i/>
        </w:rPr>
        <w:t xml:space="preserve">Cfr. </w:t>
      </w:r>
      <w:r w:rsidRPr="007B43FC">
        <w:t>Memor</w:t>
      </w:r>
      <w:r w:rsidRPr="007B43FC">
        <w:rPr>
          <w:rFonts w:cs="Calibri"/>
        </w:rPr>
        <w:t>á</w:t>
      </w:r>
      <w:r w:rsidRPr="007B43FC">
        <w:t>ndum DGF-1030-2015 de 30 de abril de 2015 y DGF-1031-2015 de la misma fecha, respecti</w:t>
      </w:r>
      <w:r>
        <w:t>vamente (expediente de prueba, a</w:t>
      </w:r>
      <w:r w:rsidRPr="007B43FC">
        <w:t>nexo 2 a la contestaci</w:t>
      </w:r>
      <w:r w:rsidRPr="007B43FC">
        <w:rPr>
          <w:rFonts w:cs="Calibri"/>
        </w:rPr>
        <w:t>ó</w:t>
      </w:r>
      <w:r w:rsidRPr="007B43FC">
        <w:t>n, fs. 2593 y 2594).</w:t>
      </w:r>
    </w:p>
  </w:footnote>
  <w:footnote w:id="106">
    <w:p w14:paraId="18F9E0CC" w14:textId="7CAE7A4C"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Oficio FRCH-OD-164-2015 de 28 de julio </w:t>
      </w:r>
      <w:r>
        <w:t>de 2015 (expediente de prueba, a</w:t>
      </w:r>
      <w:r w:rsidRPr="007B43FC">
        <w:t>nexo 2 a la contestaci</w:t>
      </w:r>
      <w:r w:rsidRPr="007B43FC">
        <w:rPr>
          <w:rFonts w:cs="Calibri"/>
        </w:rPr>
        <w:t>ó</w:t>
      </w:r>
      <w:r w:rsidRPr="007B43FC">
        <w:t>n, f. 2600).</w:t>
      </w:r>
      <w:r>
        <w:t xml:space="preserve"> Por otra parte, días antes, p</w:t>
      </w:r>
      <w:r w:rsidRPr="00900457">
        <w:t>or medio de oficio de 24 de abril de 2015 el Fiscal interviniente solicitó al Departamento de Patología Forense del Ministerio Público que se le envíe el “dictamen de autopsia” correspondiente a la causa</w:t>
      </w:r>
      <w:r>
        <w:t xml:space="preserve"> (</w:t>
      </w:r>
      <w:r>
        <w:rPr>
          <w:i/>
        </w:rPr>
        <w:t>c</w:t>
      </w:r>
      <w:r w:rsidRPr="00900457">
        <w:rPr>
          <w:i/>
        </w:rPr>
        <w:t>fr.</w:t>
      </w:r>
      <w:r w:rsidRPr="007B43FC">
        <w:t xml:space="preserve"> Oficio FRCH-OD-No. 094-2015 de 24 de abril de 2015</w:t>
      </w:r>
      <w:r>
        <w:t>;</w:t>
      </w:r>
      <w:r w:rsidRPr="007B43FC">
        <w:t xml:space="preserve"> </w:t>
      </w:r>
      <w:r>
        <w:t>expediente de prueba, a</w:t>
      </w:r>
      <w:r w:rsidRPr="007B43FC">
        <w:t>nexo 2 a la contestaci</w:t>
      </w:r>
      <w:r w:rsidRPr="007B43FC">
        <w:rPr>
          <w:rFonts w:cs="Calibri"/>
        </w:rPr>
        <w:t>ó</w:t>
      </w:r>
      <w:r w:rsidRPr="007B43FC">
        <w:t>n, f. 2592).</w:t>
      </w:r>
    </w:p>
  </w:footnote>
  <w:footnote w:id="107">
    <w:p w14:paraId="4531BFF6" w14:textId="63216255"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Oficio FRCH-OD</w:t>
      </w:r>
      <w:r>
        <w:t>-140-2015 de 9 de junio de 2015</w:t>
      </w:r>
      <w:r w:rsidRPr="007B43FC">
        <w:t xml:space="preserve"> remitido por el Fiscal del Ministerio P</w:t>
      </w:r>
      <w:r w:rsidRPr="007B43FC">
        <w:rPr>
          <w:rFonts w:cs="Calibri"/>
        </w:rPr>
        <w:t>ú</w:t>
      </w:r>
      <w:r w:rsidRPr="007B43FC">
        <w:t>blico interviniente al “Directo</w:t>
      </w:r>
      <w:r>
        <w:t>r ATIC” (expediente de prueba, a</w:t>
      </w:r>
      <w:r w:rsidRPr="007B43FC">
        <w:t>nexo 2 a la contestaci</w:t>
      </w:r>
      <w:r w:rsidRPr="007B43FC">
        <w:rPr>
          <w:rFonts w:cs="Calibri"/>
        </w:rPr>
        <w:t>ó</w:t>
      </w:r>
      <w:r w:rsidRPr="007B43FC">
        <w:t xml:space="preserve">n, fs. 2597 y 2598). </w:t>
      </w:r>
    </w:p>
  </w:footnote>
  <w:footnote w:id="108">
    <w:p w14:paraId="209E0FA5" w14:textId="2D4A92B8" w:rsidR="00E02FDB" w:rsidRPr="007B43FC" w:rsidRDefault="00E02FDB" w:rsidP="008A2AE0">
      <w:pPr>
        <w:pStyle w:val="FootnoteText"/>
      </w:pPr>
      <w:r w:rsidRPr="007B43FC">
        <w:rPr>
          <w:rStyle w:val="FootnoteReference"/>
        </w:rPr>
        <w:footnoteRef/>
      </w:r>
      <w:r w:rsidRPr="007B43FC">
        <w:t xml:space="preserve"> </w:t>
      </w:r>
      <w:r>
        <w:tab/>
      </w:r>
      <w:r w:rsidRPr="007B43FC">
        <w:rPr>
          <w:i/>
        </w:rPr>
        <w:t>Cfr.</w:t>
      </w:r>
      <w:r w:rsidRPr="007B43FC">
        <w:t xml:space="preserve"> Declaraci</w:t>
      </w:r>
      <w:r w:rsidRPr="007B43FC">
        <w:rPr>
          <w:rFonts w:cs="Calibri"/>
        </w:rPr>
        <w:t>ó</w:t>
      </w:r>
      <w:r w:rsidRPr="007B43FC">
        <w:t>n de Jos</w:t>
      </w:r>
      <w:r w:rsidRPr="007B43FC">
        <w:rPr>
          <w:rFonts w:cs="Calibri"/>
        </w:rPr>
        <w:t>é</w:t>
      </w:r>
      <w:r w:rsidRPr="007B43FC">
        <w:t xml:space="preserve"> Pacheco de 15 de febrero </w:t>
      </w:r>
      <w:r>
        <w:t>de 2016 (expediente de prueba, a</w:t>
      </w:r>
      <w:r w:rsidRPr="007B43FC">
        <w:t>nexo 3 a la contestaci</w:t>
      </w:r>
      <w:r w:rsidRPr="007B43FC">
        <w:rPr>
          <w:rFonts w:cs="Calibri"/>
        </w:rPr>
        <w:t>ó</w:t>
      </w:r>
      <w:r w:rsidRPr="007B43FC">
        <w:t xml:space="preserve">n, fs. 2650 y 2651). </w:t>
      </w:r>
    </w:p>
  </w:footnote>
  <w:footnote w:id="109">
    <w:p w14:paraId="5A19FD43" w14:textId="5213A136" w:rsidR="00E02FDB" w:rsidRPr="000C41F4" w:rsidRDefault="00E02FDB" w:rsidP="004635E5">
      <w:pPr>
        <w:pStyle w:val="FootnoteText"/>
        <w:rPr>
          <w:i/>
          <w:lang w:val="es-CR"/>
        </w:rPr>
      </w:pPr>
      <w:r>
        <w:rPr>
          <w:rStyle w:val="FootnoteReference"/>
        </w:rPr>
        <w:footnoteRef/>
      </w:r>
      <w:r>
        <w:t xml:space="preserve"> </w:t>
      </w:r>
      <w:r>
        <w:tab/>
      </w:r>
      <w:r>
        <w:rPr>
          <w:i/>
          <w:lang w:val="es-CR"/>
        </w:rPr>
        <w:t xml:space="preserve">Cfr. </w:t>
      </w:r>
      <w:r w:rsidRPr="00794AA5">
        <w:rPr>
          <w:i/>
          <w:lang w:val="es-ES"/>
        </w:rPr>
        <w:t>Caso García Ibarra y otros Vs. Ecuador. Excepciones Preliminares, Fondo, Reparaciones y Costas</w:t>
      </w:r>
      <w:r w:rsidRPr="00C21A2E">
        <w:rPr>
          <w:lang w:val="es-ES"/>
        </w:rPr>
        <w:t>. Sentencia de 17 de noviembre de 2015.</w:t>
      </w:r>
      <w:r>
        <w:rPr>
          <w:lang w:val="es-ES"/>
        </w:rPr>
        <w:t xml:space="preserve"> Serie C No. 306, </w:t>
      </w:r>
      <w:proofErr w:type="spellStart"/>
      <w:r>
        <w:rPr>
          <w:lang w:val="es-ES"/>
        </w:rPr>
        <w:t>párrs</w:t>
      </w:r>
      <w:proofErr w:type="spellEnd"/>
      <w:r>
        <w:rPr>
          <w:lang w:val="es-ES"/>
        </w:rPr>
        <w:t xml:space="preserve">. 17 a 22, y </w:t>
      </w:r>
      <w:r w:rsidRPr="000C41F4">
        <w:rPr>
          <w:i/>
        </w:rPr>
        <w:t>Caso Favela Nova Bras</w:t>
      </w:r>
      <w:r>
        <w:rPr>
          <w:i/>
        </w:rPr>
        <w:t>ilia</w:t>
      </w:r>
      <w:r w:rsidRPr="000C41F4">
        <w:rPr>
          <w:i/>
        </w:rPr>
        <w:t xml:space="preserve"> Vs. Brasil. Excepciones Preliminares, Fondo, Reparaciones y Costas.</w:t>
      </w:r>
      <w:r w:rsidRPr="000C41F4">
        <w:t xml:space="preserve"> Sentencia de 16 de f</w:t>
      </w:r>
      <w:r>
        <w:t>ebrero de 2017. Serie C No. 333, párr. 55.</w:t>
      </w:r>
    </w:p>
  </w:footnote>
  <w:footnote w:id="110">
    <w:p w14:paraId="3215CE01" w14:textId="561C75B9" w:rsidR="00E02FDB" w:rsidRPr="00811992" w:rsidRDefault="00E02FDB" w:rsidP="004635E5">
      <w:pPr>
        <w:pStyle w:val="FootnoteText"/>
      </w:pPr>
      <w:r>
        <w:rPr>
          <w:rStyle w:val="FootnoteReference"/>
        </w:rPr>
        <w:footnoteRef/>
      </w:r>
      <w:r>
        <w:t xml:space="preserve"> </w:t>
      </w:r>
      <w:r>
        <w:tab/>
      </w:r>
      <w:r w:rsidRPr="00497E2A">
        <w:rPr>
          <w:i/>
        </w:rPr>
        <w:t>Cfr.</w:t>
      </w:r>
      <w:r>
        <w:t xml:space="preserve"> Informe de Admisibilidad, párr. 1.</w:t>
      </w:r>
    </w:p>
  </w:footnote>
  <w:footnote w:id="111">
    <w:p w14:paraId="098CCDF7" w14:textId="1CDD23A2"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lang w:val="es-CR"/>
        </w:rPr>
        <w:t>En efecto</w:t>
      </w:r>
      <w:r>
        <w:rPr>
          <w:lang w:val="es-CR"/>
        </w:rPr>
        <w:t xml:space="preserve"> </w:t>
      </w:r>
      <w:r w:rsidRPr="007B43FC">
        <w:rPr>
          <w:lang w:val="es-CR"/>
        </w:rPr>
        <w:t>la Comisi</w:t>
      </w:r>
      <w:r w:rsidRPr="007B43FC">
        <w:rPr>
          <w:rFonts w:cs="Calibri"/>
          <w:lang w:val="es-CR"/>
        </w:rPr>
        <w:t>ó</w:t>
      </w:r>
      <w:r w:rsidRPr="007B43FC">
        <w:rPr>
          <w:lang w:val="es-CR"/>
        </w:rPr>
        <w:t>n</w:t>
      </w:r>
      <w:r>
        <w:rPr>
          <w:lang w:val="es-CR"/>
        </w:rPr>
        <w:t xml:space="preserve"> </w:t>
      </w:r>
      <w:r w:rsidRPr="007B43FC">
        <w:rPr>
          <w:lang w:val="es-CR"/>
        </w:rPr>
        <w:t>consider</w:t>
      </w:r>
      <w:r w:rsidRPr="007B43FC">
        <w:rPr>
          <w:rFonts w:cs="Calibri"/>
          <w:lang w:val="es-CR"/>
        </w:rPr>
        <w:t>ó</w:t>
      </w:r>
      <w:r w:rsidRPr="007B43FC">
        <w:rPr>
          <w:lang w:val="es-CR"/>
        </w:rPr>
        <w:t xml:space="preserve"> la falta de investigaci</w:t>
      </w:r>
      <w:r w:rsidRPr="007B43FC">
        <w:rPr>
          <w:rFonts w:cs="Calibri"/>
          <w:lang w:val="es-CR"/>
        </w:rPr>
        <w:t>ó</w:t>
      </w:r>
      <w:r w:rsidRPr="007B43FC">
        <w:rPr>
          <w:lang w:val="es-CR"/>
        </w:rPr>
        <w:t>n como una de las bases de la afectaci</w:t>
      </w:r>
      <w:r w:rsidRPr="007B43FC">
        <w:rPr>
          <w:rFonts w:cs="Calibri"/>
          <w:lang w:val="es-CR"/>
        </w:rPr>
        <w:t>ó</w:t>
      </w:r>
      <w:r w:rsidRPr="007B43FC">
        <w:rPr>
          <w:lang w:val="es-CR"/>
        </w:rPr>
        <w:t>n a la integridad personal que, seg</w:t>
      </w:r>
      <w:r w:rsidRPr="007B43FC">
        <w:rPr>
          <w:rFonts w:cs="Calibri"/>
          <w:lang w:val="es-CR"/>
        </w:rPr>
        <w:t>ú</w:t>
      </w:r>
      <w:r w:rsidRPr="007B43FC">
        <w:rPr>
          <w:lang w:val="es-CR"/>
        </w:rPr>
        <w:t>n afirm</w:t>
      </w:r>
      <w:r w:rsidRPr="007B43FC">
        <w:rPr>
          <w:rFonts w:cs="Calibri"/>
          <w:lang w:val="es-CR"/>
        </w:rPr>
        <w:t>ó</w:t>
      </w:r>
      <w:r w:rsidRPr="007B43FC">
        <w:rPr>
          <w:lang w:val="es-CR"/>
        </w:rPr>
        <w:t>, sufrieron familiares del se</w:t>
      </w:r>
      <w:r w:rsidRPr="007B43FC">
        <w:rPr>
          <w:rFonts w:cs="Calibri"/>
          <w:lang w:val="es-CR"/>
        </w:rPr>
        <w:t>ñ</w:t>
      </w:r>
      <w:r w:rsidRPr="007B43FC">
        <w:rPr>
          <w:lang w:val="es-CR"/>
        </w:rPr>
        <w:t>or Pacheco.</w:t>
      </w:r>
      <w:r w:rsidRPr="007B43FC">
        <w:rPr>
          <w:b/>
          <w:lang w:val="es-CR"/>
        </w:rPr>
        <w:t xml:space="preserve"> </w:t>
      </w:r>
      <w:r w:rsidRPr="007B43FC">
        <w:rPr>
          <w:lang w:val="es-CR"/>
        </w:rPr>
        <w:t xml:space="preserve">Los representantes, entre sus argumentos </w:t>
      </w:r>
      <w:r>
        <w:rPr>
          <w:lang w:val="es-CR"/>
        </w:rPr>
        <w:t xml:space="preserve">expresaron que, </w:t>
      </w:r>
      <w:r w:rsidRPr="007B43FC">
        <w:rPr>
          <w:lang w:val="es-CR"/>
        </w:rPr>
        <w:t>en parte</w:t>
      </w:r>
      <w:r>
        <w:rPr>
          <w:lang w:val="es-CR"/>
        </w:rPr>
        <w:t>,</w:t>
      </w:r>
      <w:r w:rsidRPr="007B43FC">
        <w:rPr>
          <w:lang w:val="es-CR"/>
        </w:rPr>
        <w:t xml:space="preserve"> los padecimientos que afectaron la integridad personal de familiares del se</w:t>
      </w:r>
      <w:r w:rsidRPr="007B43FC">
        <w:rPr>
          <w:rFonts w:cs="Calibri"/>
          <w:lang w:val="es-CR"/>
        </w:rPr>
        <w:t>ñ</w:t>
      </w:r>
      <w:r w:rsidRPr="007B43FC">
        <w:rPr>
          <w:lang w:val="es-CR"/>
        </w:rPr>
        <w:t>or Pacheco tuvieron por base “la falta de efectividad de las medida</w:t>
      </w:r>
      <w:r>
        <w:rPr>
          <w:lang w:val="es-CR"/>
        </w:rPr>
        <w:t>s</w:t>
      </w:r>
      <w:r w:rsidRPr="007B43FC">
        <w:rPr>
          <w:lang w:val="es-CR"/>
        </w:rPr>
        <w:t xml:space="preserve"> adoptadas para esclarecer los hechos y sancionar a los responsables”.</w:t>
      </w:r>
    </w:p>
  </w:footnote>
  <w:footnote w:id="112">
    <w:p w14:paraId="79C628C9" w14:textId="6AACC721" w:rsidR="00E02FDB" w:rsidRPr="007B43FC" w:rsidRDefault="00E02FDB" w:rsidP="004635E5">
      <w:pPr>
        <w:pStyle w:val="NormalWeb"/>
        <w:spacing w:before="0" w:beforeAutospacing="0" w:after="0" w:afterAutospacing="0"/>
        <w:ind w:right="74"/>
        <w:jc w:val="both"/>
        <w:rPr>
          <w:rFonts w:ascii="Verdana" w:hAnsi="Verdana"/>
          <w:spacing w:val="-12"/>
          <w:sz w:val="16"/>
          <w:szCs w:val="16"/>
          <w:lang w:val="es-MX"/>
        </w:rPr>
      </w:pPr>
      <w:r w:rsidRPr="006D540A">
        <w:rPr>
          <w:rStyle w:val="FootnoteReference"/>
          <w:rFonts w:eastAsia="Calibri"/>
          <w:lang w:val="es-ES_tradnl" w:eastAsia="es-ES"/>
        </w:rPr>
        <w:footnoteRef/>
      </w:r>
      <w:r w:rsidRPr="006D540A">
        <w:rPr>
          <w:rFonts w:ascii="Verdana" w:eastAsia="Calibri" w:hAnsi="Verdana" w:cs="Verdana"/>
          <w:sz w:val="16"/>
          <w:szCs w:val="16"/>
          <w:lang w:val="es-CR" w:eastAsia="es-ES"/>
        </w:rPr>
        <w:t xml:space="preserve"> </w:t>
      </w:r>
      <w:r>
        <w:rPr>
          <w:rFonts w:ascii="Verdana" w:eastAsia="Calibri" w:hAnsi="Verdana" w:cs="Verdana"/>
          <w:sz w:val="16"/>
          <w:szCs w:val="16"/>
          <w:lang w:val="es-CR" w:eastAsia="es-ES"/>
        </w:rPr>
        <w:tab/>
      </w:r>
      <w:r w:rsidRPr="006D540A">
        <w:rPr>
          <w:rFonts w:ascii="Verdana" w:eastAsia="Calibri" w:hAnsi="Verdana" w:cs="Verdana"/>
          <w:sz w:val="16"/>
          <w:szCs w:val="16"/>
          <w:lang w:val="es-CR" w:eastAsia="es-ES"/>
        </w:rPr>
        <w:t>El artículo 8 de la Convención señala</w:t>
      </w:r>
      <w:r>
        <w:rPr>
          <w:rFonts w:ascii="Verdana" w:eastAsia="Calibri" w:hAnsi="Verdana" w:cs="Verdana"/>
          <w:sz w:val="16"/>
          <w:szCs w:val="16"/>
          <w:lang w:val="es-CR" w:eastAsia="es-ES"/>
        </w:rPr>
        <w:t>, en lo que corresponde considerar</w:t>
      </w:r>
      <w:r w:rsidRPr="006D540A">
        <w:rPr>
          <w:rFonts w:ascii="Verdana" w:eastAsia="Calibri" w:hAnsi="Verdana" w:cs="Verdana"/>
          <w:sz w:val="16"/>
          <w:szCs w:val="16"/>
          <w:lang w:val="es-CR" w:eastAsia="es-ES"/>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Pr>
          <w:rFonts w:ascii="Verdana" w:eastAsia="Calibri" w:hAnsi="Verdana" w:cs="Verdana"/>
          <w:sz w:val="16"/>
          <w:szCs w:val="16"/>
          <w:lang w:val="es-CR" w:eastAsia="es-ES"/>
        </w:rPr>
        <w:t>”</w:t>
      </w:r>
      <w:r w:rsidRPr="006D540A">
        <w:rPr>
          <w:rFonts w:ascii="Verdana" w:eastAsia="Calibri" w:hAnsi="Verdana" w:cs="Verdana"/>
          <w:sz w:val="16"/>
          <w:szCs w:val="16"/>
          <w:lang w:val="es-CR" w:eastAsia="es-ES"/>
        </w:rPr>
        <w:t xml:space="preserve">. </w:t>
      </w:r>
      <w:r>
        <w:rPr>
          <w:rFonts w:ascii="Verdana" w:eastAsia="Calibri" w:hAnsi="Verdana" w:cs="Verdana"/>
          <w:sz w:val="16"/>
          <w:szCs w:val="16"/>
          <w:lang w:val="es-CR" w:eastAsia="es-ES"/>
        </w:rPr>
        <w:t>Por otra parte, en lo pertinente e</w:t>
      </w:r>
      <w:r w:rsidRPr="006D540A">
        <w:rPr>
          <w:rFonts w:ascii="Verdana" w:eastAsia="Calibri" w:hAnsi="Verdana" w:cs="Verdana"/>
          <w:sz w:val="16"/>
          <w:szCs w:val="16"/>
          <w:lang w:val="es-CR" w:eastAsia="es-ES"/>
        </w:rPr>
        <w:t>l artículo 25 de la Convención expresa: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Pr>
          <w:rFonts w:ascii="Verdana" w:eastAsia="Calibri" w:hAnsi="Verdana" w:cs="Verdana"/>
          <w:sz w:val="16"/>
          <w:szCs w:val="16"/>
          <w:lang w:val="es-CR" w:eastAsia="es-ES"/>
        </w:rPr>
        <w:t>”</w:t>
      </w:r>
      <w:r w:rsidRPr="006D540A">
        <w:rPr>
          <w:rFonts w:ascii="Verdana" w:eastAsia="Calibri" w:hAnsi="Verdana" w:cs="Verdana"/>
          <w:sz w:val="16"/>
          <w:szCs w:val="16"/>
          <w:lang w:val="es-CR" w:eastAsia="es-ES"/>
        </w:rPr>
        <w:t>.</w:t>
      </w:r>
    </w:p>
  </w:footnote>
  <w:footnote w:id="113">
    <w:p w14:paraId="42179FBB" w14:textId="20EB7410" w:rsidR="00E02FDB" w:rsidRPr="006D540A" w:rsidRDefault="00E02FDB" w:rsidP="004635E5">
      <w:pPr>
        <w:pStyle w:val="FootnoteText"/>
      </w:pPr>
      <w:r>
        <w:rPr>
          <w:rStyle w:val="FootnoteReference"/>
        </w:rPr>
        <w:footnoteRef/>
      </w:r>
      <w:r>
        <w:t xml:space="preserve"> </w:t>
      </w:r>
      <w:r>
        <w:tab/>
        <w:t>El artículo 4 de la Convención, en lo pertinente, dice: “</w:t>
      </w:r>
      <w:r w:rsidRPr="006D540A">
        <w:t>1. Toda persona tiene derecho a que se respete su vida. Este derecho estará protegido por la ley y, en general, a partir del momento de la concepción. Nadie puede ser privado de la vida arbitrariamente</w:t>
      </w:r>
      <w:r>
        <w:t>”</w:t>
      </w:r>
      <w:r w:rsidRPr="006D540A">
        <w:t>.</w:t>
      </w:r>
      <w:r>
        <w:t xml:space="preserve"> El artículo 23 del tratado, en lo relevante, indica: “1.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w:t>
      </w:r>
    </w:p>
  </w:footnote>
  <w:footnote w:id="114">
    <w:p w14:paraId="1F579464" w14:textId="620D2A02" w:rsidR="00E02FDB" w:rsidRPr="006D540A" w:rsidRDefault="00E02FDB" w:rsidP="004635E5">
      <w:pPr>
        <w:pStyle w:val="FootnoteText"/>
      </w:pPr>
      <w:r>
        <w:rPr>
          <w:rStyle w:val="FootnoteReference"/>
        </w:rPr>
        <w:footnoteRef/>
      </w:r>
      <w:r>
        <w:t xml:space="preserve"> </w:t>
      </w:r>
      <w:r>
        <w:tab/>
        <w:t>En lo conducente, el artículo 5 de la Convención reza: “</w:t>
      </w:r>
      <w:r w:rsidRPr="006D540A">
        <w:t>1. Toda persona tiene derecho a que se respete su integridad física, psíquica y moral</w:t>
      </w:r>
      <w:r>
        <w:t>”</w:t>
      </w:r>
      <w:r w:rsidRPr="006D540A">
        <w:t>.</w:t>
      </w:r>
    </w:p>
  </w:footnote>
  <w:footnote w:id="115">
    <w:p w14:paraId="7DE4706E" w14:textId="2E117D40"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lang w:val="es-CR"/>
        </w:rPr>
        <w:t>El art</w:t>
      </w:r>
      <w:r w:rsidRPr="007B43FC">
        <w:rPr>
          <w:rFonts w:cs="Calibri"/>
          <w:lang w:val="es-CR"/>
        </w:rPr>
        <w:t>í</w:t>
      </w:r>
      <w:r w:rsidRPr="007B43FC">
        <w:rPr>
          <w:lang w:val="es-CR"/>
        </w:rPr>
        <w:t>culo 1.1 de la Convenci</w:t>
      </w:r>
      <w:r w:rsidRPr="007B43FC">
        <w:rPr>
          <w:rFonts w:cs="Calibri"/>
          <w:lang w:val="es-CR"/>
        </w:rPr>
        <w:t>ó</w:t>
      </w:r>
      <w:r w:rsidRPr="007B43FC">
        <w:rPr>
          <w:lang w:val="es-CR"/>
        </w:rPr>
        <w:t xml:space="preserve">n dice: “Los Estados </w:t>
      </w:r>
      <w:r>
        <w:rPr>
          <w:lang w:val="es-CR"/>
        </w:rPr>
        <w:t>P</w:t>
      </w:r>
      <w:r w:rsidRPr="007B43FC">
        <w:rPr>
          <w:lang w:val="es-CR"/>
        </w:rPr>
        <w:t>artes en esta Convenci</w:t>
      </w:r>
      <w:r w:rsidRPr="007B43FC">
        <w:rPr>
          <w:rFonts w:cs="Calibri"/>
          <w:lang w:val="es-CR"/>
        </w:rPr>
        <w:t>ó</w:t>
      </w:r>
      <w:r w:rsidRPr="007B43FC">
        <w:rPr>
          <w:lang w:val="es-CR"/>
        </w:rPr>
        <w:t>n se comprometen a respetar los derechos y libertades reconocidos en ella y a garantizar su libre y pleno ejercicio a toda persona que est</w:t>
      </w:r>
      <w:r w:rsidRPr="007B43FC">
        <w:rPr>
          <w:rFonts w:cs="Calibri"/>
          <w:lang w:val="es-CR"/>
        </w:rPr>
        <w:t>é</w:t>
      </w:r>
      <w:r w:rsidRPr="007B43FC">
        <w:rPr>
          <w:lang w:val="es-CR"/>
        </w:rPr>
        <w:t xml:space="preserve"> sujeta a su jurisdicci</w:t>
      </w:r>
      <w:r w:rsidRPr="007B43FC">
        <w:rPr>
          <w:rFonts w:cs="Calibri"/>
          <w:lang w:val="es-CR"/>
        </w:rPr>
        <w:t>ó</w:t>
      </w:r>
      <w:r w:rsidRPr="007B43FC">
        <w:rPr>
          <w:lang w:val="es-CR"/>
        </w:rPr>
        <w:t>n, sin discriminaci</w:t>
      </w:r>
      <w:r w:rsidRPr="007B43FC">
        <w:rPr>
          <w:rFonts w:cs="Calibri"/>
          <w:lang w:val="es-CR"/>
        </w:rPr>
        <w:t>ó</w:t>
      </w:r>
      <w:r w:rsidRPr="007B43FC">
        <w:rPr>
          <w:lang w:val="es-CR"/>
        </w:rPr>
        <w:t>n alguna por motivos de raza, color, sexo, idioma, religi</w:t>
      </w:r>
      <w:r w:rsidRPr="007B43FC">
        <w:rPr>
          <w:rFonts w:cs="Calibri"/>
          <w:lang w:val="es-CR"/>
        </w:rPr>
        <w:t>ó</w:t>
      </w:r>
      <w:r w:rsidRPr="007B43FC">
        <w:rPr>
          <w:lang w:val="es-CR"/>
        </w:rPr>
        <w:t>n, opiniones pol</w:t>
      </w:r>
      <w:r w:rsidRPr="007B43FC">
        <w:rPr>
          <w:rFonts w:cs="Calibri"/>
          <w:lang w:val="es-CR"/>
        </w:rPr>
        <w:t>í</w:t>
      </w:r>
      <w:r w:rsidRPr="007B43FC">
        <w:rPr>
          <w:lang w:val="es-CR"/>
        </w:rPr>
        <w:t xml:space="preserve">ticas o de cualquier otra </w:t>
      </w:r>
      <w:r w:rsidRPr="007B43FC">
        <w:rPr>
          <w:rFonts w:cs="Calibri"/>
          <w:lang w:val="es-CR"/>
        </w:rPr>
        <w:t>í</w:t>
      </w:r>
      <w:r w:rsidRPr="007B43FC">
        <w:rPr>
          <w:lang w:val="es-CR"/>
        </w:rPr>
        <w:t>ndole, origen nacional o social, posici</w:t>
      </w:r>
      <w:r w:rsidRPr="007B43FC">
        <w:rPr>
          <w:rFonts w:cs="Calibri"/>
          <w:lang w:val="es-CR"/>
        </w:rPr>
        <w:t>ó</w:t>
      </w:r>
      <w:r w:rsidRPr="007B43FC">
        <w:rPr>
          <w:lang w:val="es-CR"/>
        </w:rPr>
        <w:t>n econ</w:t>
      </w:r>
      <w:r w:rsidRPr="007B43FC">
        <w:rPr>
          <w:rFonts w:cs="Calibri"/>
          <w:lang w:val="es-CR"/>
        </w:rPr>
        <w:t>ó</w:t>
      </w:r>
      <w:r w:rsidRPr="007B43FC">
        <w:rPr>
          <w:lang w:val="es-CR"/>
        </w:rPr>
        <w:t>mica, nacimiento o cualquier otra condici</w:t>
      </w:r>
      <w:r w:rsidRPr="007B43FC">
        <w:rPr>
          <w:rFonts w:cs="Calibri"/>
          <w:lang w:val="es-CR"/>
        </w:rPr>
        <w:t>ó</w:t>
      </w:r>
      <w:r w:rsidRPr="007B43FC">
        <w:rPr>
          <w:lang w:val="es-CR"/>
        </w:rPr>
        <w:t>n social”.</w:t>
      </w:r>
    </w:p>
  </w:footnote>
  <w:footnote w:id="116">
    <w:p w14:paraId="3FBA1D54" w14:textId="6FFEBC1D" w:rsidR="00E02FDB" w:rsidRPr="004464FB" w:rsidRDefault="00E02FDB" w:rsidP="004635E5">
      <w:pPr>
        <w:pStyle w:val="FootnoteText"/>
      </w:pPr>
      <w:r>
        <w:rPr>
          <w:rStyle w:val="FootnoteReference"/>
        </w:rPr>
        <w:footnoteRef/>
      </w:r>
      <w:r>
        <w:t xml:space="preserve"> </w:t>
      </w:r>
      <w:r>
        <w:tab/>
        <w:t>El artículo 2 de la Convención Americana dice: “</w:t>
      </w:r>
      <w:r w:rsidRPr="004464FB">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t>”</w:t>
      </w:r>
      <w:r w:rsidRPr="004464FB">
        <w:t xml:space="preserve">. </w:t>
      </w:r>
      <w:r>
        <w:t xml:space="preserve"> </w:t>
      </w:r>
    </w:p>
  </w:footnote>
  <w:footnote w:id="117">
    <w:p w14:paraId="6203F29C" w14:textId="5C98F022" w:rsidR="00E02FDB" w:rsidRPr="00C438C1" w:rsidRDefault="00E02FDB" w:rsidP="004635E5">
      <w:pPr>
        <w:rPr>
          <w:lang w:val="es-CR"/>
        </w:rPr>
      </w:pPr>
      <w:r>
        <w:rPr>
          <w:rStyle w:val="FootnoteReference"/>
        </w:rPr>
        <w:footnoteRef/>
      </w:r>
      <w:r>
        <w:t xml:space="preserve"> </w:t>
      </w:r>
      <w:r>
        <w:tab/>
      </w:r>
      <w:r w:rsidRPr="009E2CDD">
        <w:rPr>
          <w:sz w:val="16"/>
          <w:szCs w:val="16"/>
        </w:rPr>
        <w:t>Cabe aclarar que los representantes</w:t>
      </w:r>
      <w:r>
        <w:rPr>
          <w:sz w:val="16"/>
          <w:szCs w:val="16"/>
        </w:rPr>
        <w:t xml:space="preserve"> </w:t>
      </w:r>
      <w:r w:rsidRPr="009E2CDD">
        <w:rPr>
          <w:sz w:val="16"/>
          <w:szCs w:val="16"/>
        </w:rPr>
        <w:t xml:space="preserve">adujeron que el modo en que se desarrolló la investigación vulneró el deber de garantizar el derecho a la vida en perjuicio del señor Pacheco y que, además, atentó contra los derechos a las garantías y protección judiciales en perjuicio de sus </w:t>
      </w:r>
      <w:r>
        <w:rPr>
          <w:sz w:val="16"/>
          <w:szCs w:val="16"/>
        </w:rPr>
        <w:t>familiares</w:t>
      </w:r>
      <w:r w:rsidRPr="009E704D">
        <w:rPr>
          <w:sz w:val="16"/>
          <w:szCs w:val="16"/>
        </w:rPr>
        <w:t>. Como</w:t>
      </w:r>
      <w:r w:rsidRPr="009E2CDD">
        <w:rPr>
          <w:sz w:val="16"/>
          <w:szCs w:val="16"/>
        </w:rPr>
        <w:t xml:space="preserve"> la Corte analizará la investigación de los hechos s</w:t>
      </w:r>
      <w:r>
        <w:rPr>
          <w:sz w:val="16"/>
          <w:szCs w:val="16"/>
        </w:rPr>
        <w:t>ó</w:t>
      </w:r>
      <w:r w:rsidRPr="009E2CDD">
        <w:rPr>
          <w:sz w:val="16"/>
          <w:szCs w:val="16"/>
        </w:rPr>
        <w:t>lo en relación con los artículos 8</w:t>
      </w:r>
      <w:r>
        <w:rPr>
          <w:sz w:val="16"/>
          <w:szCs w:val="16"/>
        </w:rPr>
        <w:t>.1</w:t>
      </w:r>
      <w:r w:rsidRPr="009E2CDD">
        <w:rPr>
          <w:sz w:val="16"/>
          <w:szCs w:val="16"/>
        </w:rPr>
        <w:t xml:space="preserve"> y 25</w:t>
      </w:r>
      <w:r>
        <w:rPr>
          <w:sz w:val="16"/>
          <w:szCs w:val="16"/>
        </w:rPr>
        <w:t>.1</w:t>
      </w:r>
      <w:r w:rsidRPr="009E2CDD">
        <w:rPr>
          <w:sz w:val="16"/>
          <w:szCs w:val="16"/>
        </w:rPr>
        <w:t xml:space="preserve"> de la Convención, </w:t>
      </w:r>
      <w:r>
        <w:rPr>
          <w:sz w:val="16"/>
          <w:szCs w:val="16"/>
        </w:rPr>
        <w:t>agrupará</w:t>
      </w:r>
      <w:r w:rsidRPr="009E2CDD">
        <w:rPr>
          <w:sz w:val="16"/>
          <w:szCs w:val="16"/>
        </w:rPr>
        <w:t xml:space="preserve"> en este capítulo los argumentos</w:t>
      </w:r>
      <w:r>
        <w:rPr>
          <w:sz w:val="16"/>
          <w:szCs w:val="16"/>
        </w:rPr>
        <w:t xml:space="preserve"> pertinentes</w:t>
      </w:r>
      <w:r w:rsidRPr="009E2CDD">
        <w:rPr>
          <w:sz w:val="16"/>
          <w:szCs w:val="16"/>
        </w:rPr>
        <w:t xml:space="preserve"> de los representantes.</w:t>
      </w:r>
    </w:p>
  </w:footnote>
  <w:footnote w:id="118">
    <w:p w14:paraId="4C7F355F" w14:textId="6B1BF2E5" w:rsidR="00E02FDB" w:rsidRPr="00742C6C" w:rsidRDefault="00E02FDB" w:rsidP="004635E5">
      <w:pPr>
        <w:pStyle w:val="PrrafodeSentencia"/>
        <w:numPr>
          <w:ilvl w:val="0"/>
          <w:numId w:val="0"/>
        </w:numPr>
      </w:pPr>
      <w:r>
        <w:rPr>
          <w:rStyle w:val="FootnoteReference"/>
        </w:rPr>
        <w:footnoteRef/>
      </w:r>
      <w:r>
        <w:t xml:space="preserve"> </w:t>
      </w:r>
      <w:r>
        <w:tab/>
      </w:r>
      <w:r w:rsidRPr="00742C6C">
        <w:rPr>
          <w:rFonts w:cs="Arial"/>
          <w:sz w:val="16"/>
          <w:szCs w:val="16"/>
        </w:rPr>
        <w:t xml:space="preserve">En particular, la Comisión adujo que el Estado tuvo múltiples pruebas que establecían que el señor Pacheco fue amenazado por el entonces alcalde de </w:t>
      </w:r>
      <w:proofErr w:type="spellStart"/>
      <w:r w:rsidRPr="00742C6C">
        <w:rPr>
          <w:rFonts w:cs="Arial"/>
          <w:sz w:val="16"/>
          <w:szCs w:val="16"/>
        </w:rPr>
        <w:t>Amapala</w:t>
      </w:r>
      <w:proofErr w:type="spellEnd"/>
      <w:r w:rsidRPr="00742C6C">
        <w:rPr>
          <w:rFonts w:cs="Arial"/>
          <w:sz w:val="16"/>
          <w:szCs w:val="16"/>
        </w:rPr>
        <w:t xml:space="preserve">, JQ; el entonces diputado, MV, y el entonces diputado suplente, RP. </w:t>
      </w:r>
      <w:r>
        <w:rPr>
          <w:rFonts w:cs="Arial"/>
          <w:sz w:val="16"/>
          <w:szCs w:val="16"/>
        </w:rPr>
        <w:t>M</w:t>
      </w:r>
      <w:r w:rsidRPr="00742C6C">
        <w:rPr>
          <w:rFonts w:cs="Arial"/>
          <w:sz w:val="16"/>
          <w:szCs w:val="16"/>
        </w:rPr>
        <w:t>encionó que en informes emitidos por la Dirección General de Investigaci</w:t>
      </w:r>
      <w:r>
        <w:rPr>
          <w:rFonts w:cs="Arial"/>
          <w:sz w:val="16"/>
          <w:szCs w:val="16"/>
        </w:rPr>
        <w:t>ón Criminal</w:t>
      </w:r>
      <w:r w:rsidRPr="00742C6C">
        <w:rPr>
          <w:rFonts w:cs="Arial"/>
          <w:sz w:val="16"/>
          <w:szCs w:val="16"/>
        </w:rPr>
        <w:t>, e</w:t>
      </w:r>
      <w:r>
        <w:rPr>
          <w:rFonts w:cs="Arial"/>
          <w:sz w:val="16"/>
          <w:szCs w:val="16"/>
        </w:rPr>
        <w:t>sas personas e</w:t>
      </w:r>
      <w:r w:rsidRPr="00742C6C">
        <w:rPr>
          <w:rFonts w:cs="Arial"/>
          <w:sz w:val="16"/>
          <w:szCs w:val="16"/>
        </w:rPr>
        <w:t>ran identificad</w:t>
      </w:r>
      <w:r>
        <w:rPr>
          <w:rFonts w:cs="Arial"/>
          <w:sz w:val="16"/>
          <w:szCs w:val="16"/>
        </w:rPr>
        <w:t>a</w:t>
      </w:r>
      <w:r w:rsidRPr="00742C6C">
        <w:rPr>
          <w:rFonts w:cs="Arial"/>
          <w:sz w:val="16"/>
          <w:szCs w:val="16"/>
        </w:rPr>
        <w:t xml:space="preserve">s como </w:t>
      </w:r>
      <w:r>
        <w:rPr>
          <w:rFonts w:cs="Arial"/>
          <w:sz w:val="16"/>
          <w:szCs w:val="16"/>
        </w:rPr>
        <w:t xml:space="preserve">posibles </w:t>
      </w:r>
      <w:r w:rsidRPr="00742C6C">
        <w:rPr>
          <w:rFonts w:cs="Arial"/>
          <w:sz w:val="16"/>
          <w:szCs w:val="16"/>
        </w:rPr>
        <w:t>autor</w:t>
      </w:r>
      <w:r>
        <w:rPr>
          <w:rFonts w:cs="Arial"/>
          <w:sz w:val="16"/>
          <w:szCs w:val="16"/>
        </w:rPr>
        <w:t>a</w:t>
      </w:r>
      <w:r w:rsidRPr="00742C6C">
        <w:rPr>
          <w:rFonts w:cs="Arial"/>
          <w:sz w:val="16"/>
          <w:szCs w:val="16"/>
        </w:rPr>
        <w:t xml:space="preserve">s intelectuales de la muerte de Ángel Pacheco. La Comisión consideró que existe una falta de diligencia por parte del Estado por no investigar, “además de los agentes estatales ya mencionados”, a tres personas que habían sido señaladas como </w:t>
      </w:r>
      <w:r>
        <w:rPr>
          <w:rFonts w:cs="Arial"/>
          <w:sz w:val="16"/>
          <w:szCs w:val="16"/>
        </w:rPr>
        <w:t xml:space="preserve">presuntas </w:t>
      </w:r>
      <w:r w:rsidRPr="00742C6C">
        <w:rPr>
          <w:rFonts w:cs="Arial"/>
          <w:sz w:val="16"/>
          <w:szCs w:val="16"/>
        </w:rPr>
        <w:t>autor</w:t>
      </w:r>
      <w:r>
        <w:rPr>
          <w:rFonts w:cs="Arial"/>
          <w:sz w:val="16"/>
          <w:szCs w:val="16"/>
        </w:rPr>
        <w:t>a</w:t>
      </w:r>
      <w:r w:rsidRPr="00742C6C">
        <w:rPr>
          <w:rFonts w:cs="Arial"/>
          <w:sz w:val="16"/>
          <w:szCs w:val="16"/>
        </w:rPr>
        <w:t>s intelectuales: BC, ex diputado; J</w:t>
      </w:r>
      <w:r>
        <w:rPr>
          <w:rFonts w:cs="Arial"/>
          <w:sz w:val="16"/>
          <w:szCs w:val="16"/>
        </w:rPr>
        <w:t>E</w:t>
      </w:r>
      <w:r w:rsidRPr="00742C6C">
        <w:rPr>
          <w:rFonts w:cs="Arial"/>
          <w:sz w:val="16"/>
          <w:szCs w:val="16"/>
        </w:rPr>
        <w:t>, ex diputado, y SC, ex miembro de las fuerzas armadas. Indicó que incluso se decomisó a B</w:t>
      </w:r>
      <w:r>
        <w:rPr>
          <w:rFonts w:cs="Arial"/>
          <w:sz w:val="16"/>
          <w:szCs w:val="16"/>
        </w:rPr>
        <w:t>C</w:t>
      </w:r>
      <w:r w:rsidRPr="00742C6C">
        <w:rPr>
          <w:rFonts w:cs="Arial"/>
          <w:sz w:val="16"/>
          <w:szCs w:val="16"/>
        </w:rPr>
        <w:t xml:space="preserve"> un arma que coincidía con la utilizada en el </w:t>
      </w:r>
      <w:r>
        <w:rPr>
          <w:rFonts w:cs="Arial"/>
          <w:sz w:val="16"/>
          <w:szCs w:val="16"/>
        </w:rPr>
        <w:t>homicidio</w:t>
      </w:r>
      <w:r w:rsidRPr="00742C6C">
        <w:rPr>
          <w:rFonts w:cs="Arial"/>
          <w:sz w:val="16"/>
          <w:szCs w:val="16"/>
        </w:rPr>
        <w:t>. En cuanto a la autoría material, la Comisión mencionó que una coordinadora</w:t>
      </w:r>
      <w:r>
        <w:rPr>
          <w:rFonts w:cs="Arial"/>
          <w:sz w:val="16"/>
          <w:szCs w:val="16"/>
        </w:rPr>
        <w:t xml:space="preserve"> interina</w:t>
      </w:r>
      <w:r w:rsidRPr="00742C6C">
        <w:rPr>
          <w:rFonts w:cs="Arial"/>
          <w:sz w:val="16"/>
          <w:szCs w:val="16"/>
        </w:rPr>
        <w:t xml:space="preserve"> de la DGIC habría identificado como presunto autor material al agente policial SM, a menos de una semana de</w:t>
      </w:r>
      <w:r>
        <w:rPr>
          <w:rFonts w:cs="Arial"/>
          <w:sz w:val="16"/>
          <w:szCs w:val="16"/>
        </w:rPr>
        <w:t xml:space="preserve"> la muerte del señor Pacheco</w:t>
      </w:r>
      <w:r w:rsidRPr="00497E2A">
        <w:rPr>
          <w:rFonts w:cs="Arial"/>
          <w:sz w:val="16"/>
          <w:szCs w:val="16"/>
        </w:rPr>
        <w:t>.</w:t>
      </w:r>
      <w:r w:rsidRPr="00742C6C">
        <w:rPr>
          <w:rFonts w:cs="Arial"/>
          <w:sz w:val="16"/>
          <w:szCs w:val="16"/>
        </w:rPr>
        <w:t xml:space="preserve"> La Comisión señaló que </w:t>
      </w:r>
      <w:r>
        <w:rPr>
          <w:rFonts w:cs="Arial"/>
          <w:sz w:val="16"/>
          <w:szCs w:val="16"/>
        </w:rPr>
        <w:t>“d</w:t>
      </w:r>
      <w:r w:rsidRPr="00742C6C">
        <w:rPr>
          <w:rFonts w:cs="Arial"/>
          <w:sz w:val="16"/>
          <w:szCs w:val="16"/>
        </w:rPr>
        <w:t xml:space="preserve">el expediente no se observa ninguna diligencia destinada a identificar </w:t>
      </w:r>
      <w:r>
        <w:rPr>
          <w:rFonts w:cs="Arial"/>
          <w:sz w:val="16"/>
          <w:szCs w:val="16"/>
        </w:rPr>
        <w:t>su</w:t>
      </w:r>
      <w:r w:rsidRPr="00742C6C">
        <w:rPr>
          <w:rFonts w:cs="Arial"/>
          <w:sz w:val="16"/>
          <w:szCs w:val="16"/>
        </w:rPr>
        <w:t xml:space="preserve"> responsabilidad penal, </w:t>
      </w:r>
      <w:r>
        <w:rPr>
          <w:rFonts w:cs="Arial"/>
          <w:sz w:val="16"/>
          <w:szCs w:val="16"/>
        </w:rPr>
        <w:t xml:space="preserve">incluyendo la toma de su </w:t>
      </w:r>
      <w:r w:rsidRPr="00742C6C">
        <w:rPr>
          <w:rFonts w:cs="Arial"/>
          <w:sz w:val="16"/>
          <w:szCs w:val="16"/>
        </w:rPr>
        <w:t>declaración</w:t>
      </w:r>
      <w:r>
        <w:rPr>
          <w:rFonts w:cs="Arial"/>
          <w:sz w:val="16"/>
          <w:szCs w:val="16"/>
        </w:rPr>
        <w:t>”, entre otras</w:t>
      </w:r>
      <w:r w:rsidRPr="00742C6C">
        <w:rPr>
          <w:rFonts w:cs="Arial"/>
          <w:sz w:val="16"/>
          <w:szCs w:val="16"/>
        </w:rPr>
        <w:t>. Notó que</w:t>
      </w:r>
      <w:r>
        <w:rPr>
          <w:rFonts w:cs="Arial"/>
          <w:sz w:val="16"/>
          <w:szCs w:val="16"/>
        </w:rPr>
        <w:t xml:space="preserve"> “únicamente”</w:t>
      </w:r>
      <w:r w:rsidRPr="00742C6C">
        <w:rPr>
          <w:rFonts w:cs="Arial"/>
          <w:sz w:val="16"/>
          <w:szCs w:val="16"/>
        </w:rPr>
        <w:t xml:space="preserve"> en 2010 un fiscal señ</w:t>
      </w:r>
      <w:r>
        <w:rPr>
          <w:rFonts w:cs="Arial"/>
          <w:sz w:val="16"/>
          <w:szCs w:val="16"/>
        </w:rPr>
        <w:t>aló</w:t>
      </w:r>
      <w:r w:rsidRPr="00742C6C">
        <w:rPr>
          <w:rFonts w:cs="Arial"/>
          <w:sz w:val="16"/>
          <w:szCs w:val="16"/>
        </w:rPr>
        <w:t xml:space="preserve"> </w:t>
      </w:r>
      <w:r>
        <w:rPr>
          <w:rFonts w:cs="Arial"/>
          <w:sz w:val="16"/>
          <w:szCs w:val="16"/>
        </w:rPr>
        <w:t>“</w:t>
      </w:r>
      <w:r w:rsidRPr="00742C6C">
        <w:rPr>
          <w:rFonts w:cs="Arial"/>
          <w:sz w:val="16"/>
          <w:szCs w:val="16"/>
        </w:rPr>
        <w:t xml:space="preserve">que </w:t>
      </w:r>
      <w:r>
        <w:rPr>
          <w:rFonts w:cs="Arial"/>
          <w:sz w:val="16"/>
          <w:szCs w:val="16"/>
        </w:rPr>
        <w:t>‘</w:t>
      </w:r>
      <w:r w:rsidRPr="00742C6C">
        <w:rPr>
          <w:rFonts w:cs="Arial"/>
          <w:sz w:val="16"/>
          <w:szCs w:val="16"/>
        </w:rPr>
        <w:t xml:space="preserve">se </w:t>
      </w:r>
      <w:proofErr w:type="spellStart"/>
      <w:proofErr w:type="gramStart"/>
      <w:r w:rsidRPr="00742C6C">
        <w:rPr>
          <w:rFonts w:cs="Arial"/>
          <w:sz w:val="16"/>
          <w:szCs w:val="16"/>
        </w:rPr>
        <w:t>contin</w:t>
      </w:r>
      <w:proofErr w:type="spellEnd"/>
      <w:r>
        <w:rPr>
          <w:rFonts w:cs="Arial"/>
          <w:sz w:val="16"/>
          <w:szCs w:val="16"/>
        </w:rPr>
        <w:t>[</w:t>
      </w:r>
      <w:proofErr w:type="spellStart"/>
      <w:proofErr w:type="gramEnd"/>
      <w:r w:rsidRPr="00742C6C">
        <w:rPr>
          <w:rFonts w:cs="Arial"/>
          <w:sz w:val="16"/>
          <w:szCs w:val="16"/>
        </w:rPr>
        <w:t>uaba</w:t>
      </w:r>
      <w:proofErr w:type="spellEnd"/>
      <w:r>
        <w:rPr>
          <w:rFonts w:cs="Arial"/>
          <w:sz w:val="16"/>
          <w:szCs w:val="16"/>
        </w:rPr>
        <w:t>]</w:t>
      </w:r>
      <w:r w:rsidRPr="00742C6C">
        <w:rPr>
          <w:rFonts w:cs="Arial"/>
          <w:sz w:val="16"/>
          <w:szCs w:val="16"/>
        </w:rPr>
        <w:t xml:space="preserve"> manejando como hipótesis</w:t>
      </w:r>
      <w:r>
        <w:rPr>
          <w:rFonts w:cs="Arial"/>
          <w:sz w:val="16"/>
          <w:szCs w:val="16"/>
        </w:rPr>
        <w:t xml:space="preserve"> única</w:t>
      </w:r>
      <w:r w:rsidRPr="00742C6C">
        <w:rPr>
          <w:rFonts w:cs="Arial"/>
          <w:sz w:val="16"/>
          <w:szCs w:val="16"/>
        </w:rPr>
        <w:t xml:space="preserve"> que el autor ejecutivo del crimen </w:t>
      </w:r>
      <w:r>
        <w:rPr>
          <w:rFonts w:cs="Arial"/>
          <w:sz w:val="16"/>
          <w:szCs w:val="16"/>
        </w:rPr>
        <w:t>fue</w:t>
      </w:r>
      <w:r w:rsidRPr="00742C6C">
        <w:rPr>
          <w:rFonts w:cs="Arial"/>
          <w:sz w:val="16"/>
          <w:szCs w:val="16"/>
        </w:rPr>
        <w:t xml:space="preserve"> un policía preventivo</w:t>
      </w:r>
      <w:r>
        <w:rPr>
          <w:rFonts w:cs="Arial"/>
          <w:sz w:val="16"/>
          <w:szCs w:val="16"/>
        </w:rPr>
        <w:t>’”</w:t>
      </w:r>
      <w:r w:rsidRPr="00742C6C">
        <w:rPr>
          <w:rFonts w:cs="Arial"/>
          <w:sz w:val="16"/>
          <w:szCs w:val="16"/>
        </w:rPr>
        <w:t xml:space="preserve">. </w:t>
      </w:r>
    </w:p>
  </w:footnote>
  <w:footnote w:id="119">
    <w:p w14:paraId="472F4A2A" w14:textId="6556C611"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rFonts w:cs="Arial"/>
          <w:lang w:val="es-MX"/>
        </w:rPr>
        <w:t>Adicionalmente, la Comisi</w:t>
      </w:r>
      <w:r w:rsidRPr="007B43FC">
        <w:rPr>
          <w:rFonts w:cs="Calibri"/>
          <w:lang w:val="es-MX"/>
        </w:rPr>
        <w:t>ó</w:t>
      </w:r>
      <w:r w:rsidRPr="007B43FC">
        <w:rPr>
          <w:rFonts w:cs="Arial"/>
          <w:lang w:val="es-MX"/>
        </w:rPr>
        <w:t>n not</w:t>
      </w:r>
      <w:r w:rsidRPr="007B43FC">
        <w:rPr>
          <w:rFonts w:cs="Calibri"/>
          <w:lang w:val="es-MX"/>
        </w:rPr>
        <w:t>ó</w:t>
      </w:r>
      <w:r w:rsidRPr="007B43FC">
        <w:rPr>
          <w:rFonts w:cs="Arial"/>
          <w:lang w:val="es-MX"/>
        </w:rPr>
        <w:t xml:space="preserve"> que a pocos d</w:t>
      </w:r>
      <w:r w:rsidRPr="007B43FC">
        <w:rPr>
          <w:rFonts w:cs="Calibri"/>
          <w:lang w:val="es-MX"/>
        </w:rPr>
        <w:t>í</w:t>
      </w:r>
      <w:r w:rsidRPr="007B43FC">
        <w:rPr>
          <w:rFonts w:cs="Arial"/>
          <w:lang w:val="es-MX"/>
        </w:rPr>
        <w:t>as de iniciada la investigaci</w:t>
      </w:r>
      <w:r w:rsidRPr="007B43FC">
        <w:rPr>
          <w:rFonts w:cs="Calibri"/>
          <w:lang w:val="es-MX"/>
        </w:rPr>
        <w:t>ó</w:t>
      </w:r>
      <w:r w:rsidRPr="007B43FC">
        <w:rPr>
          <w:rFonts w:cs="Arial"/>
          <w:lang w:val="es-MX"/>
        </w:rPr>
        <w:t xml:space="preserve">n </w:t>
      </w:r>
      <w:proofErr w:type="spellStart"/>
      <w:r w:rsidRPr="007B43FC">
        <w:rPr>
          <w:rFonts w:cs="Arial"/>
          <w:lang w:val="es-MX"/>
        </w:rPr>
        <w:t>Jimy</w:t>
      </w:r>
      <w:proofErr w:type="spellEnd"/>
      <w:r w:rsidRPr="007B43FC">
        <w:rPr>
          <w:rFonts w:cs="Arial"/>
          <w:lang w:val="es-MX"/>
        </w:rPr>
        <w:t xml:space="preserve"> Pacheco se</w:t>
      </w:r>
      <w:r w:rsidRPr="007B43FC">
        <w:rPr>
          <w:rFonts w:cs="Calibri"/>
          <w:lang w:val="es-MX"/>
        </w:rPr>
        <w:t>ñ</w:t>
      </w:r>
      <w:r w:rsidRPr="007B43FC">
        <w:rPr>
          <w:rFonts w:cs="Arial"/>
          <w:lang w:val="es-MX"/>
        </w:rPr>
        <w:t>al</w:t>
      </w:r>
      <w:r w:rsidRPr="007B43FC">
        <w:rPr>
          <w:rFonts w:cs="Calibri"/>
          <w:lang w:val="es-MX"/>
        </w:rPr>
        <w:t>ó</w:t>
      </w:r>
      <w:r w:rsidRPr="007B43FC">
        <w:rPr>
          <w:rFonts w:cs="Arial"/>
          <w:lang w:val="es-MX"/>
        </w:rPr>
        <w:t xml:space="preserve"> que no reconoc</w:t>
      </w:r>
      <w:r w:rsidRPr="007B43FC">
        <w:rPr>
          <w:rFonts w:cs="Calibri"/>
          <w:lang w:val="es-MX"/>
        </w:rPr>
        <w:t>í</w:t>
      </w:r>
      <w:r w:rsidRPr="007B43FC">
        <w:rPr>
          <w:rFonts w:cs="Arial"/>
          <w:lang w:val="es-MX"/>
        </w:rPr>
        <w:t>a a las tres personas referidas como quienes dispararon a su padre, y tampoco reconoci</w:t>
      </w:r>
      <w:r w:rsidRPr="007B43FC">
        <w:rPr>
          <w:rFonts w:cs="Calibri"/>
          <w:lang w:val="es-MX"/>
        </w:rPr>
        <w:t>ó</w:t>
      </w:r>
      <w:r w:rsidRPr="007B43FC">
        <w:rPr>
          <w:rFonts w:cs="Arial"/>
          <w:lang w:val="es-MX"/>
        </w:rPr>
        <w:t xml:space="preserve"> el autom</w:t>
      </w:r>
      <w:r w:rsidRPr="007B43FC">
        <w:rPr>
          <w:rFonts w:cs="Calibri"/>
          <w:lang w:val="es-MX"/>
        </w:rPr>
        <w:t>ó</w:t>
      </w:r>
      <w:r w:rsidRPr="007B43FC">
        <w:rPr>
          <w:rFonts w:cs="Arial"/>
          <w:lang w:val="es-MX"/>
        </w:rPr>
        <w:t xml:space="preserve">vil </w:t>
      </w:r>
      <w:r>
        <w:rPr>
          <w:rFonts w:cs="Arial"/>
          <w:lang w:val="es-MX"/>
        </w:rPr>
        <w:t>decomisado a dos de ellas</w:t>
      </w:r>
      <w:r w:rsidRPr="007B43FC">
        <w:rPr>
          <w:rFonts w:cs="Arial"/>
          <w:lang w:val="es-MX"/>
        </w:rPr>
        <w:t xml:space="preserve"> como el que vio el d</w:t>
      </w:r>
      <w:r w:rsidRPr="007B43FC">
        <w:rPr>
          <w:rFonts w:cs="Calibri"/>
          <w:lang w:val="es-MX"/>
        </w:rPr>
        <w:t>í</w:t>
      </w:r>
      <w:r w:rsidRPr="007B43FC">
        <w:rPr>
          <w:rFonts w:cs="Arial"/>
          <w:lang w:val="es-MX"/>
        </w:rPr>
        <w:t>a de la muerte del se</w:t>
      </w:r>
      <w:r w:rsidRPr="007B43FC">
        <w:rPr>
          <w:rFonts w:cs="Calibri"/>
          <w:lang w:val="es-MX"/>
        </w:rPr>
        <w:t>ñ</w:t>
      </w:r>
      <w:r w:rsidRPr="007B43FC">
        <w:rPr>
          <w:rFonts w:cs="Arial"/>
          <w:lang w:val="es-MX"/>
        </w:rPr>
        <w:t xml:space="preserve">or Pacheco. </w:t>
      </w:r>
      <w:r w:rsidRPr="008C620B">
        <w:t xml:space="preserve">La Comisión sostuvo que “el </w:t>
      </w:r>
      <w:r w:rsidRPr="00466E92">
        <w:rPr>
          <w:rFonts w:cs="Arial"/>
        </w:rPr>
        <w:t>hecho que la investigación se concentrara inicialmente en tres personas</w:t>
      </w:r>
      <w:r>
        <w:rPr>
          <w:rFonts w:cs="Arial"/>
        </w:rPr>
        <w:t>,</w:t>
      </w:r>
      <w:r w:rsidRPr="00466E92">
        <w:rPr>
          <w:rFonts w:cs="Arial"/>
        </w:rPr>
        <w:t xml:space="preserve"> […] y no se considerara la información que vinculaba a agentes estatales, podría ser incluso considerado como un actuar deliberado en desviar la investigación”.</w:t>
      </w:r>
    </w:p>
  </w:footnote>
  <w:footnote w:id="120">
    <w:p w14:paraId="7C3D0020" w14:textId="4CF95596" w:rsidR="00E02FDB" w:rsidRPr="002E44FA" w:rsidRDefault="00E02FDB" w:rsidP="004635E5">
      <w:pPr>
        <w:pStyle w:val="FootnoteText"/>
        <w:rPr>
          <w:lang w:val="es-CR"/>
        </w:rPr>
      </w:pPr>
      <w:r>
        <w:rPr>
          <w:rStyle w:val="FootnoteReference"/>
        </w:rPr>
        <w:footnoteRef/>
      </w:r>
      <w:r>
        <w:t xml:space="preserve"> </w:t>
      </w:r>
      <w:r>
        <w:tab/>
      </w:r>
      <w:r w:rsidRPr="00670DE8">
        <w:t xml:space="preserve">Señalaron que los investigadores tomaron al menos unas 50 declaraciones que no han servido para poder identificar a posibles testigos o sospechosos. Añadieron </w:t>
      </w:r>
      <w:r>
        <w:t xml:space="preserve">que </w:t>
      </w:r>
      <w:r w:rsidRPr="00670DE8">
        <w:t xml:space="preserve">no </w:t>
      </w:r>
      <w:r>
        <w:t xml:space="preserve">se </w:t>
      </w:r>
      <w:r w:rsidRPr="00670DE8">
        <w:t xml:space="preserve">ha interrogado a toda la lista de posibles autores intelectuales que ha proporcionado la familia de la víctima y </w:t>
      </w:r>
      <w:r>
        <w:t>“los</w:t>
      </w:r>
      <w:r w:rsidRPr="00670DE8">
        <w:t xml:space="preserve"> colegas</w:t>
      </w:r>
      <w:r>
        <w:t xml:space="preserve"> de Ángel Pacheco”</w:t>
      </w:r>
      <w:r w:rsidRPr="00670DE8">
        <w:t xml:space="preserve">. Expresaron que “[e]n cuanto a las declaraciones que </w:t>
      </w:r>
      <w:proofErr w:type="gramStart"/>
      <w:r w:rsidRPr="00670DE8">
        <w:t>s[</w:t>
      </w:r>
      <w:proofErr w:type="gramEnd"/>
      <w:r w:rsidRPr="00670DE8">
        <w:t>í</w:t>
      </w:r>
      <w:r>
        <w:t xml:space="preserve"> se</w:t>
      </w:r>
      <w:r w:rsidRPr="00670DE8">
        <w:t>] tomaron […n]o se observa que [las autoridades] realizar[a]n diligencias investigativas para dar</w:t>
      </w:r>
      <w:r>
        <w:t>[les]</w:t>
      </w:r>
      <w:r w:rsidRPr="00670DE8">
        <w:t xml:space="preserve"> seguimiento </w:t>
      </w:r>
      <w:r>
        <w:t xml:space="preserve">[…] </w:t>
      </w:r>
      <w:r w:rsidRPr="00670DE8">
        <w:t>o para encontrar elementos corroborativos de lo que fue declarado”.</w:t>
      </w:r>
      <w:r>
        <w:rPr>
          <w:b/>
        </w:rPr>
        <w:t xml:space="preserve"> </w:t>
      </w:r>
      <w:r w:rsidRPr="008879C6">
        <w:rPr>
          <w:rFonts w:cs="Arial"/>
        </w:rPr>
        <w:t>Agregaron que “</w:t>
      </w:r>
      <w:r w:rsidRPr="008879C6">
        <w:t>desde los primeros informes de la D[GIC]</w:t>
      </w:r>
      <w:r w:rsidRPr="008A2AE0">
        <w:t xml:space="preserve">, un agente policial fue identificado como el posible autor material del </w:t>
      </w:r>
      <w:r>
        <w:t>[homicidio]</w:t>
      </w:r>
      <w:r w:rsidRPr="008A2AE0">
        <w:t>, pero las diligencias para investigar esta posibilidad se limitaron a tomar su declaración años después de los hechos y a un acto de identificación fotográfica […] 7 años después del crimen”.</w:t>
      </w:r>
    </w:p>
  </w:footnote>
  <w:footnote w:id="121">
    <w:p w14:paraId="4B3AC7C8" w14:textId="14554C6A" w:rsidR="00E02FDB" w:rsidRPr="008879C6" w:rsidRDefault="00E02FDB" w:rsidP="004635E5">
      <w:pPr>
        <w:pStyle w:val="FootnoteText"/>
      </w:pPr>
      <w:r>
        <w:rPr>
          <w:rStyle w:val="FootnoteReference"/>
        </w:rPr>
        <w:footnoteRef/>
      </w:r>
      <w:r>
        <w:t xml:space="preserve"> </w:t>
      </w:r>
      <w:r>
        <w:tab/>
      </w:r>
      <w:r>
        <w:rPr>
          <w:szCs w:val="20"/>
        </w:rPr>
        <w:t xml:space="preserve">Al respecto, señalaron que </w:t>
      </w:r>
      <w:proofErr w:type="spellStart"/>
      <w:r w:rsidRPr="00C011CF">
        <w:rPr>
          <w:szCs w:val="20"/>
        </w:rPr>
        <w:t>Jimy</w:t>
      </w:r>
      <w:proofErr w:type="spellEnd"/>
      <w:r w:rsidRPr="00C011CF">
        <w:rPr>
          <w:szCs w:val="20"/>
        </w:rPr>
        <w:t xml:space="preserve"> Pacheco no reconoci</w:t>
      </w:r>
      <w:r>
        <w:rPr>
          <w:szCs w:val="20"/>
        </w:rPr>
        <w:t>ó</w:t>
      </w:r>
      <w:r w:rsidRPr="00C011CF">
        <w:rPr>
          <w:szCs w:val="20"/>
        </w:rPr>
        <w:t xml:space="preserve"> </w:t>
      </w:r>
      <w:r>
        <w:rPr>
          <w:szCs w:val="20"/>
        </w:rPr>
        <w:t xml:space="preserve">a esas personas </w:t>
      </w:r>
      <w:r w:rsidRPr="00C011CF">
        <w:rPr>
          <w:szCs w:val="20"/>
        </w:rPr>
        <w:t>como autoras materiales y había indicado que el vehículo decomisado no era el que él había visto la noche de la muerte de su padre.</w:t>
      </w:r>
    </w:p>
  </w:footnote>
  <w:footnote w:id="122">
    <w:p w14:paraId="290F1CBF" w14:textId="276127B8" w:rsidR="00E02FDB" w:rsidRPr="00C011CF" w:rsidRDefault="00E02FDB" w:rsidP="004635E5">
      <w:pPr>
        <w:pStyle w:val="FootnoteText"/>
        <w:rPr>
          <w:lang w:val="es-CR"/>
        </w:rPr>
      </w:pPr>
      <w:r>
        <w:rPr>
          <w:rStyle w:val="FootnoteReference"/>
        </w:rPr>
        <w:footnoteRef/>
      </w:r>
      <w:r>
        <w:t xml:space="preserve"> </w:t>
      </w:r>
      <w:r>
        <w:tab/>
      </w:r>
      <w:r>
        <w:rPr>
          <w:lang w:val="es-CR"/>
        </w:rPr>
        <w:t>Los representantes aludieron al “</w:t>
      </w:r>
      <w:r w:rsidRPr="00400E3C">
        <w:rPr>
          <w:lang w:val="es-CR"/>
        </w:rPr>
        <w:t>artículo 33 de la ley</w:t>
      </w:r>
      <w:r>
        <w:rPr>
          <w:lang w:val="es-CR"/>
        </w:rPr>
        <w:t xml:space="preserve"> </w:t>
      </w:r>
      <w:r w:rsidRPr="00400E3C">
        <w:rPr>
          <w:lang w:val="es-CR"/>
        </w:rPr>
        <w:t>del Ministerio Público</w:t>
      </w:r>
      <w:r>
        <w:rPr>
          <w:lang w:val="es-CR"/>
        </w:rPr>
        <w:t xml:space="preserve"> (</w:t>
      </w:r>
      <w:r w:rsidRPr="00400E3C">
        <w:rPr>
          <w:lang w:val="es-CR"/>
        </w:rPr>
        <w:t>Decreto No.228-93 de 1993</w:t>
      </w:r>
      <w:r>
        <w:rPr>
          <w:lang w:val="es-CR"/>
        </w:rPr>
        <w:t>)”.</w:t>
      </w:r>
    </w:p>
  </w:footnote>
  <w:footnote w:id="123">
    <w:p w14:paraId="43CEA41A" w14:textId="553D93EF"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rFonts w:cs="Arial"/>
          <w:lang w:val="es-MX"/>
        </w:rPr>
        <w:t>A</w:t>
      </w:r>
      <w:r w:rsidRPr="007B43FC">
        <w:rPr>
          <w:rFonts w:cs="Calibri"/>
          <w:lang w:val="es-MX"/>
        </w:rPr>
        <w:t>ñ</w:t>
      </w:r>
      <w:r w:rsidRPr="007B43FC">
        <w:rPr>
          <w:rFonts w:cs="Arial"/>
          <w:lang w:val="es-MX"/>
        </w:rPr>
        <w:t>adieron los representantes, e</w:t>
      </w:r>
      <w:r>
        <w:rPr>
          <w:rFonts w:cs="Arial"/>
          <w:lang w:val="es-MX"/>
        </w:rPr>
        <w:t>n</w:t>
      </w:r>
      <w:r w:rsidRPr="007B43FC">
        <w:rPr>
          <w:rFonts w:cs="Arial"/>
          <w:lang w:val="es-MX"/>
        </w:rPr>
        <w:t xml:space="preserve"> su escrito de solicitudes y argumentos, que la </w:t>
      </w:r>
      <w:r w:rsidRPr="007B43FC">
        <w:rPr>
          <w:rFonts w:cs="Calibri"/>
          <w:lang w:val="es-MX"/>
        </w:rPr>
        <w:t>ú</w:t>
      </w:r>
      <w:r w:rsidRPr="007B43FC">
        <w:rPr>
          <w:rFonts w:cs="Arial"/>
          <w:lang w:val="es-MX"/>
        </w:rPr>
        <w:t>ltima diligencia que hab</w:t>
      </w:r>
      <w:r w:rsidRPr="007B43FC">
        <w:rPr>
          <w:rFonts w:cs="Calibri"/>
          <w:lang w:val="es-MX"/>
        </w:rPr>
        <w:t>í</w:t>
      </w:r>
      <w:r w:rsidRPr="007B43FC">
        <w:rPr>
          <w:rFonts w:cs="Arial"/>
          <w:lang w:val="es-MX"/>
        </w:rPr>
        <w:t>a sido realizada en el expediente de investigaci</w:t>
      </w:r>
      <w:r w:rsidRPr="007B43FC">
        <w:rPr>
          <w:rFonts w:cs="Calibri"/>
          <w:lang w:val="es-MX"/>
        </w:rPr>
        <w:t>ó</w:t>
      </w:r>
      <w:r w:rsidRPr="007B43FC">
        <w:rPr>
          <w:rFonts w:cs="Arial"/>
          <w:lang w:val="es-MX"/>
        </w:rPr>
        <w:t xml:space="preserve">n tiene fecha de </w:t>
      </w:r>
      <w:r>
        <w:rPr>
          <w:rFonts w:cs="Arial"/>
          <w:lang w:val="es-MX"/>
        </w:rPr>
        <w:t>“</w:t>
      </w:r>
      <w:r w:rsidRPr="007B43FC">
        <w:rPr>
          <w:rFonts w:cs="Arial"/>
          <w:lang w:val="es-MX"/>
        </w:rPr>
        <w:t>10 de octubre de 2014</w:t>
      </w:r>
      <w:r>
        <w:rPr>
          <w:rFonts w:cs="Arial"/>
          <w:lang w:val="es-MX"/>
        </w:rPr>
        <w:t>”.</w:t>
      </w:r>
      <w:r w:rsidRPr="007B43FC">
        <w:rPr>
          <w:rFonts w:cs="Arial"/>
          <w:lang w:val="es-MX"/>
        </w:rPr>
        <w:t xml:space="preserve"> </w:t>
      </w:r>
    </w:p>
  </w:footnote>
  <w:footnote w:id="124">
    <w:p w14:paraId="697A55AE" w14:textId="36612CB7" w:rsidR="00E02FDB" w:rsidRPr="00884420" w:rsidRDefault="00E02FDB" w:rsidP="004635E5">
      <w:pPr>
        <w:pStyle w:val="FootnoteText"/>
      </w:pPr>
      <w:r>
        <w:rPr>
          <w:rStyle w:val="FootnoteReference"/>
        </w:rPr>
        <w:footnoteRef/>
      </w:r>
      <w:r>
        <w:t xml:space="preserve"> </w:t>
      </w:r>
      <w:r>
        <w:tab/>
      </w:r>
      <w:r w:rsidRPr="00211FF5">
        <w:rPr>
          <w:rFonts w:cs="Arial"/>
        </w:rPr>
        <w:t xml:space="preserve">Honduras adujo que llevó a cabo las acciones que, según indicó, la Corte especificó “en el </w:t>
      </w:r>
      <w:r w:rsidRPr="00211FF5">
        <w:rPr>
          <w:rFonts w:cs="Arial"/>
          <w:i/>
        </w:rPr>
        <w:t>Caso Garibaldi Vs. Brasil</w:t>
      </w:r>
      <w:r w:rsidRPr="00211FF5">
        <w:rPr>
          <w:rFonts w:cs="Arial"/>
        </w:rPr>
        <w:t>” (la cursiva pertenece al texto original). Es decir, conforme refirió el Estado</w:t>
      </w:r>
      <w:r>
        <w:rPr>
          <w:rFonts w:cs="Arial"/>
        </w:rPr>
        <w:t>, las siguientes</w:t>
      </w:r>
      <w:r w:rsidRPr="00211FF5">
        <w:rPr>
          <w:rFonts w:cs="Arial"/>
        </w:rPr>
        <w:t>: “1) [i]</w:t>
      </w:r>
      <w:proofErr w:type="spellStart"/>
      <w:r w:rsidRPr="00211FF5">
        <w:rPr>
          <w:rFonts w:cs="Arial"/>
        </w:rPr>
        <w:t>dentificar</w:t>
      </w:r>
      <w:proofErr w:type="spellEnd"/>
      <w:r w:rsidRPr="00211FF5">
        <w:rPr>
          <w:rFonts w:cs="Arial"/>
        </w:rPr>
        <w:t xml:space="preserve"> a la víctima; 2) [r]</w:t>
      </w:r>
      <w:proofErr w:type="spellStart"/>
      <w:r w:rsidRPr="00211FF5">
        <w:rPr>
          <w:rFonts w:cs="Arial"/>
        </w:rPr>
        <w:t>ecuperar</w:t>
      </w:r>
      <w:proofErr w:type="spellEnd"/>
      <w:r w:rsidRPr="00211FF5">
        <w:rPr>
          <w:rFonts w:cs="Arial"/>
        </w:rPr>
        <w:t xml:space="preserve"> y preservar el material probatorio relacionado con la muerte, con el fin de ayudar en cualquier potencial investigación penal de los responsables; 3) [i]</w:t>
      </w:r>
      <w:proofErr w:type="spellStart"/>
      <w:r w:rsidRPr="00211FF5">
        <w:rPr>
          <w:rFonts w:cs="Arial"/>
        </w:rPr>
        <w:t>dentificar</w:t>
      </w:r>
      <w:proofErr w:type="spellEnd"/>
      <w:r w:rsidRPr="00211FF5">
        <w:rPr>
          <w:rFonts w:cs="Arial"/>
        </w:rPr>
        <w:t xml:space="preserve"> posibles testigos y obtener sus declaraciones en relación con la muerte que se investiga; 4) [d]</w:t>
      </w:r>
      <w:proofErr w:type="spellStart"/>
      <w:r w:rsidRPr="00211FF5">
        <w:rPr>
          <w:rFonts w:cs="Arial"/>
        </w:rPr>
        <w:t>eterminar</w:t>
      </w:r>
      <w:proofErr w:type="spellEnd"/>
      <w:r w:rsidRPr="00211FF5">
        <w:rPr>
          <w:rFonts w:cs="Arial"/>
        </w:rPr>
        <w:t xml:space="preserve"> la causa, forma, lugar y momento de la muerte, así como cualquier patrón o práctica que pueda haber causado la muerte, y […] 5) [d]</w:t>
      </w:r>
      <w:proofErr w:type="spellStart"/>
      <w:r w:rsidRPr="00211FF5">
        <w:rPr>
          <w:rFonts w:cs="Arial"/>
        </w:rPr>
        <w:t>istinguir</w:t>
      </w:r>
      <w:proofErr w:type="spellEnd"/>
      <w:r w:rsidRPr="00211FF5">
        <w:rPr>
          <w:rFonts w:cs="Arial"/>
        </w:rPr>
        <w:t xml:space="preserve"> entre muerte natural, muerte accidental, suicidio y homicidio”.</w:t>
      </w:r>
    </w:p>
  </w:footnote>
  <w:footnote w:id="125">
    <w:p w14:paraId="1535E50E" w14:textId="48FD29BE" w:rsidR="00E02FDB" w:rsidRPr="00E55B9A" w:rsidRDefault="00E02FDB" w:rsidP="004635E5">
      <w:pPr>
        <w:pStyle w:val="FootnoteText"/>
      </w:pPr>
      <w:r>
        <w:rPr>
          <w:rStyle w:val="FootnoteReference"/>
        </w:rPr>
        <w:footnoteRef/>
      </w:r>
      <w:r w:rsidRPr="002D5A5C">
        <w:rPr>
          <w:i/>
        </w:rPr>
        <w:t xml:space="preserve"> </w:t>
      </w:r>
      <w:r>
        <w:rPr>
          <w:i/>
        </w:rPr>
        <w:tab/>
      </w:r>
      <w:r w:rsidRPr="002D5A5C">
        <w:rPr>
          <w:i/>
        </w:rPr>
        <w:t>Cfr</w:t>
      </w:r>
      <w:r>
        <w:t xml:space="preserve">. </w:t>
      </w:r>
      <w:r w:rsidRPr="002D5A5C">
        <w:rPr>
          <w:i/>
        </w:rPr>
        <w:t>Caso Tenorio Roca y otros Vs. Perú. Excepciones Preliminares, Fondo, Reparaciones y Costas.</w:t>
      </w:r>
      <w:r w:rsidRPr="00B842AD">
        <w:t xml:space="preserve"> Sentencia de 22 de</w:t>
      </w:r>
      <w:r>
        <w:t xml:space="preserve"> junio de 2016. Serie C No. 314, párr. 175, y </w:t>
      </w:r>
      <w:r>
        <w:rPr>
          <w:i/>
          <w:iCs/>
        </w:rPr>
        <w:t xml:space="preserve">mutatis </w:t>
      </w:r>
      <w:proofErr w:type="spellStart"/>
      <w:r>
        <w:rPr>
          <w:i/>
          <w:iCs/>
        </w:rPr>
        <w:t>mutandi</w:t>
      </w:r>
      <w:proofErr w:type="spellEnd"/>
      <w:r>
        <w:rPr>
          <w:i/>
          <w:iCs/>
        </w:rPr>
        <w:t>, Caso Castillo González y otros Vs. Venezuela. Fondo</w:t>
      </w:r>
      <w:r>
        <w:t xml:space="preserve">. Sentencia de 27 de noviembre de 2012. Serie C No. 256, párr. 160.  </w:t>
      </w:r>
    </w:p>
  </w:footnote>
  <w:footnote w:id="126">
    <w:p w14:paraId="4FA112B1" w14:textId="1095F995" w:rsidR="00E02FDB" w:rsidRPr="00497E2A" w:rsidRDefault="00E02FDB" w:rsidP="004635E5">
      <w:pPr>
        <w:pStyle w:val="FootnoteText"/>
        <w:rPr>
          <w:bCs/>
          <w:color w:val="000000"/>
          <w:shd w:val="clear" w:color="auto" w:fill="FFFFFF"/>
          <w:lang w:val="es-CR"/>
        </w:rPr>
      </w:pPr>
      <w:r w:rsidRPr="007B43FC">
        <w:rPr>
          <w:rStyle w:val="FootnoteReference"/>
        </w:rPr>
        <w:footnoteRef/>
      </w:r>
      <w:r w:rsidRPr="007B43FC">
        <w:rPr>
          <w:lang w:val="es-CR"/>
        </w:rPr>
        <w:t xml:space="preserve"> </w:t>
      </w:r>
      <w:r>
        <w:rPr>
          <w:lang w:val="es-CR"/>
        </w:rPr>
        <w:tab/>
      </w:r>
      <w:r w:rsidRPr="00497E2A">
        <w:rPr>
          <w:i/>
          <w:lang w:val="es-CR"/>
        </w:rPr>
        <w:t>Cfr. Caso Velásque</w:t>
      </w:r>
      <w:r>
        <w:rPr>
          <w:i/>
          <w:lang w:val="es-CR"/>
        </w:rPr>
        <w:t xml:space="preserve">z Rodríguez Vs. Honduras. Fondo, </w:t>
      </w:r>
      <w:r w:rsidRPr="00F24D60">
        <w:rPr>
          <w:lang w:val="es-CR"/>
        </w:rPr>
        <w:t>párr. 177,</w:t>
      </w:r>
      <w:r>
        <w:rPr>
          <w:lang w:val="es-CR"/>
        </w:rPr>
        <w:t xml:space="preserve"> y </w:t>
      </w:r>
      <w:r w:rsidRPr="00497E2A">
        <w:rPr>
          <w:i/>
          <w:lang w:val="es-CR"/>
        </w:rPr>
        <w:t>Caso Gutiérrez Hernández y otros Vs. Guatemala</w:t>
      </w:r>
      <w:r w:rsidRPr="00495577">
        <w:rPr>
          <w:lang w:val="es-CR"/>
        </w:rPr>
        <w:t xml:space="preserve">. </w:t>
      </w:r>
      <w:r w:rsidRPr="004610BF">
        <w:rPr>
          <w:i/>
          <w:lang w:val="es-CR"/>
        </w:rPr>
        <w:t>Excepciones Preliminares, Fondo, Reparaciones y Costas</w:t>
      </w:r>
      <w:r w:rsidRPr="00495577">
        <w:rPr>
          <w:lang w:val="es-CR"/>
        </w:rPr>
        <w:t>. Sentencia de 24 de agosto de 2017. Serie C No. 339</w:t>
      </w:r>
      <w:r>
        <w:rPr>
          <w:lang w:val="es-CR"/>
        </w:rPr>
        <w:t>, párr. 148.</w:t>
      </w:r>
      <w:r>
        <w:rPr>
          <w:rStyle w:val="Strong"/>
          <w:b w:val="0"/>
          <w:color w:val="000000"/>
          <w:shd w:val="clear" w:color="auto" w:fill="FFFFFF"/>
          <w:lang w:val="es-CR"/>
        </w:rPr>
        <w:t xml:space="preserve"> La Corte advierte que, adicionalmente a las obligaciones que surgen del orden jurídico internacional, el perito Mejía Rivera aseveró que “</w:t>
      </w:r>
      <w:r w:rsidRPr="00495577">
        <w:rPr>
          <w:rStyle w:val="Strong"/>
          <w:b w:val="0"/>
          <w:color w:val="000000"/>
          <w:shd w:val="clear" w:color="auto" w:fill="FFFFFF"/>
          <w:lang w:val="es-CR"/>
        </w:rPr>
        <w:t>las normas procesales pe</w:t>
      </w:r>
      <w:r>
        <w:rPr>
          <w:rStyle w:val="Strong"/>
          <w:b w:val="0"/>
          <w:color w:val="000000"/>
          <w:shd w:val="clear" w:color="auto" w:fill="FFFFFF"/>
          <w:lang w:val="es-CR"/>
        </w:rPr>
        <w:t xml:space="preserve">nales hondureñas establecen que </w:t>
      </w:r>
      <w:r w:rsidRPr="00495577">
        <w:rPr>
          <w:rStyle w:val="Strong"/>
          <w:b w:val="0"/>
          <w:color w:val="000000"/>
          <w:shd w:val="clear" w:color="auto" w:fill="FFFFFF"/>
          <w:lang w:val="es-CR"/>
        </w:rPr>
        <w:t>la justicia penal debe llevarse a cabo de manera pronta y efectiva</w:t>
      </w:r>
      <w:r>
        <w:rPr>
          <w:rStyle w:val="Strong"/>
          <w:b w:val="0"/>
          <w:color w:val="000000"/>
          <w:shd w:val="clear" w:color="auto" w:fill="FFFFFF"/>
          <w:lang w:val="es-CR"/>
        </w:rPr>
        <w:t>”, agregando que la efectividad referida implica que la justicia penal actúe “orientada” por “</w:t>
      </w:r>
      <w:r w:rsidRPr="00495577">
        <w:rPr>
          <w:rStyle w:val="Strong"/>
          <w:b w:val="0"/>
          <w:color w:val="000000"/>
          <w:shd w:val="clear" w:color="auto" w:fill="FFFFFF"/>
          <w:lang w:val="es-CR"/>
        </w:rPr>
        <w:t>los principios de oficiosidad, oportunidad,</w:t>
      </w:r>
      <w:r>
        <w:rPr>
          <w:rStyle w:val="Strong"/>
          <w:b w:val="0"/>
          <w:color w:val="000000"/>
          <w:shd w:val="clear" w:color="auto" w:fill="FFFFFF"/>
          <w:lang w:val="es-CR"/>
        </w:rPr>
        <w:t xml:space="preserve"> </w:t>
      </w:r>
      <w:r w:rsidRPr="00495577">
        <w:rPr>
          <w:rStyle w:val="Strong"/>
          <w:b w:val="0"/>
          <w:color w:val="000000"/>
          <w:shd w:val="clear" w:color="auto" w:fill="FFFFFF"/>
          <w:lang w:val="es-CR"/>
        </w:rPr>
        <w:t>competencia, independencia e imparcialidad</w:t>
      </w:r>
      <w:r>
        <w:rPr>
          <w:rStyle w:val="Strong"/>
          <w:b w:val="0"/>
          <w:color w:val="000000"/>
          <w:shd w:val="clear" w:color="auto" w:fill="FFFFFF"/>
          <w:lang w:val="es-CR"/>
        </w:rPr>
        <w:t xml:space="preserve">, exhaustividad y participación </w:t>
      </w:r>
      <w:r w:rsidRPr="00495577">
        <w:rPr>
          <w:rStyle w:val="Strong"/>
          <w:b w:val="0"/>
          <w:color w:val="000000"/>
          <w:shd w:val="clear" w:color="auto" w:fill="FFFFFF"/>
          <w:lang w:val="es-CR"/>
        </w:rPr>
        <w:t>de las víctimas y sus familiares</w:t>
      </w:r>
      <w:r>
        <w:rPr>
          <w:rStyle w:val="Strong"/>
          <w:b w:val="0"/>
          <w:color w:val="000000"/>
          <w:shd w:val="clear" w:color="auto" w:fill="FFFFFF"/>
          <w:lang w:val="es-CR"/>
        </w:rPr>
        <w:t>”</w:t>
      </w:r>
      <w:r w:rsidRPr="00495577">
        <w:t xml:space="preserve"> </w:t>
      </w:r>
      <w:r w:rsidRPr="002D5A5C">
        <w:t>(</w:t>
      </w:r>
      <w:r>
        <w:t>D</w:t>
      </w:r>
      <w:r w:rsidRPr="002D5A5C">
        <w:t>eclaración del perito Joaquín Mejía Rivera</w:t>
      </w:r>
      <w:r>
        <w:t>. E</w:t>
      </w:r>
      <w:r w:rsidRPr="002D5A5C">
        <w:t>xpediente de</w:t>
      </w:r>
      <w:r>
        <w:t xml:space="preserve"> </w:t>
      </w:r>
      <w:r w:rsidRPr="006E332B">
        <w:rPr>
          <w:i/>
        </w:rPr>
        <w:t>affidávits</w:t>
      </w:r>
      <w:r>
        <w:t xml:space="preserve"> y peritajes,</w:t>
      </w:r>
      <w:r w:rsidRPr="002D5A5C">
        <w:t xml:space="preserve"> f</w:t>
      </w:r>
      <w:r>
        <w:t>s</w:t>
      </w:r>
      <w:r w:rsidRPr="002D5A5C">
        <w:t>. 275</w:t>
      </w:r>
      <w:r>
        <w:t>5 a 2793</w:t>
      </w:r>
      <w:r w:rsidRPr="002D5A5C">
        <w:t>)</w:t>
      </w:r>
      <w:r w:rsidRPr="00497E2A">
        <w:rPr>
          <w:rStyle w:val="Strong"/>
          <w:b w:val="0"/>
          <w:color w:val="000000"/>
          <w:shd w:val="clear" w:color="auto" w:fill="FFFFFF"/>
          <w:lang w:val="es-CR"/>
        </w:rPr>
        <w:t xml:space="preserve">. </w:t>
      </w:r>
      <w:r>
        <w:rPr>
          <w:rStyle w:val="Strong"/>
          <w:b w:val="0"/>
          <w:color w:val="000000"/>
          <w:shd w:val="clear" w:color="auto" w:fill="FFFFFF"/>
          <w:lang w:val="es-CR"/>
        </w:rPr>
        <w:t xml:space="preserve"> </w:t>
      </w:r>
    </w:p>
  </w:footnote>
  <w:footnote w:id="127">
    <w:p w14:paraId="7156EA83" w14:textId="19BF5F44" w:rsidR="00E02FDB" w:rsidRPr="007B43FC" w:rsidRDefault="00E02FDB" w:rsidP="004635E5">
      <w:pPr>
        <w:pStyle w:val="FootnoteText"/>
        <w:rPr>
          <w:lang w:val="es-CR"/>
        </w:rPr>
      </w:pPr>
      <w:r w:rsidRPr="007B43FC">
        <w:rPr>
          <w:rStyle w:val="FootnoteReference"/>
        </w:rPr>
        <w:footnoteRef/>
      </w:r>
      <w:r>
        <w:rPr>
          <w:lang w:val="es-CR"/>
        </w:rPr>
        <w:t xml:space="preserve"> </w:t>
      </w:r>
      <w:r>
        <w:rPr>
          <w:lang w:val="es-CR"/>
        </w:rPr>
        <w:tab/>
      </w:r>
      <w:r w:rsidRPr="00497E2A">
        <w:rPr>
          <w:i/>
          <w:lang w:val="es-CR"/>
        </w:rPr>
        <w:t>Caso Vélez Restrepo y familiares Vs. Colombia. Excepción Preliminar, Fondo, Reparaciones y Costas</w:t>
      </w:r>
      <w:r w:rsidRPr="00495577">
        <w:rPr>
          <w:lang w:val="es-CR"/>
        </w:rPr>
        <w:t>. Sentencia de 3 de sept</w:t>
      </w:r>
      <w:r>
        <w:rPr>
          <w:lang w:val="es-CR"/>
        </w:rPr>
        <w:t xml:space="preserve">iembre de 2012. Serie C No. 248, párr. 247, y </w:t>
      </w:r>
      <w:r w:rsidRPr="00211FF5">
        <w:rPr>
          <w:i/>
          <w:lang w:val="es-CR"/>
        </w:rPr>
        <w:t>Caso Gutiérrez Hernández y otros Vs. Guatemala</w:t>
      </w:r>
      <w:r>
        <w:rPr>
          <w:lang w:val="es-CR"/>
        </w:rPr>
        <w:t>, párr. 148.</w:t>
      </w:r>
    </w:p>
  </w:footnote>
  <w:footnote w:id="128">
    <w:p w14:paraId="2E6F981B" w14:textId="66BED4B1"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i/>
          <w:iCs/>
          <w:spacing w:val="-4"/>
          <w:lang w:val="es-GT"/>
        </w:rPr>
        <w:t>C</w:t>
      </w:r>
      <w:r>
        <w:rPr>
          <w:i/>
          <w:iCs/>
          <w:spacing w:val="-4"/>
          <w:lang w:val="es-GT"/>
        </w:rPr>
        <w:t>fr. C</w:t>
      </w:r>
      <w:r w:rsidRPr="007B43FC">
        <w:rPr>
          <w:i/>
          <w:iCs/>
          <w:spacing w:val="-4"/>
          <w:lang w:val="es-GT"/>
        </w:rPr>
        <w:t xml:space="preserve">aso </w:t>
      </w:r>
      <w:proofErr w:type="spellStart"/>
      <w:r w:rsidRPr="007B43FC">
        <w:rPr>
          <w:i/>
          <w:iCs/>
          <w:spacing w:val="-4"/>
          <w:lang w:val="es-GT"/>
        </w:rPr>
        <w:t>Bulacio</w:t>
      </w:r>
      <w:proofErr w:type="spellEnd"/>
      <w:r w:rsidRPr="007B43FC">
        <w:rPr>
          <w:i/>
          <w:iCs/>
          <w:spacing w:val="-4"/>
          <w:lang w:val="es-GT"/>
        </w:rPr>
        <w:t xml:space="preserve"> Vs. Argentina. Fondo, Reparaciones y Costas. </w:t>
      </w:r>
      <w:r w:rsidRPr="007B43FC">
        <w:rPr>
          <w:iCs/>
          <w:spacing w:val="-4"/>
          <w:lang w:val="es-GT"/>
        </w:rPr>
        <w:t>Sentencia de 18 de Septiembre de 2003. Serie C No. 100,</w:t>
      </w:r>
      <w:r w:rsidRPr="007B43FC">
        <w:rPr>
          <w:i/>
          <w:iCs/>
          <w:spacing w:val="-4"/>
          <w:lang w:val="es-GT"/>
        </w:rPr>
        <w:t xml:space="preserve"> </w:t>
      </w:r>
      <w:r w:rsidRPr="007B43FC">
        <w:rPr>
          <w:spacing w:val="-4"/>
          <w:lang w:val="es-GT"/>
        </w:rPr>
        <w:t>p</w:t>
      </w:r>
      <w:r w:rsidRPr="007B43FC">
        <w:rPr>
          <w:rFonts w:cs="Calibri"/>
          <w:spacing w:val="-4"/>
          <w:lang w:val="es-GT"/>
        </w:rPr>
        <w:t>á</w:t>
      </w:r>
      <w:r w:rsidRPr="007B43FC">
        <w:rPr>
          <w:spacing w:val="-4"/>
          <w:lang w:val="es-GT"/>
        </w:rPr>
        <w:t>rr. 115</w:t>
      </w:r>
      <w:r>
        <w:rPr>
          <w:spacing w:val="-4"/>
          <w:lang w:val="es-GT"/>
        </w:rPr>
        <w:t>, y</w:t>
      </w:r>
      <w:r w:rsidRPr="007B43FC">
        <w:rPr>
          <w:spacing w:val="-4"/>
          <w:lang w:val="es-GT"/>
        </w:rPr>
        <w:t xml:space="preserve"> </w:t>
      </w:r>
      <w:r w:rsidRPr="00497E2A">
        <w:rPr>
          <w:i/>
          <w:spacing w:val="-4"/>
          <w:lang w:val="es-GT"/>
        </w:rPr>
        <w:t>Caso Ortiz Hernández y otros Vs. Venezuela. Fondo, Reparaciones y Costas.</w:t>
      </w:r>
      <w:r w:rsidRPr="00495577">
        <w:rPr>
          <w:spacing w:val="-4"/>
          <w:lang w:val="es-GT"/>
        </w:rPr>
        <w:t xml:space="preserve"> Sentencia de 22 de agosto de 2017. Serie C No. 338</w:t>
      </w:r>
      <w:r>
        <w:rPr>
          <w:spacing w:val="-4"/>
          <w:lang w:val="es-GT"/>
        </w:rPr>
        <w:t>, párr.</w:t>
      </w:r>
      <w:r>
        <w:rPr>
          <w:lang w:val="es-CR"/>
        </w:rPr>
        <w:t xml:space="preserve"> 145.</w:t>
      </w:r>
    </w:p>
  </w:footnote>
  <w:footnote w:id="129">
    <w:p w14:paraId="0A2B08AC" w14:textId="5DB67723" w:rsidR="00E02FDB" w:rsidRPr="007B43FC" w:rsidRDefault="00E02FDB" w:rsidP="004635E5">
      <w:pPr>
        <w:ind w:right="6"/>
        <w:rPr>
          <w:spacing w:val="-4"/>
          <w:sz w:val="16"/>
          <w:szCs w:val="16"/>
          <w:lang w:val="es-GT"/>
        </w:rPr>
      </w:pPr>
      <w:r w:rsidRPr="007B43FC">
        <w:rPr>
          <w:rStyle w:val="FootnoteReference"/>
          <w:spacing w:val="-4"/>
        </w:rPr>
        <w:footnoteRef/>
      </w:r>
      <w:r>
        <w:rPr>
          <w:spacing w:val="-4"/>
          <w:sz w:val="16"/>
          <w:szCs w:val="16"/>
          <w:lang w:val="es-GT"/>
        </w:rPr>
        <w:t xml:space="preserve"> </w:t>
      </w:r>
      <w:r>
        <w:rPr>
          <w:spacing w:val="-4"/>
          <w:sz w:val="16"/>
          <w:szCs w:val="16"/>
          <w:lang w:val="es-GT"/>
        </w:rPr>
        <w:tab/>
      </w:r>
      <w:r w:rsidRPr="007B43FC">
        <w:rPr>
          <w:i/>
          <w:spacing w:val="-4"/>
          <w:sz w:val="16"/>
          <w:szCs w:val="16"/>
          <w:lang w:val="es-CL"/>
        </w:rPr>
        <w:t>Cfr.</w:t>
      </w:r>
      <w:r w:rsidRPr="007B43FC">
        <w:rPr>
          <w:spacing w:val="-4"/>
          <w:sz w:val="16"/>
          <w:szCs w:val="16"/>
          <w:lang w:val="es-GT"/>
        </w:rPr>
        <w:t xml:space="preserve"> </w:t>
      </w:r>
      <w:r w:rsidRPr="007B43FC">
        <w:rPr>
          <w:bCs/>
          <w:i/>
          <w:spacing w:val="-4"/>
          <w:sz w:val="16"/>
          <w:szCs w:val="16"/>
          <w:lang w:val="es-GT"/>
        </w:rPr>
        <w:t xml:space="preserve">Caso de las Hermanas Serrano Cruz Vs. El Salvador. </w:t>
      </w:r>
      <w:r w:rsidRPr="007B43FC">
        <w:rPr>
          <w:i/>
          <w:spacing w:val="-4"/>
          <w:sz w:val="16"/>
          <w:szCs w:val="16"/>
          <w:lang w:val="es-GT"/>
        </w:rPr>
        <w:t>Fondo, Reparaciones y Costas.</w:t>
      </w:r>
      <w:r w:rsidRPr="007B43FC">
        <w:rPr>
          <w:spacing w:val="-4"/>
          <w:sz w:val="16"/>
          <w:szCs w:val="16"/>
          <w:lang w:val="es-GT"/>
        </w:rPr>
        <w:t xml:space="preserve"> Sentencia de 1 de marzo de 2005. Serie C No. 120, párr. 83, y </w:t>
      </w:r>
      <w:r w:rsidRPr="005069CE">
        <w:rPr>
          <w:i/>
          <w:spacing w:val="-4"/>
          <w:sz w:val="16"/>
          <w:szCs w:val="16"/>
          <w:lang w:val="es-GT"/>
        </w:rPr>
        <w:t>Caso Gutiérrez Hernández y otros Vs. Guatemala</w:t>
      </w:r>
      <w:r w:rsidRPr="007B43FC">
        <w:rPr>
          <w:spacing w:val="-4"/>
          <w:sz w:val="16"/>
          <w:szCs w:val="16"/>
          <w:lang w:val="es-GT"/>
        </w:rPr>
        <w:t xml:space="preserve">, párr. </w:t>
      </w:r>
      <w:r>
        <w:rPr>
          <w:spacing w:val="-4"/>
          <w:sz w:val="16"/>
          <w:szCs w:val="16"/>
          <w:lang w:val="es-GT"/>
        </w:rPr>
        <w:t>148</w:t>
      </w:r>
      <w:r w:rsidRPr="007B43FC">
        <w:rPr>
          <w:spacing w:val="-4"/>
          <w:sz w:val="16"/>
          <w:szCs w:val="16"/>
          <w:lang w:val="es-GT"/>
        </w:rPr>
        <w:t>.</w:t>
      </w:r>
    </w:p>
  </w:footnote>
  <w:footnote w:id="130">
    <w:p w14:paraId="2FF85F30" w14:textId="7B19AB4A"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i/>
          <w:lang w:val="es-CR"/>
        </w:rPr>
        <w:t>Caso Luna L</w:t>
      </w:r>
      <w:r w:rsidRPr="007B43FC">
        <w:rPr>
          <w:rFonts w:cs="Calibri"/>
          <w:i/>
          <w:lang w:val="es-CR"/>
        </w:rPr>
        <w:t>ó</w:t>
      </w:r>
      <w:r w:rsidRPr="007B43FC">
        <w:rPr>
          <w:i/>
          <w:lang w:val="es-CR"/>
        </w:rPr>
        <w:t>pez Vs. Honduras. Fondo, Reparaciones y Costas.</w:t>
      </w:r>
      <w:r w:rsidRPr="007B43FC">
        <w:rPr>
          <w:lang w:val="es-CR"/>
        </w:rPr>
        <w:t xml:space="preserve"> Sentencia de 10 de octubre de 2013. Serie C No. 269, p</w:t>
      </w:r>
      <w:r w:rsidRPr="007B43FC">
        <w:rPr>
          <w:rFonts w:cs="Calibri"/>
          <w:lang w:val="es-CR"/>
        </w:rPr>
        <w:t>á</w:t>
      </w:r>
      <w:r w:rsidRPr="007B43FC">
        <w:rPr>
          <w:lang w:val="es-CR"/>
        </w:rPr>
        <w:t>rr. 157. Dicho p</w:t>
      </w:r>
      <w:r w:rsidRPr="007B43FC">
        <w:rPr>
          <w:rFonts w:cs="Calibri"/>
          <w:lang w:val="es-CR"/>
        </w:rPr>
        <w:t>á</w:t>
      </w:r>
      <w:r w:rsidRPr="007B43FC">
        <w:rPr>
          <w:lang w:val="es-CR"/>
        </w:rPr>
        <w:t>rrafo 157, citando el p</w:t>
      </w:r>
      <w:r w:rsidRPr="007B43FC">
        <w:rPr>
          <w:rFonts w:cs="Calibri"/>
          <w:lang w:val="es-CR"/>
        </w:rPr>
        <w:t>á</w:t>
      </w:r>
      <w:r w:rsidRPr="007B43FC">
        <w:rPr>
          <w:lang w:val="es-CR"/>
        </w:rPr>
        <w:t xml:space="preserve">rrafo 160 de la Sentencia de la Corte sobre el caso </w:t>
      </w:r>
      <w:r w:rsidRPr="007B43FC">
        <w:rPr>
          <w:i/>
          <w:lang w:val="es-CR"/>
        </w:rPr>
        <w:t>Castillo Gonz</w:t>
      </w:r>
      <w:r w:rsidRPr="007B43FC">
        <w:rPr>
          <w:rFonts w:cs="Calibri"/>
          <w:i/>
          <w:lang w:val="es-CR"/>
        </w:rPr>
        <w:t>á</w:t>
      </w:r>
      <w:r w:rsidRPr="007B43FC">
        <w:rPr>
          <w:i/>
          <w:lang w:val="es-CR"/>
        </w:rPr>
        <w:t>lez y otros</w:t>
      </w:r>
      <w:r w:rsidRPr="007B43FC">
        <w:rPr>
          <w:lang w:val="es-CR"/>
        </w:rPr>
        <w:t xml:space="preserve"> </w:t>
      </w:r>
      <w:r w:rsidRPr="007B43FC">
        <w:rPr>
          <w:i/>
          <w:lang w:val="es-CR"/>
        </w:rPr>
        <w:t>vs. Venezuela</w:t>
      </w:r>
      <w:r>
        <w:rPr>
          <w:lang w:val="es-CR"/>
        </w:rPr>
        <w:t xml:space="preserve">. </w:t>
      </w:r>
      <w:r w:rsidRPr="00497E2A">
        <w:rPr>
          <w:rStyle w:val="Strong"/>
          <w:b w:val="0"/>
          <w:i/>
          <w:color w:val="000000"/>
          <w:shd w:val="clear" w:color="auto" w:fill="FFFFFF"/>
          <w:lang w:val="es-CR"/>
        </w:rPr>
        <w:t>Fondo</w:t>
      </w:r>
      <w:r w:rsidRPr="007B43FC">
        <w:rPr>
          <w:rStyle w:val="Strong"/>
          <w:b w:val="0"/>
          <w:color w:val="000000"/>
          <w:shd w:val="clear" w:color="auto" w:fill="FFFFFF"/>
          <w:lang w:val="es-CR"/>
        </w:rPr>
        <w:t>, agrega: “[e]n otros t</w:t>
      </w:r>
      <w:r w:rsidRPr="007B43FC">
        <w:rPr>
          <w:rStyle w:val="Strong"/>
          <w:rFonts w:cs="Calibri"/>
          <w:b w:val="0"/>
          <w:color w:val="000000"/>
          <w:shd w:val="clear" w:color="auto" w:fill="FFFFFF"/>
          <w:lang w:val="es-CR"/>
        </w:rPr>
        <w:t>é</w:t>
      </w:r>
      <w:r w:rsidRPr="007B43FC">
        <w:rPr>
          <w:rStyle w:val="Strong"/>
          <w:b w:val="0"/>
          <w:color w:val="000000"/>
          <w:shd w:val="clear" w:color="auto" w:fill="FFFFFF"/>
          <w:lang w:val="es-CR"/>
        </w:rPr>
        <w:t xml:space="preserve">rminos, ‘a la Corte le compete determinar si el actuar de un </w:t>
      </w:r>
      <w:r w:rsidRPr="007B43FC">
        <w:rPr>
          <w:rStyle w:val="Strong"/>
          <w:rFonts w:cs="Calibri"/>
          <w:b w:val="0"/>
          <w:color w:val="000000"/>
          <w:shd w:val="clear" w:color="auto" w:fill="FFFFFF"/>
          <w:lang w:val="es-CR"/>
        </w:rPr>
        <w:t>ó</w:t>
      </w:r>
      <w:r w:rsidRPr="007B43FC">
        <w:rPr>
          <w:rStyle w:val="Strong"/>
          <w:b w:val="0"/>
          <w:color w:val="000000"/>
          <w:shd w:val="clear" w:color="auto" w:fill="FFFFFF"/>
          <w:lang w:val="es-CR"/>
        </w:rPr>
        <w:t>rgano del Estado, como son los entes encargados de las investigaciones, constituye o no [la responsabilidad internacional del Estado] a la luz de lo dispuesto en la Convenci</w:t>
      </w:r>
      <w:r w:rsidRPr="007B43FC">
        <w:rPr>
          <w:rStyle w:val="Strong"/>
          <w:rFonts w:cs="Calibri"/>
          <w:b w:val="0"/>
          <w:color w:val="000000"/>
          <w:shd w:val="clear" w:color="auto" w:fill="FFFFFF"/>
          <w:lang w:val="es-CR"/>
        </w:rPr>
        <w:t>ó</w:t>
      </w:r>
      <w:r w:rsidRPr="007B43FC">
        <w:rPr>
          <w:rStyle w:val="Strong"/>
          <w:b w:val="0"/>
          <w:color w:val="000000"/>
          <w:shd w:val="clear" w:color="auto" w:fill="FFFFFF"/>
          <w:lang w:val="es-CR"/>
        </w:rPr>
        <w:t>n’</w:t>
      </w:r>
      <w:r w:rsidRPr="00495577">
        <w:rPr>
          <w:rStyle w:val="Strong"/>
          <w:b w:val="0"/>
          <w:color w:val="000000"/>
          <w:shd w:val="clear" w:color="auto" w:fill="FFFFFF"/>
          <w:lang w:val="es-CR"/>
        </w:rPr>
        <w:t>”.</w:t>
      </w:r>
      <w:r w:rsidRPr="00495577">
        <w:rPr>
          <w:lang w:val="es-CR"/>
        </w:rPr>
        <w:t xml:space="preserve"> </w:t>
      </w:r>
      <w:r w:rsidRPr="00497E2A">
        <w:rPr>
          <w:rStyle w:val="Strong"/>
          <w:b w:val="0"/>
          <w:color w:val="000000"/>
          <w:shd w:val="clear" w:color="auto" w:fill="FFFFFF"/>
          <w:lang w:val="es-CR"/>
        </w:rPr>
        <w:t>Ver también</w:t>
      </w:r>
      <w:r>
        <w:rPr>
          <w:rStyle w:val="Strong"/>
          <w:b w:val="0"/>
          <w:color w:val="000000"/>
          <w:shd w:val="clear" w:color="auto" w:fill="FFFFFF"/>
          <w:lang w:val="es-CR"/>
        </w:rPr>
        <w:t xml:space="preserve">: </w:t>
      </w:r>
      <w:r w:rsidRPr="00497E2A">
        <w:rPr>
          <w:rStyle w:val="Strong"/>
          <w:b w:val="0"/>
          <w:i/>
          <w:color w:val="000000"/>
          <w:shd w:val="clear" w:color="auto" w:fill="FFFFFF"/>
          <w:lang w:val="es-CR"/>
        </w:rPr>
        <w:t>Caso Acosta y otros Vs. Nicaragua. Excepciones Preliminares, Fondo, Reparaciones y Costas.</w:t>
      </w:r>
      <w:r w:rsidRPr="00495577">
        <w:rPr>
          <w:rStyle w:val="Strong"/>
          <w:b w:val="0"/>
          <w:color w:val="000000"/>
          <w:shd w:val="clear" w:color="auto" w:fill="FFFFFF"/>
          <w:lang w:val="es-CR"/>
        </w:rPr>
        <w:t xml:space="preserve"> Sentencia de 25 de</w:t>
      </w:r>
      <w:r>
        <w:rPr>
          <w:rStyle w:val="Strong"/>
          <w:b w:val="0"/>
          <w:color w:val="000000"/>
          <w:shd w:val="clear" w:color="auto" w:fill="FFFFFF"/>
          <w:lang w:val="es-CR"/>
        </w:rPr>
        <w:t xml:space="preserve"> marzo de 2017. Serie C No. 334, párr. 142, y </w:t>
      </w:r>
      <w:r w:rsidRPr="00497E2A">
        <w:rPr>
          <w:rStyle w:val="Strong"/>
          <w:b w:val="0"/>
          <w:i/>
        </w:rPr>
        <w:t xml:space="preserve">Caso Ortiz </w:t>
      </w:r>
      <w:r>
        <w:rPr>
          <w:rStyle w:val="Strong"/>
          <w:b w:val="0"/>
          <w:i/>
        </w:rPr>
        <w:t>Hernández y otros Vs. Venezuela</w:t>
      </w:r>
      <w:r w:rsidRPr="00497E2A">
        <w:rPr>
          <w:rStyle w:val="Strong"/>
          <w:b w:val="0"/>
        </w:rPr>
        <w:t xml:space="preserve">, </w:t>
      </w:r>
      <w:proofErr w:type="spellStart"/>
      <w:r w:rsidRPr="00497E2A">
        <w:rPr>
          <w:rStyle w:val="Strong"/>
          <w:b w:val="0"/>
        </w:rPr>
        <w:t>párrs</w:t>
      </w:r>
      <w:proofErr w:type="spellEnd"/>
      <w:r w:rsidRPr="00497E2A">
        <w:rPr>
          <w:rStyle w:val="Strong"/>
          <w:b w:val="0"/>
        </w:rPr>
        <w:t>. 147 y 171.</w:t>
      </w:r>
      <w:r w:rsidRPr="00497E2A">
        <w:rPr>
          <w:sz w:val="20"/>
          <w:szCs w:val="18"/>
        </w:rPr>
        <w:t xml:space="preserve"> </w:t>
      </w:r>
    </w:p>
  </w:footnote>
  <w:footnote w:id="131">
    <w:p w14:paraId="666890D2" w14:textId="007E908E" w:rsidR="00E02FDB" w:rsidRPr="00F14F73" w:rsidRDefault="00E02FDB" w:rsidP="004635E5">
      <w:pPr>
        <w:pStyle w:val="FootnoteText"/>
      </w:pPr>
      <w:r>
        <w:rPr>
          <w:rStyle w:val="FootnoteReference"/>
        </w:rPr>
        <w:footnoteRef/>
      </w:r>
      <w:r>
        <w:t xml:space="preserve"> </w:t>
      </w:r>
      <w:r>
        <w:tab/>
      </w:r>
      <w:r w:rsidRPr="00DD6B50">
        <w:t xml:space="preserve">Ahora bien, </w:t>
      </w:r>
      <w:r>
        <w:t>como ha indicado este Tribunal “</w:t>
      </w:r>
      <w:r w:rsidRPr="00DD6B50">
        <w:t xml:space="preserve">ello no significa que sustituya a </w:t>
      </w:r>
      <w:r>
        <w:t>[las]</w:t>
      </w:r>
      <w:r w:rsidRPr="00DD6B50">
        <w:t xml:space="preserve"> autoridades, sino que en su función jurisdiccional corresponde a la Corte determinar si el Estado ha violado o no sus obligaciones internacionales en virtud de las actuaciones de sus órganos </w:t>
      </w:r>
      <w:r>
        <w:t>[vinculados a la administración de justicia]</w:t>
      </w:r>
      <w:r w:rsidRPr="00DD6B50">
        <w:t>. Evidentemente, y como ya ha sido resaltado</w:t>
      </w:r>
      <w:r>
        <w:t xml:space="preserve"> en vasta jurisprudencia, ello ‘</w:t>
      </w:r>
      <w:r w:rsidRPr="00DD6B50">
        <w:t>puede conducir a que el Tribunal deba ocuparse de examinar los respectivos procesos internos</w:t>
      </w:r>
      <w:r>
        <w:t>’” (</w:t>
      </w:r>
      <w:r w:rsidRPr="002D5A5C">
        <w:rPr>
          <w:i/>
        </w:rPr>
        <w:t>Cas</w:t>
      </w:r>
      <w:r>
        <w:rPr>
          <w:i/>
        </w:rPr>
        <w:t>o Tenorio Roca y otros Vs. Perú</w:t>
      </w:r>
      <w:r>
        <w:t xml:space="preserve">, párr. 175). En cuanto a la posibilidad de examinar procesos internos, ver también </w:t>
      </w:r>
      <w:r>
        <w:rPr>
          <w:i/>
          <w:iCs/>
        </w:rPr>
        <w:t xml:space="preserve">Caso de los “Niños de la Calle” (Villagrán Morales y otros) Vs. Guatemala. Fondo. </w:t>
      </w:r>
      <w:r>
        <w:t xml:space="preserve">Sentencia de 19 de noviembre de 1999. Serie C No. 63, párr. 222, y </w:t>
      </w:r>
      <w:r w:rsidRPr="00497E2A">
        <w:rPr>
          <w:i/>
        </w:rPr>
        <w:t xml:space="preserve">Caso </w:t>
      </w:r>
      <w:r>
        <w:rPr>
          <w:i/>
        </w:rPr>
        <w:t xml:space="preserve">Favela Nova </w:t>
      </w:r>
      <w:proofErr w:type="spellStart"/>
      <w:r>
        <w:rPr>
          <w:i/>
        </w:rPr>
        <w:t>Brasília</w:t>
      </w:r>
      <w:proofErr w:type="spellEnd"/>
      <w:r>
        <w:rPr>
          <w:i/>
        </w:rPr>
        <w:t xml:space="preserve"> Vs. Brasil</w:t>
      </w:r>
      <w:r>
        <w:t xml:space="preserve">, párr. 56. </w:t>
      </w:r>
      <w:r w:rsidRPr="007B43FC">
        <w:rPr>
          <w:lang w:val="es-CR"/>
        </w:rPr>
        <w:t xml:space="preserve">En efecto, </w:t>
      </w:r>
      <w:r>
        <w:rPr>
          <w:lang w:val="es-CR"/>
        </w:rPr>
        <w:t xml:space="preserve">a </w:t>
      </w:r>
      <w:r w:rsidRPr="007B43FC">
        <w:rPr>
          <w:lang w:val="es-CR"/>
        </w:rPr>
        <w:t xml:space="preserve">la Corte </w:t>
      </w:r>
      <w:r>
        <w:rPr>
          <w:lang w:val="es-CR"/>
        </w:rPr>
        <w:t xml:space="preserve">le compete evaluar la actuación estatal, mas no le toca </w:t>
      </w:r>
      <w:r w:rsidRPr="007B43FC">
        <w:rPr>
          <w:color w:val="000000"/>
          <w:lang w:val="es-CR"/>
        </w:rPr>
        <w:t>establec</w:t>
      </w:r>
      <w:r>
        <w:rPr>
          <w:color w:val="000000"/>
          <w:lang w:val="es-CR"/>
        </w:rPr>
        <w:t>er</w:t>
      </w:r>
      <w:r w:rsidRPr="007B43FC">
        <w:rPr>
          <w:color w:val="000000"/>
          <w:lang w:val="es-CR"/>
        </w:rPr>
        <w:t xml:space="preserve"> modalidades espec</w:t>
      </w:r>
      <w:r w:rsidRPr="007B43FC">
        <w:rPr>
          <w:rFonts w:cs="Calibri"/>
          <w:color w:val="000000"/>
          <w:lang w:val="es-CR"/>
        </w:rPr>
        <w:t>í</w:t>
      </w:r>
      <w:r w:rsidRPr="007B43FC">
        <w:rPr>
          <w:color w:val="000000"/>
          <w:lang w:val="es-CR"/>
        </w:rPr>
        <w:t>ficas de investigaci</w:t>
      </w:r>
      <w:r w:rsidRPr="007B43FC">
        <w:rPr>
          <w:rFonts w:cs="Calibri"/>
          <w:color w:val="000000"/>
          <w:lang w:val="es-CR"/>
        </w:rPr>
        <w:t>ó</w:t>
      </w:r>
      <w:r w:rsidRPr="007B43FC">
        <w:rPr>
          <w:color w:val="000000"/>
          <w:lang w:val="es-CR"/>
        </w:rPr>
        <w:t xml:space="preserve">n </w:t>
      </w:r>
      <w:r>
        <w:rPr>
          <w:color w:val="000000"/>
          <w:lang w:val="es-CR"/>
        </w:rPr>
        <w:t>o</w:t>
      </w:r>
      <w:r w:rsidRPr="007B43FC">
        <w:rPr>
          <w:color w:val="000000"/>
          <w:lang w:val="es-CR"/>
        </w:rPr>
        <w:t xml:space="preserve"> juzgamiento (</w:t>
      </w:r>
      <w:r>
        <w:rPr>
          <w:i/>
          <w:color w:val="000000"/>
          <w:lang w:val="es-CR"/>
        </w:rPr>
        <w:t>C</w:t>
      </w:r>
      <w:r w:rsidRPr="007B43FC">
        <w:rPr>
          <w:i/>
          <w:color w:val="000000"/>
          <w:lang w:val="es-CR"/>
        </w:rPr>
        <w:t xml:space="preserve">fr. </w:t>
      </w:r>
      <w:r w:rsidRPr="007B43FC">
        <w:rPr>
          <w:rStyle w:val="Strong"/>
          <w:b w:val="0"/>
          <w:i/>
          <w:color w:val="000000"/>
          <w:shd w:val="clear" w:color="auto" w:fill="FFFFFF"/>
          <w:lang w:val="es-CR"/>
        </w:rPr>
        <w:t>Caso Nogueira de Carvalho y otro Vs. Brasil</w:t>
      </w:r>
      <w:r w:rsidRPr="007B43FC">
        <w:rPr>
          <w:rStyle w:val="Strong"/>
          <w:b w:val="0"/>
          <w:color w:val="000000"/>
          <w:shd w:val="clear" w:color="auto" w:fill="FFFFFF"/>
          <w:lang w:val="es-CR"/>
        </w:rPr>
        <w:t xml:space="preserve">. </w:t>
      </w:r>
      <w:r w:rsidRPr="0005122C">
        <w:rPr>
          <w:rStyle w:val="Strong"/>
          <w:b w:val="0"/>
          <w:i/>
          <w:color w:val="000000"/>
          <w:shd w:val="clear" w:color="auto" w:fill="FFFFFF"/>
          <w:lang w:val="es-CR"/>
        </w:rPr>
        <w:t>Excepciones Preliminares y Fondo</w:t>
      </w:r>
      <w:r w:rsidRPr="007B43FC">
        <w:rPr>
          <w:rStyle w:val="Strong"/>
          <w:b w:val="0"/>
          <w:color w:val="000000"/>
          <w:shd w:val="clear" w:color="auto" w:fill="FFFFFF"/>
          <w:lang w:val="es-CR"/>
        </w:rPr>
        <w:t>. Sentencia de 28 de noviembre de 2006. Serie C No. 161, p</w:t>
      </w:r>
      <w:r w:rsidRPr="007B43FC">
        <w:rPr>
          <w:rStyle w:val="Strong"/>
          <w:rFonts w:cs="Calibri"/>
          <w:b w:val="0"/>
          <w:color w:val="000000"/>
          <w:shd w:val="clear" w:color="auto" w:fill="FFFFFF"/>
          <w:lang w:val="es-CR"/>
        </w:rPr>
        <w:t>á</w:t>
      </w:r>
      <w:r w:rsidRPr="007B43FC">
        <w:rPr>
          <w:rStyle w:val="Strong"/>
          <w:b w:val="0"/>
          <w:color w:val="000000"/>
          <w:shd w:val="clear" w:color="auto" w:fill="FFFFFF"/>
          <w:lang w:val="es-CR"/>
        </w:rPr>
        <w:t>rr. 80</w:t>
      </w:r>
      <w:r>
        <w:rPr>
          <w:rStyle w:val="Strong"/>
          <w:b w:val="0"/>
          <w:color w:val="000000"/>
          <w:shd w:val="clear" w:color="auto" w:fill="FFFFFF"/>
          <w:lang w:val="es-CR"/>
        </w:rPr>
        <w:t xml:space="preserve">, y </w:t>
      </w:r>
      <w:r w:rsidRPr="00497E2A">
        <w:rPr>
          <w:rStyle w:val="Strong"/>
          <w:b w:val="0"/>
          <w:i/>
          <w:color w:val="000000"/>
          <w:shd w:val="clear" w:color="auto" w:fill="FFFFFF"/>
          <w:lang w:val="es-CR"/>
        </w:rPr>
        <w:t xml:space="preserve">Caso </w:t>
      </w:r>
      <w:r>
        <w:rPr>
          <w:rStyle w:val="Strong"/>
          <w:b w:val="0"/>
          <w:i/>
          <w:color w:val="000000"/>
          <w:shd w:val="clear" w:color="auto" w:fill="FFFFFF"/>
          <w:lang w:val="es-CR"/>
        </w:rPr>
        <w:t xml:space="preserve">Favela Nova </w:t>
      </w:r>
      <w:proofErr w:type="spellStart"/>
      <w:r>
        <w:rPr>
          <w:rStyle w:val="Strong"/>
          <w:b w:val="0"/>
          <w:i/>
          <w:color w:val="000000"/>
          <w:shd w:val="clear" w:color="auto" w:fill="FFFFFF"/>
          <w:lang w:val="es-CR"/>
        </w:rPr>
        <w:t>Brasília</w:t>
      </w:r>
      <w:proofErr w:type="spellEnd"/>
      <w:r>
        <w:rPr>
          <w:rStyle w:val="Strong"/>
          <w:b w:val="0"/>
          <w:i/>
          <w:color w:val="000000"/>
          <w:shd w:val="clear" w:color="auto" w:fill="FFFFFF"/>
          <w:lang w:val="es-CR"/>
        </w:rPr>
        <w:t xml:space="preserve"> Vs. Brasil</w:t>
      </w:r>
      <w:r>
        <w:rPr>
          <w:rStyle w:val="Strong"/>
          <w:b w:val="0"/>
          <w:color w:val="000000"/>
          <w:shd w:val="clear" w:color="auto" w:fill="FFFFFF"/>
          <w:lang w:val="es-CR"/>
        </w:rPr>
        <w:t>, párr. 180</w:t>
      </w:r>
      <w:r w:rsidRPr="007B43FC">
        <w:rPr>
          <w:rStyle w:val="Strong"/>
          <w:b w:val="0"/>
          <w:color w:val="000000"/>
          <w:shd w:val="clear" w:color="auto" w:fill="FFFFFF"/>
          <w:lang w:val="es-CR"/>
        </w:rPr>
        <w:t>)</w:t>
      </w:r>
      <w:r>
        <w:rPr>
          <w:rFonts w:cs="Arial"/>
        </w:rPr>
        <w:t>.</w:t>
      </w:r>
    </w:p>
  </w:footnote>
  <w:footnote w:id="132">
    <w:p w14:paraId="5488C711" w14:textId="609D436B"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i/>
          <w:lang w:val="es-CR"/>
        </w:rPr>
        <w:t>Caso Castillo Gonz</w:t>
      </w:r>
      <w:r w:rsidRPr="007B43FC">
        <w:rPr>
          <w:rFonts w:cs="Calibri"/>
          <w:i/>
          <w:lang w:val="es-CR"/>
        </w:rPr>
        <w:t>á</w:t>
      </w:r>
      <w:r w:rsidRPr="007B43FC">
        <w:rPr>
          <w:i/>
          <w:lang w:val="es-CR"/>
        </w:rPr>
        <w:t>lez y otros vs. Venezuela</w:t>
      </w:r>
      <w:r w:rsidRPr="007B43FC">
        <w:rPr>
          <w:lang w:val="es-CR"/>
        </w:rPr>
        <w:t xml:space="preserve">, </w:t>
      </w:r>
      <w:r w:rsidRPr="007B43FC">
        <w:rPr>
          <w:rStyle w:val="Strong"/>
          <w:b w:val="0"/>
          <w:i/>
          <w:color w:val="000000"/>
          <w:shd w:val="clear" w:color="auto" w:fill="FFFFFF"/>
          <w:lang w:val="es-CR"/>
        </w:rPr>
        <w:t>Fondo</w:t>
      </w:r>
      <w:r w:rsidRPr="007B43FC">
        <w:rPr>
          <w:lang w:val="es-CR"/>
        </w:rPr>
        <w:t>, p</w:t>
      </w:r>
      <w:r w:rsidRPr="007B43FC">
        <w:rPr>
          <w:rFonts w:cs="Calibri"/>
          <w:lang w:val="es-CR"/>
        </w:rPr>
        <w:t>á</w:t>
      </w:r>
      <w:r w:rsidRPr="007B43FC">
        <w:rPr>
          <w:lang w:val="es-CR"/>
        </w:rPr>
        <w:t xml:space="preserve">rr. 161, y </w:t>
      </w:r>
      <w:r w:rsidRPr="007B43FC">
        <w:rPr>
          <w:i/>
          <w:lang w:val="es-CR"/>
        </w:rPr>
        <w:t>Caso Luna L</w:t>
      </w:r>
      <w:r w:rsidRPr="007B43FC">
        <w:rPr>
          <w:rFonts w:cs="Calibri"/>
          <w:i/>
          <w:lang w:val="es-CR"/>
        </w:rPr>
        <w:t>ó</w:t>
      </w:r>
      <w:r>
        <w:rPr>
          <w:i/>
          <w:lang w:val="es-CR"/>
        </w:rPr>
        <w:t>pez Vs. Honduras</w:t>
      </w:r>
      <w:r w:rsidRPr="007B43FC">
        <w:rPr>
          <w:lang w:val="es-CR"/>
        </w:rPr>
        <w:t>, p</w:t>
      </w:r>
      <w:r w:rsidRPr="007B43FC">
        <w:rPr>
          <w:rFonts w:cs="Calibri"/>
          <w:lang w:val="es-CR"/>
        </w:rPr>
        <w:t>á</w:t>
      </w:r>
      <w:r w:rsidRPr="007B43FC">
        <w:rPr>
          <w:lang w:val="es-CR"/>
        </w:rPr>
        <w:t xml:space="preserve">rr. 165. </w:t>
      </w:r>
    </w:p>
  </w:footnote>
  <w:footnote w:id="133">
    <w:p w14:paraId="1E49BDE8" w14:textId="0158BAC0" w:rsidR="00E02FDB" w:rsidRPr="00495577"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i/>
          <w:lang w:val="es-CR"/>
        </w:rPr>
        <w:t>Cfr</w:t>
      </w:r>
      <w:r>
        <w:rPr>
          <w:i/>
          <w:lang w:val="es-CR"/>
        </w:rPr>
        <w:t>.</w:t>
      </w:r>
      <w:r w:rsidRPr="007B43FC">
        <w:rPr>
          <w:i/>
          <w:lang w:val="es-CR"/>
        </w:rPr>
        <w:t>,</w:t>
      </w:r>
      <w:r w:rsidRPr="007B43FC">
        <w:rPr>
          <w:lang w:val="es-CR"/>
        </w:rPr>
        <w:t xml:space="preserve"> en el mismo sentido, </w:t>
      </w:r>
      <w:r w:rsidRPr="007B43FC">
        <w:rPr>
          <w:i/>
          <w:lang w:val="es-CR"/>
        </w:rPr>
        <w:t>Caso Luna L</w:t>
      </w:r>
      <w:r w:rsidRPr="007B43FC">
        <w:rPr>
          <w:rFonts w:cs="Calibri"/>
          <w:i/>
          <w:lang w:val="es-CR"/>
        </w:rPr>
        <w:t>ó</w:t>
      </w:r>
      <w:r w:rsidRPr="007B43FC">
        <w:rPr>
          <w:i/>
          <w:lang w:val="es-CR"/>
        </w:rPr>
        <w:t>pez Vs. Honduras</w:t>
      </w:r>
      <w:r w:rsidRPr="007B43FC">
        <w:rPr>
          <w:lang w:val="es-CR"/>
        </w:rPr>
        <w:t>, p</w:t>
      </w:r>
      <w:r w:rsidRPr="007B43FC">
        <w:rPr>
          <w:rFonts w:cs="Calibri"/>
          <w:lang w:val="es-CR"/>
        </w:rPr>
        <w:t>á</w:t>
      </w:r>
      <w:r w:rsidRPr="007B43FC">
        <w:rPr>
          <w:lang w:val="es-CR"/>
        </w:rPr>
        <w:t>rr. 167 y</w:t>
      </w:r>
      <w:r w:rsidRPr="007B43FC">
        <w:rPr>
          <w:i/>
          <w:lang w:val="es-CR"/>
        </w:rPr>
        <w:t xml:space="preserve"> Caso Garc</w:t>
      </w:r>
      <w:r w:rsidRPr="007B43FC">
        <w:rPr>
          <w:rFonts w:cs="Calibri"/>
          <w:i/>
          <w:lang w:val="es-CR"/>
        </w:rPr>
        <w:t>í</w:t>
      </w:r>
      <w:r w:rsidRPr="007B43FC">
        <w:rPr>
          <w:i/>
          <w:lang w:val="es-CR"/>
        </w:rPr>
        <w:t>a Ibarra y otros Vs. Ecuado</w:t>
      </w:r>
      <w:r w:rsidRPr="00573F6E">
        <w:rPr>
          <w:i/>
          <w:lang w:val="es-CR"/>
        </w:rPr>
        <w:t>r</w:t>
      </w:r>
      <w:r>
        <w:rPr>
          <w:lang w:val="es-CR"/>
        </w:rPr>
        <w:t xml:space="preserve">, </w:t>
      </w:r>
      <w:r w:rsidRPr="007B43FC">
        <w:rPr>
          <w:lang w:val="es-CR"/>
        </w:rPr>
        <w:t>p</w:t>
      </w:r>
      <w:r w:rsidRPr="007B43FC">
        <w:rPr>
          <w:rFonts w:cs="Calibri"/>
          <w:lang w:val="es-CR"/>
        </w:rPr>
        <w:t>á</w:t>
      </w:r>
      <w:r w:rsidRPr="007B43FC">
        <w:rPr>
          <w:lang w:val="es-CR"/>
        </w:rPr>
        <w:t>rr.</w:t>
      </w:r>
      <w:r w:rsidRPr="007B43FC">
        <w:rPr>
          <w:i/>
          <w:lang w:val="es-CR"/>
        </w:rPr>
        <w:t xml:space="preserve"> </w:t>
      </w:r>
      <w:r w:rsidRPr="007B43FC">
        <w:rPr>
          <w:lang w:val="es-CR"/>
        </w:rPr>
        <w:t>139.</w:t>
      </w:r>
      <w:r>
        <w:rPr>
          <w:lang w:val="es-CR"/>
        </w:rPr>
        <w:t xml:space="preserve"> Sobre la consideración de la investigación “en su conjunto”, ver también decisiones citadas </w:t>
      </w:r>
      <w:r w:rsidRPr="00F24D60">
        <w:rPr>
          <w:i/>
          <w:lang w:val="es-CR"/>
        </w:rPr>
        <w:t>supra</w:t>
      </w:r>
      <w:r w:rsidRPr="00F24D60">
        <w:rPr>
          <w:lang w:val="es-CR"/>
        </w:rPr>
        <w:t xml:space="preserve"> en la nota a pie de página 130</w:t>
      </w:r>
      <w:r>
        <w:rPr>
          <w:lang w:val="es-CR"/>
        </w:rPr>
        <w:t>.</w:t>
      </w:r>
    </w:p>
  </w:footnote>
  <w:footnote w:id="134">
    <w:p w14:paraId="0E0721E2" w14:textId="0C8D8428" w:rsidR="00E02FDB" w:rsidRPr="008A2AE0" w:rsidRDefault="00E02FDB" w:rsidP="004635E5">
      <w:pPr>
        <w:pStyle w:val="FootnoteText"/>
      </w:pPr>
      <w:r>
        <w:rPr>
          <w:rStyle w:val="FootnoteReference"/>
        </w:rPr>
        <w:footnoteRef/>
      </w:r>
      <w:r>
        <w:t xml:space="preserve"> </w:t>
      </w:r>
      <w:r>
        <w:tab/>
      </w:r>
      <w:r>
        <w:rPr>
          <w:i/>
          <w:lang w:val="es-CR"/>
        </w:rPr>
        <w:t>C</w:t>
      </w:r>
      <w:r w:rsidRPr="00811992">
        <w:rPr>
          <w:i/>
          <w:lang w:val="es-CR"/>
        </w:rPr>
        <w:t>fr.</w:t>
      </w:r>
      <w:r w:rsidRPr="00811992">
        <w:rPr>
          <w:lang w:val="es-CR"/>
        </w:rPr>
        <w:t xml:space="preserve">, en </w:t>
      </w:r>
      <w:r>
        <w:rPr>
          <w:lang w:val="es-CR"/>
        </w:rPr>
        <w:t xml:space="preserve">similar </w:t>
      </w:r>
      <w:r w:rsidRPr="00811992">
        <w:rPr>
          <w:lang w:val="es-CR"/>
        </w:rPr>
        <w:t xml:space="preserve">sentido, </w:t>
      </w:r>
      <w:r w:rsidRPr="00811992">
        <w:rPr>
          <w:i/>
          <w:lang w:val="es-CR"/>
        </w:rPr>
        <w:t>Caso Castillo Gonz</w:t>
      </w:r>
      <w:r w:rsidRPr="00811992">
        <w:rPr>
          <w:rFonts w:cs="Calibri"/>
          <w:i/>
          <w:lang w:val="es-CR"/>
        </w:rPr>
        <w:t>á</w:t>
      </w:r>
      <w:r w:rsidRPr="00811992">
        <w:rPr>
          <w:i/>
          <w:lang w:val="es-CR"/>
        </w:rPr>
        <w:t>lez y otros vs. Venezuela</w:t>
      </w:r>
      <w:r w:rsidRPr="00811992">
        <w:rPr>
          <w:lang w:val="es-CR"/>
        </w:rPr>
        <w:t>, p</w:t>
      </w:r>
      <w:r w:rsidRPr="00811992">
        <w:rPr>
          <w:rFonts w:cs="Calibri"/>
          <w:lang w:val="es-CR"/>
        </w:rPr>
        <w:t>á</w:t>
      </w:r>
      <w:r w:rsidRPr="00811992">
        <w:rPr>
          <w:lang w:val="es-CR"/>
        </w:rPr>
        <w:t>rr. 1</w:t>
      </w:r>
      <w:r>
        <w:rPr>
          <w:lang w:val="es-CR"/>
        </w:rPr>
        <w:t xml:space="preserve">53, y </w:t>
      </w:r>
      <w:r w:rsidRPr="00497E2A">
        <w:rPr>
          <w:i/>
          <w:lang w:val="es-CR"/>
        </w:rPr>
        <w:t>Caso Tenorio Roca y otros Vs. Perú</w:t>
      </w:r>
      <w:r>
        <w:rPr>
          <w:lang w:val="es-CR"/>
        </w:rPr>
        <w:t>, párr. 182.</w:t>
      </w:r>
    </w:p>
  </w:footnote>
  <w:footnote w:id="135">
    <w:p w14:paraId="42ABA235" w14:textId="36ADD82B"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Pr>
          <w:i/>
          <w:lang w:val="es-CR"/>
        </w:rPr>
        <w:t>Cfr.</w:t>
      </w:r>
      <w:r w:rsidRPr="002B67FB">
        <w:rPr>
          <w:lang w:val="es-AR"/>
        </w:rPr>
        <w:t xml:space="preserve"> </w:t>
      </w:r>
      <w:r w:rsidRPr="002B67FB">
        <w:rPr>
          <w:i/>
          <w:lang w:val="es-AR"/>
        </w:rPr>
        <w:t xml:space="preserve">Caso </w:t>
      </w:r>
      <w:proofErr w:type="spellStart"/>
      <w:r w:rsidRPr="002B67FB">
        <w:rPr>
          <w:i/>
          <w:lang w:val="es-AR"/>
        </w:rPr>
        <w:t>Servellón</w:t>
      </w:r>
      <w:proofErr w:type="spellEnd"/>
      <w:r w:rsidRPr="002B67FB">
        <w:rPr>
          <w:i/>
          <w:lang w:val="es-AR"/>
        </w:rPr>
        <w:t xml:space="preserve"> García y otros Vs. Honduras. Fondo, Reparaciones y Costas</w:t>
      </w:r>
      <w:r w:rsidRPr="002B67FB">
        <w:rPr>
          <w:lang w:val="es-AR"/>
        </w:rPr>
        <w:t>. Sentencia de 21 de septiembre de 2006. Serie C No. 152, párr. 120</w:t>
      </w:r>
      <w:r>
        <w:rPr>
          <w:lang w:val="es-AR"/>
        </w:rPr>
        <w:t xml:space="preserve"> y </w:t>
      </w:r>
      <w:r w:rsidRPr="00497E2A">
        <w:rPr>
          <w:i/>
          <w:lang w:val="es-CR"/>
        </w:rPr>
        <w:t xml:space="preserve">Caso Ortiz </w:t>
      </w:r>
      <w:r>
        <w:rPr>
          <w:i/>
          <w:lang w:val="es-CR"/>
        </w:rPr>
        <w:t>Hernández y otros Vs. Venezuela</w:t>
      </w:r>
      <w:r>
        <w:rPr>
          <w:lang w:val="es-CR"/>
        </w:rPr>
        <w:t>, párr. 157.</w:t>
      </w:r>
    </w:p>
  </w:footnote>
  <w:footnote w:id="136">
    <w:p w14:paraId="4D7AB38E" w14:textId="7F43B298" w:rsidR="00E02FDB" w:rsidRPr="007B43FC" w:rsidRDefault="00E02FDB" w:rsidP="004635E5">
      <w:pPr>
        <w:pStyle w:val="FootnoteText"/>
        <w:ind w:right="18"/>
        <w:rPr>
          <w:spacing w:val="-4"/>
          <w:lang w:val="es-CR"/>
        </w:rPr>
      </w:pPr>
      <w:r w:rsidRPr="007B43FC">
        <w:rPr>
          <w:rStyle w:val="FootnoteReference"/>
          <w:spacing w:val="-4"/>
        </w:rPr>
        <w:footnoteRef/>
      </w:r>
      <w:r>
        <w:rPr>
          <w:lang w:val="es-ES"/>
        </w:rPr>
        <w:t xml:space="preserve"> </w:t>
      </w:r>
      <w:r>
        <w:rPr>
          <w:lang w:val="es-ES"/>
        </w:rPr>
        <w:tab/>
      </w:r>
      <w:r w:rsidRPr="007B43FC">
        <w:rPr>
          <w:i/>
          <w:spacing w:val="-4"/>
          <w:lang w:val="es-CR"/>
        </w:rPr>
        <w:t xml:space="preserve">Cfr. </w:t>
      </w:r>
      <w:r w:rsidRPr="007B43FC">
        <w:rPr>
          <w:bCs/>
          <w:i/>
          <w:spacing w:val="-4"/>
          <w:lang w:val="es-CR"/>
        </w:rPr>
        <w:t>Caso Juan Humberto S</w:t>
      </w:r>
      <w:r w:rsidRPr="007B43FC">
        <w:rPr>
          <w:rFonts w:cs="Calibri"/>
          <w:bCs/>
          <w:i/>
          <w:spacing w:val="-4"/>
          <w:lang w:val="es-CR"/>
        </w:rPr>
        <w:t>á</w:t>
      </w:r>
      <w:r w:rsidRPr="007B43FC">
        <w:rPr>
          <w:bCs/>
          <w:i/>
          <w:spacing w:val="-4"/>
          <w:lang w:val="es-CR"/>
        </w:rPr>
        <w:t>nchez Vs. Honduras</w:t>
      </w:r>
      <w:r>
        <w:rPr>
          <w:bCs/>
          <w:i/>
          <w:spacing w:val="-4"/>
          <w:lang w:val="es-CR"/>
        </w:rPr>
        <w:t>.</w:t>
      </w:r>
      <w:r w:rsidRPr="007B43FC">
        <w:rPr>
          <w:bCs/>
          <w:spacing w:val="-4"/>
          <w:lang w:val="es-CR"/>
        </w:rPr>
        <w:t xml:space="preserve"> </w:t>
      </w:r>
      <w:r w:rsidRPr="001A33BF">
        <w:rPr>
          <w:bCs/>
          <w:i/>
          <w:spacing w:val="-4"/>
          <w:lang w:val="es-CR"/>
        </w:rPr>
        <w:t>Excepción Preliminar, Fondo, Reparaciones y Costas</w:t>
      </w:r>
      <w:r w:rsidRPr="001A33BF">
        <w:rPr>
          <w:bCs/>
          <w:spacing w:val="-4"/>
          <w:lang w:val="es-CR"/>
        </w:rPr>
        <w:t>. Sentencia de 7 de junio de 2003. Serie C No. 99</w:t>
      </w:r>
      <w:r w:rsidRPr="007B43FC">
        <w:rPr>
          <w:bCs/>
          <w:i/>
          <w:spacing w:val="-4"/>
          <w:lang w:val="es-CR"/>
        </w:rPr>
        <w:t>,</w:t>
      </w:r>
      <w:r w:rsidRPr="007B43FC">
        <w:rPr>
          <w:bCs/>
          <w:spacing w:val="-4"/>
          <w:lang w:val="es-CR"/>
        </w:rPr>
        <w:t xml:space="preserve"> </w:t>
      </w:r>
      <w:r w:rsidRPr="007B43FC">
        <w:rPr>
          <w:spacing w:val="-4"/>
          <w:lang w:val="es-CR"/>
        </w:rPr>
        <w:t>p</w:t>
      </w:r>
      <w:r w:rsidRPr="007B43FC">
        <w:rPr>
          <w:rFonts w:cs="Calibri"/>
          <w:spacing w:val="-4"/>
          <w:lang w:val="es-CR"/>
        </w:rPr>
        <w:t>á</w:t>
      </w:r>
      <w:r>
        <w:rPr>
          <w:spacing w:val="-4"/>
          <w:lang w:val="es-CR"/>
        </w:rPr>
        <w:t>rr. 127;</w:t>
      </w:r>
      <w:r w:rsidRPr="00495577">
        <w:rPr>
          <w:i/>
          <w:lang w:val="es-CR"/>
        </w:rPr>
        <w:t xml:space="preserve"> </w:t>
      </w:r>
      <w:r w:rsidRPr="00211FF5">
        <w:rPr>
          <w:i/>
          <w:lang w:val="es-CR"/>
        </w:rPr>
        <w:t>Caso Ortiz Hernández y otros Vs. Venezuela</w:t>
      </w:r>
      <w:r>
        <w:rPr>
          <w:lang w:val="es-CR"/>
        </w:rPr>
        <w:t>, párr. 157,</w:t>
      </w:r>
      <w:r>
        <w:rPr>
          <w:i/>
          <w:iCs/>
          <w:lang w:val="es-CR"/>
        </w:rPr>
        <w:t xml:space="preserve"> </w:t>
      </w:r>
      <w:r w:rsidRPr="005069CE">
        <w:rPr>
          <w:iCs/>
          <w:lang w:val="es-CR"/>
        </w:rPr>
        <w:t>y</w:t>
      </w:r>
      <w:r w:rsidRPr="002B67FB">
        <w:t xml:space="preserve"> ONU, Manual sobre la Prevención e Investigación Efectiva de Ejecuciones Extrajudiciales, Arbitrarias y Sumarias de Naciones Unidas (“Protocolo de Minnesota”), Doc. E/ST/CSDHA/.12 (1991).</w:t>
      </w:r>
    </w:p>
  </w:footnote>
  <w:footnote w:id="137">
    <w:p w14:paraId="7747226D" w14:textId="4AE880B4" w:rsidR="00E02FDB" w:rsidRPr="007B43FC" w:rsidRDefault="00E02FDB" w:rsidP="004635E5">
      <w:pPr>
        <w:pStyle w:val="FootnoteText"/>
        <w:ind w:right="18"/>
        <w:rPr>
          <w:lang w:val="es-CR"/>
        </w:rPr>
      </w:pPr>
      <w:r w:rsidRPr="007B43FC">
        <w:rPr>
          <w:rStyle w:val="FootnoteReference"/>
        </w:rPr>
        <w:footnoteRef/>
      </w:r>
      <w:r>
        <w:rPr>
          <w:lang w:val="es-CR"/>
        </w:rPr>
        <w:t xml:space="preserve"> </w:t>
      </w:r>
      <w:r>
        <w:rPr>
          <w:lang w:val="es-CR"/>
        </w:rPr>
        <w:tab/>
      </w:r>
      <w:r w:rsidRPr="007B43FC">
        <w:rPr>
          <w:i/>
          <w:iCs/>
          <w:lang w:val="es-CR"/>
        </w:rPr>
        <w:t>Cfr.</w:t>
      </w:r>
      <w:r w:rsidRPr="007B43FC">
        <w:rPr>
          <w:i/>
          <w:lang w:val="es-CR"/>
        </w:rPr>
        <w:t xml:space="preserve"> Caso Gonz</w:t>
      </w:r>
      <w:r w:rsidRPr="007B43FC">
        <w:rPr>
          <w:rFonts w:cs="Calibri"/>
          <w:i/>
          <w:lang w:val="es-CR"/>
        </w:rPr>
        <w:t>á</w:t>
      </w:r>
      <w:r w:rsidRPr="007B43FC">
        <w:rPr>
          <w:i/>
          <w:lang w:val="es-CR"/>
        </w:rPr>
        <w:t>lez y otras (“Campo Algodonero”)</w:t>
      </w:r>
      <w:r>
        <w:rPr>
          <w:i/>
          <w:lang w:val="es-CR"/>
        </w:rPr>
        <w:t xml:space="preserve"> Vs. México. </w:t>
      </w:r>
      <w:r w:rsidRPr="001A33BF">
        <w:rPr>
          <w:i/>
          <w:lang w:val="es-CR"/>
        </w:rPr>
        <w:t>Excepción Preliminar, Fondo, Reparaciones y Costas.</w:t>
      </w:r>
      <w:r w:rsidRPr="001A33BF">
        <w:rPr>
          <w:lang w:val="es-CR"/>
        </w:rPr>
        <w:t xml:space="preserve"> Sentencia de 16 de noviembre de 2009. Serie C No. 205</w:t>
      </w:r>
      <w:r w:rsidRPr="007B43FC">
        <w:rPr>
          <w:lang w:val="es-CR"/>
        </w:rPr>
        <w:t>, p</w:t>
      </w:r>
      <w:r w:rsidRPr="007B43FC">
        <w:rPr>
          <w:rFonts w:cs="Calibri"/>
          <w:lang w:val="es-CR"/>
        </w:rPr>
        <w:t>á</w:t>
      </w:r>
      <w:r>
        <w:rPr>
          <w:lang w:val="es-CR"/>
        </w:rPr>
        <w:t>rr. 301;</w:t>
      </w:r>
      <w:r>
        <w:rPr>
          <w:rFonts w:cs="Arial"/>
          <w:lang w:val="es-CR"/>
        </w:rPr>
        <w:t xml:space="preserve"> </w:t>
      </w:r>
      <w:r w:rsidRPr="00211FF5">
        <w:rPr>
          <w:i/>
          <w:lang w:val="es-CR"/>
        </w:rPr>
        <w:t xml:space="preserve">Caso Ortiz </w:t>
      </w:r>
      <w:r>
        <w:rPr>
          <w:i/>
          <w:lang w:val="es-CR"/>
        </w:rPr>
        <w:t>Hernández y otros Vs. Venezuela</w:t>
      </w:r>
      <w:r>
        <w:rPr>
          <w:lang w:val="es-CR"/>
        </w:rPr>
        <w:t>, párr. 159</w:t>
      </w:r>
      <w:r>
        <w:rPr>
          <w:rFonts w:cs="Courier New"/>
          <w:noProof/>
          <w:lang w:val="es-CR"/>
        </w:rPr>
        <w:t>, y</w:t>
      </w:r>
      <w:r>
        <w:t xml:space="preserve"> </w:t>
      </w:r>
      <w:r w:rsidRPr="002B67FB">
        <w:t>“Protocolo de Minneso</w:t>
      </w:r>
      <w:r>
        <w:t>ta”</w:t>
      </w:r>
      <w:r w:rsidRPr="002B67FB">
        <w:t>.</w:t>
      </w:r>
    </w:p>
  </w:footnote>
  <w:footnote w:id="138">
    <w:p w14:paraId="7F00B99D" w14:textId="549E46E2" w:rsidR="00E02FDB" w:rsidRPr="007B43FC" w:rsidRDefault="00E02FDB" w:rsidP="004635E5">
      <w:pPr>
        <w:pStyle w:val="FootnoteText"/>
        <w:rPr>
          <w:spacing w:val="-4"/>
          <w:lang w:val="es-CR"/>
        </w:rPr>
      </w:pPr>
      <w:r w:rsidRPr="007B43FC">
        <w:rPr>
          <w:rStyle w:val="FootnoteReference"/>
          <w:spacing w:val="-4"/>
        </w:rPr>
        <w:footnoteRef/>
      </w:r>
      <w:r w:rsidRPr="007B43FC">
        <w:rPr>
          <w:spacing w:val="-4"/>
          <w:lang w:val="es-CR"/>
        </w:rPr>
        <w:t xml:space="preserve"> </w:t>
      </w:r>
      <w:r>
        <w:rPr>
          <w:spacing w:val="-4"/>
          <w:lang w:val="es-CR"/>
        </w:rPr>
        <w:tab/>
      </w:r>
      <w:r w:rsidRPr="007B43FC">
        <w:rPr>
          <w:i/>
          <w:iCs/>
          <w:spacing w:val="-4"/>
          <w:lang w:val="es-ES"/>
        </w:rPr>
        <w:t>Cfr.</w:t>
      </w:r>
      <w:r w:rsidRPr="007B43FC">
        <w:rPr>
          <w:i/>
          <w:spacing w:val="-4"/>
          <w:lang w:val="es-ES"/>
        </w:rPr>
        <w:t xml:space="preserve"> </w:t>
      </w:r>
      <w:r w:rsidRPr="00495577">
        <w:rPr>
          <w:i/>
          <w:spacing w:val="-4"/>
          <w:lang w:val="es-ES"/>
        </w:rPr>
        <w:t xml:space="preserve">Caso Hermanos Landaeta Mejías y otros Vs. Venezuela. Excepciones Preliminares, Fondo, Reparaciones y Costas. </w:t>
      </w:r>
      <w:r w:rsidRPr="00497E2A">
        <w:rPr>
          <w:spacing w:val="-4"/>
          <w:lang w:val="es-ES"/>
        </w:rPr>
        <w:t xml:space="preserve">Sentencia de 27 de </w:t>
      </w:r>
      <w:r>
        <w:rPr>
          <w:spacing w:val="-4"/>
          <w:lang w:val="es-ES"/>
        </w:rPr>
        <w:t xml:space="preserve">agosto de 2014. Serie C No. 281, párr. 254 y </w:t>
      </w:r>
      <w:r w:rsidRPr="00211FF5">
        <w:rPr>
          <w:i/>
          <w:lang w:val="es-CR"/>
        </w:rPr>
        <w:t>Caso Ortiz Hernández y otros Vs. Venezuela</w:t>
      </w:r>
      <w:r>
        <w:rPr>
          <w:lang w:val="es-CR"/>
        </w:rPr>
        <w:t>, párr. 160</w:t>
      </w:r>
      <w:r>
        <w:rPr>
          <w:rFonts w:cs="Courier New"/>
          <w:noProof/>
          <w:lang w:val="es-CR"/>
        </w:rPr>
        <w:t>.</w:t>
      </w:r>
      <w:r w:rsidRPr="00497E2A">
        <w:rPr>
          <w:spacing w:val="-4"/>
          <w:lang w:val="es-ES"/>
        </w:rPr>
        <w:t xml:space="preserve"> </w:t>
      </w:r>
      <w:r>
        <w:rPr>
          <w:spacing w:val="-4"/>
          <w:lang w:val="es-ES"/>
        </w:rPr>
        <w:t xml:space="preserve">En el mismo sentido, </w:t>
      </w:r>
      <w:r w:rsidRPr="007B43FC">
        <w:rPr>
          <w:i/>
          <w:spacing w:val="-4"/>
          <w:lang w:val="es-ES"/>
        </w:rPr>
        <w:t>Caso Gonz</w:t>
      </w:r>
      <w:r w:rsidRPr="007B43FC">
        <w:rPr>
          <w:rFonts w:cs="Calibri"/>
          <w:i/>
          <w:spacing w:val="-4"/>
          <w:lang w:val="es-ES"/>
        </w:rPr>
        <w:t>á</w:t>
      </w:r>
      <w:r w:rsidRPr="007B43FC">
        <w:rPr>
          <w:i/>
          <w:spacing w:val="-4"/>
          <w:lang w:val="es-ES"/>
        </w:rPr>
        <w:t>lez y otras (“Campo Algodonero”) Vs. M</w:t>
      </w:r>
      <w:r w:rsidRPr="007B43FC">
        <w:rPr>
          <w:rFonts w:cs="Calibri"/>
          <w:i/>
          <w:spacing w:val="-4"/>
          <w:lang w:val="es-ES"/>
        </w:rPr>
        <w:t>é</w:t>
      </w:r>
      <w:r>
        <w:rPr>
          <w:i/>
          <w:spacing w:val="-4"/>
          <w:lang w:val="es-ES"/>
        </w:rPr>
        <w:t>xico</w:t>
      </w:r>
      <w:r w:rsidRPr="0005122C">
        <w:rPr>
          <w:spacing w:val="-4"/>
          <w:lang w:val="es-ES"/>
        </w:rPr>
        <w:t>, p</w:t>
      </w:r>
      <w:r w:rsidRPr="0005122C">
        <w:rPr>
          <w:rFonts w:cs="Calibri"/>
          <w:spacing w:val="-4"/>
          <w:lang w:val="es-ES"/>
        </w:rPr>
        <w:t>á</w:t>
      </w:r>
      <w:r w:rsidRPr="0005122C">
        <w:rPr>
          <w:spacing w:val="-4"/>
          <w:lang w:val="es-ES"/>
        </w:rPr>
        <w:t xml:space="preserve">rr. 301, </w:t>
      </w:r>
      <w:r w:rsidRPr="007B43FC">
        <w:rPr>
          <w:spacing w:val="-4"/>
          <w:lang w:val="es-ES"/>
        </w:rPr>
        <w:t>citando</w:t>
      </w:r>
      <w:r w:rsidRPr="007B43FC">
        <w:rPr>
          <w:i/>
          <w:spacing w:val="-4"/>
          <w:lang w:val="es-CR"/>
        </w:rPr>
        <w:t xml:space="preserve"> </w:t>
      </w:r>
      <w:r w:rsidRPr="002B67FB">
        <w:t>“Protocolo de Minneso</w:t>
      </w:r>
      <w:r>
        <w:t>ta”</w:t>
      </w:r>
      <w:r w:rsidRPr="002B67FB">
        <w:t>.</w:t>
      </w:r>
    </w:p>
  </w:footnote>
  <w:footnote w:id="139">
    <w:p w14:paraId="59DDAC34" w14:textId="511D50C6" w:rsidR="00E02FDB" w:rsidRPr="007B43FC" w:rsidRDefault="00E02FDB" w:rsidP="004635E5">
      <w:pPr>
        <w:pStyle w:val="FootnoteText"/>
        <w:rPr>
          <w:spacing w:val="-4"/>
          <w:lang w:val="es-CR"/>
        </w:rPr>
      </w:pPr>
      <w:r w:rsidRPr="007B43FC">
        <w:rPr>
          <w:rStyle w:val="FootnoteReference"/>
          <w:spacing w:val="-4"/>
        </w:rPr>
        <w:footnoteRef/>
      </w:r>
      <w:r w:rsidRPr="007B43FC">
        <w:rPr>
          <w:spacing w:val="-4"/>
          <w:lang w:val="es-CR"/>
        </w:rPr>
        <w:t xml:space="preserve"> </w:t>
      </w:r>
      <w:r>
        <w:rPr>
          <w:spacing w:val="-4"/>
          <w:lang w:val="es-CR"/>
        </w:rPr>
        <w:tab/>
      </w:r>
      <w:r w:rsidRPr="007B43FC">
        <w:rPr>
          <w:i/>
          <w:spacing w:val="-4"/>
          <w:lang w:val="es-CR"/>
        </w:rPr>
        <w:t>Cfr.</w:t>
      </w:r>
      <w:r w:rsidRPr="007B43FC">
        <w:rPr>
          <w:spacing w:val="-4"/>
          <w:lang w:val="es-CR"/>
        </w:rPr>
        <w:t xml:space="preserve"> </w:t>
      </w:r>
      <w:r w:rsidRPr="007B43FC">
        <w:rPr>
          <w:i/>
          <w:spacing w:val="-4"/>
          <w:lang w:val="es-ES"/>
        </w:rPr>
        <w:t>Caso Gonz</w:t>
      </w:r>
      <w:r w:rsidRPr="007B43FC">
        <w:rPr>
          <w:rFonts w:cs="Calibri"/>
          <w:i/>
          <w:spacing w:val="-4"/>
          <w:lang w:val="es-ES"/>
        </w:rPr>
        <w:t>á</w:t>
      </w:r>
      <w:r w:rsidRPr="007B43FC">
        <w:rPr>
          <w:i/>
          <w:spacing w:val="-4"/>
          <w:lang w:val="es-ES"/>
        </w:rPr>
        <w:t>lez y otras (“Campo Algodonero”) Vs. M</w:t>
      </w:r>
      <w:r w:rsidRPr="007B43FC">
        <w:rPr>
          <w:rFonts w:cs="Calibri"/>
          <w:i/>
          <w:spacing w:val="-4"/>
          <w:lang w:val="es-ES"/>
        </w:rPr>
        <w:t>é</w:t>
      </w:r>
      <w:r w:rsidRPr="007B43FC">
        <w:rPr>
          <w:i/>
          <w:spacing w:val="-4"/>
          <w:lang w:val="es-ES"/>
        </w:rPr>
        <w:t>xico</w:t>
      </w:r>
      <w:r w:rsidRPr="007B43FC">
        <w:rPr>
          <w:spacing w:val="-4"/>
          <w:lang w:val="es-ES"/>
        </w:rPr>
        <w:t>, p</w:t>
      </w:r>
      <w:r w:rsidRPr="007B43FC">
        <w:rPr>
          <w:rFonts w:cs="Calibri"/>
          <w:spacing w:val="-4"/>
          <w:lang w:val="es-ES"/>
        </w:rPr>
        <w:t>á</w:t>
      </w:r>
      <w:r w:rsidRPr="007B43FC">
        <w:rPr>
          <w:spacing w:val="-4"/>
          <w:lang w:val="es-ES"/>
        </w:rPr>
        <w:t>rr. 30</w:t>
      </w:r>
      <w:r>
        <w:rPr>
          <w:spacing w:val="-4"/>
          <w:lang w:val="es-ES"/>
        </w:rPr>
        <w:t>5</w:t>
      </w:r>
      <w:r w:rsidRPr="007B43FC">
        <w:rPr>
          <w:spacing w:val="-4"/>
          <w:lang w:val="es-ES"/>
        </w:rPr>
        <w:t>, citando</w:t>
      </w:r>
      <w:r w:rsidRPr="007B43FC">
        <w:rPr>
          <w:i/>
          <w:spacing w:val="-4"/>
          <w:lang w:val="es-CR"/>
        </w:rPr>
        <w:t xml:space="preserve"> </w:t>
      </w:r>
      <w:r>
        <w:t xml:space="preserve">ONU, </w:t>
      </w:r>
      <w:r w:rsidRPr="002B67FB">
        <w:t>“Protocolo de Minnesot</w:t>
      </w:r>
      <w:r>
        <w:t xml:space="preserve">a”, y </w:t>
      </w:r>
      <w:r w:rsidRPr="00211FF5">
        <w:rPr>
          <w:i/>
          <w:lang w:val="es-CR"/>
        </w:rPr>
        <w:t>Caso Ortiz Hernández y otros Vs. Venezuela</w:t>
      </w:r>
      <w:r>
        <w:rPr>
          <w:lang w:val="es-CR"/>
        </w:rPr>
        <w:t xml:space="preserve">, </w:t>
      </w:r>
      <w:proofErr w:type="spellStart"/>
      <w:r>
        <w:rPr>
          <w:lang w:val="es-CR"/>
        </w:rPr>
        <w:t>párr</w:t>
      </w:r>
      <w:proofErr w:type="spellEnd"/>
      <w:r w:rsidRPr="007B43FC" w:rsidDel="00495577">
        <w:rPr>
          <w:i/>
          <w:spacing w:val="-4"/>
          <w:lang w:val="es-CR"/>
        </w:rPr>
        <w:t xml:space="preserve"> </w:t>
      </w:r>
      <w:r w:rsidRPr="00497E2A">
        <w:rPr>
          <w:spacing w:val="-4"/>
          <w:lang w:val="es-CR"/>
        </w:rPr>
        <w:t>161</w:t>
      </w:r>
      <w:r>
        <w:rPr>
          <w:i/>
          <w:spacing w:val="-4"/>
          <w:lang w:val="es-CR"/>
        </w:rPr>
        <w:t>.</w:t>
      </w:r>
    </w:p>
  </w:footnote>
  <w:footnote w:id="140">
    <w:p w14:paraId="28241D96" w14:textId="10B1A552" w:rsidR="00E02FDB" w:rsidRPr="007B43FC" w:rsidRDefault="00E02FDB" w:rsidP="004635E5">
      <w:pPr>
        <w:pStyle w:val="FootnoteText"/>
        <w:rPr>
          <w:spacing w:val="-4"/>
          <w:lang w:val="es-CR"/>
        </w:rPr>
      </w:pPr>
      <w:r w:rsidRPr="007B43FC">
        <w:rPr>
          <w:rStyle w:val="FootnoteReference"/>
          <w:spacing w:val="-4"/>
        </w:rPr>
        <w:footnoteRef/>
      </w:r>
      <w:r w:rsidRPr="007B43FC">
        <w:rPr>
          <w:spacing w:val="-4"/>
          <w:lang w:val="es-CR"/>
        </w:rPr>
        <w:t xml:space="preserve"> </w:t>
      </w:r>
      <w:r>
        <w:rPr>
          <w:spacing w:val="-4"/>
          <w:lang w:val="es-CR"/>
        </w:rPr>
        <w:tab/>
      </w:r>
      <w:r w:rsidRPr="007B43FC">
        <w:rPr>
          <w:i/>
          <w:iCs/>
          <w:spacing w:val="-4"/>
          <w:lang w:val="es-ES"/>
        </w:rPr>
        <w:t>Cfr.</w:t>
      </w:r>
      <w:r w:rsidRPr="007B43FC">
        <w:rPr>
          <w:i/>
          <w:spacing w:val="-4"/>
          <w:lang w:val="es-ES"/>
        </w:rPr>
        <w:t xml:space="preserve"> Caso Gonz</w:t>
      </w:r>
      <w:r w:rsidRPr="007B43FC">
        <w:rPr>
          <w:rFonts w:cs="Calibri"/>
          <w:i/>
          <w:spacing w:val="-4"/>
          <w:lang w:val="es-ES"/>
        </w:rPr>
        <w:t>á</w:t>
      </w:r>
      <w:r w:rsidRPr="007B43FC">
        <w:rPr>
          <w:i/>
          <w:spacing w:val="-4"/>
          <w:lang w:val="es-ES"/>
        </w:rPr>
        <w:t>lez y otras (“Campo Algodonero”) Vs. M</w:t>
      </w:r>
      <w:r w:rsidRPr="007B43FC">
        <w:rPr>
          <w:rFonts w:cs="Calibri"/>
          <w:i/>
          <w:spacing w:val="-4"/>
          <w:lang w:val="es-ES"/>
        </w:rPr>
        <w:t>é</w:t>
      </w:r>
      <w:r w:rsidRPr="007B43FC">
        <w:rPr>
          <w:i/>
          <w:spacing w:val="-4"/>
          <w:lang w:val="es-ES"/>
        </w:rPr>
        <w:t>xico</w:t>
      </w:r>
      <w:r>
        <w:rPr>
          <w:i/>
          <w:lang w:val="es-CR"/>
        </w:rPr>
        <w:t xml:space="preserve">, </w:t>
      </w:r>
      <w:r w:rsidRPr="007B43FC">
        <w:rPr>
          <w:spacing w:val="-4"/>
          <w:lang w:val="es-ES"/>
        </w:rPr>
        <w:t>p</w:t>
      </w:r>
      <w:r w:rsidRPr="007B43FC">
        <w:rPr>
          <w:rFonts w:cs="Calibri"/>
          <w:spacing w:val="-4"/>
          <w:lang w:val="es-ES"/>
        </w:rPr>
        <w:t>á</w:t>
      </w:r>
      <w:r w:rsidRPr="007B43FC">
        <w:rPr>
          <w:spacing w:val="-4"/>
          <w:lang w:val="es-ES"/>
        </w:rPr>
        <w:t>rr. 305</w:t>
      </w:r>
      <w:r>
        <w:rPr>
          <w:spacing w:val="-4"/>
          <w:lang w:val="es-ES"/>
        </w:rPr>
        <w:t xml:space="preserve">, y </w:t>
      </w:r>
      <w:r>
        <w:rPr>
          <w:rStyle w:val="Strong"/>
          <w:b w:val="0"/>
          <w:i/>
          <w:color w:val="000000"/>
          <w:shd w:val="clear" w:color="auto" w:fill="FFFFFF"/>
          <w:lang w:val="es-CR"/>
        </w:rPr>
        <w:t>Caso Favela Nova Brasilia Vs. Brasil</w:t>
      </w:r>
      <w:r>
        <w:rPr>
          <w:rStyle w:val="Strong"/>
          <w:b w:val="0"/>
          <w:color w:val="000000"/>
          <w:shd w:val="clear" w:color="auto" w:fill="FFFFFF"/>
          <w:lang w:val="es-CR"/>
        </w:rPr>
        <w:t>, párr. 182.</w:t>
      </w:r>
    </w:p>
  </w:footnote>
  <w:footnote w:id="141">
    <w:p w14:paraId="0C8FBD0A" w14:textId="485FB40B" w:rsidR="00E02FDB" w:rsidRPr="008A2AE0" w:rsidRDefault="00E02FDB" w:rsidP="004635E5">
      <w:pPr>
        <w:pStyle w:val="FootnoteText"/>
      </w:pPr>
      <w:r>
        <w:rPr>
          <w:rStyle w:val="FootnoteReference"/>
        </w:rPr>
        <w:footnoteRef/>
      </w:r>
      <w:r>
        <w:t xml:space="preserve"> </w:t>
      </w:r>
      <w:r>
        <w:tab/>
        <w:t>En efecto, e</w:t>
      </w:r>
      <w:r w:rsidRPr="00811992">
        <w:rPr>
          <w:rFonts w:cs="Arial"/>
        </w:rPr>
        <w:t xml:space="preserve">s pertinente dejar constancia que no consta la realización de ciertas diligencias solicitadas por las autoridades, pero no resulta evidente, ni fue señalado por la Comisión o los representantes, cómo esas omisiones habrían perjudicado la investigación. Así ocurre respecto de la pericia psicológica de </w:t>
      </w:r>
      <w:proofErr w:type="spellStart"/>
      <w:r w:rsidRPr="00811992">
        <w:rPr>
          <w:rFonts w:cs="Arial"/>
        </w:rPr>
        <w:t>Jimy</w:t>
      </w:r>
      <w:proofErr w:type="spellEnd"/>
      <w:r w:rsidRPr="00811992">
        <w:rPr>
          <w:rFonts w:cs="Arial"/>
        </w:rPr>
        <w:t xml:space="preserve"> Pacheco solicitada el 7 de diciembre de 2001; las citaciones de mayo de 2005 para que C</w:t>
      </w:r>
      <w:r>
        <w:rPr>
          <w:rFonts w:cs="Arial"/>
        </w:rPr>
        <w:t>J</w:t>
      </w:r>
      <w:r w:rsidRPr="00811992">
        <w:rPr>
          <w:rFonts w:cs="Arial"/>
        </w:rPr>
        <w:t xml:space="preserve"> y S</w:t>
      </w:r>
      <w:r>
        <w:rPr>
          <w:rFonts w:cs="Arial"/>
        </w:rPr>
        <w:t>R prestaran declaración</w:t>
      </w:r>
      <w:r w:rsidRPr="00811992">
        <w:rPr>
          <w:rFonts w:cs="Arial"/>
        </w:rPr>
        <w:t xml:space="preserve">; la solicitud de copia del expediente pedida por el Fiscal de Derechos Humanos al Fiscal del Ministerio Público, y el envío </w:t>
      </w:r>
      <w:r w:rsidRPr="00900457">
        <w:rPr>
          <w:rFonts w:cs="Arial"/>
        </w:rPr>
        <w:t>del dictamen de autopsia solicitado por el Fiscal interviniente al Departamento de Patología Forense del Ministerio Público (</w:t>
      </w:r>
      <w:r w:rsidRPr="0083028B">
        <w:rPr>
          <w:rFonts w:cs="Arial"/>
          <w:i/>
        </w:rPr>
        <w:t xml:space="preserve">supra </w:t>
      </w:r>
      <w:proofErr w:type="spellStart"/>
      <w:r w:rsidRPr="0083028B">
        <w:rPr>
          <w:rFonts w:cs="Arial"/>
        </w:rPr>
        <w:t>párrs</w:t>
      </w:r>
      <w:proofErr w:type="spellEnd"/>
      <w:r w:rsidRPr="0083028B">
        <w:rPr>
          <w:rFonts w:cs="Arial"/>
        </w:rPr>
        <w:t xml:space="preserve">. 39, 54 y nota a pie de página 106 e </w:t>
      </w:r>
      <w:r w:rsidRPr="0083028B">
        <w:rPr>
          <w:rFonts w:cs="Arial"/>
          <w:i/>
        </w:rPr>
        <w:t>infra</w:t>
      </w:r>
      <w:r w:rsidRPr="0083028B">
        <w:rPr>
          <w:rFonts w:cs="Arial"/>
        </w:rPr>
        <w:t xml:space="preserve"> nota a pie de página 153).</w:t>
      </w:r>
    </w:p>
  </w:footnote>
  <w:footnote w:id="142">
    <w:p w14:paraId="0153EF4B" w14:textId="1846E705"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497E2A">
        <w:rPr>
          <w:i/>
          <w:lang w:val="es-CR"/>
        </w:rPr>
        <w:t xml:space="preserve">Cfr. </w:t>
      </w:r>
      <w:r w:rsidRPr="00C21A2E">
        <w:rPr>
          <w:i/>
          <w:iCs/>
          <w:lang w:val="es-ES"/>
        </w:rPr>
        <w:t>Caso de la Masacre de la Rochela Vs. Colombia. Fondo, Reparaciones y Costas</w:t>
      </w:r>
      <w:r w:rsidRPr="00C21A2E">
        <w:rPr>
          <w:iCs/>
          <w:lang w:val="es-ES"/>
        </w:rPr>
        <w:t xml:space="preserve">. </w:t>
      </w:r>
      <w:r w:rsidRPr="00C21A2E">
        <w:rPr>
          <w:lang w:val="es-ES"/>
        </w:rPr>
        <w:t>Sentencia de 11 de mayo de 2007. Serie C No. 163, párr. 158</w:t>
      </w:r>
      <w:r w:rsidRPr="007B43FC">
        <w:rPr>
          <w:lang w:val="es-CR"/>
        </w:rPr>
        <w:t>,</w:t>
      </w:r>
      <w:r>
        <w:rPr>
          <w:lang w:val="es-CR"/>
        </w:rPr>
        <w:t xml:space="preserve"> y </w:t>
      </w:r>
      <w:r>
        <w:rPr>
          <w:rStyle w:val="Strong"/>
          <w:b w:val="0"/>
          <w:i/>
          <w:color w:val="000000"/>
          <w:shd w:val="clear" w:color="auto" w:fill="FFFFFF"/>
          <w:lang w:val="es-CR"/>
        </w:rPr>
        <w:t>Caso Favela Nova Brasi</w:t>
      </w:r>
      <w:r w:rsidRPr="00211FF5">
        <w:rPr>
          <w:rStyle w:val="Strong"/>
          <w:b w:val="0"/>
          <w:i/>
          <w:color w:val="000000"/>
          <w:shd w:val="clear" w:color="auto" w:fill="FFFFFF"/>
          <w:lang w:val="es-CR"/>
        </w:rPr>
        <w:t>lia Vs. Brasil</w:t>
      </w:r>
      <w:r>
        <w:rPr>
          <w:rStyle w:val="Strong"/>
          <w:b w:val="0"/>
          <w:color w:val="000000"/>
          <w:shd w:val="clear" w:color="auto" w:fill="FFFFFF"/>
          <w:lang w:val="es-CR"/>
        </w:rPr>
        <w:t>, párr. 180.</w:t>
      </w:r>
      <w:r w:rsidRPr="007B43FC">
        <w:rPr>
          <w:lang w:val="es-CR"/>
        </w:rPr>
        <w:t xml:space="preserve">  </w:t>
      </w:r>
    </w:p>
  </w:footnote>
  <w:footnote w:id="143">
    <w:p w14:paraId="0C0FCEBD" w14:textId="1477849F"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lang w:val="es-CR"/>
        </w:rPr>
        <w:t>C</w:t>
      </w:r>
      <w:r w:rsidRPr="007B43FC">
        <w:rPr>
          <w:color w:val="000000"/>
          <w:lang w:val="es-CR"/>
        </w:rPr>
        <w:t>abe recordar que no corresponde a la Corte analizar las hip</w:t>
      </w:r>
      <w:r w:rsidRPr="007B43FC">
        <w:rPr>
          <w:rFonts w:cs="Calibri"/>
          <w:color w:val="000000"/>
          <w:lang w:val="es-CR"/>
        </w:rPr>
        <w:t>ó</w:t>
      </w:r>
      <w:r w:rsidRPr="007B43FC">
        <w:rPr>
          <w:color w:val="000000"/>
          <w:lang w:val="es-CR"/>
        </w:rPr>
        <w:t>tesis de autor</w:t>
      </w:r>
      <w:r w:rsidRPr="007B43FC">
        <w:rPr>
          <w:rFonts w:cs="Calibri"/>
          <w:color w:val="000000"/>
          <w:lang w:val="es-CR"/>
        </w:rPr>
        <w:t>í</w:t>
      </w:r>
      <w:r w:rsidRPr="007B43FC">
        <w:rPr>
          <w:color w:val="000000"/>
          <w:lang w:val="es-CR"/>
        </w:rPr>
        <w:t>a manejadas durante la investigaci</w:t>
      </w:r>
      <w:r w:rsidRPr="007B43FC">
        <w:rPr>
          <w:rFonts w:cs="Calibri"/>
          <w:color w:val="000000"/>
          <w:lang w:val="es-CR"/>
        </w:rPr>
        <w:t>ó</w:t>
      </w:r>
      <w:r w:rsidRPr="007B43FC">
        <w:rPr>
          <w:color w:val="000000"/>
          <w:lang w:val="es-CR"/>
        </w:rPr>
        <w:t>n de los hechos y en consecuencia determinar responsabilidades individuales, cuya definici</w:t>
      </w:r>
      <w:r w:rsidRPr="007B43FC">
        <w:rPr>
          <w:rFonts w:cs="Calibri"/>
          <w:color w:val="000000"/>
          <w:lang w:val="es-CR"/>
        </w:rPr>
        <w:t>ó</w:t>
      </w:r>
      <w:r w:rsidRPr="007B43FC">
        <w:rPr>
          <w:color w:val="000000"/>
          <w:lang w:val="es-CR"/>
        </w:rPr>
        <w:t>n compete a los tribunales penales internos, sino evaluar las acciones u omisiones de agentes estatales, seg</w:t>
      </w:r>
      <w:r w:rsidRPr="007B43FC">
        <w:rPr>
          <w:rFonts w:cs="Calibri"/>
          <w:color w:val="000000"/>
          <w:lang w:val="es-CR"/>
        </w:rPr>
        <w:t>ú</w:t>
      </w:r>
      <w:r w:rsidRPr="007B43FC">
        <w:rPr>
          <w:color w:val="000000"/>
          <w:lang w:val="es-CR"/>
        </w:rPr>
        <w:t xml:space="preserve">n la prueba presentada por las partes. </w:t>
      </w:r>
      <w:r>
        <w:rPr>
          <w:rStyle w:val="Strong"/>
          <w:b w:val="0"/>
          <w:i/>
          <w:color w:val="000000"/>
          <w:shd w:val="clear" w:color="auto" w:fill="FFFFFF"/>
          <w:lang w:val="es-CR"/>
        </w:rPr>
        <w:t>Cfr.</w:t>
      </w:r>
      <w:r w:rsidRPr="00497E2A">
        <w:rPr>
          <w:rStyle w:val="Strong"/>
          <w:b w:val="0"/>
          <w:color w:val="000000"/>
          <w:shd w:val="clear" w:color="auto" w:fill="FFFFFF"/>
          <w:lang w:val="es-CR"/>
        </w:rPr>
        <w:t>, en e</w:t>
      </w:r>
      <w:r>
        <w:rPr>
          <w:rStyle w:val="Strong"/>
          <w:b w:val="0"/>
          <w:color w:val="000000"/>
          <w:shd w:val="clear" w:color="auto" w:fill="FFFFFF"/>
          <w:lang w:val="es-CR"/>
        </w:rPr>
        <w:t>se</w:t>
      </w:r>
      <w:r w:rsidRPr="00497E2A">
        <w:rPr>
          <w:rStyle w:val="Strong"/>
          <w:b w:val="0"/>
          <w:color w:val="000000"/>
          <w:shd w:val="clear" w:color="auto" w:fill="FFFFFF"/>
          <w:lang w:val="es-CR"/>
        </w:rPr>
        <w:t xml:space="preserve"> sentido, </w:t>
      </w:r>
      <w:r w:rsidRPr="002B67FB">
        <w:rPr>
          <w:i/>
          <w:lang w:val="es-AR"/>
        </w:rPr>
        <w:t xml:space="preserve">Caso </w:t>
      </w:r>
      <w:proofErr w:type="spellStart"/>
      <w:r w:rsidRPr="002B67FB">
        <w:rPr>
          <w:i/>
          <w:lang w:val="es-AR"/>
        </w:rPr>
        <w:t>Kawas</w:t>
      </w:r>
      <w:proofErr w:type="spellEnd"/>
      <w:r w:rsidRPr="002B67FB">
        <w:rPr>
          <w:i/>
          <w:lang w:val="es-AR"/>
        </w:rPr>
        <w:t xml:space="preserve"> Fernández Vs. Honduras. Fondo, Reparaciones y Costas. </w:t>
      </w:r>
      <w:r w:rsidRPr="002B67FB">
        <w:rPr>
          <w:lang w:val="es-AR"/>
        </w:rPr>
        <w:t xml:space="preserve">Sentencia de 3 de abril de 2009. Serie C No. 196, párr. 96, y </w:t>
      </w:r>
      <w:r w:rsidRPr="00497E2A">
        <w:rPr>
          <w:i/>
          <w:lang w:val="es-AR"/>
        </w:rPr>
        <w:t>Caso Ortiz Hernández y otros Vs. Venezuela</w:t>
      </w:r>
      <w:r>
        <w:rPr>
          <w:lang w:val="es-AR"/>
        </w:rPr>
        <w:t>, párr. 128</w:t>
      </w:r>
      <w:r w:rsidRPr="00285533">
        <w:rPr>
          <w:lang w:val="es-AR"/>
        </w:rPr>
        <w:t xml:space="preserve">. </w:t>
      </w:r>
    </w:p>
  </w:footnote>
  <w:footnote w:id="144">
    <w:p w14:paraId="557AEEDE" w14:textId="12E71C09" w:rsidR="00E02FDB" w:rsidRPr="007B43FC" w:rsidRDefault="00E02FDB" w:rsidP="004635E5">
      <w:pPr>
        <w:rPr>
          <w:sz w:val="16"/>
          <w:szCs w:val="16"/>
        </w:rPr>
      </w:pPr>
      <w:r w:rsidRPr="007B43FC">
        <w:rPr>
          <w:rStyle w:val="FootnoteReference"/>
        </w:rPr>
        <w:footnoteRef/>
      </w:r>
      <w:r w:rsidRPr="007B43FC">
        <w:rPr>
          <w:sz w:val="16"/>
          <w:szCs w:val="16"/>
          <w:lang w:val="es-CR"/>
        </w:rPr>
        <w:t xml:space="preserve"> </w:t>
      </w:r>
      <w:r>
        <w:rPr>
          <w:sz w:val="16"/>
          <w:szCs w:val="16"/>
          <w:lang w:val="es-CR"/>
        </w:rPr>
        <w:tab/>
      </w:r>
      <w:r w:rsidRPr="00D93F76">
        <w:rPr>
          <w:sz w:val="16"/>
          <w:szCs w:val="16"/>
          <w:lang w:val="es-CR"/>
        </w:rPr>
        <w:t xml:space="preserve">El perito </w:t>
      </w:r>
      <w:proofErr w:type="spellStart"/>
      <w:r>
        <w:rPr>
          <w:sz w:val="16"/>
          <w:szCs w:val="16"/>
          <w:lang w:val="es-CR"/>
        </w:rPr>
        <w:t>Ramelli</w:t>
      </w:r>
      <w:proofErr w:type="spellEnd"/>
      <w:r>
        <w:rPr>
          <w:sz w:val="16"/>
          <w:szCs w:val="16"/>
          <w:lang w:val="es-CR"/>
        </w:rPr>
        <w:t xml:space="preserve"> Arteaga, quien manifestó lo señalado en la audiencia pública, al referirse a la forma de investigación, mencionó, cuando fue preguntado por el momento en que la “investigación criminal en contexto” comenzó a utilizarse en Colombia, que “</w:t>
      </w:r>
      <w:r w:rsidRPr="0040187E">
        <w:rPr>
          <w:sz w:val="16"/>
          <w:szCs w:val="16"/>
          <w:lang w:val="es-CR"/>
        </w:rPr>
        <w:t>se empezó a pensar en esto cuando se dieron dificultades en Justicia y Paz</w:t>
      </w:r>
      <w:r>
        <w:rPr>
          <w:sz w:val="16"/>
          <w:szCs w:val="16"/>
          <w:lang w:val="es-CR"/>
        </w:rPr>
        <w:t>”, y que “</w:t>
      </w:r>
      <w:r w:rsidRPr="0040187E">
        <w:rPr>
          <w:sz w:val="16"/>
          <w:szCs w:val="16"/>
          <w:lang w:val="es-CR"/>
        </w:rPr>
        <w:t xml:space="preserve">el proceso de Justicia y Paz </w:t>
      </w:r>
      <w:proofErr w:type="spellStart"/>
      <w:r w:rsidRPr="0040187E">
        <w:rPr>
          <w:sz w:val="16"/>
          <w:szCs w:val="16"/>
          <w:lang w:val="es-CR"/>
        </w:rPr>
        <w:t>arranc</w:t>
      </w:r>
      <w:proofErr w:type="spellEnd"/>
      <w:r>
        <w:rPr>
          <w:sz w:val="16"/>
          <w:szCs w:val="16"/>
          <w:lang w:val="es-CR"/>
        </w:rPr>
        <w:t>[</w:t>
      </w:r>
      <w:proofErr w:type="spellStart"/>
      <w:r>
        <w:rPr>
          <w:sz w:val="16"/>
          <w:szCs w:val="16"/>
          <w:lang w:val="es-CR"/>
        </w:rPr>
        <w:t>ó</w:t>
      </w:r>
      <w:proofErr w:type="spellEnd"/>
      <w:r>
        <w:rPr>
          <w:sz w:val="16"/>
          <w:szCs w:val="16"/>
          <w:lang w:val="es-CR"/>
        </w:rPr>
        <w:t>]</w:t>
      </w:r>
      <w:r w:rsidRPr="0040187E">
        <w:rPr>
          <w:sz w:val="16"/>
          <w:szCs w:val="16"/>
          <w:lang w:val="es-CR"/>
        </w:rPr>
        <w:t xml:space="preserve"> en </w:t>
      </w:r>
      <w:r>
        <w:rPr>
          <w:sz w:val="16"/>
          <w:szCs w:val="16"/>
          <w:lang w:val="es-CR"/>
        </w:rPr>
        <w:t>[…]</w:t>
      </w:r>
      <w:r w:rsidRPr="0040187E">
        <w:rPr>
          <w:sz w:val="16"/>
          <w:szCs w:val="16"/>
          <w:lang w:val="es-CR"/>
        </w:rPr>
        <w:t xml:space="preserve"> 2004</w:t>
      </w:r>
      <w:r>
        <w:rPr>
          <w:sz w:val="16"/>
          <w:szCs w:val="16"/>
          <w:lang w:val="es-CR"/>
        </w:rPr>
        <w:t>”.</w:t>
      </w:r>
      <w:r w:rsidRPr="00D93F76">
        <w:rPr>
          <w:rFonts w:cs="Arial"/>
          <w:sz w:val="16"/>
          <w:szCs w:val="16"/>
        </w:rPr>
        <w:t xml:space="preserve"> </w:t>
      </w:r>
      <w:r>
        <w:rPr>
          <w:rFonts w:cs="Arial"/>
          <w:sz w:val="16"/>
          <w:szCs w:val="16"/>
        </w:rPr>
        <w:t>C</w:t>
      </w:r>
      <w:r w:rsidRPr="00D93F76">
        <w:rPr>
          <w:rFonts w:cs="Arial"/>
          <w:sz w:val="16"/>
          <w:szCs w:val="16"/>
        </w:rPr>
        <w:t xml:space="preserve">onsultado sobre si </w:t>
      </w:r>
      <w:r>
        <w:rPr>
          <w:rFonts w:cs="Arial"/>
          <w:sz w:val="16"/>
          <w:szCs w:val="16"/>
        </w:rPr>
        <w:t xml:space="preserve">tal metodología </w:t>
      </w:r>
      <w:r w:rsidRPr="00D93F76">
        <w:rPr>
          <w:rFonts w:cs="Arial"/>
          <w:sz w:val="16"/>
          <w:szCs w:val="16"/>
        </w:rPr>
        <w:t>se estaba practicando en otros pa</w:t>
      </w:r>
      <w:r w:rsidRPr="00D93F76">
        <w:rPr>
          <w:sz w:val="16"/>
          <w:szCs w:val="16"/>
        </w:rPr>
        <w:t>í</w:t>
      </w:r>
      <w:r w:rsidRPr="00D93F76">
        <w:rPr>
          <w:rFonts w:cs="Arial"/>
          <w:sz w:val="16"/>
          <w:szCs w:val="16"/>
        </w:rPr>
        <w:t>ses de Latinoam</w:t>
      </w:r>
      <w:r w:rsidRPr="00D93F76">
        <w:rPr>
          <w:sz w:val="16"/>
          <w:szCs w:val="16"/>
        </w:rPr>
        <w:t>é</w:t>
      </w:r>
      <w:r w:rsidRPr="00D93F76">
        <w:rPr>
          <w:rFonts w:cs="Arial"/>
          <w:sz w:val="16"/>
          <w:szCs w:val="16"/>
        </w:rPr>
        <w:t>rica, no ofreci</w:t>
      </w:r>
      <w:r w:rsidRPr="00D93F76">
        <w:rPr>
          <w:sz w:val="16"/>
          <w:szCs w:val="16"/>
        </w:rPr>
        <w:t>ó</w:t>
      </w:r>
      <w:r w:rsidRPr="00D93F76">
        <w:rPr>
          <w:rFonts w:cs="Arial"/>
          <w:sz w:val="16"/>
          <w:szCs w:val="16"/>
        </w:rPr>
        <w:t xml:space="preserve"> informaci</w:t>
      </w:r>
      <w:r w:rsidRPr="00D93F76">
        <w:rPr>
          <w:sz w:val="16"/>
          <w:szCs w:val="16"/>
        </w:rPr>
        <w:t>ó</w:t>
      </w:r>
      <w:r w:rsidRPr="00D93F76">
        <w:rPr>
          <w:rFonts w:cs="Arial"/>
          <w:sz w:val="16"/>
          <w:szCs w:val="16"/>
        </w:rPr>
        <w:t>n precisa. El Estado pidió que “no sea considerado” el “modelo de investigación expuesto por el perito” porque “no era aplicable en […] 2001”.</w:t>
      </w:r>
      <w:r>
        <w:rPr>
          <w:lang w:val="es-CR"/>
        </w:rPr>
        <w:t xml:space="preserve"> </w:t>
      </w:r>
      <w:r w:rsidRPr="00D93F76">
        <w:rPr>
          <w:rFonts w:cs="Arial"/>
          <w:sz w:val="16"/>
          <w:szCs w:val="16"/>
        </w:rPr>
        <w:t>La Comisión</w:t>
      </w:r>
      <w:r>
        <w:rPr>
          <w:rFonts w:cs="Arial"/>
          <w:sz w:val="16"/>
          <w:szCs w:val="16"/>
        </w:rPr>
        <w:t>,</w:t>
      </w:r>
      <w:r w:rsidRPr="00D93F76">
        <w:rPr>
          <w:rFonts w:cs="Arial"/>
          <w:sz w:val="16"/>
          <w:szCs w:val="16"/>
        </w:rPr>
        <w:t xml:space="preserve"> al respecto</w:t>
      </w:r>
      <w:r>
        <w:rPr>
          <w:rFonts w:cs="Arial"/>
          <w:sz w:val="16"/>
          <w:szCs w:val="16"/>
        </w:rPr>
        <w:t>,</w:t>
      </w:r>
      <w:r w:rsidRPr="00D93F76">
        <w:rPr>
          <w:rFonts w:cs="Arial"/>
          <w:sz w:val="16"/>
          <w:szCs w:val="16"/>
        </w:rPr>
        <w:t xml:space="preserve"> señaló que el deber de inve</w:t>
      </w:r>
      <w:r>
        <w:rPr>
          <w:rFonts w:cs="Arial"/>
          <w:sz w:val="16"/>
          <w:szCs w:val="16"/>
        </w:rPr>
        <w:t>s</w:t>
      </w:r>
      <w:r w:rsidRPr="00D93F76">
        <w:rPr>
          <w:rFonts w:cs="Arial"/>
          <w:sz w:val="16"/>
          <w:szCs w:val="16"/>
        </w:rPr>
        <w:t>tigar surge de la Convención Americana, y que entender como parte de la diligencia debida la indagación sobre elementos de contexto “no se trata de una innovación de los estándares en la materia”</w:t>
      </w:r>
      <w:r>
        <w:rPr>
          <w:rFonts w:cs="Arial"/>
          <w:sz w:val="16"/>
          <w:szCs w:val="16"/>
        </w:rPr>
        <w:t>.</w:t>
      </w:r>
      <w:r w:rsidRPr="00D93F76">
        <w:rPr>
          <w:rFonts w:cs="Arial"/>
          <w:sz w:val="16"/>
          <w:szCs w:val="16"/>
        </w:rPr>
        <w:t xml:space="preserve"> La Corte aclara que tiene en consideraci</w:t>
      </w:r>
      <w:r w:rsidRPr="00D93F76">
        <w:rPr>
          <w:sz w:val="16"/>
          <w:szCs w:val="16"/>
        </w:rPr>
        <w:t>ó</w:t>
      </w:r>
      <w:r w:rsidRPr="00D93F76">
        <w:rPr>
          <w:rFonts w:cs="Arial"/>
          <w:sz w:val="16"/>
          <w:szCs w:val="16"/>
        </w:rPr>
        <w:t>n el peritaje del se</w:t>
      </w:r>
      <w:r w:rsidRPr="00D93F76">
        <w:rPr>
          <w:sz w:val="16"/>
          <w:szCs w:val="16"/>
        </w:rPr>
        <w:t>ñ</w:t>
      </w:r>
      <w:r w:rsidRPr="00D93F76">
        <w:rPr>
          <w:rFonts w:cs="Arial"/>
          <w:sz w:val="16"/>
          <w:szCs w:val="16"/>
        </w:rPr>
        <w:t xml:space="preserve">or </w:t>
      </w:r>
      <w:proofErr w:type="spellStart"/>
      <w:r w:rsidRPr="00D93F76">
        <w:rPr>
          <w:rFonts w:cs="Arial"/>
          <w:sz w:val="16"/>
          <w:szCs w:val="16"/>
        </w:rPr>
        <w:t>Ramelli</w:t>
      </w:r>
      <w:proofErr w:type="spellEnd"/>
      <w:r w:rsidRPr="00D93F76">
        <w:rPr>
          <w:rFonts w:cs="Arial"/>
          <w:sz w:val="16"/>
          <w:szCs w:val="16"/>
        </w:rPr>
        <w:t xml:space="preserve"> </w:t>
      </w:r>
      <w:r>
        <w:rPr>
          <w:rFonts w:cs="Arial"/>
          <w:sz w:val="16"/>
          <w:szCs w:val="16"/>
        </w:rPr>
        <w:t xml:space="preserve">Arteaga </w:t>
      </w:r>
      <w:r w:rsidRPr="00D93F76">
        <w:rPr>
          <w:rFonts w:cs="Arial"/>
          <w:sz w:val="16"/>
          <w:szCs w:val="16"/>
        </w:rPr>
        <w:t>en cuanto a sus se</w:t>
      </w:r>
      <w:r w:rsidRPr="00D93F76">
        <w:rPr>
          <w:sz w:val="16"/>
          <w:szCs w:val="16"/>
        </w:rPr>
        <w:t>ñ</w:t>
      </w:r>
      <w:r w:rsidRPr="00D93F76">
        <w:rPr>
          <w:rFonts w:cs="Arial"/>
          <w:sz w:val="16"/>
          <w:szCs w:val="16"/>
        </w:rPr>
        <w:t>alamientos respeto a la debida diligencia en la investigaci</w:t>
      </w:r>
      <w:r w:rsidRPr="00D93F76">
        <w:rPr>
          <w:sz w:val="16"/>
          <w:szCs w:val="16"/>
        </w:rPr>
        <w:t>ó</w:t>
      </w:r>
      <w:r w:rsidRPr="00D93F76">
        <w:rPr>
          <w:rFonts w:cs="Arial"/>
          <w:sz w:val="16"/>
          <w:szCs w:val="16"/>
        </w:rPr>
        <w:t>n de “cr</w:t>
      </w:r>
      <w:r w:rsidRPr="00D93F76">
        <w:rPr>
          <w:sz w:val="16"/>
          <w:szCs w:val="16"/>
        </w:rPr>
        <w:t>í</w:t>
      </w:r>
      <w:r w:rsidRPr="00D93F76">
        <w:rPr>
          <w:rFonts w:cs="Arial"/>
          <w:sz w:val="16"/>
          <w:szCs w:val="16"/>
        </w:rPr>
        <w:t>menes selectivos”, advirtiendo que resultan coincidentes, en sus t</w:t>
      </w:r>
      <w:r w:rsidRPr="00D93F76">
        <w:rPr>
          <w:sz w:val="16"/>
          <w:szCs w:val="16"/>
        </w:rPr>
        <w:t>é</w:t>
      </w:r>
      <w:r w:rsidRPr="00D93F76">
        <w:rPr>
          <w:rFonts w:cs="Arial"/>
          <w:sz w:val="16"/>
          <w:szCs w:val="16"/>
        </w:rPr>
        <w:t xml:space="preserve">rminos generales, con precisiones efectuadas en precedentes de este Tribunal </w:t>
      </w:r>
      <w:r w:rsidRPr="009E704D">
        <w:rPr>
          <w:rFonts w:cs="Arial"/>
          <w:sz w:val="16"/>
          <w:szCs w:val="16"/>
        </w:rPr>
        <w:t>(</w:t>
      </w:r>
      <w:r w:rsidRPr="009E704D">
        <w:rPr>
          <w:rFonts w:cs="Arial"/>
          <w:i/>
          <w:sz w:val="16"/>
          <w:szCs w:val="16"/>
        </w:rPr>
        <w:t>infra</w:t>
      </w:r>
      <w:r w:rsidRPr="009E704D">
        <w:rPr>
          <w:rFonts w:cs="Arial"/>
          <w:sz w:val="16"/>
          <w:szCs w:val="16"/>
        </w:rPr>
        <w:t xml:space="preserve"> p</w:t>
      </w:r>
      <w:r w:rsidRPr="009E704D">
        <w:rPr>
          <w:sz w:val="16"/>
          <w:szCs w:val="16"/>
        </w:rPr>
        <w:t>á</w:t>
      </w:r>
      <w:r w:rsidRPr="009E704D">
        <w:rPr>
          <w:rFonts w:cs="Arial"/>
          <w:sz w:val="16"/>
          <w:szCs w:val="16"/>
        </w:rPr>
        <w:t>rr. 93</w:t>
      </w:r>
      <w:r w:rsidRPr="00D93F76">
        <w:rPr>
          <w:rFonts w:cs="Arial"/>
          <w:sz w:val="16"/>
          <w:szCs w:val="16"/>
        </w:rPr>
        <w:t>). La consideraci</w:t>
      </w:r>
      <w:r w:rsidRPr="00D93F76">
        <w:rPr>
          <w:sz w:val="16"/>
          <w:szCs w:val="16"/>
        </w:rPr>
        <w:t>ó</w:t>
      </w:r>
      <w:r w:rsidRPr="00D93F76">
        <w:rPr>
          <w:rFonts w:cs="Arial"/>
          <w:sz w:val="16"/>
          <w:szCs w:val="16"/>
        </w:rPr>
        <w:t>n del peritaje no implica evaluar la conducta del Estado en el presente caso sobre la base de una metodolog</w:t>
      </w:r>
      <w:r w:rsidRPr="00D93F76">
        <w:rPr>
          <w:sz w:val="16"/>
          <w:szCs w:val="16"/>
        </w:rPr>
        <w:t>í</w:t>
      </w:r>
      <w:r w:rsidRPr="00D93F76">
        <w:rPr>
          <w:rFonts w:cs="Arial"/>
          <w:sz w:val="16"/>
          <w:szCs w:val="16"/>
        </w:rPr>
        <w:t>a espec</w:t>
      </w:r>
      <w:r w:rsidRPr="00D93F76">
        <w:rPr>
          <w:sz w:val="16"/>
          <w:szCs w:val="16"/>
        </w:rPr>
        <w:t>í</w:t>
      </w:r>
      <w:r w:rsidRPr="00D93F76">
        <w:rPr>
          <w:rFonts w:cs="Arial"/>
          <w:sz w:val="16"/>
          <w:szCs w:val="16"/>
        </w:rPr>
        <w:t>fica de investigaci</w:t>
      </w:r>
      <w:r w:rsidRPr="00D93F76">
        <w:rPr>
          <w:sz w:val="16"/>
          <w:szCs w:val="16"/>
        </w:rPr>
        <w:t>ó</w:t>
      </w:r>
      <w:r w:rsidRPr="00D93F76">
        <w:rPr>
          <w:rFonts w:cs="Arial"/>
          <w:sz w:val="16"/>
          <w:szCs w:val="16"/>
        </w:rPr>
        <w:t>n adoptada con posterioridad a 2001 en Colombia o en otro pa</w:t>
      </w:r>
      <w:r w:rsidRPr="00D93F76">
        <w:rPr>
          <w:sz w:val="16"/>
          <w:szCs w:val="16"/>
        </w:rPr>
        <w:t>í</w:t>
      </w:r>
      <w:r w:rsidRPr="00D93F76">
        <w:rPr>
          <w:rFonts w:cs="Arial"/>
          <w:sz w:val="16"/>
          <w:szCs w:val="16"/>
        </w:rPr>
        <w:t>s.</w:t>
      </w:r>
      <w:r w:rsidRPr="007B43FC">
        <w:rPr>
          <w:rFonts w:cs="Arial"/>
          <w:sz w:val="16"/>
          <w:szCs w:val="16"/>
        </w:rPr>
        <w:t xml:space="preserve"> </w:t>
      </w:r>
    </w:p>
  </w:footnote>
  <w:footnote w:id="145">
    <w:p w14:paraId="682AA78E" w14:textId="067F6F22" w:rsidR="00E02FDB" w:rsidRPr="00E3300F" w:rsidRDefault="00E02FDB" w:rsidP="004635E5">
      <w:pPr>
        <w:pStyle w:val="FootnoteText"/>
      </w:pPr>
      <w:r>
        <w:rPr>
          <w:rStyle w:val="FootnoteReference"/>
        </w:rPr>
        <w:footnoteRef/>
      </w:r>
      <w:r>
        <w:t xml:space="preserve"> </w:t>
      </w:r>
      <w:r>
        <w:tab/>
      </w:r>
      <w:r w:rsidRPr="00497E2A">
        <w:rPr>
          <w:i/>
        </w:rPr>
        <w:t>Cfr. Caso García y familiares Vs. Guatemala. Fondo Reparaciones y Costas.</w:t>
      </w:r>
      <w:r w:rsidRPr="00E3300F">
        <w:t xml:space="preserve"> Sentencia de 29 noviembre de 2012 Serie C No. 258</w:t>
      </w:r>
      <w:r>
        <w:t xml:space="preserve">, </w:t>
      </w:r>
      <w:proofErr w:type="spellStart"/>
      <w:r>
        <w:t>párrs</w:t>
      </w:r>
      <w:proofErr w:type="spellEnd"/>
      <w:r>
        <w:t xml:space="preserve">. 148 y 150. Ver, en el mismo sentido, </w:t>
      </w:r>
      <w:r w:rsidRPr="00497E2A">
        <w:rPr>
          <w:i/>
        </w:rPr>
        <w:t>Caso Manuel Cepeda Vargas Vs. Colombia. Excepciones Preliminares, Fondo, Reparaciones y Costas.</w:t>
      </w:r>
      <w:r w:rsidRPr="00E3300F">
        <w:t xml:space="preserve"> Sentencia de 26 de mayo de 2010. Serie C No. 213</w:t>
      </w:r>
      <w:r>
        <w:t xml:space="preserve">, </w:t>
      </w:r>
      <w:proofErr w:type="spellStart"/>
      <w:r>
        <w:t>párrs</w:t>
      </w:r>
      <w:proofErr w:type="spellEnd"/>
      <w:r>
        <w:t xml:space="preserve">. 118 y 119. </w:t>
      </w:r>
    </w:p>
  </w:footnote>
  <w:footnote w:id="146">
    <w:p w14:paraId="476AE035" w14:textId="68F5E4EA" w:rsidR="00E02FDB" w:rsidRPr="007B43FC" w:rsidRDefault="00E02FDB" w:rsidP="004635E5">
      <w:pPr>
        <w:pStyle w:val="FootnoteText"/>
        <w:rPr>
          <w:lang w:val="es-CR"/>
        </w:rPr>
      </w:pPr>
      <w:r w:rsidRPr="002E1CF0">
        <w:rPr>
          <w:rStyle w:val="FootnoteReference"/>
        </w:rPr>
        <w:footnoteRef/>
      </w:r>
      <w:r w:rsidRPr="002E1CF0">
        <w:rPr>
          <w:lang w:val="es-CR"/>
        </w:rPr>
        <w:t xml:space="preserve"> </w:t>
      </w:r>
      <w:r>
        <w:rPr>
          <w:lang w:val="es-CR"/>
        </w:rPr>
        <w:tab/>
      </w:r>
      <w:r w:rsidRPr="002E1CF0">
        <w:rPr>
          <w:lang w:val="es-CR"/>
        </w:rPr>
        <w:t xml:space="preserve">Dictamen pericial de Alejandro </w:t>
      </w:r>
      <w:proofErr w:type="spellStart"/>
      <w:r w:rsidRPr="002E1CF0">
        <w:rPr>
          <w:lang w:val="es-CR"/>
        </w:rPr>
        <w:t>Ramelli</w:t>
      </w:r>
      <w:proofErr w:type="spellEnd"/>
      <w:r w:rsidRPr="002E1CF0">
        <w:rPr>
          <w:lang w:val="es-CR"/>
        </w:rPr>
        <w:t xml:space="preserve"> Arteaga rendido ante la Corte.</w:t>
      </w:r>
    </w:p>
  </w:footnote>
  <w:footnote w:id="147">
    <w:p w14:paraId="6A282120" w14:textId="77100A86" w:rsidR="00E02FDB" w:rsidRPr="00896C32" w:rsidRDefault="00E02FDB" w:rsidP="004635E5">
      <w:pPr>
        <w:pStyle w:val="FootnoteText"/>
        <w:rPr>
          <w:lang w:val="es-CR"/>
        </w:rPr>
      </w:pPr>
      <w:r>
        <w:rPr>
          <w:rStyle w:val="FootnoteReference"/>
        </w:rPr>
        <w:footnoteRef/>
      </w:r>
      <w:r>
        <w:t xml:space="preserve"> </w:t>
      </w:r>
      <w:r>
        <w:tab/>
      </w:r>
      <w:r>
        <w:rPr>
          <w:lang w:val="es-CR"/>
        </w:rPr>
        <w:t xml:space="preserve">Así, </w:t>
      </w:r>
      <w:r w:rsidRPr="000763A0">
        <w:t xml:space="preserve">sin aludir a hechos o personas concretas, el 29 de noviembre de 2001 OO, quien trabajó en la campaña del señor Pacheco, señaló ante la DGIC que éste, días antes de su muerte, le había manifestado que se sentía muy amenazado. </w:t>
      </w:r>
      <w:r w:rsidRPr="000763A0">
        <w:rPr>
          <w:i/>
          <w:lang w:val="es-CR"/>
        </w:rPr>
        <w:t>Cfr</w:t>
      </w:r>
      <w:r w:rsidRPr="000763A0">
        <w:rPr>
          <w:lang w:val="es-CR"/>
        </w:rPr>
        <w:t>. Declaraci</w:t>
      </w:r>
      <w:r w:rsidRPr="000763A0">
        <w:rPr>
          <w:rFonts w:cs="Calibri"/>
          <w:lang w:val="es-CR"/>
        </w:rPr>
        <w:t>ó</w:t>
      </w:r>
      <w:r w:rsidRPr="000763A0">
        <w:rPr>
          <w:lang w:val="es-CR"/>
        </w:rPr>
        <w:t xml:space="preserve">n de </w:t>
      </w:r>
      <w:r>
        <w:rPr>
          <w:lang w:val="es-CR"/>
        </w:rPr>
        <w:t>OO</w:t>
      </w:r>
      <w:r w:rsidRPr="000A0AD9">
        <w:rPr>
          <w:lang w:val="es-CR"/>
        </w:rPr>
        <w:t xml:space="preserve"> </w:t>
      </w:r>
      <w:r>
        <w:rPr>
          <w:lang w:val="es-CR"/>
        </w:rPr>
        <w:t>de 29 de noviembre de 2001. E</w:t>
      </w:r>
      <w:r w:rsidRPr="000763A0">
        <w:rPr>
          <w:lang w:val="es-CR"/>
        </w:rPr>
        <w:t>xpediente de prueba, Anexo 1 a la contestaci</w:t>
      </w:r>
      <w:r w:rsidRPr="000763A0">
        <w:rPr>
          <w:rFonts w:cs="Calibri"/>
          <w:lang w:val="es-CR"/>
        </w:rPr>
        <w:t>ó</w:t>
      </w:r>
      <w:r w:rsidRPr="000763A0">
        <w:rPr>
          <w:lang w:val="es-CR"/>
        </w:rPr>
        <w:t>n, fs. 2177 y 2178</w:t>
      </w:r>
      <w:r w:rsidRPr="000763A0">
        <w:rPr>
          <w:color w:val="0F0F0F"/>
          <w:lang w:val="es-CR"/>
        </w:rPr>
        <w:t>.</w:t>
      </w:r>
      <w:r w:rsidRPr="000763A0">
        <w:t xml:space="preserve"> </w:t>
      </w:r>
    </w:p>
  </w:footnote>
  <w:footnote w:id="148">
    <w:p w14:paraId="208BBA98" w14:textId="6063669A" w:rsidR="00E02FDB" w:rsidRPr="00A25942" w:rsidRDefault="00E02FDB" w:rsidP="004635E5">
      <w:pPr>
        <w:pStyle w:val="FootnoteText"/>
      </w:pPr>
      <w:r>
        <w:rPr>
          <w:rStyle w:val="FootnoteReference"/>
        </w:rPr>
        <w:footnoteRef/>
      </w:r>
      <w:r>
        <w:t xml:space="preserve"> </w:t>
      </w:r>
      <w:r>
        <w:tab/>
        <w:t xml:space="preserve">La Comisión y los representantes, en el párrafo 27 Informe de Fondo y en la página 22 del escrito de solicitudes y argumentos, respectivamente, indicaron que al momento de los hechos RP era “diputado suplente” (expediente de fondo, fs. 11 y 150, respectivamente). Los representantes aclararon en la página 11 de su escrito de solicitudes y argumentos que “[e]l parlamento hondureño es unicameral y está conformado por 128 diputados e igual número de suplentes” (expediente de fondo, f. 139). Por otra parte, los representantes, en las páginas 21 y 22 de su escrito de solicitudes y argumentos, señalaron que “Ángel Pacheco León ganó la candidatura y [RP] fue su suplente” (expediente de fondo, fs. 149 y 150). Remitieron, a fin de acreditarlo, a una publicación disponible en internet: </w:t>
      </w:r>
      <w:hyperlink r:id="rId3" w:history="1">
        <w:r w:rsidRPr="00497E2A">
          <w:rPr>
            <w:rStyle w:val="Hyperlink"/>
            <w:color w:val="auto"/>
            <w:u w:val="none"/>
          </w:rPr>
          <w:t>http://www.angelfire.com/ca5/mas/gobi/dip.html</w:t>
        </w:r>
      </w:hyperlink>
      <w:r>
        <w:t xml:space="preserve">, que siendo verificada al momento de emitirse la presente Sentencia, pudo corroborarse que indica lo señalado.  </w:t>
      </w:r>
      <w:r w:rsidRPr="00A25942">
        <w:t xml:space="preserve"> </w:t>
      </w:r>
    </w:p>
  </w:footnote>
  <w:footnote w:id="149">
    <w:p w14:paraId="2B821743" w14:textId="6E74B90C" w:rsidR="00E02FDB" w:rsidRPr="00A25942" w:rsidRDefault="00E02FDB" w:rsidP="004635E5">
      <w:pPr>
        <w:pStyle w:val="FootnoteText"/>
      </w:pPr>
      <w:r>
        <w:rPr>
          <w:rStyle w:val="FootnoteReference"/>
        </w:rPr>
        <w:footnoteRef/>
      </w:r>
      <w:r>
        <w:t xml:space="preserve"> </w:t>
      </w:r>
      <w:r>
        <w:tab/>
        <w:t>Interesa destacar, en cuanto al carácter de agentes estatales, al momento de los hechos vinculados a la muerte del señor Pacheco, de RP, JQ y MV, que ello fue afirmado por la Comisión en los párrafos 27 y 138 del Informe de Fondo (expediente de fondo, fs. 11 y 33). Los representantes, en la página 22 de su escrito de solicitudes y argumentos afirmaron, refiriéndose al tiempo posterior a que el señor Pacheco “ganar[a] las primarias” y anterior a su muerte, que RP era “[d]</w:t>
      </w:r>
      <w:proofErr w:type="spellStart"/>
      <w:r>
        <w:t>iputado</w:t>
      </w:r>
      <w:proofErr w:type="spellEnd"/>
      <w:r>
        <w:t xml:space="preserve"> suplente”, que JQ era “[a]</w:t>
      </w:r>
      <w:proofErr w:type="spellStart"/>
      <w:r>
        <w:t>lcalde</w:t>
      </w:r>
      <w:proofErr w:type="spellEnd"/>
      <w:r>
        <w:t xml:space="preserve"> de </w:t>
      </w:r>
      <w:proofErr w:type="spellStart"/>
      <w:r>
        <w:t>Amapala</w:t>
      </w:r>
      <w:proofErr w:type="spellEnd"/>
      <w:r>
        <w:t>” y que MV era “[d]</w:t>
      </w:r>
      <w:proofErr w:type="spellStart"/>
      <w:r>
        <w:t>iputado</w:t>
      </w:r>
      <w:proofErr w:type="spellEnd"/>
      <w:r>
        <w:t>” (expediente de fondo, f. 150). El Estado, en su contestación (página 11), señaló que aludía a las personas referidas el argumento de “la supuesta participación de agentes estatales” y no negó el carácter indicado, sino que cuestionó la “</w:t>
      </w:r>
      <w:proofErr w:type="gramStart"/>
      <w:r>
        <w:t>existen[</w:t>
      </w:r>
      <w:proofErr w:type="spellStart"/>
      <w:proofErr w:type="gramEnd"/>
      <w:r>
        <w:t>cia</w:t>
      </w:r>
      <w:proofErr w:type="spellEnd"/>
      <w:r>
        <w:t xml:space="preserve">] de indicios que indiquen con inferencia racional esa participación” (expediente de fondo, f. 288). En cuanto a las demás personas indicadas, los señalamientos sobre ellas (como actividades o parentesco) surgen de indicaciones efectuadas por la Comisión y los representantes en el Informe de Fondo (párr. 27) y el escrito de solicitudes y argumentos </w:t>
      </w:r>
      <w:r w:rsidRPr="004D0607">
        <w:t>(página 23)</w:t>
      </w:r>
      <w:r>
        <w:t xml:space="preserve">.  </w:t>
      </w:r>
    </w:p>
  </w:footnote>
  <w:footnote w:id="150">
    <w:p w14:paraId="38C3281A" w14:textId="61D72EC9" w:rsidR="00E02FDB" w:rsidRPr="00F262A7" w:rsidRDefault="00E02FDB" w:rsidP="004635E5">
      <w:pPr>
        <w:pStyle w:val="FootnoteText"/>
      </w:pPr>
      <w:r>
        <w:rPr>
          <w:rStyle w:val="FootnoteReference"/>
        </w:rPr>
        <w:footnoteRef/>
      </w:r>
      <w:r>
        <w:t xml:space="preserve"> </w:t>
      </w:r>
      <w:r>
        <w:tab/>
        <w:t xml:space="preserve">El </w:t>
      </w:r>
      <w:r w:rsidRPr="00F262A7">
        <w:t xml:space="preserve">Estado, en su contestación, indicó que las decisiones judiciales respectivas habían implicado el “sobreseimiento” de HE (expediente de fondo, f. 281). En el mismo sentido, en el párrafo 59 del Informe de Fondo se afirma que “[d]e acuerdo a los [entonces] peticionarios” en mayo de 2003 se había sobreseído a las personas acusadas, indicándose en párrafos anteriores del documento que una de ellas era el señor HE (expediente de fondo, f. 18).  </w:t>
      </w:r>
    </w:p>
  </w:footnote>
  <w:footnote w:id="151">
    <w:p w14:paraId="31E64137" w14:textId="4866E808" w:rsidR="00E02FDB" w:rsidRPr="00F262A7" w:rsidRDefault="00E02FDB" w:rsidP="004635E5">
      <w:pPr>
        <w:pStyle w:val="FootnoteText"/>
        <w:rPr>
          <w:lang w:val="es-CR"/>
        </w:rPr>
      </w:pPr>
      <w:r w:rsidRPr="00F262A7">
        <w:rPr>
          <w:rStyle w:val="FootnoteReference"/>
        </w:rPr>
        <w:footnoteRef/>
      </w:r>
      <w:r w:rsidRPr="00F262A7">
        <w:rPr>
          <w:lang w:val="es-CR"/>
        </w:rPr>
        <w:t xml:space="preserve"> </w:t>
      </w:r>
      <w:r>
        <w:rPr>
          <w:lang w:val="es-CR"/>
        </w:rPr>
        <w:tab/>
      </w:r>
      <w:r w:rsidRPr="00F262A7">
        <w:rPr>
          <w:i/>
          <w:lang w:val="es-CR"/>
        </w:rPr>
        <w:t>Cfr.</w:t>
      </w:r>
      <w:r w:rsidRPr="00F262A7">
        <w:rPr>
          <w:lang w:val="es-CR"/>
        </w:rPr>
        <w:t xml:space="preserve"> Declaraci</w:t>
      </w:r>
      <w:r w:rsidRPr="00F262A7">
        <w:rPr>
          <w:rFonts w:cs="Calibri"/>
          <w:lang w:val="es-CR"/>
        </w:rPr>
        <w:t>o</w:t>
      </w:r>
      <w:r w:rsidRPr="00F262A7">
        <w:rPr>
          <w:lang w:val="es-CR"/>
        </w:rPr>
        <w:t>nes de JB de 27 y 29 de noviembre de 2001 (expediente de prueba, Anexo 1 a la contestaci</w:t>
      </w:r>
      <w:r w:rsidRPr="00F262A7">
        <w:rPr>
          <w:rFonts w:cs="Calibri"/>
          <w:lang w:val="es-CR"/>
        </w:rPr>
        <w:t>ó</w:t>
      </w:r>
      <w:r w:rsidRPr="00F262A7">
        <w:rPr>
          <w:lang w:val="es-CR"/>
        </w:rPr>
        <w:t>n, fs. 2167 y 2168, y 2394 y 2395. Ver tambi</w:t>
      </w:r>
      <w:r w:rsidRPr="00F262A7">
        <w:rPr>
          <w:rFonts w:cs="Calibri"/>
          <w:lang w:val="es-CR"/>
        </w:rPr>
        <w:t>é</w:t>
      </w:r>
      <w:r w:rsidRPr="00F262A7">
        <w:rPr>
          <w:lang w:val="es-CR"/>
        </w:rPr>
        <w:t>n Informe de 10 de enero de 2004, remitido por el Jefe de la Secci</w:t>
      </w:r>
      <w:r w:rsidRPr="00F262A7">
        <w:rPr>
          <w:rFonts w:cs="Calibri"/>
          <w:lang w:val="es-CR"/>
        </w:rPr>
        <w:t>ó</w:t>
      </w:r>
      <w:r w:rsidRPr="00F262A7">
        <w:rPr>
          <w:lang w:val="es-CR"/>
        </w:rPr>
        <w:t>n Delitos Contra la Vida de la DGIC a un “Vice Ministro” (expediente de prueba, Anexo 1 a la contestaci</w:t>
      </w:r>
      <w:r w:rsidRPr="00F262A7">
        <w:rPr>
          <w:rFonts w:cs="Calibri"/>
          <w:lang w:val="es-CR"/>
        </w:rPr>
        <w:t>ó</w:t>
      </w:r>
      <w:r w:rsidRPr="00F262A7">
        <w:rPr>
          <w:lang w:val="es-CR"/>
        </w:rPr>
        <w:t>n, fs. 2110 a 2112)).</w:t>
      </w:r>
    </w:p>
  </w:footnote>
  <w:footnote w:id="152">
    <w:p w14:paraId="3A7CDCC4" w14:textId="585783C7" w:rsidR="00E02FDB" w:rsidRPr="007B43FC" w:rsidRDefault="00E02FDB" w:rsidP="00DB0D15">
      <w:pPr>
        <w:pStyle w:val="FootnoteText"/>
        <w:rPr>
          <w:lang w:val="es-CR"/>
        </w:rPr>
      </w:pPr>
      <w:r w:rsidRPr="00F262A7">
        <w:rPr>
          <w:rStyle w:val="FootnoteReference"/>
        </w:rPr>
        <w:footnoteRef/>
      </w:r>
      <w:r w:rsidRPr="00F262A7">
        <w:rPr>
          <w:lang w:val="es-CR"/>
        </w:rPr>
        <w:t xml:space="preserve"> </w:t>
      </w:r>
      <w:r>
        <w:rPr>
          <w:lang w:val="es-CR"/>
        </w:rPr>
        <w:tab/>
      </w:r>
      <w:r w:rsidRPr="00F07B77">
        <w:rPr>
          <w:lang w:val="es-CR"/>
        </w:rPr>
        <w:t>HJ se</w:t>
      </w:r>
      <w:r w:rsidRPr="00F07B77">
        <w:rPr>
          <w:rFonts w:cs="Calibri"/>
          <w:lang w:val="es-CR"/>
        </w:rPr>
        <w:t>ñ</w:t>
      </w:r>
      <w:r w:rsidRPr="00F07B77">
        <w:rPr>
          <w:lang w:val="es-CR"/>
        </w:rPr>
        <w:t>al</w:t>
      </w:r>
      <w:r w:rsidRPr="00F07B77">
        <w:rPr>
          <w:rFonts w:cs="Calibri"/>
          <w:lang w:val="es-CR"/>
        </w:rPr>
        <w:t>ó</w:t>
      </w:r>
      <w:r w:rsidRPr="00F07B77">
        <w:rPr>
          <w:lang w:val="es-CR"/>
        </w:rPr>
        <w:t xml:space="preserve"> que el se</w:t>
      </w:r>
      <w:r w:rsidRPr="00F07B77">
        <w:rPr>
          <w:rFonts w:cs="Calibri"/>
          <w:lang w:val="es-CR"/>
        </w:rPr>
        <w:t>ñ</w:t>
      </w:r>
      <w:r w:rsidRPr="00F07B77">
        <w:rPr>
          <w:lang w:val="es-CR"/>
        </w:rPr>
        <w:t>or Pacheco le dijo que la amenaza fue porque BC buscaba imponerle sus propuestas a la fuerza, y que tambi</w:t>
      </w:r>
      <w:r w:rsidRPr="00F07B77">
        <w:rPr>
          <w:rFonts w:cs="Calibri"/>
          <w:lang w:val="es-CR"/>
        </w:rPr>
        <w:t>é</w:t>
      </w:r>
      <w:r w:rsidRPr="00F07B77">
        <w:rPr>
          <w:lang w:val="es-CR"/>
        </w:rPr>
        <w:t>n le comunic</w:t>
      </w:r>
      <w:r w:rsidRPr="00F07B77">
        <w:rPr>
          <w:rFonts w:cs="Calibri"/>
          <w:lang w:val="es-CR"/>
        </w:rPr>
        <w:t>ó</w:t>
      </w:r>
      <w:r w:rsidRPr="00F07B77">
        <w:rPr>
          <w:lang w:val="es-CR"/>
        </w:rPr>
        <w:t xml:space="preserve"> que exist</w:t>
      </w:r>
      <w:r w:rsidRPr="00F07B77">
        <w:rPr>
          <w:rFonts w:cs="Calibri"/>
          <w:lang w:val="es-CR"/>
        </w:rPr>
        <w:t>í</w:t>
      </w:r>
      <w:r w:rsidRPr="00F07B77">
        <w:rPr>
          <w:lang w:val="es-CR"/>
        </w:rPr>
        <w:t>a envidia por parte de JE, quien quer</w:t>
      </w:r>
      <w:r w:rsidRPr="00F07B77">
        <w:rPr>
          <w:rFonts w:cs="Calibri"/>
          <w:lang w:val="es-CR"/>
        </w:rPr>
        <w:t>í</w:t>
      </w:r>
      <w:r w:rsidRPr="00F07B77">
        <w:rPr>
          <w:lang w:val="es-CR"/>
        </w:rPr>
        <w:t>a que el se</w:t>
      </w:r>
      <w:r w:rsidRPr="00F07B77">
        <w:rPr>
          <w:rFonts w:cs="Calibri"/>
          <w:lang w:val="es-CR"/>
        </w:rPr>
        <w:t>ñ</w:t>
      </w:r>
      <w:r w:rsidRPr="00F07B77">
        <w:rPr>
          <w:lang w:val="es-CR"/>
        </w:rPr>
        <w:t>or Pacheco le diera toda la coordinaci</w:t>
      </w:r>
      <w:r w:rsidRPr="00F07B77">
        <w:rPr>
          <w:rFonts w:cs="Calibri"/>
          <w:lang w:val="es-CR"/>
        </w:rPr>
        <w:t>ó</w:t>
      </w:r>
      <w:r w:rsidRPr="00F07B77">
        <w:rPr>
          <w:lang w:val="es-CR"/>
        </w:rPr>
        <w:t xml:space="preserve">n de </w:t>
      </w:r>
      <w:proofErr w:type="spellStart"/>
      <w:r w:rsidRPr="00F07B77">
        <w:rPr>
          <w:lang w:val="es-CR"/>
        </w:rPr>
        <w:t>Gascor</w:t>
      </w:r>
      <w:r w:rsidRPr="00F07B77">
        <w:rPr>
          <w:rFonts w:cs="Calibri"/>
          <w:lang w:val="es-CR"/>
        </w:rPr>
        <w:t>á</w:t>
      </w:r>
      <w:r w:rsidRPr="00F07B77">
        <w:rPr>
          <w:lang w:val="es-CR"/>
        </w:rPr>
        <w:t>n</w:t>
      </w:r>
      <w:proofErr w:type="spellEnd"/>
      <w:r w:rsidRPr="00F07B77">
        <w:rPr>
          <w:lang w:val="es-CR"/>
        </w:rPr>
        <w:t xml:space="preserve"> </w:t>
      </w:r>
      <w:r w:rsidRPr="00F07B77">
        <w:rPr>
          <w:i/>
          <w:lang w:val="es-CR"/>
        </w:rPr>
        <w:t>Cfr</w:t>
      </w:r>
      <w:r w:rsidRPr="00F07B77">
        <w:rPr>
          <w:lang w:val="es-CR"/>
        </w:rPr>
        <w:t>. Declaraci</w:t>
      </w:r>
      <w:r w:rsidRPr="00F07B77">
        <w:rPr>
          <w:rFonts w:cs="Calibri"/>
          <w:lang w:val="es-CR"/>
        </w:rPr>
        <w:t>ó</w:t>
      </w:r>
      <w:r w:rsidRPr="00F07B77">
        <w:rPr>
          <w:lang w:val="es-CR"/>
        </w:rPr>
        <w:t>n de HJ ante la DGIC de 24 de noviembre de 2001 (expediente de prueba, Anexo 2 al Informe de Fondo, fs. 173 y 174).</w:t>
      </w:r>
      <w:r w:rsidRPr="007B43FC">
        <w:rPr>
          <w:lang w:val="es-CR"/>
        </w:rPr>
        <w:t xml:space="preserve"> </w:t>
      </w:r>
    </w:p>
  </w:footnote>
  <w:footnote w:id="153">
    <w:p w14:paraId="6960B7AA" w14:textId="60A757AC" w:rsidR="00E02FDB" w:rsidRPr="008C72FF" w:rsidRDefault="00E02FDB" w:rsidP="004635E5">
      <w:pPr>
        <w:pStyle w:val="ListParagraph"/>
        <w:numPr>
          <w:ilvl w:val="0"/>
          <w:numId w:val="0"/>
        </w:numPr>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i/>
          <w:sz w:val="16"/>
          <w:szCs w:val="16"/>
          <w:lang w:val="es-CR"/>
        </w:rPr>
        <w:t>Cfr.</w:t>
      </w:r>
      <w:r w:rsidRPr="007B43FC">
        <w:rPr>
          <w:sz w:val="16"/>
          <w:szCs w:val="16"/>
          <w:lang w:val="es-CR"/>
        </w:rPr>
        <w:t xml:space="preserve"> Declaraci</w:t>
      </w:r>
      <w:r w:rsidRPr="007B43FC">
        <w:rPr>
          <w:rFonts w:cs="Calibri"/>
          <w:sz w:val="16"/>
          <w:szCs w:val="16"/>
          <w:lang w:val="es-CR"/>
        </w:rPr>
        <w:t>ó</w:t>
      </w:r>
      <w:r w:rsidRPr="007B43FC">
        <w:rPr>
          <w:sz w:val="16"/>
          <w:szCs w:val="16"/>
          <w:lang w:val="es-CR"/>
        </w:rPr>
        <w:t xml:space="preserve">n de </w:t>
      </w:r>
      <w:r>
        <w:rPr>
          <w:sz w:val="16"/>
          <w:szCs w:val="16"/>
          <w:lang w:val="es-CR"/>
        </w:rPr>
        <w:t>SR</w:t>
      </w:r>
      <w:r w:rsidRPr="00497E2A">
        <w:rPr>
          <w:sz w:val="16"/>
          <w:szCs w:val="16"/>
          <w:lang w:val="es-CR"/>
        </w:rPr>
        <w:t xml:space="preserve"> </w:t>
      </w:r>
      <w:r w:rsidRPr="009168EB">
        <w:rPr>
          <w:sz w:val="16"/>
          <w:szCs w:val="16"/>
          <w:lang w:val="es-CR"/>
        </w:rPr>
        <w:t>a</w:t>
      </w:r>
      <w:r w:rsidRPr="007B43FC">
        <w:rPr>
          <w:sz w:val="16"/>
          <w:szCs w:val="16"/>
          <w:lang w:val="es-CR"/>
        </w:rPr>
        <w:t>nte la DGIC de 27 de noviembre de 2001 (expediente de prueba, Anexo 1 a la contestaci</w:t>
      </w:r>
      <w:r w:rsidRPr="007B43FC">
        <w:rPr>
          <w:rFonts w:cs="Calibri"/>
          <w:sz w:val="16"/>
          <w:szCs w:val="16"/>
          <w:lang w:val="es-CR"/>
        </w:rPr>
        <w:t>ó</w:t>
      </w:r>
      <w:r w:rsidRPr="007B43FC">
        <w:rPr>
          <w:sz w:val="16"/>
          <w:szCs w:val="16"/>
          <w:lang w:val="es-CR"/>
        </w:rPr>
        <w:t>n, fs. 2165 y 2166). El mismo d</w:t>
      </w:r>
      <w:r w:rsidRPr="007B43FC">
        <w:rPr>
          <w:rFonts w:cs="Calibri"/>
          <w:sz w:val="16"/>
          <w:szCs w:val="16"/>
          <w:lang w:val="es-CR"/>
        </w:rPr>
        <w:t>í</w:t>
      </w:r>
      <w:r w:rsidRPr="007B43FC">
        <w:rPr>
          <w:sz w:val="16"/>
          <w:szCs w:val="16"/>
          <w:lang w:val="es-CR"/>
        </w:rPr>
        <w:t xml:space="preserve">a </w:t>
      </w:r>
      <w:r>
        <w:rPr>
          <w:sz w:val="16"/>
          <w:szCs w:val="16"/>
          <w:lang w:val="es-CR"/>
        </w:rPr>
        <w:t xml:space="preserve">SM </w:t>
      </w:r>
      <w:r w:rsidRPr="007B43FC">
        <w:rPr>
          <w:sz w:val="16"/>
          <w:szCs w:val="16"/>
          <w:lang w:val="es-CR"/>
        </w:rPr>
        <w:t>declar</w:t>
      </w:r>
      <w:r w:rsidRPr="007B43FC">
        <w:rPr>
          <w:rFonts w:cs="Calibri"/>
          <w:sz w:val="16"/>
          <w:szCs w:val="16"/>
          <w:lang w:val="es-CR"/>
        </w:rPr>
        <w:t>ó</w:t>
      </w:r>
      <w:r w:rsidRPr="007B43FC">
        <w:rPr>
          <w:sz w:val="16"/>
          <w:szCs w:val="16"/>
          <w:lang w:val="es-CR"/>
        </w:rPr>
        <w:t xml:space="preserve"> ante la Fiscal</w:t>
      </w:r>
      <w:r w:rsidRPr="007B43FC">
        <w:rPr>
          <w:rFonts w:cs="Calibri"/>
          <w:sz w:val="16"/>
          <w:szCs w:val="16"/>
          <w:lang w:val="es-CR"/>
        </w:rPr>
        <w:t>í</w:t>
      </w:r>
      <w:r w:rsidRPr="007B43FC">
        <w:rPr>
          <w:sz w:val="16"/>
          <w:szCs w:val="16"/>
          <w:lang w:val="es-CR"/>
        </w:rPr>
        <w:t>a, se</w:t>
      </w:r>
      <w:r w:rsidRPr="007B43FC">
        <w:rPr>
          <w:rFonts w:cs="Calibri"/>
          <w:sz w:val="16"/>
          <w:szCs w:val="16"/>
          <w:lang w:val="es-CR"/>
        </w:rPr>
        <w:t>ñ</w:t>
      </w:r>
      <w:r w:rsidRPr="007B43FC">
        <w:rPr>
          <w:sz w:val="16"/>
          <w:szCs w:val="16"/>
          <w:lang w:val="es-CR"/>
        </w:rPr>
        <w:t xml:space="preserve">alando que BC y un hermano de </w:t>
      </w:r>
      <w:r w:rsidRPr="007B43FC">
        <w:rPr>
          <w:rFonts w:cs="Calibri"/>
          <w:sz w:val="16"/>
          <w:szCs w:val="16"/>
          <w:lang w:val="es-CR"/>
        </w:rPr>
        <w:t>é</w:t>
      </w:r>
      <w:r w:rsidRPr="007B43FC">
        <w:rPr>
          <w:sz w:val="16"/>
          <w:szCs w:val="16"/>
          <w:lang w:val="es-CR"/>
        </w:rPr>
        <w:t>l hab</w:t>
      </w:r>
      <w:r w:rsidRPr="007B43FC">
        <w:rPr>
          <w:rFonts w:cs="Calibri"/>
          <w:sz w:val="16"/>
          <w:szCs w:val="16"/>
          <w:lang w:val="es-CR"/>
        </w:rPr>
        <w:t>í</w:t>
      </w:r>
      <w:r w:rsidRPr="007B43FC">
        <w:rPr>
          <w:sz w:val="16"/>
          <w:szCs w:val="16"/>
          <w:lang w:val="es-CR"/>
        </w:rPr>
        <w:t>an amenazado al se</w:t>
      </w:r>
      <w:r w:rsidRPr="007B43FC">
        <w:rPr>
          <w:rFonts w:cs="Calibri"/>
          <w:sz w:val="16"/>
          <w:szCs w:val="16"/>
          <w:lang w:val="es-CR"/>
        </w:rPr>
        <w:t>ñ</w:t>
      </w:r>
      <w:r w:rsidRPr="007B43FC">
        <w:rPr>
          <w:sz w:val="16"/>
          <w:szCs w:val="16"/>
          <w:lang w:val="es-CR"/>
        </w:rPr>
        <w:t>or Pacheco</w:t>
      </w:r>
      <w:r>
        <w:rPr>
          <w:sz w:val="16"/>
          <w:szCs w:val="16"/>
          <w:lang w:val="es-CR"/>
        </w:rPr>
        <w:t xml:space="preserve">. </w:t>
      </w:r>
      <w:r w:rsidRPr="007B43FC">
        <w:rPr>
          <w:i/>
          <w:sz w:val="16"/>
          <w:szCs w:val="16"/>
          <w:lang w:val="es-CR"/>
        </w:rPr>
        <w:t>Cfr</w:t>
      </w:r>
      <w:r w:rsidRPr="007B43FC">
        <w:rPr>
          <w:sz w:val="16"/>
          <w:szCs w:val="16"/>
          <w:lang w:val="es-CR"/>
        </w:rPr>
        <w:t>. Declaraci</w:t>
      </w:r>
      <w:r w:rsidRPr="007B43FC">
        <w:rPr>
          <w:rFonts w:cs="Calibri"/>
          <w:sz w:val="16"/>
          <w:szCs w:val="16"/>
          <w:lang w:val="es-CR"/>
        </w:rPr>
        <w:t>ó</w:t>
      </w:r>
      <w:r w:rsidRPr="007B43FC">
        <w:rPr>
          <w:sz w:val="16"/>
          <w:szCs w:val="16"/>
          <w:lang w:val="es-CR"/>
        </w:rPr>
        <w:t xml:space="preserve">n de </w:t>
      </w:r>
      <w:r>
        <w:rPr>
          <w:sz w:val="16"/>
          <w:szCs w:val="16"/>
          <w:lang w:val="es-CR"/>
        </w:rPr>
        <w:t xml:space="preserve">SM </w:t>
      </w:r>
      <w:r w:rsidRPr="007B43FC">
        <w:rPr>
          <w:sz w:val="16"/>
          <w:szCs w:val="16"/>
          <w:lang w:val="es-CR"/>
        </w:rPr>
        <w:t>ante la Fiscal</w:t>
      </w:r>
      <w:r w:rsidRPr="007B43FC">
        <w:rPr>
          <w:rFonts w:cs="Calibri"/>
          <w:sz w:val="16"/>
          <w:szCs w:val="16"/>
          <w:lang w:val="es-CR"/>
        </w:rPr>
        <w:t>í</w:t>
      </w:r>
      <w:r w:rsidRPr="007B43FC">
        <w:rPr>
          <w:sz w:val="16"/>
          <w:szCs w:val="16"/>
          <w:lang w:val="es-CR"/>
        </w:rPr>
        <w:t xml:space="preserve">a de 27 de noviembre </w:t>
      </w:r>
      <w:r>
        <w:rPr>
          <w:sz w:val="16"/>
          <w:szCs w:val="16"/>
          <w:lang w:val="es-CR"/>
        </w:rPr>
        <w:t>de 2001 (expediente de prueba, a</w:t>
      </w:r>
      <w:r w:rsidRPr="007B43FC">
        <w:rPr>
          <w:sz w:val="16"/>
          <w:szCs w:val="16"/>
          <w:lang w:val="es-CR"/>
        </w:rPr>
        <w:t>nexo 2, fs. 2365 y 2366</w:t>
      </w:r>
      <w:r w:rsidRPr="00062B10">
        <w:rPr>
          <w:sz w:val="16"/>
          <w:szCs w:val="16"/>
          <w:lang w:val="es-CR"/>
        </w:rPr>
        <w:t xml:space="preserve">). </w:t>
      </w:r>
      <w:r w:rsidRPr="008C72FF">
        <w:rPr>
          <w:sz w:val="16"/>
          <w:szCs w:val="16"/>
          <w:lang w:val="es-CR"/>
        </w:rPr>
        <w:t>El 9 de mayo de 2005 se citó a S</w:t>
      </w:r>
      <w:r>
        <w:rPr>
          <w:sz w:val="16"/>
          <w:szCs w:val="16"/>
          <w:lang w:val="es-CR"/>
        </w:rPr>
        <w:t>R</w:t>
      </w:r>
      <w:r w:rsidRPr="008C72FF">
        <w:rPr>
          <w:sz w:val="16"/>
          <w:szCs w:val="16"/>
          <w:lang w:val="es-CR"/>
        </w:rPr>
        <w:t xml:space="preserve"> a presentarse en oficinas de la Fiscalía Regional de Choluteca el 12 de los mismos mes y año</w:t>
      </w:r>
      <w:r>
        <w:rPr>
          <w:sz w:val="16"/>
          <w:szCs w:val="16"/>
          <w:lang w:val="es-CR"/>
        </w:rPr>
        <w:t xml:space="preserve">. </w:t>
      </w:r>
      <w:r w:rsidRPr="00062B10">
        <w:rPr>
          <w:i/>
          <w:sz w:val="16"/>
          <w:szCs w:val="16"/>
          <w:lang w:val="es-CR"/>
        </w:rPr>
        <w:t>Cfr</w:t>
      </w:r>
      <w:r w:rsidRPr="008C72FF">
        <w:rPr>
          <w:sz w:val="16"/>
          <w:szCs w:val="16"/>
          <w:lang w:val="es-CR"/>
        </w:rPr>
        <w:t>.</w:t>
      </w:r>
      <w:r>
        <w:rPr>
          <w:sz w:val="16"/>
          <w:szCs w:val="16"/>
          <w:lang w:val="es-CR"/>
        </w:rPr>
        <w:t xml:space="preserve"> Citación de 9 de mayo de 2005 (expediente de prueba, a</w:t>
      </w:r>
      <w:r w:rsidRPr="008C72FF">
        <w:rPr>
          <w:sz w:val="16"/>
          <w:szCs w:val="16"/>
          <w:lang w:val="es-CR"/>
        </w:rPr>
        <w:t>nexo 2 a la contestación, f. 2572).</w:t>
      </w:r>
      <w:r>
        <w:rPr>
          <w:sz w:val="16"/>
          <w:szCs w:val="16"/>
          <w:lang w:val="es-CR"/>
        </w:rPr>
        <w:t xml:space="preserve"> El mismo 9 de mayo debía prestar declaración CJ, de acuerdo a una citación emitida el 6 del mismo mes por la Fiscalía Regional de Choluteca (expediente de prueba, a</w:t>
      </w:r>
      <w:r w:rsidRPr="00530F68">
        <w:rPr>
          <w:sz w:val="16"/>
          <w:szCs w:val="16"/>
          <w:lang w:val="es-CR"/>
        </w:rPr>
        <w:t xml:space="preserve">nexo 2 a la contestación, f. 2319). </w:t>
      </w:r>
      <w:r>
        <w:rPr>
          <w:sz w:val="16"/>
          <w:szCs w:val="16"/>
          <w:lang w:val="es-CR"/>
        </w:rPr>
        <w:t xml:space="preserve"> </w:t>
      </w:r>
    </w:p>
  </w:footnote>
  <w:footnote w:id="154">
    <w:p w14:paraId="5963479A" w14:textId="7BBBF602" w:rsidR="00E02FDB" w:rsidRPr="00001002" w:rsidRDefault="00E02FDB" w:rsidP="004635E5">
      <w:pPr>
        <w:pStyle w:val="FootnoteText"/>
      </w:pPr>
      <w:r>
        <w:rPr>
          <w:rStyle w:val="FootnoteReference"/>
        </w:rPr>
        <w:footnoteRef/>
      </w:r>
      <w:r>
        <w:t xml:space="preserve"> </w:t>
      </w:r>
      <w:r>
        <w:tab/>
        <w:t>DGIC, Informe de Investigación de 20 de diciembre de 2001 (expediente de prueba, anexo 1 a la contestación, fs. 2133 a 2136).</w:t>
      </w:r>
    </w:p>
  </w:footnote>
  <w:footnote w:id="155">
    <w:p w14:paraId="50BEBB68" w14:textId="7C12E7C9" w:rsidR="00E02FDB" w:rsidRPr="007B43FC" w:rsidRDefault="00E02FDB" w:rsidP="004635E5">
      <w:pPr>
        <w:autoSpaceDE w:val="0"/>
        <w:autoSpaceDN w:val="0"/>
        <w:adjustRightInd w:val="0"/>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t>Denuncia de</w:t>
      </w:r>
      <w:r>
        <w:rPr>
          <w:rFonts w:cs="Times New Roman"/>
          <w:color w:val="0F0F0F"/>
          <w:sz w:val="16"/>
          <w:szCs w:val="16"/>
          <w:lang w:val="es-CR"/>
        </w:rPr>
        <w:t xml:space="preserve"> </w:t>
      </w:r>
      <w:proofErr w:type="spellStart"/>
      <w:r>
        <w:rPr>
          <w:rFonts w:cs="Times New Roman"/>
          <w:color w:val="0F0F0F"/>
          <w:sz w:val="16"/>
          <w:szCs w:val="16"/>
          <w:lang w:val="es-CR"/>
        </w:rPr>
        <w:t>Marleny</w:t>
      </w:r>
      <w:proofErr w:type="spellEnd"/>
      <w:r>
        <w:rPr>
          <w:rFonts w:cs="Times New Roman"/>
          <w:color w:val="0F0F0F"/>
          <w:sz w:val="16"/>
          <w:szCs w:val="16"/>
          <w:lang w:val="es-CR"/>
        </w:rPr>
        <w:t xml:space="preserve"> Pacheco Posadas ante la “Unidad de Asuntos Internos” de</w:t>
      </w:r>
      <w:r w:rsidRPr="007B43FC">
        <w:rPr>
          <w:rFonts w:cs="Times New Roman"/>
          <w:color w:val="0F0F0F"/>
          <w:sz w:val="16"/>
          <w:szCs w:val="16"/>
          <w:lang w:val="es-CR"/>
        </w:rPr>
        <w:t xml:space="preserve"> 4 de noviembre de 2002.</w:t>
      </w:r>
      <w:r w:rsidRPr="007B43FC">
        <w:rPr>
          <w:sz w:val="16"/>
          <w:szCs w:val="16"/>
          <w:lang w:val="es-CR"/>
        </w:rPr>
        <w:t xml:space="preserve"> </w:t>
      </w:r>
      <w:r>
        <w:rPr>
          <w:sz w:val="16"/>
          <w:szCs w:val="16"/>
          <w:lang w:val="es-CR"/>
        </w:rPr>
        <w:t xml:space="preserve">En la misma ocasión </w:t>
      </w:r>
      <w:proofErr w:type="spellStart"/>
      <w:r w:rsidRPr="007B43FC">
        <w:rPr>
          <w:sz w:val="16"/>
          <w:szCs w:val="16"/>
          <w:lang w:val="es-CR"/>
        </w:rPr>
        <w:t>Marleny</w:t>
      </w:r>
      <w:proofErr w:type="spellEnd"/>
      <w:r w:rsidRPr="007B43FC">
        <w:rPr>
          <w:sz w:val="16"/>
          <w:szCs w:val="16"/>
          <w:lang w:val="es-CR"/>
        </w:rPr>
        <w:t xml:space="preserve"> Pacheco</w:t>
      </w:r>
      <w:r>
        <w:rPr>
          <w:sz w:val="16"/>
          <w:szCs w:val="16"/>
          <w:lang w:val="es-CR"/>
        </w:rPr>
        <w:t xml:space="preserve"> Posadas</w:t>
      </w:r>
      <w:r w:rsidRPr="007B43FC">
        <w:rPr>
          <w:sz w:val="16"/>
          <w:szCs w:val="16"/>
          <w:lang w:val="es-CR"/>
        </w:rPr>
        <w:t xml:space="preserve"> señaló que en una oportunidad, dijo al señor Pacheco que </w:t>
      </w:r>
      <w:r>
        <w:rPr>
          <w:sz w:val="16"/>
          <w:szCs w:val="16"/>
          <w:lang w:val="es-CR"/>
        </w:rPr>
        <w:t xml:space="preserve">el primero </w:t>
      </w:r>
      <w:r w:rsidRPr="007B43FC">
        <w:rPr>
          <w:sz w:val="16"/>
          <w:szCs w:val="16"/>
          <w:lang w:val="es-CR"/>
        </w:rPr>
        <w:t xml:space="preserve">“se quitaba los huevos y se los daba de comer a un perro si </w:t>
      </w:r>
      <w:r>
        <w:rPr>
          <w:sz w:val="16"/>
          <w:szCs w:val="16"/>
          <w:lang w:val="es-CR"/>
        </w:rPr>
        <w:t>[el segundo]</w:t>
      </w:r>
      <w:r w:rsidRPr="007B43FC">
        <w:rPr>
          <w:sz w:val="16"/>
          <w:szCs w:val="16"/>
          <w:lang w:val="es-CR"/>
        </w:rPr>
        <w:t xml:space="preserve"> llegaba al Congreso”. </w:t>
      </w:r>
      <w:r>
        <w:rPr>
          <w:sz w:val="16"/>
          <w:szCs w:val="16"/>
          <w:lang w:val="es-CR"/>
        </w:rPr>
        <w:t xml:space="preserve">Respecto a este hecho </w:t>
      </w:r>
      <w:proofErr w:type="spellStart"/>
      <w:r>
        <w:rPr>
          <w:sz w:val="16"/>
          <w:szCs w:val="16"/>
          <w:lang w:val="es-CR"/>
        </w:rPr>
        <w:t>Marleny</w:t>
      </w:r>
      <w:proofErr w:type="spellEnd"/>
      <w:r>
        <w:rPr>
          <w:sz w:val="16"/>
          <w:szCs w:val="16"/>
          <w:lang w:val="es-CR"/>
        </w:rPr>
        <w:t xml:space="preserve"> Pacheco Posadas indicó que “hay testigos”. Cabe señalar que la declarante, en esa ocasión, no dio señalamientos precisos sobre cómo conoció los hechos de amenazas que refirió, mas expresó que de las mismas “[los] seguidores” (presuntamente de Ángel Pacheco León) “tenían conocimiento” </w:t>
      </w:r>
      <w:r w:rsidRPr="007B43FC">
        <w:rPr>
          <w:rFonts w:cs="Times New Roman"/>
          <w:color w:val="0F0F0F"/>
          <w:sz w:val="16"/>
          <w:szCs w:val="16"/>
          <w:lang w:val="es-CR"/>
        </w:rPr>
        <w:t>(</w:t>
      </w:r>
      <w:r>
        <w:rPr>
          <w:rFonts w:cs="Times New Roman"/>
          <w:color w:val="0F0F0F"/>
          <w:sz w:val="16"/>
          <w:szCs w:val="16"/>
          <w:lang w:val="es-CR"/>
        </w:rPr>
        <w:t>e</w:t>
      </w:r>
      <w:r w:rsidRPr="007B43FC">
        <w:rPr>
          <w:rFonts w:cs="Times New Roman"/>
          <w:color w:val="0F0F0F"/>
          <w:sz w:val="16"/>
          <w:szCs w:val="16"/>
          <w:lang w:val="es-CR"/>
        </w:rPr>
        <w:t xml:space="preserve">xpediente de prueba, anexo 6 al Informe de Fondo, fs. 354 </w:t>
      </w:r>
      <w:r>
        <w:rPr>
          <w:rFonts w:cs="Times New Roman"/>
          <w:color w:val="0F0F0F"/>
          <w:sz w:val="16"/>
          <w:szCs w:val="16"/>
          <w:lang w:val="es-CR"/>
        </w:rPr>
        <w:t>y</w:t>
      </w:r>
      <w:r w:rsidRPr="007B43FC">
        <w:rPr>
          <w:rFonts w:cs="Times New Roman"/>
          <w:color w:val="0F0F0F"/>
          <w:sz w:val="16"/>
          <w:szCs w:val="16"/>
          <w:lang w:val="es-CR"/>
        </w:rPr>
        <w:t xml:space="preserve"> 355</w:t>
      </w:r>
      <w:r>
        <w:rPr>
          <w:rFonts w:cs="Times New Roman"/>
          <w:color w:val="0F0F0F"/>
          <w:sz w:val="16"/>
          <w:szCs w:val="16"/>
          <w:lang w:val="es-CR"/>
        </w:rPr>
        <w:t>. Cabe señalar que en el documento se hace referencia a “</w:t>
      </w:r>
      <w:proofErr w:type="spellStart"/>
      <w:r>
        <w:rPr>
          <w:rFonts w:cs="Times New Roman"/>
          <w:color w:val="0F0F0F"/>
          <w:sz w:val="16"/>
          <w:szCs w:val="16"/>
          <w:lang w:val="es-CR"/>
        </w:rPr>
        <w:t>Marleny</w:t>
      </w:r>
      <w:proofErr w:type="spellEnd"/>
      <w:r>
        <w:rPr>
          <w:rFonts w:cs="Times New Roman"/>
          <w:color w:val="0F0F0F"/>
          <w:sz w:val="16"/>
          <w:szCs w:val="16"/>
          <w:lang w:val="es-CR"/>
        </w:rPr>
        <w:t xml:space="preserve"> Posadas”, pero que se indica en el mismo que se trata de la hermana del señor Pacheco</w:t>
      </w:r>
      <w:r w:rsidRPr="007B43FC">
        <w:rPr>
          <w:rFonts w:cs="Times New Roman"/>
          <w:color w:val="0F0F0F"/>
          <w:sz w:val="16"/>
          <w:szCs w:val="16"/>
          <w:lang w:val="es-CR"/>
        </w:rPr>
        <w:t>)</w:t>
      </w:r>
      <w:r>
        <w:rPr>
          <w:rFonts w:cs="Times New Roman"/>
          <w:color w:val="0F0F0F"/>
          <w:sz w:val="16"/>
          <w:szCs w:val="16"/>
          <w:lang w:val="es-CR"/>
        </w:rPr>
        <w:t>.</w:t>
      </w:r>
    </w:p>
  </w:footnote>
  <w:footnote w:id="156">
    <w:p w14:paraId="4028642A" w14:textId="05563AFC"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lang w:val="es-CR"/>
        </w:rPr>
        <w:t>La cita textual no corresponde al supuesto dicho de HE ni a la declaraci</w:t>
      </w:r>
      <w:r w:rsidRPr="007B43FC">
        <w:rPr>
          <w:rFonts w:cs="Calibri"/>
          <w:lang w:val="es-CR"/>
        </w:rPr>
        <w:t>ó</w:t>
      </w:r>
      <w:r w:rsidRPr="007B43FC">
        <w:rPr>
          <w:lang w:val="es-CR"/>
        </w:rPr>
        <w:t>n de MM, sino al informe en que se refiere esa declaraci</w:t>
      </w:r>
      <w:r w:rsidRPr="007B43FC">
        <w:rPr>
          <w:rFonts w:cs="Calibri"/>
          <w:lang w:val="es-CR"/>
        </w:rPr>
        <w:t>ó</w:t>
      </w:r>
      <w:r w:rsidRPr="007B43FC">
        <w:rPr>
          <w:lang w:val="es-CR"/>
        </w:rPr>
        <w:t>n</w:t>
      </w:r>
      <w:r>
        <w:rPr>
          <w:lang w:val="es-CR"/>
        </w:rPr>
        <w:t>.</w:t>
      </w:r>
      <w:r w:rsidRPr="007B43FC">
        <w:rPr>
          <w:lang w:val="es-CR"/>
        </w:rPr>
        <w:t xml:space="preserve"> </w:t>
      </w:r>
    </w:p>
  </w:footnote>
  <w:footnote w:id="157">
    <w:p w14:paraId="689781DC" w14:textId="657F59CF"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8A2AE0">
        <w:rPr>
          <w:lang w:val="es-CR"/>
        </w:rPr>
        <w:t>La señora ME</w:t>
      </w:r>
      <w:r w:rsidRPr="00914946">
        <w:rPr>
          <w:lang w:val="es-CR"/>
        </w:rPr>
        <w:t>, también antes de la fecha referida, ratificó lo anterior</w:t>
      </w:r>
      <w:r>
        <w:rPr>
          <w:lang w:val="es-CR"/>
        </w:rPr>
        <w:t>,</w:t>
      </w:r>
      <w:r w:rsidRPr="00914946">
        <w:rPr>
          <w:lang w:val="es-CR"/>
        </w:rPr>
        <w:t xml:space="preserve"> agregando que </w:t>
      </w:r>
      <w:r>
        <w:rPr>
          <w:lang w:val="es-CR"/>
        </w:rPr>
        <w:t>“</w:t>
      </w:r>
      <w:r w:rsidRPr="00914946">
        <w:rPr>
          <w:lang w:val="es-CR"/>
        </w:rPr>
        <w:t xml:space="preserve">entre las personas sospechosas se encontraba un </w:t>
      </w:r>
      <w:r>
        <w:rPr>
          <w:lang w:val="es-CR"/>
        </w:rPr>
        <w:t>[</w:t>
      </w:r>
      <w:r w:rsidRPr="00914946">
        <w:rPr>
          <w:lang w:val="es-CR"/>
        </w:rPr>
        <w:t>p</w:t>
      </w:r>
      <w:r>
        <w:rPr>
          <w:lang w:val="es-CR"/>
        </w:rPr>
        <w:t>]</w:t>
      </w:r>
      <w:proofErr w:type="spellStart"/>
      <w:r w:rsidRPr="00914946">
        <w:rPr>
          <w:lang w:val="es-CR"/>
        </w:rPr>
        <w:t>olicía</w:t>
      </w:r>
      <w:proofErr w:type="spellEnd"/>
      <w:r w:rsidRPr="00914946">
        <w:rPr>
          <w:lang w:val="es-CR"/>
        </w:rPr>
        <w:t xml:space="preserve"> </w:t>
      </w:r>
      <w:r>
        <w:rPr>
          <w:lang w:val="es-CR"/>
        </w:rPr>
        <w:t>[</w:t>
      </w:r>
      <w:r w:rsidRPr="00914946">
        <w:rPr>
          <w:lang w:val="es-CR"/>
        </w:rPr>
        <w:t>p</w:t>
      </w:r>
      <w:r>
        <w:rPr>
          <w:lang w:val="es-CR"/>
        </w:rPr>
        <w:t>]</w:t>
      </w:r>
      <w:proofErr w:type="spellStart"/>
      <w:r w:rsidRPr="00914946">
        <w:rPr>
          <w:lang w:val="es-CR"/>
        </w:rPr>
        <w:t>reventivo</w:t>
      </w:r>
      <w:proofErr w:type="spellEnd"/>
      <w:r>
        <w:rPr>
          <w:lang w:val="es-CR"/>
        </w:rPr>
        <w:t>”</w:t>
      </w:r>
      <w:r w:rsidRPr="00914946">
        <w:rPr>
          <w:lang w:val="es-CR"/>
        </w:rPr>
        <w:t xml:space="preserve"> y que</w:t>
      </w:r>
      <w:r>
        <w:rPr>
          <w:lang w:val="es-CR"/>
        </w:rPr>
        <w:t xml:space="preserve"> “</w:t>
      </w:r>
      <w:r w:rsidRPr="00914946">
        <w:rPr>
          <w:lang w:val="es-CR"/>
        </w:rPr>
        <w:t>también estaba en la lista el hijo de Pacheco León”. En la misma ocasión la señora ME</w:t>
      </w:r>
      <w:r>
        <w:rPr>
          <w:lang w:val="es-CR"/>
        </w:rPr>
        <w:t xml:space="preserve"> </w:t>
      </w:r>
      <w:r w:rsidRPr="00914946">
        <w:rPr>
          <w:lang w:val="es-CR"/>
        </w:rPr>
        <w:t xml:space="preserve">señaló que “en la fecha de la muerte </w:t>
      </w:r>
      <w:proofErr w:type="gramStart"/>
      <w:r w:rsidRPr="00914946">
        <w:rPr>
          <w:lang w:val="es-CR"/>
        </w:rPr>
        <w:t>de[</w:t>
      </w:r>
      <w:proofErr w:type="gramEnd"/>
      <w:r w:rsidRPr="00914946">
        <w:rPr>
          <w:lang w:val="es-CR"/>
        </w:rPr>
        <w:t xml:space="preserve">l señor] Pacheco” una amiga de una enfermera había dicho que había visto a HE </w:t>
      </w:r>
      <w:proofErr w:type="spellStart"/>
      <w:r w:rsidRPr="00914946">
        <w:rPr>
          <w:lang w:val="es-CR"/>
        </w:rPr>
        <w:t>tocando</w:t>
      </w:r>
      <w:proofErr w:type="spellEnd"/>
      <w:r w:rsidRPr="00914946">
        <w:rPr>
          <w:lang w:val="es-CR"/>
        </w:rPr>
        <w:t xml:space="preserve"> la puerta de la casa a la par de donde vive MV, y que cuando el último salió aquél le dijo “ya matamos a Pacheco dame el cheque”. El informe aludido indica que “se logró identificar al [p]</w:t>
      </w:r>
      <w:proofErr w:type="spellStart"/>
      <w:r w:rsidRPr="00914946">
        <w:rPr>
          <w:lang w:val="es-CR"/>
        </w:rPr>
        <w:t>olicía</w:t>
      </w:r>
      <w:proofErr w:type="spellEnd"/>
      <w:r w:rsidRPr="00914946">
        <w:rPr>
          <w:lang w:val="es-CR"/>
        </w:rPr>
        <w:t xml:space="preserve"> [p]</w:t>
      </w:r>
      <w:proofErr w:type="spellStart"/>
      <w:r w:rsidRPr="00914946">
        <w:rPr>
          <w:lang w:val="es-CR"/>
        </w:rPr>
        <w:t>reventivo</w:t>
      </w:r>
      <w:proofErr w:type="spellEnd"/>
      <w:r w:rsidRPr="00914946">
        <w:rPr>
          <w:lang w:val="es-CR"/>
        </w:rPr>
        <w:t xml:space="preserve"> siendo este </w:t>
      </w:r>
      <w:r>
        <w:rPr>
          <w:lang w:val="es-CR"/>
        </w:rPr>
        <w:t>[</w:t>
      </w:r>
      <w:r w:rsidRPr="00914946">
        <w:rPr>
          <w:lang w:val="es-CR"/>
        </w:rPr>
        <w:t>SM</w:t>
      </w:r>
      <w:r>
        <w:rPr>
          <w:lang w:val="es-CR"/>
        </w:rPr>
        <w:t>]</w:t>
      </w:r>
      <w:r w:rsidRPr="00914946">
        <w:rPr>
          <w:lang w:val="es-CR"/>
        </w:rPr>
        <w:t xml:space="preserve">”, y que la señora </w:t>
      </w:r>
      <w:r>
        <w:rPr>
          <w:lang w:val="es-CR"/>
        </w:rPr>
        <w:t>ME</w:t>
      </w:r>
      <w:r w:rsidRPr="00497E2A">
        <w:rPr>
          <w:lang w:val="es-CR"/>
        </w:rPr>
        <w:t xml:space="preserve"> </w:t>
      </w:r>
      <w:r w:rsidRPr="00914946">
        <w:rPr>
          <w:lang w:val="es-CR"/>
        </w:rPr>
        <w:t xml:space="preserve">“se remitió a la [DGIC] para realizar retratos hablados los cuales tienen bastante parecido con el </w:t>
      </w:r>
      <w:r>
        <w:rPr>
          <w:lang w:val="es-CR"/>
        </w:rPr>
        <w:t>[</w:t>
      </w:r>
      <w:r w:rsidRPr="00914946">
        <w:rPr>
          <w:lang w:val="es-CR"/>
        </w:rPr>
        <w:t>p</w:t>
      </w:r>
      <w:r>
        <w:rPr>
          <w:lang w:val="es-CR"/>
        </w:rPr>
        <w:t>]</w:t>
      </w:r>
      <w:proofErr w:type="spellStart"/>
      <w:r w:rsidRPr="00914946">
        <w:rPr>
          <w:lang w:val="es-CR"/>
        </w:rPr>
        <w:t>olicía</w:t>
      </w:r>
      <w:proofErr w:type="spellEnd"/>
      <w:r w:rsidRPr="00914946">
        <w:rPr>
          <w:lang w:val="es-CR"/>
        </w:rPr>
        <w:t xml:space="preserve"> y [SC]” </w:t>
      </w:r>
      <w:r>
        <w:rPr>
          <w:lang w:val="es-CR"/>
        </w:rPr>
        <w:t>(</w:t>
      </w:r>
      <w:r>
        <w:rPr>
          <w:i/>
          <w:lang w:val="es-CR"/>
        </w:rPr>
        <w:t>c</w:t>
      </w:r>
      <w:r w:rsidRPr="00914946">
        <w:rPr>
          <w:i/>
          <w:lang w:val="es-CR"/>
        </w:rPr>
        <w:t>fr.</w:t>
      </w:r>
      <w:r w:rsidRPr="00914946">
        <w:rPr>
          <w:lang w:val="es-CR"/>
        </w:rPr>
        <w:t xml:space="preserve"> Informe de 10 de enero de 2004, remitido por el Jefe de la Secci</w:t>
      </w:r>
      <w:r w:rsidRPr="00914946">
        <w:rPr>
          <w:rFonts w:cs="Calibri"/>
          <w:lang w:val="es-CR"/>
        </w:rPr>
        <w:t>ó</w:t>
      </w:r>
      <w:r w:rsidRPr="00914946">
        <w:rPr>
          <w:lang w:val="es-CR"/>
        </w:rPr>
        <w:t>n Delitos Contra la Vida de la DGIC a un “Vice Ministro”</w:t>
      </w:r>
      <w:r>
        <w:rPr>
          <w:lang w:val="es-CR"/>
        </w:rPr>
        <w:t>;</w:t>
      </w:r>
      <w:r w:rsidRPr="00914946">
        <w:rPr>
          <w:lang w:val="es-CR"/>
        </w:rPr>
        <w:t xml:space="preserve"> </w:t>
      </w:r>
      <w:r>
        <w:rPr>
          <w:lang w:val="es-CR"/>
        </w:rPr>
        <w:t>e</w:t>
      </w:r>
      <w:r w:rsidRPr="00914946">
        <w:rPr>
          <w:lang w:val="es-CR"/>
        </w:rPr>
        <w:t xml:space="preserve">xpediente de prueba, </w:t>
      </w:r>
      <w:r>
        <w:rPr>
          <w:lang w:val="es-CR"/>
        </w:rPr>
        <w:t>a</w:t>
      </w:r>
      <w:r w:rsidRPr="00914946">
        <w:rPr>
          <w:lang w:val="es-CR"/>
        </w:rPr>
        <w:t>nexo 1 a la contestaci</w:t>
      </w:r>
      <w:r w:rsidRPr="00914946">
        <w:rPr>
          <w:rFonts w:cs="Calibri"/>
          <w:lang w:val="es-CR"/>
        </w:rPr>
        <w:t>ó</w:t>
      </w:r>
      <w:r w:rsidRPr="00914946">
        <w:rPr>
          <w:lang w:val="es-CR"/>
        </w:rPr>
        <w:t>n, fs. 2110 a 2112</w:t>
      </w:r>
      <w:r>
        <w:rPr>
          <w:lang w:val="es-CR"/>
        </w:rPr>
        <w:t>. Las expresiones textuales, en su caso, no corresponden directamente a la declaración de la señora ME ni a su transcripción, sino al modo en que sus dichos son referidos en el Informe de 10 de enero de 2004</w:t>
      </w:r>
      <w:r w:rsidRPr="00914946">
        <w:rPr>
          <w:lang w:val="es-CR"/>
        </w:rPr>
        <w:t>)</w:t>
      </w:r>
      <w:r>
        <w:rPr>
          <w:lang w:val="es-CR"/>
        </w:rPr>
        <w:t>. Por otra parte, e</w:t>
      </w:r>
      <w:r w:rsidRPr="00D77AF5">
        <w:rPr>
          <w:lang w:val="es-CR"/>
        </w:rPr>
        <w:t>l 2 de agosto</w:t>
      </w:r>
      <w:r>
        <w:rPr>
          <w:lang w:val="es-CR"/>
        </w:rPr>
        <w:t xml:space="preserve"> de 2004 la </w:t>
      </w:r>
      <w:r w:rsidRPr="004D0607">
        <w:rPr>
          <w:lang w:val="es-CR"/>
        </w:rPr>
        <w:t>señora ME declaró</w:t>
      </w:r>
      <w:r w:rsidRPr="00D77AF5">
        <w:rPr>
          <w:lang w:val="es-CR"/>
        </w:rPr>
        <w:t xml:space="preserve"> que el 23 de noviembre de 2001, a las 4 o 5 de la tarde, cuando iba a recibir capacitación sobre el manejo de mesas electorales, se aproximó a un vehículo color azul que estaba cerca del restaurante “</w:t>
      </w:r>
      <w:proofErr w:type="spellStart"/>
      <w:r w:rsidRPr="00D77AF5">
        <w:rPr>
          <w:lang w:val="es-CR"/>
        </w:rPr>
        <w:t>Ena</w:t>
      </w:r>
      <w:proofErr w:type="spellEnd"/>
      <w:r w:rsidRPr="00D77AF5">
        <w:rPr>
          <w:lang w:val="es-CR"/>
        </w:rPr>
        <w:t xml:space="preserve">”. Mencionó que a ese vehículo llegaron “dos muchachos” (de quienes realizó un “retrato hablado”), y ella les escuchó decir que “hoy si terminamos con […] Pacheco”. Agregó que luego un vehículo blanco se aproximó y quien conducía le dijo a los otros dos “ya”, y que luego salieron con “rumbo a Nacaome, Valle”. Además, refirió que cuando luego llegó al lugar en que iba a recibir capacitación, iba saliendo de allí el mismo carro azul. Señaló que “[e]se día […] el </w:t>
      </w:r>
      <w:proofErr w:type="gramStart"/>
      <w:r w:rsidRPr="00D77AF5">
        <w:rPr>
          <w:lang w:val="es-CR"/>
        </w:rPr>
        <w:t>s[</w:t>
      </w:r>
      <w:proofErr w:type="spellStart"/>
      <w:proofErr w:type="gramEnd"/>
      <w:r w:rsidRPr="00D77AF5">
        <w:rPr>
          <w:lang w:val="es-CR"/>
        </w:rPr>
        <w:t>eñor</w:t>
      </w:r>
      <w:proofErr w:type="spellEnd"/>
      <w:r w:rsidRPr="00D77AF5">
        <w:rPr>
          <w:lang w:val="es-CR"/>
        </w:rPr>
        <w:t>] Pacheco no se encontraba en la capacitación. Agregó que “[d]</w:t>
      </w:r>
      <w:proofErr w:type="spellStart"/>
      <w:r w:rsidRPr="00D77AF5">
        <w:rPr>
          <w:lang w:val="es-CR"/>
        </w:rPr>
        <w:t>espués</w:t>
      </w:r>
      <w:proofErr w:type="spellEnd"/>
      <w:r w:rsidRPr="00D77AF5">
        <w:rPr>
          <w:lang w:val="es-CR"/>
        </w:rPr>
        <w:t xml:space="preserve"> de la muerte del señor Pacheco[,] al siguiente día”, en el parque central de Nacaome una mujer de nombre “Mirna” que trabaja en el hospital le dijo (en palabras de la señora ME) que “llegó un carro blanco donde </w:t>
      </w:r>
      <w:r>
        <w:rPr>
          <w:lang w:val="es-CR"/>
        </w:rPr>
        <w:t>[M</w:t>
      </w:r>
      <w:r w:rsidRPr="00D77AF5">
        <w:rPr>
          <w:lang w:val="es-CR"/>
        </w:rPr>
        <w:t>V</w:t>
      </w:r>
      <w:r>
        <w:rPr>
          <w:lang w:val="es-CR"/>
        </w:rPr>
        <w:t>]</w:t>
      </w:r>
      <w:r w:rsidRPr="00D77AF5">
        <w:rPr>
          <w:lang w:val="es-CR"/>
        </w:rPr>
        <w:t xml:space="preserve"> diciendo que el trabajo ya estaba hecho” (</w:t>
      </w:r>
      <w:r>
        <w:rPr>
          <w:i/>
          <w:lang w:val="es-CR"/>
        </w:rPr>
        <w:t>c</w:t>
      </w:r>
      <w:r w:rsidRPr="00D77AF5">
        <w:rPr>
          <w:i/>
          <w:lang w:val="es-CR"/>
        </w:rPr>
        <w:t>fr.</w:t>
      </w:r>
      <w:r w:rsidRPr="00D77AF5">
        <w:rPr>
          <w:lang w:val="es-CR"/>
        </w:rPr>
        <w:t xml:space="preserve"> Declaración de ME ante la DGIC</w:t>
      </w:r>
      <w:r w:rsidRPr="004610BF">
        <w:rPr>
          <w:lang w:val="es-CR"/>
        </w:rPr>
        <w:t xml:space="preserve"> </w:t>
      </w:r>
      <w:r>
        <w:rPr>
          <w:lang w:val="es-CR"/>
        </w:rPr>
        <w:t>de 2 de agosto de 2004;</w:t>
      </w:r>
      <w:r w:rsidRPr="00D77AF5">
        <w:rPr>
          <w:lang w:val="es-CR"/>
        </w:rPr>
        <w:t xml:space="preserve"> </w:t>
      </w:r>
      <w:r>
        <w:rPr>
          <w:lang w:val="es-CR"/>
        </w:rPr>
        <w:t>e</w:t>
      </w:r>
      <w:r w:rsidRPr="00D77AF5">
        <w:rPr>
          <w:lang w:val="es-CR"/>
        </w:rPr>
        <w:t xml:space="preserve">xpediente de prueba, </w:t>
      </w:r>
      <w:r>
        <w:rPr>
          <w:lang w:val="es-CR"/>
        </w:rPr>
        <w:t>a</w:t>
      </w:r>
      <w:r w:rsidRPr="00D77AF5">
        <w:rPr>
          <w:lang w:val="es-CR"/>
        </w:rPr>
        <w:t>nexo 2 a l</w:t>
      </w:r>
      <w:r>
        <w:rPr>
          <w:lang w:val="es-CR"/>
        </w:rPr>
        <w:t>a contestación, fs. 2104 a 2109</w:t>
      </w:r>
      <w:r w:rsidRPr="00D77AF5">
        <w:rPr>
          <w:lang w:val="es-CR"/>
        </w:rPr>
        <w:t>)</w:t>
      </w:r>
      <w:r>
        <w:rPr>
          <w:lang w:val="es-CR"/>
        </w:rPr>
        <w:t>.</w:t>
      </w:r>
    </w:p>
  </w:footnote>
  <w:footnote w:id="158">
    <w:p w14:paraId="175DD6A0" w14:textId="294A2E26" w:rsidR="00E02FDB" w:rsidRPr="007B43FC" w:rsidRDefault="00E02FDB" w:rsidP="004635E5">
      <w:pPr>
        <w:autoSpaceDE w:val="0"/>
        <w:autoSpaceDN w:val="0"/>
        <w:adjustRightInd w:val="0"/>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rFonts w:cs="Times New Roman"/>
          <w:color w:val="0F0F0F"/>
          <w:sz w:val="16"/>
          <w:szCs w:val="16"/>
          <w:lang w:val="es-CR"/>
        </w:rPr>
        <w:t>Declaraci</w:t>
      </w:r>
      <w:r w:rsidRPr="007B43FC">
        <w:rPr>
          <w:color w:val="0F0F0F"/>
          <w:sz w:val="16"/>
          <w:szCs w:val="16"/>
          <w:lang w:val="es-CR"/>
        </w:rPr>
        <w:t>ó</w:t>
      </w:r>
      <w:r w:rsidRPr="007B43FC">
        <w:rPr>
          <w:rFonts w:cs="Times New Roman"/>
          <w:color w:val="0F0F0F"/>
          <w:sz w:val="16"/>
          <w:szCs w:val="16"/>
          <w:lang w:val="es-CR"/>
        </w:rPr>
        <w:t xml:space="preserve">n </w:t>
      </w:r>
      <w:r>
        <w:rPr>
          <w:rFonts w:cs="Times New Roman"/>
          <w:color w:val="0F0F0F"/>
          <w:sz w:val="16"/>
          <w:szCs w:val="16"/>
          <w:lang w:val="es-CR"/>
        </w:rPr>
        <w:t xml:space="preserve">de </w:t>
      </w:r>
      <w:r w:rsidRPr="007B43FC">
        <w:rPr>
          <w:rFonts w:cs="Times New Roman"/>
          <w:color w:val="0F0F0F"/>
          <w:sz w:val="16"/>
          <w:szCs w:val="16"/>
          <w:lang w:val="es-CR"/>
        </w:rPr>
        <w:t xml:space="preserve">Miguel </w:t>
      </w:r>
      <w:r w:rsidRPr="007B43FC">
        <w:rPr>
          <w:color w:val="0F0F0F"/>
          <w:sz w:val="16"/>
          <w:szCs w:val="16"/>
          <w:lang w:val="es-CR"/>
        </w:rPr>
        <w:t>Á</w:t>
      </w:r>
      <w:r w:rsidRPr="007B43FC">
        <w:rPr>
          <w:rFonts w:cs="Times New Roman"/>
          <w:color w:val="0F0F0F"/>
          <w:sz w:val="16"/>
          <w:szCs w:val="16"/>
          <w:lang w:val="es-CR"/>
        </w:rPr>
        <w:t>ngel Pacheco</w:t>
      </w:r>
      <w:r>
        <w:rPr>
          <w:rFonts w:cs="Times New Roman"/>
          <w:color w:val="0F0F0F"/>
          <w:sz w:val="16"/>
          <w:szCs w:val="16"/>
          <w:lang w:val="es-CR"/>
        </w:rPr>
        <w:t xml:space="preserve"> </w:t>
      </w:r>
      <w:proofErr w:type="spellStart"/>
      <w:r>
        <w:rPr>
          <w:rFonts w:cs="Times New Roman"/>
          <w:color w:val="0F0F0F"/>
          <w:sz w:val="16"/>
          <w:szCs w:val="16"/>
          <w:lang w:val="es-CR"/>
        </w:rPr>
        <w:t>Devicente</w:t>
      </w:r>
      <w:proofErr w:type="spellEnd"/>
      <w:r w:rsidRPr="007B43FC">
        <w:rPr>
          <w:rFonts w:cs="Times New Roman"/>
          <w:color w:val="0F0F0F"/>
          <w:sz w:val="16"/>
          <w:szCs w:val="16"/>
          <w:lang w:val="es-CR"/>
        </w:rPr>
        <w:t xml:space="preserve"> </w:t>
      </w:r>
      <w:r>
        <w:rPr>
          <w:rFonts w:cs="Times New Roman"/>
          <w:color w:val="0F0F0F"/>
          <w:sz w:val="16"/>
          <w:szCs w:val="16"/>
          <w:lang w:val="es-CR"/>
        </w:rPr>
        <w:t>ante la Fiscalía Especial de Derechos Humanos</w:t>
      </w:r>
      <w:r w:rsidRPr="004610BF">
        <w:rPr>
          <w:rFonts w:cs="Times New Roman"/>
          <w:color w:val="0F0F0F"/>
          <w:sz w:val="16"/>
          <w:szCs w:val="16"/>
          <w:lang w:val="es-CR"/>
        </w:rPr>
        <w:t xml:space="preserve"> </w:t>
      </w:r>
      <w:r w:rsidRPr="007B43FC">
        <w:rPr>
          <w:rFonts w:cs="Times New Roman"/>
          <w:color w:val="0F0F0F"/>
          <w:sz w:val="16"/>
          <w:szCs w:val="16"/>
          <w:lang w:val="es-CR"/>
        </w:rPr>
        <w:t xml:space="preserve">de </w:t>
      </w:r>
      <w:r>
        <w:rPr>
          <w:rFonts w:cs="Times New Roman"/>
          <w:color w:val="0F0F0F"/>
          <w:sz w:val="16"/>
          <w:szCs w:val="16"/>
          <w:lang w:val="es-CR"/>
        </w:rPr>
        <w:t>1 de julio de 2015 (expediente de prueba,</w:t>
      </w:r>
      <w:r w:rsidRPr="007B43FC" w:rsidDel="00D77AF5">
        <w:rPr>
          <w:rFonts w:cs="Times New Roman"/>
          <w:color w:val="0F0F0F"/>
          <w:sz w:val="16"/>
          <w:szCs w:val="16"/>
          <w:lang w:val="es-CR"/>
        </w:rPr>
        <w:t xml:space="preserve"> </w:t>
      </w:r>
      <w:r>
        <w:rPr>
          <w:rFonts w:cs="Times New Roman"/>
          <w:color w:val="0F0F0F"/>
          <w:sz w:val="16"/>
          <w:szCs w:val="16"/>
          <w:lang w:val="es-CR"/>
        </w:rPr>
        <w:t>a</w:t>
      </w:r>
      <w:r w:rsidRPr="007B43FC">
        <w:rPr>
          <w:rFonts w:cs="Times New Roman"/>
          <w:color w:val="0F0F0F"/>
          <w:sz w:val="16"/>
          <w:szCs w:val="16"/>
          <w:lang w:val="es-CR"/>
        </w:rPr>
        <w:t xml:space="preserve">nexo 10 al Informe de Fondo, fs. 379 </w:t>
      </w:r>
      <w:r>
        <w:rPr>
          <w:rFonts w:cs="Times New Roman"/>
          <w:color w:val="0F0F0F"/>
          <w:sz w:val="16"/>
          <w:szCs w:val="16"/>
          <w:lang w:val="es-CR"/>
        </w:rPr>
        <w:t>y</w:t>
      </w:r>
      <w:r w:rsidRPr="007B43FC">
        <w:rPr>
          <w:rFonts w:cs="Times New Roman"/>
          <w:color w:val="0F0F0F"/>
          <w:sz w:val="16"/>
          <w:szCs w:val="16"/>
          <w:lang w:val="es-CR"/>
        </w:rPr>
        <w:t xml:space="preserve"> 380</w:t>
      </w:r>
      <w:r>
        <w:rPr>
          <w:rFonts w:cs="Times New Roman"/>
          <w:color w:val="0F0F0F"/>
          <w:sz w:val="16"/>
          <w:szCs w:val="16"/>
          <w:lang w:val="es-CR"/>
        </w:rPr>
        <w:t>)</w:t>
      </w:r>
      <w:r w:rsidRPr="007B43FC">
        <w:rPr>
          <w:rFonts w:cs="Times New Roman"/>
          <w:color w:val="0F0F0F"/>
          <w:sz w:val="16"/>
          <w:szCs w:val="16"/>
          <w:lang w:val="es-CR"/>
        </w:rPr>
        <w:t>.</w:t>
      </w:r>
      <w:r w:rsidRPr="007B43FC">
        <w:rPr>
          <w:sz w:val="16"/>
          <w:szCs w:val="16"/>
          <w:lang w:val="es-CR"/>
        </w:rPr>
        <w:t xml:space="preserve"> </w:t>
      </w:r>
    </w:p>
  </w:footnote>
  <w:footnote w:id="159">
    <w:p w14:paraId="05FF7BB7" w14:textId="5CEFB4DA" w:rsidR="00E02FDB" w:rsidRPr="007B43FC" w:rsidRDefault="00E02FDB" w:rsidP="004635E5">
      <w:pPr>
        <w:autoSpaceDE w:val="0"/>
        <w:autoSpaceDN w:val="0"/>
        <w:adjustRightInd w:val="0"/>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i/>
          <w:sz w:val="16"/>
          <w:szCs w:val="16"/>
          <w:lang w:val="es-CR"/>
        </w:rPr>
        <w:t>Cfr</w:t>
      </w:r>
      <w:r w:rsidRPr="007B43FC">
        <w:rPr>
          <w:sz w:val="16"/>
          <w:szCs w:val="16"/>
          <w:lang w:val="es-CR"/>
        </w:rPr>
        <w:t xml:space="preserve">. Declaración </w:t>
      </w:r>
      <w:r>
        <w:rPr>
          <w:sz w:val="16"/>
          <w:szCs w:val="16"/>
          <w:lang w:val="es-CR"/>
        </w:rPr>
        <w:t>de José Federico Cruz ante la Fiscalía Especial de Derechos Humanos</w:t>
      </w:r>
      <w:r w:rsidRPr="004610BF">
        <w:rPr>
          <w:sz w:val="16"/>
          <w:szCs w:val="16"/>
          <w:lang w:val="es-CR"/>
        </w:rPr>
        <w:t xml:space="preserve"> </w:t>
      </w:r>
      <w:r>
        <w:rPr>
          <w:sz w:val="16"/>
          <w:szCs w:val="16"/>
          <w:lang w:val="es-CR"/>
        </w:rPr>
        <w:t>de 20 de junio de 2005 (expediente de prueba, a</w:t>
      </w:r>
      <w:r w:rsidRPr="007B43FC">
        <w:rPr>
          <w:sz w:val="16"/>
          <w:szCs w:val="16"/>
          <w:lang w:val="es-CR"/>
        </w:rPr>
        <w:t>nexo 11 al Informe de Fondo, fs. 3</w:t>
      </w:r>
      <w:r>
        <w:rPr>
          <w:sz w:val="16"/>
          <w:szCs w:val="16"/>
          <w:lang w:val="es-CR"/>
        </w:rPr>
        <w:t>82</w:t>
      </w:r>
      <w:r w:rsidRPr="007B43FC">
        <w:rPr>
          <w:sz w:val="16"/>
          <w:szCs w:val="16"/>
          <w:lang w:val="es-CR"/>
        </w:rPr>
        <w:t xml:space="preserve"> y 38</w:t>
      </w:r>
      <w:r>
        <w:rPr>
          <w:sz w:val="16"/>
          <w:szCs w:val="16"/>
          <w:lang w:val="es-CR"/>
        </w:rPr>
        <w:t>3)</w:t>
      </w:r>
      <w:r w:rsidRPr="007B43FC">
        <w:rPr>
          <w:sz w:val="16"/>
          <w:szCs w:val="16"/>
          <w:lang w:val="es-CR"/>
        </w:rPr>
        <w:t xml:space="preserve">. </w:t>
      </w:r>
    </w:p>
  </w:footnote>
  <w:footnote w:id="160">
    <w:p w14:paraId="3539C8D0" w14:textId="37BE2130" w:rsidR="00E02FDB" w:rsidRPr="007B43FC" w:rsidRDefault="00E02FDB" w:rsidP="004635E5">
      <w:pPr>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i/>
          <w:sz w:val="16"/>
          <w:szCs w:val="16"/>
          <w:lang w:val="es-CR"/>
        </w:rPr>
        <w:t>Cfr.</w:t>
      </w:r>
      <w:r w:rsidRPr="007B43FC">
        <w:rPr>
          <w:sz w:val="16"/>
          <w:szCs w:val="16"/>
          <w:lang w:val="es-CR"/>
        </w:rPr>
        <w:t xml:space="preserve"> </w:t>
      </w:r>
      <w:r w:rsidRPr="004D0607">
        <w:rPr>
          <w:sz w:val="16"/>
          <w:szCs w:val="16"/>
          <w:lang w:val="es-CR"/>
        </w:rPr>
        <w:t>Presentación de</w:t>
      </w:r>
      <w:r w:rsidRPr="004D0607">
        <w:rPr>
          <w:rFonts w:cs="Times New Roman"/>
          <w:color w:val="0F0F0F"/>
          <w:sz w:val="16"/>
          <w:szCs w:val="16"/>
          <w:lang w:val="es-CR"/>
        </w:rPr>
        <w:t xml:space="preserve"> </w:t>
      </w:r>
      <w:proofErr w:type="spellStart"/>
      <w:r w:rsidRPr="004D0607">
        <w:rPr>
          <w:rFonts w:cs="Times New Roman"/>
          <w:color w:val="0F0F0F"/>
          <w:sz w:val="16"/>
          <w:szCs w:val="16"/>
          <w:lang w:val="es-CR"/>
        </w:rPr>
        <w:t>Marleny</w:t>
      </w:r>
      <w:proofErr w:type="spellEnd"/>
      <w:r w:rsidRPr="004D0607">
        <w:rPr>
          <w:rFonts w:cs="Times New Roman"/>
          <w:color w:val="0F0F0F"/>
          <w:sz w:val="16"/>
          <w:szCs w:val="16"/>
          <w:lang w:val="es-CR"/>
        </w:rPr>
        <w:t xml:space="preserve"> Pacheco Posadas ante la “Unidad de Asuntos Internos” de 4 de noviembre de 2002</w:t>
      </w:r>
      <w:r w:rsidRPr="004D0607">
        <w:rPr>
          <w:sz w:val="16"/>
          <w:szCs w:val="16"/>
          <w:lang w:val="es-CR"/>
        </w:rPr>
        <w:t xml:space="preserve"> </w:t>
      </w:r>
      <w:r>
        <w:rPr>
          <w:sz w:val="16"/>
          <w:szCs w:val="16"/>
          <w:lang w:val="es-CR"/>
        </w:rPr>
        <w:t>(e</w:t>
      </w:r>
      <w:r w:rsidRPr="004D0607">
        <w:rPr>
          <w:rFonts w:cs="Times New Roman"/>
          <w:color w:val="0F0F0F"/>
          <w:sz w:val="16"/>
          <w:szCs w:val="16"/>
          <w:lang w:val="es-CR"/>
        </w:rPr>
        <w:t>xpediente de prueba</w:t>
      </w:r>
      <w:r w:rsidRPr="007B43FC">
        <w:rPr>
          <w:rFonts w:cs="Times New Roman"/>
          <w:color w:val="0F0F0F"/>
          <w:sz w:val="16"/>
          <w:szCs w:val="16"/>
          <w:lang w:val="es-CR"/>
        </w:rPr>
        <w:t xml:space="preserve">, anexo 6 al Informe de Fondo, fs. 354 </w:t>
      </w:r>
      <w:r>
        <w:rPr>
          <w:rFonts w:cs="Times New Roman"/>
          <w:color w:val="0F0F0F"/>
          <w:sz w:val="16"/>
          <w:szCs w:val="16"/>
          <w:lang w:val="es-CR"/>
        </w:rPr>
        <w:t>y</w:t>
      </w:r>
      <w:r w:rsidRPr="007B43FC">
        <w:rPr>
          <w:rFonts w:cs="Times New Roman"/>
          <w:color w:val="0F0F0F"/>
          <w:sz w:val="16"/>
          <w:szCs w:val="16"/>
          <w:lang w:val="es-CR"/>
        </w:rPr>
        <w:t xml:space="preserve"> 355</w:t>
      </w:r>
      <w:r>
        <w:rPr>
          <w:rFonts w:cs="Times New Roman"/>
          <w:color w:val="0F0F0F"/>
          <w:sz w:val="16"/>
          <w:szCs w:val="16"/>
          <w:lang w:val="es-CR"/>
        </w:rPr>
        <w:t>).</w:t>
      </w:r>
    </w:p>
  </w:footnote>
  <w:footnote w:id="161">
    <w:p w14:paraId="04D9A949" w14:textId="6EE35DC8" w:rsidR="00E02FDB" w:rsidRPr="00A25942" w:rsidRDefault="00E02FDB" w:rsidP="004635E5">
      <w:pPr>
        <w:pStyle w:val="FootnoteText"/>
      </w:pPr>
      <w:r>
        <w:rPr>
          <w:rStyle w:val="FootnoteReference"/>
        </w:rPr>
        <w:footnoteRef/>
      </w:r>
      <w:r>
        <w:t xml:space="preserve"> </w:t>
      </w:r>
      <w:r>
        <w:tab/>
      </w:r>
      <w:r>
        <w:rPr>
          <w:i/>
        </w:rPr>
        <w:t xml:space="preserve">Cfr. </w:t>
      </w:r>
      <w:r>
        <w:t xml:space="preserve">Escrito de </w:t>
      </w:r>
      <w:proofErr w:type="spellStart"/>
      <w:r>
        <w:t>de</w:t>
      </w:r>
      <w:proofErr w:type="spellEnd"/>
      <w:r>
        <w:t xml:space="preserve"> </w:t>
      </w:r>
      <w:proofErr w:type="spellStart"/>
      <w:r>
        <w:t>Marleny</w:t>
      </w:r>
      <w:proofErr w:type="spellEnd"/>
      <w:r>
        <w:t xml:space="preserve"> Pacheco dirigido a la Comisión Interamericana de 24 de agosto de 2004 (expediente de prueba, anexo 1 al Informe de Fondo, fs. 5 a 7). </w:t>
      </w:r>
    </w:p>
  </w:footnote>
  <w:footnote w:id="162">
    <w:p w14:paraId="2D400134" w14:textId="7D7ABE1A"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lang w:val="es-CR"/>
        </w:rPr>
        <w:t>En cuanto al examen referido, resp</w:t>
      </w:r>
      <w:r w:rsidRPr="0083028B">
        <w:rPr>
          <w:lang w:val="es-CR"/>
        </w:rPr>
        <w:t>ecto al se</w:t>
      </w:r>
      <w:r w:rsidRPr="0083028B">
        <w:rPr>
          <w:rFonts w:cs="Calibri"/>
          <w:lang w:val="es-CR"/>
        </w:rPr>
        <w:t>ñ</w:t>
      </w:r>
      <w:r w:rsidRPr="0083028B">
        <w:rPr>
          <w:lang w:val="es-CR"/>
        </w:rPr>
        <w:t>or HE, cabe recordar que fue desvinculado de la causa (</w:t>
      </w:r>
      <w:r>
        <w:rPr>
          <w:i/>
          <w:lang w:val="es-CR"/>
        </w:rPr>
        <w:t xml:space="preserve">supra </w:t>
      </w:r>
      <w:proofErr w:type="spellStart"/>
      <w:r w:rsidRPr="0083028B">
        <w:rPr>
          <w:lang w:val="es-CR"/>
        </w:rPr>
        <w:t>p</w:t>
      </w:r>
      <w:r w:rsidRPr="0083028B">
        <w:rPr>
          <w:rFonts w:cs="Calibri"/>
          <w:lang w:val="es-CR"/>
        </w:rPr>
        <w:t>á</w:t>
      </w:r>
      <w:r w:rsidRPr="0083028B">
        <w:rPr>
          <w:lang w:val="es-CR"/>
        </w:rPr>
        <w:t>rrs</w:t>
      </w:r>
      <w:proofErr w:type="spellEnd"/>
      <w:r w:rsidRPr="0083028B">
        <w:rPr>
          <w:lang w:val="es-CR"/>
        </w:rPr>
        <w:t>. 37 y 97, y nota a pie de página 150)</w:t>
      </w:r>
      <w:r w:rsidRPr="007B43FC">
        <w:rPr>
          <w:lang w:val="es-CR"/>
        </w:rPr>
        <w:t>. Resulta pertinente destacar lo anterior pues, como se ha referido (</w:t>
      </w:r>
      <w:r w:rsidRPr="0083028B">
        <w:rPr>
          <w:i/>
          <w:lang w:val="es-CR"/>
        </w:rPr>
        <w:t>supra</w:t>
      </w:r>
      <w:r w:rsidRPr="0083028B">
        <w:rPr>
          <w:lang w:val="es-CR"/>
        </w:rPr>
        <w:t xml:space="preserve"> p</w:t>
      </w:r>
      <w:r w:rsidRPr="0083028B">
        <w:rPr>
          <w:rFonts w:cs="Calibri"/>
          <w:lang w:val="es-CR"/>
        </w:rPr>
        <w:t>á</w:t>
      </w:r>
      <w:r w:rsidRPr="0083028B">
        <w:rPr>
          <w:lang w:val="es-CR"/>
        </w:rPr>
        <w:t>rr. 101</w:t>
      </w:r>
      <w:r w:rsidRPr="007B43FC">
        <w:rPr>
          <w:lang w:val="es-CR"/>
        </w:rPr>
        <w:t>), antes del 10 de enero de 2004</w:t>
      </w:r>
      <w:r>
        <w:rPr>
          <w:lang w:val="es-CR"/>
        </w:rPr>
        <w:t xml:space="preserve"> </w:t>
      </w:r>
      <w:r w:rsidRPr="007B43FC">
        <w:rPr>
          <w:lang w:val="es-CR"/>
        </w:rPr>
        <w:t>su nombre volvi</w:t>
      </w:r>
      <w:r w:rsidRPr="007B43FC">
        <w:rPr>
          <w:rFonts w:cs="Calibri"/>
          <w:lang w:val="es-CR"/>
        </w:rPr>
        <w:t>ó</w:t>
      </w:r>
      <w:r w:rsidRPr="007B43FC">
        <w:rPr>
          <w:lang w:val="es-CR"/>
        </w:rPr>
        <w:t xml:space="preserve"> a surgir como una de las personas vinculadas al </w:t>
      </w:r>
      <w:r>
        <w:rPr>
          <w:lang w:val="es-CR"/>
        </w:rPr>
        <w:t>delito</w:t>
      </w:r>
      <w:r w:rsidRPr="007B43FC">
        <w:rPr>
          <w:lang w:val="es-CR"/>
        </w:rPr>
        <w:t>.</w:t>
      </w:r>
      <w:r>
        <w:rPr>
          <w:lang w:val="es-CR"/>
        </w:rPr>
        <w:t xml:space="preserve"> Sin embargo</w:t>
      </w:r>
      <w:r w:rsidRPr="007B43FC">
        <w:rPr>
          <w:lang w:val="es-CR"/>
        </w:rPr>
        <w:t xml:space="preserve">, teniendo en cuenta </w:t>
      </w:r>
      <w:r>
        <w:rPr>
          <w:lang w:val="es-CR"/>
        </w:rPr>
        <w:t>la desvinculación referida</w:t>
      </w:r>
      <w:r w:rsidRPr="007B43FC">
        <w:rPr>
          <w:lang w:val="es-CR"/>
        </w:rPr>
        <w:t xml:space="preserve">, la Corte no cuenta con elementos suficientes para evaluar si, con posterioridad a ello, resultaban procedentes </w:t>
      </w:r>
      <w:r>
        <w:rPr>
          <w:lang w:val="es-CR"/>
        </w:rPr>
        <w:t>y, en su caso,</w:t>
      </w:r>
      <w:r w:rsidRPr="007B43FC">
        <w:rPr>
          <w:lang w:val="es-CR"/>
        </w:rPr>
        <w:t xml:space="preserve"> necesarios</w:t>
      </w:r>
      <w:r>
        <w:rPr>
          <w:lang w:val="es-CR"/>
        </w:rPr>
        <w:t>,</w:t>
      </w:r>
      <w:r w:rsidRPr="007B43FC">
        <w:rPr>
          <w:lang w:val="es-CR"/>
        </w:rPr>
        <w:t xml:space="preserve"> mayores actos de investigaci</w:t>
      </w:r>
      <w:r w:rsidRPr="007B43FC">
        <w:rPr>
          <w:rFonts w:cs="Calibri"/>
          <w:lang w:val="es-CR"/>
        </w:rPr>
        <w:t>ó</w:t>
      </w:r>
      <w:r w:rsidRPr="007B43FC">
        <w:rPr>
          <w:lang w:val="es-CR"/>
        </w:rPr>
        <w:t>n respecto del se</w:t>
      </w:r>
      <w:r w:rsidRPr="007B43FC">
        <w:rPr>
          <w:rFonts w:cs="Calibri"/>
          <w:lang w:val="es-CR"/>
        </w:rPr>
        <w:t>ñ</w:t>
      </w:r>
      <w:r w:rsidRPr="007B43FC">
        <w:rPr>
          <w:lang w:val="es-CR"/>
        </w:rPr>
        <w:t xml:space="preserve">or </w:t>
      </w:r>
      <w:r>
        <w:rPr>
          <w:lang w:val="es-CR"/>
        </w:rPr>
        <w:t>HE</w:t>
      </w:r>
      <w:r w:rsidRPr="007B43FC">
        <w:rPr>
          <w:lang w:val="es-CR"/>
        </w:rPr>
        <w:t>. Por ende, en lo que sigue, ello no ser</w:t>
      </w:r>
      <w:r w:rsidRPr="007B43FC">
        <w:rPr>
          <w:rFonts w:cs="Calibri"/>
          <w:lang w:val="es-CR"/>
        </w:rPr>
        <w:t>á</w:t>
      </w:r>
      <w:r w:rsidRPr="007B43FC">
        <w:rPr>
          <w:lang w:val="es-CR"/>
        </w:rPr>
        <w:t xml:space="preserve"> considerado. </w:t>
      </w:r>
    </w:p>
  </w:footnote>
  <w:footnote w:id="163">
    <w:p w14:paraId="741E88E2" w14:textId="721B77EE" w:rsidR="00E02FDB" w:rsidRPr="00F262A7" w:rsidRDefault="00E02FDB">
      <w:pPr>
        <w:pStyle w:val="FootnoteText"/>
      </w:pPr>
      <w:r w:rsidRPr="00F262A7">
        <w:rPr>
          <w:rStyle w:val="FootnoteReference"/>
        </w:rPr>
        <w:footnoteRef/>
      </w:r>
      <w:r w:rsidRPr="00F262A7">
        <w:t xml:space="preserve"> </w:t>
      </w:r>
      <w:r>
        <w:tab/>
      </w:r>
      <w:r w:rsidRPr="00E91526">
        <w:t>Si bien los días 28 de noviembre y 12 de diciembre de 2001, MV y JQ, respectivamente, declararon ante el Juzgado de Letras (expediente de prueba, trámite ante la Comisión, fs. 1246 y 1324, respectivamente), MV, en carácter de testigo, dio cuenta de acciones de HE, entre otras personas y JQ se limitó a exponer conceptos favorables respecto de RP. Por ello, la Corte entiende que tales declaraciones no pueden considerarse diligencia</w:t>
      </w:r>
      <w:r>
        <w:t>s</w:t>
      </w:r>
      <w:r w:rsidRPr="00E91526">
        <w:t xml:space="preserve"> de investigación respecto de MV y JQ.</w:t>
      </w:r>
      <w:r w:rsidRPr="00F262A7">
        <w:t xml:space="preserve"> </w:t>
      </w:r>
    </w:p>
  </w:footnote>
  <w:footnote w:id="164">
    <w:p w14:paraId="0B7AFDC3" w14:textId="3352970F" w:rsidR="00E02FDB" w:rsidRPr="00F262A7" w:rsidRDefault="00E02FDB" w:rsidP="004635E5">
      <w:pPr>
        <w:pStyle w:val="FootnoteText"/>
        <w:rPr>
          <w:lang w:val="es-CR"/>
        </w:rPr>
      </w:pPr>
      <w:r w:rsidRPr="00F262A7">
        <w:rPr>
          <w:rStyle w:val="FootnoteReference"/>
        </w:rPr>
        <w:footnoteRef/>
      </w:r>
      <w:r w:rsidRPr="00F262A7">
        <w:t xml:space="preserve"> </w:t>
      </w:r>
      <w:r>
        <w:tab/>
      </w:r>
      <w:r w:rsidRPr="00F262A7">
        <w:rPr>
          <w:lang w:val="es-CR"/>
        </w:rPr>
        <w:t>En ese sentido,</w:t>
      </w:r>
      <w:r>
        <w:rPr>
          <w:lang w:val="es-CR"/>
        </w:rPr>
        <w:t xml:space="preserve"> el</w:t>
      </w:r>
      <w:r w:rsidRPr="00F262A7">
        <w:rPr>
          <w:lang w:val="es-CR"/>
        </w:rPr>
        <w:t xml:space="preserve"> </w:t>
      </w:r>
      <w:r w:rsidRPr="00F262A7">
        <w:t>“Protocolo de Minnesot</w:t>
      </w:r>
      <w:r>
        <w:t>a”</w:t>
      </w:r>
      <w:r w:rsidRPr="00F262A7">
        <w:rPr>
          <w:lang w:val="es-ES"/>
        </w:rPr>
        <w:t xml:space="preserve">, </w:t>
      </w:r>
      <w:r w:rsidRPr="00F262A7">
        <w:rPr>
          <w:lang w:val="es-CR"/>
        </w:rPr>
        <w:t>indica que “[l]os investigadores deben identificar y entrevistar a todos los posibles testigos del crimen, incluidos [… l</w:t>
      </w:r>
      <w:proofErr w:type="gramStart"/>
      <w:r w:rsidRPr="00F262A7">
        <w:rPr>
          <w:lang w:val="es-CR"/>
        </w:rPr>
        <w:t>]os</w:t>
      </w:r>
      <w:proofErr w:type="gramEnd"/>
      <w:r w:rsidRPr="00F262A7">
        <w:rPr>
          <w:lang w:val="es-CR"/>
        </w:rPr>
        <w:t xml:space="preserve"> sospechosos” (Titulo C, “Procedimientos de una indagación”, apartado 4 “Testimonio Personal”, párrafo a. i.). </w:t>
      </w:r>
    </w:p>
  </w:footnote>
  <w:footnote w:id="165">
    <w:p w14:paraId="0865DB77" w14:textId="3C3BD6AC" w:rsidR="00E02FDB" w:rsidRPr="00F262A7" w:rsidRDefault="00E02FDB" w:rsidP="004635E5">
      <w:pPr>
        <w:pStyle w:val="FootnoteText"/>
      </w:pPr>
      <w:r w:rsidRPr="00F262A7">
        <w:rPr>
          <w:rStyle w:val="FootnoteReference"/>
        </w:rPr>
        <w:footnoteRef/>
      </w:r>
      <w:r w:rsidRPr="00F262A7">
        <w:t xml:space="preserve"> </w:t>
      </w:r>
      <w:r>
        <w:tab/>
      </w:r>
      <w:r w:rsidRPr="00F262A7">
        <w:t xml:space="preserve">En el mismo sentido, el perito </w:t>
      </w:r>
      <w:r>
        <w:t xml:space="preserve">Joaquín </w:t>
      </w:r>
      <w:r w:rsidRPr="00F262A7">
        <w:t xml:space="preserve">Mejía Rivera, en su </w:t>
      </w:r>
      <w:r w:rsidRPr="00536AFC">
        <w:rPr>
          <w:i/>
        </w:rPr>
        <w:t>affidávit</w:t>
      </w:r>
      <w:r w:rsidRPr="00F262A7">
        <w:t>, señaló como una falta de diligencia debida, en relación con el seguimiento de líneas lógicas de investigación, que en el caso, “aunque [en el curso de la investigación] se mencionaron varios nombres importantes de posibles sospechosos de la autoría intelectual del crimen”, los mismos no fueran interrogados (</w:t>
      </w:r>
      <w:r w:rsidRPr="00F24D60">
        <w:t>dictamen pericial</w:t>
      </w:r>
      <w:r>
        <w:t xml:space="preserve"> de </w:t>
      </w:r>
      <w:r w:rsidRPr="00F262A7">
        <w:t>Joaquín Mejía Rivera</w:t>
      </w:r>
      <w:r>
        <w:t>;</w:t>
      </w:r>
      <w:r w:rsidRPr="00F262A7">
        <w:t xml:space="preserve"> </w:t>
      </w:r>
      <w:r>
        <w:t>e</w:t>
      </w:r>
      <w:r w:rsidRPr="00F262A7">
        <w:t xml:space="preserve">xpediente de </w:t>
      </w:r>
      <w:r w:rsidRPr="00536AFC">
        <w:rPr>
          <w:i/>
        </w:rPr>
        <w:t>affidávits</w:t>
      </w:r>
      <w:r w:rsidRPr="00F262A7">
        <w:t xml:space="preserve"> y peritajes, fs. 2755 a 2793).</w:t>
      </w:r>
    </w:p>
  </w:footnote>
  <w:footnote w:id="166">
    <w:p w14:paraId="6ACD8C73" w14:textId="4D5F30C6" w:rsidR="00E02FDB" w:rsidRPr="00DB0D15" w:rsidRDefault="00E02FDB">
      <w:pPr>
        <w:pStyle w:val="FootnoteText"/>
      </w:pPr>
      <w:r w:rsidRPr="00F262A7">
        <w:rPr>
          <w:rStyle w:val="FootnoteReference"/>
        </w:rPr>
        <w:footnoteRef/>
      </w:r>
      <w:r w:rsidRPr="00F262A7">
        <w:t xml:space="preserve"> </w:t>
      </w:r>
      <w:r>
        <w:tab/>
      </w:r>
      <w:r w:rsidRPr="00E91526">
        <w:t xml:space="preserve">Consta una declaración de RC de 3 de enero de 2002 dada ante el Juzgado de Letras (expediente de prueba, trámite ante la Comisión, f. 1343). En la misma, se preguntó a RC, en términos generales, sobre su conocimiento del hecho de homicidio del señor Pacheco </w:t>
      </w:r>
      <w:proofErr w:type="spellStart"/>
      <w:r w:rsidRPr="00E91526">
        <w:t>Leon</w:t>
      </w:r>
      <w:proofErr w:type="spellEnd"/>
      <w:r w:rsidRPr="00E91526">
        <w:t xml:space="preserve"> y sobre RP.</w:t>
      </w:r>
      <w:r>
        <w:t xml:space="preserve">   </w:t>
      </w:r>
    </w:p>
  </w:footnote>
  <w:footnote w:id="167">
    <w:p w14:paraId="46A10B7E" w14:textId="57D95C43"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Pr>
          <w:i/>
          <w:lang w:val="es-CR"/>
        </w:rPr>
        <w:t>Cfr.</w:t>
      </w:r>
      <w:r>
        <w:rPr>
          <w:lang w:val="es-CR"/>
        </w:rPr>
        <w:t xml:space="preserve"> </w:t>
      </w:r>
      <w:r w:rsidRPr="007B43FC">
        <w:rPr>
          <w:rStyle w:val="Strong"/>
          <w:b w:val="0"/>
          <w:i/>
          <w:color w:val="000000"/>
          <w:shd w:val="clear" w:color="auto" w:fill="FFFFFF"/>
          <w:lang w:val="es-CR"/>
        </w:rPr>
        <w:t>Caso de la Masacre de Las Dos Erres Vs. Guatemala</w:t>
      </w:r>
      <w:r w:rsidRPr="007B43FC">
        <w:rPr>
          <w:rStyle w:val="Strong"/>
          <w:b w:val="0"/>
          <w:color w:val="000000"/>
          <w:shd w:val="clear" w:color="auto" w:fill="FFFFFF"/>
          <w:lang w:val="es-CR"/>
        </w:rPr>
        <w:t xml:space="preserve">. </w:t>
      </w:r>
      <w:r w:rsidRPr="009B1D84">
        <w:rPr>
          <w:rStyle w:val="Strong"/>
          <w:b w:val="0"/>
          <w:i/>
          <w:color w:val="000000"/>
          <w:shd w:val="clear" w:color="auto" w:fill="FFFFFF"/>
          <w:lang w:val="es-CR"/>
        </w:rPr>
        <w:t>Excepci</w:t>
      </w:r>
      <w:r w:rsidRPr="009B1D84">
        <w:rPr>
          <w:rStyle w:val="Strong"/>
          <w:rFonts w:cs="Calibri"/>
          <w:b w:val="0"/>
          <w:i/>
          <w:color w:val="000000"/>
          <w:shd w:val="clear" w:color="auto" w:fill="FFFFFF"/>
          <w:lang w:val="es-CR"/>
        </w:rPr>
        <w:t>ó</w:t>
      </w:r>
      <w:r w:rsidRPr="009B1D84">
        <w:rPr>
          <w:rStyle w:val="Strong"/>
          <w:b w:val="0"/>
          <w:i/>
          <w:color w:val="000000"/>
          <w:shd w:val="clear" w:color="auto" w:fill="FFFFFF"/>
          <w:lang w:val="es-CR"/>
        </w:rPr>
        <w:t>n Preliminar, Fondo, Reparaciones y Costas</w:t>
      </w:r>
      <w:r w:rsidRPr="007B43FC">
        <w:rPr>
          <w:rStyle w:val="Strong"/>
          <w:b w:val="0"/>
          <w:color w:val="000000"/>
          <w:shd w:val="clear" w:color="auto" w:fill="FFFFFF"/>
          <w:lang w:val="es-CR"/>
        </w:rPr>
        <w:t>. Sentencia de 24 de noviembre de 2009. Serie C No. 211, p</w:t>
      </w:r>
      <w:r w:rsidRPr="007B43FC">
        <w:rPr>
          <w:rStyle w:val="Strong"/>
          <w:rFonts w:cs="Calibri"/>
          <w:b w:val="0"/>
          <w:color w:val="000000"/>
          <w:shd w:val="clear" w:color="auto" w:fill="FFFFFF"/>
          <w:lang w:val="es-CR"/>
        </w:rPr>
        <w:t>á</w:t>
      </w:r>
      <w:r w:rsidRPr="007B43FC">
        <w:rPr>
          <w:rStyle w:val="Strong"/>
          <w:b w:val="0"/>
          <w:color w:val="000000"/>
          <w:shd w:val="clear" w:color="auto" w:fill="FFFFFF"/>
          <w:lang w:val="es-CR"/>
        </w:rPr>
        <w:t xml:space="preserve">rr. </w:t>
      </w:r>
      <w:r>
        <w:rPr>
          <w:rStyle w:val="Strong"/>
          <w:b w:val="0"/>
          <w:color w:val="000000"/>
          <w:shd w:val="clear" w:color="auto" w:fill="FFFFFF"/>
          <w:lang w:val="es-CR"/>
        </w:rPr>
        <w:t>145, y</w:t>
      </w:r>
      <w:r w:rsidRPr="007B43FC">
        <w:rPr>
          <w:rStyle w:val="Strong"/>
          <w:b w:val="0"/>
          <w:color w:val="000000"/>
          <w:shd w:val="clear" w:color="auto" w:fill="FFFFFF"/>
          <w:lang w:val="es-CR"/>
        </w:rPr>
        <w:t xml:space="preserve"> </w:t>
      </w:r>
      <w:r w:rsidRPr="00497E2A">
        <w:rPr>
          <w:rStyle w:val="Strong"/>
          <w:b w:val="0"/>
          <w:i/>
          <w:color w:val="000000"/>
          <w:shd w:val="clear" w:color="auto" w:fill="FFFFFF"/>
          <w:lang w:val="es-CR"/>
        </w:rPr>
        <w:t xml:space="preserve">Caso Miembros de la Aldea </w:t>
      </w:r>
      <w:proofErr w:type="spellStart"/>
      <w:r w:rsidRPr="00497E2A">
        <w:rPr>
          <w:rStyle w:val="Strong"/>
          <w:b w:val="0"/>
          <w:i/>
          <w:color w:val="000000"/>
          <w:shd w:val="clear" w:color="auto" w:fill="FFFFFF"/>
          <w:lang w:val="es-CR"/>
        </w:rPr>
        <w:t>Chichupac</w:t>
      </w:r>
      <w:proofErr w:type="spellEnd"/>
      <w:r w:rsidRPr="00497E2A">
        <w:rPr>
          <w:rStyle w:val="Strong"/>
          <w:b w:val="0"/>
          <w:i/>
          <w:color w:val="000000"/>
          <w:shd w:val="clear" w:color="auto" w:fill="FFFFFF"/>
          <w:lang w:val="es-CR"/>
        </w:rPr>
        <w:t xml:space="preserve"> y comunidades vecinas del Municipio de Rabinal Vs. Guatemala. Excepciones Preliminares, Fondo, Reparaciones y Costas.</w:t>
      </w:r>
      <w:r w:rsidRPr="00E3300F">
        <w:rPr>
          <w:rStyle w:val="Strong"/>
          <w:b w:val="0"/>
          <w:color w:val="000000"/>
          <w:shd w:val="clear" w:color="auto" w:fill="FFFFFF"/>
          <w:lang w:val="es-CR"/>
        </w:rPr>
        <w:t xml:space="preserve"> Sentencia de 30 de noviembre de 2016. Serie C No. 328</w:t>
      </w:r>
      <w:r>
        <w:rPr>
          <w:rStyle w:val="Strong"/>
          <w:b w:val="0"/>
          <w:color w:val="000000"/>
          <w:shd w:val="clear" w:color="auto" w:fill="FFFFFF"/>
          <w:lang w:val="es-CR"/>
        </w:rPr>
        <w:t>, párr. 224</w:t>
      </w:r>
      <w:r w:rsidRPr="00E3300F">
        <w:rPr>
          <w:rStyle w:val="Strong"/>
          <w:b w:val="0"/>
          <w:color w:val="000000"/>
          <w:shd w:val="clear" w:color="auto" w:fill="FFFFFF"/>
          <w:lang w:val="es-CR"/>
        </w:rPr>
        <w:t>.</w:t>
      </w:r>
    </w:p>
  </w:footnote>
  <w:footnote w:id="168">
    <w:p w14:paraId="2B42C182" w14:textId="07CCFCF3"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i/>
          <w:iCs/>
          <w:lang w:val="es-CR"/>
        </w:rPr>
        <w:t xml:space="preserve">Caso Myrna </w:t>
      </w:r>
      <w:proofErr w:type="spellStart"/>
      <w:r w:rsidRPr="007B43FC">
        <w:rPr>
          <w:i/>
          <w:iCs/>
          <w:lang w:val="es-CR"/>
        </w:rPr>
        <w:t>Mack</w:t>
      </w:r>
      <w:proofErr w:type="spellEnd"/>
      <w:r w:rsidRPr="007B43FC">
        <w:rPr>
          <w:i/>
          <w:iCs/>
          <w:lang w:val="es-CR"/>
        </w:rPr>
        <w:t xml:space="preserve"> Chang Vs. Guatemala</w:t>
      </w:r>
      <w:r w:rsidRPr="007B43FC">
        <w:rPr>
          <w:lang w:val="es-CR"/>
        </w:rPr>
        <w:t xml:space="preserve">, </w:t>
      </w:r>
      <w:r w:rsidRPr="007B43FC">
        <w:rPr>
          <w:rStyle w:val="Strong"/>
          <w:b w:val="0"/>
          <w:i/>
          <w:color w:val="000000"/>
          <w:shd w:val="clear" w:color="auto" w:fill="FFFFFF"/>
          <w:lang w:val="es-CR"/>
        </w:rPr>
        <w:t>Fondo, Reparaciones y Costas.</w:t>
      </w:r>
      <w:r w:rsidRPr="007B43FC">
        <w:rPr>
          <w:rStyle w:val="Strong"/>
          <w:b w:val="0"/>
          <w:color w:val="000000"/>
          <w:shd w:val="clear" w:color="auto" w:fill="FFFFFF"/>
          <w:lang w:val="es-CR"/>
        </w:rPr>
        <w:t xml:space="preserve"> Sentencia de 25 de noviembre de 2003. Serie C No. 101,</w:t>
      </w:r>
      <w:r w:rsidRPr="007B43FC">
        <w:rPr>
          <w:rStyle w:val="Strong"/>
          <w:color w:val="000000"/>
          <w:shd w:val="clear" w:color="auto" w:fill="FFFFFF"/>
          <w:lang w:val="es-CR"/>
        </w:rPr>
        <w:t xml:space="preserve"> </w:t>
      </w:r>
      <w:r w:rsidRPr="007B43FC">
        <w:rPr>
          <w:lang w:val="es-CR"/>
        </w:rPr>
        <w:t>p</w:t>
      </w:r>
      <w:r w:rsidRPr="007B43FC">
        <w:rPr>
          <w:rFonts w:cs="Calibri"/>
          <w:lang w:val="es-CR"/>
        </w:rPr>
        <w:t>á</w:t>
      </w:r>
      <w:r w:rsidRPr="007B43FC">
        <w:rPr>
          <w:lang w:val="es-CR"/>
        </w:rPr>
        <w:t xml:space="preserve">rr. 199, y </w:t>
      </w:r>
      <w:r w:rsidRPr="00211FF5">
        <w:rPr>
          <w:rStyle w:val="Strong"/>
          <w:b w:val="0"/>
          <w:i/>
          <w:color w:val="000000"/>
          <w:shd w:val="clear" w:color="auto" w:fill="FFFFFF"/>
          <w:lang w:val="es-CR"/>
        </w:rPr>
        <w:t xml:space="preserve">Caso Miembros de la Aldea </w:t>
      </w:r>
      <w:proofErr w:type="spellStart"/>
      <w:r w:rsidRPr="00211FF5">
        <w:rPr>
          <w:rStyle w:val="Strong"/>
          <w:b w:val="0"/>
          <w:i/>
          <w:color w:val="000000"/>
          <w:shd w:val="clear" w:color="auto" w:fill="FFFFFF"/>
          <w:lang w:val="es-CR"/>
        </w:rPr>
        <w:t>Chichupac</w:t>
      </w:r>
      <w:proofErr w:type="spellEnd"/>
      <w:r w:rsidRPr="00211FF5">
        <w:rPr>
          <w:rStyle w:val="Strong"/>
          <w:b w:val="0"/>
          <w:i/>
          <w:color w:val="000000"/>
          <w:shd w:val="clear" w:color="auto" w:fill="FFFFFF"/>
          <w:lang w:val="es-CR"/>
        </w:rPr>
        <w:t xml:space="preserve"> y comunidades vecinas del Mun</w:t>
      </w:r>
      <w:r>
        <w:rPr>
          <w:rStyle w:val="Strong"/>
          <w:b w:val="0"/>
          <w:i/>
          <w:color w:val="000000"/>
          <w:shd w:val="clear" w:color="auto" w:fill="FFFFFF"/>
          <w:lang w:val="es-CR"/>
        </w:rPr>
        <w:t>icipio de Rabinal Vs. Guatemala</w:t>
      </w:r>
      <w:r>
        <w:rPr>
          <w:rStyle w:val="Strong"/>
          <w:b w:val="0"/>
          <w:color w:val="000000"/>
          <w:shd w:val="clear" w:color="auto" w:fill="FFFFFF"/>
          <w:lang w:val="es-CR"/>
        </w:rPr>
        <w:t>, párr. 224</w:t>
      </w:r>
      <w:r w:rsidRPr="00E3300F">
        <w:rPr>
          <w:rStyle w:val="Strong"/>
          <w:b w:val="0"/>
          <w:color w:val="000000"/>
          <w:shd w:val="clear" w:color="auto" w:fill="FFFFFF"/>
          <w:lang w:val="es-CR"/>
        </w:rPr>
        <w:t>.</w:t>
      </w:r>
      <w:r w:rsidRPr="007B43FC">
        <w:rPr>
          <w:lang w:val="es-CR"/>
        </w:rPr>
        <w:t xml:space="preserve">.  </w:t>
      </w:r>
    </w:p>
  </w:footnote>
  <w:footnote w:id="169">
    <w:p w14:paraId="3B065ECF" w14:textId="6E4854BF"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i/>
          <w:iCs/>
          <w:lang w:val="es-CR"/>
        </w:rPr>
        <w:t xml:space="preserve">Caso </w:t>
      </w:r>
      <w:proofErr w:type="spellStart"/>
      <w:r w:rsidRPr="007B43FC">
        <w:rPr>
          <w:i/>
          <w:iCs/>
          <w:lang w:val="es-CR"/>
        </w:rPr>
        <w:t>Kawas</w:t>
      </w:r>
      <w:proofErr w:type="spellEnd"/>
      <w:r w:rsidRPr="007B43FC">
        <w:rPr>
          <w:i/>
          <w:iCs/>
          <w:lang w:val="es-CR"/>
        </w:rPr>
        <w:t xml:space="preserve"> Fern</w:t>
      </w:r>
      <w:r w:rsidRPr="007B43FC">
        <w:rPr>
          <w:rFonts w:cs="Calibri"/>
          <w:i/>
          <w:iCs/>
          <w:lang w:val="es-CR"/>
        </w:rPr>
        <w:t>á</w:t>
      </w:r>
      <w:r w:rsidRPr="007B43FC">
        <w:rPr>
          <w:i/>
          <w:iCs/>
          <w:lang w:val="es-CR"/>
        </w:rPr>
        <w:t>ndez Vs. Honduras</w:t>
      </w:r>
      <w:r w:rsidRPr="007B43FC">
        <w:rPr>
          <w:lang w:val="es-CR"/>
        </w:rPr>
        <w:t>, p</w:t>
      </w:r>
      <w:r w:rsidRPr="007B43FC">
        <w:rPr>
          <w:rFonts w:cs="Calibri"/>
          <w:lang w:val="es-CR"/>
        </w:rPr>
        <w:t>á</w:t>
      </w:r>
      <w:r w:rsidRPr="007B43FC">
        <w:rPr>
          <w:lang w:val="es-CR"/>
        </w:rPr>
        <w:t xml:space="preserve">rr. 106, y </w:t>
      </w:r>
      <w:r w:rsidRPr="00211FF5">
        <w:rPr>
          <w:rStyle w:val="Strong"/>
          <w:b w:val="0"/>
          <w:i/>
          <w:color w:val="000000"/>
          <w:shd w:val="clear" w:color="auto" w:fill="FFFFFF"/>
          <w:lang w:val="es-CR"/>
        </w:rPr>
        <w:t xml:space="preserve">Caso Miembros de la Aldea </w:t>
      </w:r>
      <w:proofErr w:type="spellStart"/>
      <w:r w:rsidRPr="00211FF5">
        <w:rPr>
          <w:rStyle w:val="Strong"/>
          <w:b w:val="0"/>
          <w:i/>
          <w:color w:val="000000"/>
          <w:shd w:val="clear" w:color="auto" w:fill="FFFFFF"/>
          <w:lang w:val="es-CR"/>
        </w:rPr>
        <w:t>Chichupac</w:t>
      </w:r>
      <w:proofErr w:type="spellEnd"/>
      <w:r w:rsidRPr="00211FF5">
        <w:rPr>
          <w:rStyle w:val="Strong"/>
          <w:b w:val="0"/>
          <w:i/>
          <w:color w:val="000000"/>
          <w:shd w:val="clear" w:color="auto" w:fill="FFFFFF"/>
          <w:lang w:val="es-CR"/>
        </w:rPr>
        <w:t xml:space="preserve"> y comunidades vecinas del Municipio de Rabinal Vs. Guatemala</w:t>
      </w:r>
      <w:r>
        <w:rPr>
          <w:rStyle w:val="Strong"/>
          <w:b w:val="0"/>
          <w:i/>
          <w:color w:val="000000"/>
          <w:shd w:val="clear" w:color="auto" w:fill="FFFFFF"/>
          <w:lang w:val="es-CR"/>
        </w:rPr>
        <w:t xml:space="preserve">, </w:t>
      </w:r>
      <w:r>
        <w:rPr>
          <w:rStyle w:val="Strong"/>
          <w:b w:val="0"/>
          <w:color w:val="000000"/>
          <w:shd w:val="clear" w:color="auto" w:fill="FFFFFF"/>
          <w:lang w:val="es-CR"/>
        </w:rPr>
        <w:t>párr. 224</w:t>
      </w:r>
      <w:r w:rsidRPr="00E3300F">
        <w:rPr>
          <w:rStyle w:val="Strong"/>
          <w:b w:val="0"/>
          <w:color w:val="000000"/>
          <w:shd w:val="clear" w:color="auto" w:fill="FFFFFF"/>
          <w:lang w:val="es-CR"/>
        </w:rPr>
        <w:t>.</w:t>
      </w:r>
      <w:r w:rsidRPr="007B43FC">
        <w:rPr>
          <w:lang w:val="es-CR"/>
        </w:rPr>
        <w:t xml:space="preserve">  </w:t>
      </w:r>
    </w:p>
  </w:footnote>
  <w:footnote w:id="170">
    <w:p w14:paraId="7E700915" w14:textId="6E6172B0" w:rsidR="00E02FDB" w:rsidRPr="00DB0D15" w:rsidRDefault="00E02FDB" w:rsidP="004635E5">
      <w:pPr>
        <w:tabs>
          <w:tab w:val="left" w:pos="-142"/>
        </w:tabs>
        <w:rPr>
          <w:rFonts w:cs="Arial"/>
          <w:sz w:val="16"/>
          <w:szCs w:val="16"/>
        </w:rPr>
      </w:pPr>
      <w:r w:rsidRPr="00F262A7">
        <w:rPr>
          <w:rStyle w:val="FootnoteReference"/>
        </w:rPr>
        <w:footnoteRef/>
      </w:r>
      <w:r w:rsidRPr="00F262A7">
        <w:t xml:space="preserve"> </w:t>
      </w:r>
      <w:r>
        <w:tab/>
      </w:r>
      <w:r w:rsidRPr="00F262A7">
        <w:rPr>
          <w:rFonts w:cs="Arial"/>
          <w:sz w:val="16"/>
          <w:szCs w:val="16"/>
        </w:rPr>
        <w:t xml:space="preserve">En cuanto a </w:t>
      </w:r>
      <w:r w:rsidRPr="00F07B77">
        <w:rPr>
          <w:rFonts w:cs="Arial"/>
          <w:sz w:val="16"/>
          <w:szCs w:val="16"/>
        </w:rPr>
        <w:t>presuntos hechos amenazantes respecto de</w:t>
      </w:r>
      <w:r w:rsidRPr="00F262A7">
        <w:rPr>
          <w:rFonts w:cs="Arial"/>
          <w:sz w:val="16"/>
          <w:szCs w:val="16"/>
        </w:rPr>
        <w:t xml:space="preserve"> familia</w:t>
      </w:r>
      <w:r>
        <w:rPr>
          <w:rFonts w:cs="Arial"/>
          <w:sz w:val="16"/>
          <w:szCs w:val="16"/>
        </w:rPr>
        <w:t>res del señor Pacheco, los mismo</w:t>
      </w:r>
      <w:r w:rsidRPr="00F262A7">
        <w:rPr>
          <w:rFonts w:cs="Arial"/>
          <w:sz w:val="16"/>
          <w:szCs w:val="16"/>
        </w:rPr>
        <w:t>s fuero</w:t>
      </w:r>
      <w:r>
        <w:rPr>
          <w:rFonts w:cs="Arial"/>
          <w:sz w:val="16"/>
          <w:szCs w:val="16"/>
        </w:rPr>
        <w:t>n referidos</w:t>
      </w:r>
      <w:r w:rsidRPr="00F262A7">
        <w:rPr>
          <w:rFonts w:cs="Arial"/>
          <w:sz w:val="16"/>
          <w:szCs w:val="16"/>
        </w:rPr>
        <w:t xml:space="preserve"> por la Comisión en los párrafos 65 a 73 del apartado de “Hechos probados” del Informe de Fondo (expediente de fondo, fs. 19 a 21), por lo cual integran el marco fáctico del caso. En el párrafo 72 la Comisión indicó</w:t>
      </w:r>
      <w:r>
        <w:rPr>
          <w:rFonts w:cs="Arial"/>
          <w:sz w:val="16"/>
          <w:szCs w:val="16"/>
        </w:rPr>
        <w:t xml:space="preserve"> que</w:t>
      </w:r>
      <w:r w:rsidRPr="00F262A7">
        <w:rPr>
          <w:rFonts w:cs="Arial"/>
          <w:sz w:val="16"/>
          <w:szCs w:val="16"/>
        </w:rPr>
        <w:t xml:space="preserve"> los entonces peticionarios “[a]legaron que todos los hechos fueron denunciados por José Pacheco </w:t>
      </w:r>
      <w:r>
        <w:rPr>
          <w:rFonts w:cs="Arial"/>
          <w:sz w:val="16"/>
          <w:szCs w:val="16"/>
        </w:rPr>
        <w:t xml:space="preserve">[…] </w:t>
      </w:r>
      <w:r w:rsidRPr="00F262A7">
        <w:rPr>
          <w:rFonts w:cs="Arial"/>
          <w:sz w:val="16"/>
          <w:szCs w:val="16"/>
        </w:rPr>
        <w:t xml:space="preserve">a través de siete denuncias”. Luego, al efectuar el examen sobre los derechos a las garantías judiciales y a la protección judicial, en relación con la investigación del homicidio del señor Pacheco, entre los motivos que refirió para considerar vulnerados tales derechos aludió, en los párrafos 107 y 108 del Informe de Fondo, a que “los familiares [del señor Pacheco] indicaron que denunciaron haber recibido amenazas” y a la falta de información que indicara que el Estado hubiera adoptado medidas de protección o de investigación respecto a tales denuncias. Los representantes, en </w:t>
      </w:r>
      <w:r w:rsidRPr="00AB3DBE">
        <w:rPr>
          <w:rFonts w:cs="Arial"/>
          <w:sz w:val="16"/>
          <w:szCs w:val="16"/>
        </w:rPr>
        <w:t>las páginas 2, 59 a 61, 102 y 103</w:t>
      </w:r>
      <w:r w:rsidRPr="00F262A7">
        <w:rPr>
          <w:rFonts w:cs="Arial"/>
          <w:sz w:val="16"/>
          <w:szCs w:val="16"/>
        </w:rPr>
        <w:t xml:space="preserve"> su escrito de solicitudes y argumentos, al exponer sus consideraciones de derecho vincularon las circunstancias aludidas a la alegada vulneración del derecho a la integridad personal. Fue solo con posterioridad, en la audiencia pública y en sus alegatos finales escritos, que relacionaron dichas circunstancias con sus alegatos sobre afectaciones a los derechos a las garantías y protección judiciales.</w:t>
      </w:r>
      <w:r w:rsidRPr="00E91526">
        <w:rPr>
          <w:rFonts w:cs="Arial"/>
          <w:sz w:val="16"/>
          <w:szCs w:val="16"/>
        </w:rPr>
        <w:t xml:space="preserve"> Lo hicieron en el marco de su exposición del conjunto de argumentos sobre la investigación. El modo en que fueron presentados los argumentos sobre la aludida falta de investigación de las circunstancias referidas no ofrece base suficiente para un examen autónomo de ello (es decir, independiente de alegatos sobre la integridad personal o sobre la falta de investigación del homicidio del señor Pacheco). </w:t>
      </w:r>
      <w:r w:rsidRPr="00F262A7">
        <w:rPr>
          <w:rFonts w:cs="Arial"/>
          <w:sz w:val="16"/>
          <w:szCs w:val="16"/>
        </w:rPr>
        <w:t xml:space="preserve">Ahora bien, como se indica más adelante </w:t>
      </w:r>
      <w:r w:rsidRPr="009E704D">
        <w:rPr>
          <w:rFonts w:cs="Arial"/>
          <w:sz w:val="16"/>
          <w:szCs w:val="16"/>
        </w:rPr>
        <w:t>(</w:t>
      </w:r>
      <w:r w:rsidRPr="009E704D">
        <w:rPr>
          <w:rFonts w:cs="Arial"/>
          <w:i/>
          <w:sz w:val="16"/>
          <w:szCs w:val="16"/>
        </w:rPr>
        <w:t>infra</w:t>
      </w:r>
      <w:r w:rsidRPr="009E704D">
        <w:rPr>
          <w:rFonts w:cs="Arial"/>
          <w:sz w:val="16"/>
          <w:szCs w:val="16"/>
        </w:rPr>
        <w:t xml:space="preserve"> </w:t>
      </w:r>
      <w:proofErr w:type="spellStart"/>
      <w:r w:rsidRPr="009E704D">
        <w:rPr>
          <w:rFonts w:cs="Arial"/>
          <w:sz w:val="16"/>
          <w:szCs w:val="16"/>
        </w:rPr>
        <w:t>párr</w:t>
      </w:r>
      <w:proofErr w:type="spellEnd"/>
      <w:r w:rsidRPr="009E704D">
        <w:rPr>
          <w:rFonts w:cs="Arial"/>
          <w:sz w:val="16"/>
          <w:szCs w:val="16"/>
        </w:rPr>
        <w:t xml:space="preserve"> 175)</w:t>
      </w:r>
      <w:r w:rsidRPr="00F262A7">
        <w:rPr>
          <w:rFonts w:cs="Arial"/>
          <w:sz w:val="16"/>
          <w:szCs w:val="16"/>
        </w:rPr>
        <w:t xml:space="preserve">, no surge </w:t>
      </w:r>
      <w:r w:rsidRPr="00E91526">
        <w:rPr>
          <w:rFonts w:cs="Arial"/>
          <w:sz w:val="16"/>
          <w:szCs w:val="16"/>
        </w:rPr>
        <w:t>con claridad</w:t>
      </w:r>
      <w:r w:rsidRPr="00F262A7">
        <w:rPr>
          <w:rFonts w:cs="Arial"/>
          <w:sz w:val="16"/>
          <w:szCs w:val="16"/>
        </w:rPr>
        <w:t xml:space="preserve"> de los hechos que las denuncias sobre amenazas que efectuó José Pacheco León se relacionaran con la investigación del homicidio de su hermano. Por ello, y teniendo en consideración la línea argumentativa presentada por los representantes en su escrito de solicitudes y argumentos, la Corte considera adecuado, en las circunstancias del presente caso, analizar los hechos aludidos en el apartado relativo al derecho a la integridad personal (</w:t>
      </w:r>
      <w:r w:rsidRPr="00F262A7">
        <w:rPr>
          <w:rFonts w:cs="Arial"/>
          <w:i/>
          <w:sz w:val="16"/>
          <w:szCs w:val="16"/>
        </w:rPr>
        <w:t>infra</w:t>
      </w:r>
      <w:r w:rsidRPr="00F262A7">
        <w:rPr>
          <w:rFonts w:cs="Arial"/>
          <w:sz w:val="16"/>
          <w:szCs w:val="16"/>
        </w:rPr>
        <w:t xml:space="preserve"> Capítulo VI.3</w:t>
      </w:r>
      <w:r w:rsidRPr="00E91526">
        <w:rPr>
          <w:rFonts w:cs="Arial"/>
          <w:sz w:val="16"/>
          <w:szCs w:val="16"/>
        </w:rPr>
        <w:t>). En cualquier caso, teniendo en cuenta lo que se resuelve a partir de otras circunstancias (</w:t>
      </w:r>
      <w:r w:rsidRPr="00E91526">
        <w:rPr>
          <w:rFonts w:cs="Arial"/>
          <w:i/>
          <w:sz w:val="16"/>
          <w:szCs w:val="16"/>
        </w:rPr>
        <w:t>infra</w:t>
      </w:r>
      <w:r w:rsidRPr="00E91526">
        <w:rPr>
          <w:rFonts w:cs="Arial"/>
          <w:sz w:val="16"/>
          <w:szCs w:val="16"/>
        </w:rPr>
        <w:t xml:space="preserve"> párr. 116), no es relevante la duda que pudiere existir sobre la supuesta relación de los hechos expuestos en las denuncias aludidas y al investigación del homicidio del señor </w:t>
      </w:r>
      <w:proofErr w:type="spellStart"/>
      <w:r w:rsidRPr="00E91526">
        <w:rPr>
          <w:rFonts w:cs="Arial"/>
          <w:sz w:val="16"/>
          <w:szCs w:val="16"/>
        </w:rPr>
        <w:t>Pacheo</w:t>
      </w:r>
      <w:proofErr w:type="spellEnd"/>
      <w:r w:rsidRPr="00E91526">
        <w:rPr>
          <w:rFonts w:cs="Arial"/>
          <w:sz w:val="16"/>
          <w:szCs w:val="16"/>
        </w:rPr>
        <w:t>, pues serían atinentes las consideraciones expuestas en la nota a pie de página siguiente (</w:t>
      </w:r>
      <w:r w:rsidRPr="00E91526">
        <w:rPr>
          <w:rFonts w:cs="Arial"/>
          <w:i/>
          <w:sz w:val="16"/>
          <w:szCs w:val="16"/>
        </w:rPr>
        <w:t>infra</w:t>
      </w:r>
      <w:r w:rsidRPr="00E91526">
        <w:rPr>
          <w:rFonts w:cs="Arial"/>
          <w:sz w:val="16"/>
          <w:szCs w:val="16"/>
        </w:rPr>
        <w:t xml:space="preserve"> nota a pie de página 171) sobre la falta de necesidad del análisis.</w:t>
      </w:r>
      <w:r>
        <w:rPr>
          <w:rFonts w:cs="Arial"/>
          <w:sz w:val="16"/>
          <w:szCs w:val="16"/>
        </w:rPr>
        <w:t xml:space="preserve"> </w:t>
      </w:r>
    </w:p>
  </w:footnote>
  <w:footnote w:id="171">
    <w:p w14:paraId="2B195B53" w14:textId="4BA265E2" w:rsidR="00E02FDB" w:rsidRPr="001E3DDB" w:rsidRDefault="00E02FDB" w:rsidP="004635E5">
      <w:pPr>
        <w:pStyle w:val="FootnoteText"/>
      </w:pPr>
      <w:r>
        <w:rPr>
          <w:rStyle w:val="FootnoteReference"/>
        </w:rPr>
        <w:footnoteRef/>
      </w:r>
      <w:r>
        <w:t xml:space="preserve"> </w:t>
      </w:r>
      <w:r>
        <w:tab/>
      </w:r>
      <w:r w:rsidRPr="001E3DDB">
        <w:rPr>
          <w:rFonts w:cs="Arial"/>
        </w:rPr>
        <w:t>Por ello, no resulta necesario considerar señalamientos de los representantes sobre la falta de medidas tales como</w:t>
      </w:r>
      <w:r>
        <w:rPr>
          <w:rFonts w:cs="Arial"/>
        </w:rPr>
        <w:t>, entre otras,</w:t>
      </w:r>
      <w:r w:rsidRPr="001E3DDB">
        <w:rPr>
          <w:rFonts w:cs="Arial"/>
        </w:rPr>
        <w:t xml:space="preserve"> “un registro de </w:t>
      </w:r>
      <w:r>
        <w:rPr>
          <w:rFonts w:cs="Arial"/>
        </w:rPr>
        <w:t xml:space="preserve">[…] </w:t>
      </w:r>
      <w:r w:rsidRPr="001E3DDB">
        <w:rPr>
          <w:rFonts w:cs="Arial"/>
        </w:rPr>
        <w:t xml:space="preserve">automóviles” </w:t>
      </w:r>
      <w:r>
        <w:rPr>
          <w:rFonts w:cs="Arial"/>
        </w:rPr>
        <w:t xml:space="preserve">de las personas sospechosas, </w:t>
      </w:r>
      <w:r w:rsidRPr="001E3DDB">
        <w:rPr>
          <w:rFonts w:cs="Arial"/>
        </w:rPr>
        <w:t xml:space="preserve">o </w:t>
      </w:r>
      <w:r>
        <w:t>su argumento sobre que habría habido una “falta total de oficiosidad” debido a que</w:t>
      </w:r>
      <w:r w:rsidRPr="000D7EAB">
        <w:rPr>
          <w:rFonts w:cs="Arial"/>
        </w:rPr>
        <w:t xml:space="preserve"> </w:t>
      </w:r>
      <w:r>
        <w:rPr>
          <w:rFonts w:cs="Arial"/>
        </w:rPr>
        <w:t xml:space="preserve">una </w:t>
      </w:r>
      <w:r w:rsidRPr="000D7EAB">
        <w:rPr>
          <w:rFonts w:cs="Arial"/>
        </w:rPr>
        <w:t>patrulla policial que estaba cerca del lugar de la muerte del señor Pacheco no realizara una persecución</w:t>
      </w:r>
      <w:r>
        <w:rPr>
          <w:rFonts w:cs="Arial"/>
        </w:rPr>
        <w:t xml:space="preserve"> (</w:t>
      </w:r>
      <w:r>
        <w:rPr>
          <w:rFonts w:cs="Arial"/>
          <w:i/>
        </w:rPr>
        <w:t>supra</w:t>
      </w:r>
      <w:r>
        <w:rPr>
          <w:rFonts w:cs="Arial"/>
        </w:rPr>
        <w:t xml:space="preserve"> párr. 64).</w:t>
      </w:r>
    </w:p>
  </w:footnote>
  <w:footnote w:id="172">
    <w:p w14:paraId="06D139D3" w14:textId="7FF1E322"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497E2A">
        <w:rPr>
          <w:i/>
        </w:rPr>
        <w:t xml:space="preserve">Cfr. Caso </w:t>
      </w:r>
      <w:proofErr w:type="spellStart"/>
      <w:r w:rsidRPr="00497E2A">
        <w:rPr>
          <w:i/>
        </w:rPr>
        <w:t>Fairén</w:t>
      </w:r>
      <w:proofErr w:type="spellEnd"/>
      <w:r w:rsidRPr="00497E2A">
        <w:rPr>
          <w:i/>
        </w:rPr>
        <w:t xml:space="preserve"> </w:t>
      </w:r>
      <w:proofErr w:type="spellStart"/>
      <w:r w:rsidRPr="00497E2A">
        <w:rPr>
          <w:i/>
        </w:rPr>
        <w:t>Garbi</w:t>
      </w:r>
      <w:proofErr w:type="spellEnd"/>
      <w:r w:rsidRPr="00497E2A">
        <w:rPr>
          <w:i/>
        </w:rPr>
        <w:t xml:space="preserve"> y Solís Corrales Vs. Hon</w:t>
      </w:r>
      <w:r>
        <w:rPr>
          <w:i/>
        </w:rPr>
        <w:t>duras. Excepciones Preliminares</w:t>
      </w:r>
      <w:r w:rsidRPr="00497E2A">
        <w:t xml:space="preserve">, párr. 90, y </w:t>
      </w:r>
      <w:r w:rsidRPr="00497E2A">
        <w:rPr>
          <w:i/>
        </w:rPr>
        <w:t>Caso Gutiérrez Hernández y otros Vs. Guatemala</w:t>
      </w:r>
      <w:r w:rsidRPr="00497E2A">
        <w:t>, párr. 147.</w:t>
      </w:r>
      <w:r w:rsidRPr="007B43FC">
        <w:rPr>
          <w:i/>
          <w:iCs/>
          <w:lang w:val="es-CR"/>
        </w:rPr>
        <w:t xml:space="preserve"> </w:t>
      </w:r>
      <w:r w:rsidRPr="007B43FC">
        <w:rPr>
          <w:lang w:val="es-CR"/>
        </w:rPr>
        <w:t xml:space="preserve"> </w:t>
      </w:r>
    </w:p>
  </w:footnote>
  <w:footnote w:id="173">
    <w:p w14:paraId="23A40FBF" w14:textId="7DA37BB2"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497E2A">
        <w:rPr>
          <w:i/>
          <w:lang w:val="es-CR"/>
        </w:rPr>
        <w:t>Cfr. Caso Suárez Rosero Vs. Ecuador. Fondo.</w:t>
      </w:r>
      <w:r w:rsidRPr="00E3300F">
        <w:rPr>
          <w:lang w:val="es-CR"/>
        </w:rPr>
        <w:t xml:space="preserve"> Sentencia de 12 de noviembre de 1997. Serie C No. 35, párr. 71</w:t>
      </w:r>
      <w:r>
        <w:rPr>
          <w:lang w:val="es-CR"/>
        </w:rPr>
        <w:t xml:space="preserve">, y </w:t>
      </w:r>
      <w:r w:rsidRPr="00211FF5">
        <w:rPr>
          <w:i/>
        </w:rPr>
        <w:t>Caso Gutiérrez Hernández y otros Vs. Guatemala</w:t>
      </w:r>
      <w:r w:rsidRPr="00211FF5">
        <w:t xml:space="preserve">, párr. </w:t>
      </w:r>
      <w:r>
        <w:t>183</w:t>
      </w:r>
      <w:r w:rsidRPr="007B43FC">
        <w:rPr>
          <w:lang w:val="es-CR"/>
        </w:rPr>
        <w:t xml:space="preserve">.  </w:t>
      </w:r>
    </w:p>
  </w:footnote>
  <w:footnote w:id="174">
    <w:p w14:paraId="67FCDFC9" w14:textId="764A7C6A" w:rsidR="00E02FDB" w:rsidRPr="007B43FC" w:rsidRDefault="00E02FDB" w:rsidP="004635E5">
      <w:pPr>
        <w:rPr>
          <w:rFonts w:eastAsia="Times New Roman" w:cs="Times New Roman"/>
          <w:b/>
          <w:color w:val="000000"/>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497E2A">
        <w:rPr>
          <w:i/>
          <w:sz w:val="16"/>
          <w:szCs w:val="16"/>
          <w:lang w:val="es-CR"/>
        </w:rPr>
        <w:t xml:space="preserve">Cfr. </w:t>
      </w:r>
      <w:r w:rsidRPr="00E3300F">
        <w:rPr>
          <w:i/>
          <w:sz w:val="16"/>
          <w:szCs w:val="16"/>
          <w:lang w:val="es-CR"/>
        </w:rPr>
        <w:t xml:space="preserve">Caso </w:t>
      </w:r>
      <w:proofErr w:type="spellStart"/>
      <w:r w:rsidRPr="00E3300F">
        <w:rPr>
          <w:i/>
          <w:sz w:val="16"/>
          <w:szCs w:val="16"/>
          <w:lang w:val="es-CR"/>
        </w:rPr>
        <w:t>Hilaire</w:t>
      </w:r>
      <w:proofErr w:type="spellEnd"/>
      <w:r w:rsidRPr="00E3300F">
        <w:rPr>
          <w:i/>
          <w:sz w:val="16"/>
          <w:szCs w:val="16"/>
          <w:lang w:val="es-CR"/>
        </w:rPr>
        <w:t xml:space="preserve">, </w:t>
      </w:r>
      <w:proofErr w:type="spellStart"/>
      <w:r w:rsidRPr="00E3300F">
        <w:rPr>
          <w:i/>
          <w:sz w:val="16"/>
          <w:szCs w:val="16"/>
          <w:lang w:val="es-CR"/>
        </w:rPr>
        <w:t>Constantine</w:t>
      </w:r>
      <w:proofErr w:type="spellEnd"/>
      <w:r w:rsidRPr="00E3300F">
        <w:rPr>
          <w:i/>
          <w:sz w:val="16"/>
          <w:szCs w:val="16"/>
          <w:lang w:val="es-CR"/>
        </w:rPr>
        <w:t xml:space="preserve"> y </w:t>
      </w:r>
      <w:proofErr w:type="spellStart"/>
      <w:r w:rsidRPr="00E3300F">
        <w:rPr>
          <w:i/>
          <w:sz w:val="16"/>
          <w:szCs w:val="16"/>
          <w:lang w:val="es-CR"/>
        </w:rPr>
        <w:t>Benjamin</w:t>
      </w:r>
      <w:proofErr w:type="spellEnd"/>
      <w:r w:rsidRPr="00E3300F">
        <w:rPr>
          <w:i/>
          <w:sz w:val="16"/>
          <w:szCs w:val="16"/>
          <w:lang w:val="es-CR"/>
        </w:rPr>
        <w:t xml:space="preserve"> y otros Vs. Trinidad y Tobago. Fondo, Reparaciones y Costas. </w:t>
      </w:r>
      <w:r w:rsidRPr="00497E2A">
        <w:rPr>
          <w:sz w:val="16"/>
          <w:szCs w:val="16"/>
          <w:lang w:val="es-CR"/>
        </w:rPr>
        <w:t>Sentencia de 21 de junio de 2002. Serie C No. 94, párr. 145</w:t>
      </w:r>
      <w:r>
        <w:rPr>
          <w:sz w:val="16"/>
          <w:szCs w:val="16"/>
          <w:lang w:val="es-CR"/>
        </w:rPr>
        <w:t xml:space="preserve">, y </w:t>
      </w:r>
      <w:r w:rsidRPr="00497E2A">
        <w:rPr>
          <w:i/>
          <w:sz w:val="16"/>
          <w:szCs w:val="16"/>
          <w:lang w:val="es-CR"/>
        </w:rPr>
        <w:t>Caso Acosta y otros Vs. Nicaragua</w:t>
      </w:r>
      <w:r>
        <w:rPr>
          <w:i/>
          <w:sz w:val="16"/>
          <w:szCs w:val="16"/>
          <w:lang w:val="es-CR"/>
        </w:rPr>
        <w:t xml:space="preserve">, </w:t>
      </w:r>
      <w:r>
        <w:rPr>
          <w:sz w:val="16"/>
          <w:szCs w:val="16"/>
          <w:lang w:val="es-CR"/>
        </w:rPr>
        <w:t>párr. 177.</w:t>
      </w:r>
      <w:r w:rsidRPr="007B43FC" w:rsidDel="00E3300F">
        <w:rPr>
          <w:i/>
          <w:iCs/>
          <w:sz w:val="16"/>
          <w:szCs w:val="16"/>
          <w:lang w:val="es-CR"/>
        </w:rPr>
        <w:t xml:space="preserve"> </w:t>
      </w:r>
    </w:p>
  </w:footnote>
  <w:footnote w:id="175">
    <w:p w14:paraId="6B221435" w14:textId="7D293175"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C21A2E">
        <w:rPr>
          <w:i/>
          <w:lang w:val="es-ES"/>
        </w:rPr>
        <w:t xml:space="preserve">Cfr. </w:t>
      </w:r>
      <w:r w:rsidRPr="00C21A2E">
        <w:rPr>
          <w:i/>
        </w:rPr>
        <w:t xml:space="preserve">Caso Valle Jaramillo y otros Vs. Colombia. Fondo, Reparaciones y Costas. </w:t>
      </w:r>
      <w:r w:rsidRPr="00C21A2E">
        <w:t>Sentencia de 27 de noviembre de 2008. Serie C No. 192, párr. 155</w:t>
      </w:r>
      <w:r>
        <w:t xml:space="preserve">, y </w:t>
      </w:r>
      <w:r w:rsidRPr="00497E2A">
        <w:rPr>
          <w:rStyle w:val="Strong"/>
          <w:b w:val="0"/>
          <w:i/>
          <w:color w:val="000000"/>
          <w:shd w:val="clear" w:color="auto" w:fill="FFFFFF"/>
          <w:lang w:val="es-CR"/>
        </w:rPr>
        <w:t xml:space="preserve">Caso </w:t>
      </w:r>
      <w:r>
        <w:rPr>
          <w:rStyle w:val="Strong"/>
          <w:b w:val="0"/>
          <w:i/>
          <w:color w:val="000000"/>
          <w:shd w:val="clear" w:color="auto" w:fill="FFFFFF"/>
          <w:lang w:val="es-CR"/>
        </w:rPr>
        <w:t xml:space="preserve">Favela Nova </w:t>
      </w:r>
      <w:proofErr w:type="spellStart"/>
      <w:r>
        <w:rPr>
          <w:rStyle w:val="Strong"/>
          <w:b w:val="0"/>
          <w:i/>
          <w:color w:val="000000"/>
          <w:shd w:val="clear" w:color="auto" w:fill="FFFFFF"/>
          <w:lang w:val="es-CR"/>
        </w:rPr>
        <w:t>Brasília</w:t>
      </w:r>
      <w:proofErr w:type="spellEnd"/>
      <w:r>
        <w:rPr>
          <w:rStyle w:val="Strong"/>
          <w:b w:val="0"/>
          <w:i/>
          <w:color w:val="000000"/>
          <w:shd w:val="clear" w:color="auto" w:fill="FFFFFF"/>
          <w:lang w:val="es-CR"/>
        </w:rPr>
        <w:t xml:space="preserve"> Vs. Brasil</w:t>
      </w:r>
      <w:r>
        <w:rPr>
          <w:rStyle w:val="Strong"/>
          <w:b w:val="0"/>
          <w:color w:val="000000"/>
          <w:shd w:val="clear" w:color="auto" w:fill="FFFFFF"/>
          <w:lang w:val="es-CR"/>
        </w:rPr>
        <w:t>, párr</w:t>
      </w:r>
      <w:r w:rsidRPr="007B43FC">
        <w:rPr>
          <w:rStyle w:val="Strong"/>
          <w:b w:val="0"/>
          <w:color w:val="000000"/>
          <w:shd w:val="clear" w:color="auto" w:fill="FFFFFF"/>
          <w:lang w:val="es-CR"/>
        </w:rPr>
        <w:t>.</w:t>
      </w:r>
      <w:r>
        <w:rPr>
          <w:rStyle w:val="Strong"/>
          <w:b w:val="0"/>
          <w:color w:val="000000"/>
          <w:shd w:val="clear" w:color="auto" w:fill="FFFFFF"/>
          <w:lang w:val="es-CR"/>
        </w:rPr>
        <w:t xml:space="preserve"> 218.</w:t>
      </w:r>
    </w:p>
  </w:footnote>
  <w:footnote w:id="176">
    <w:p w14:paraId="156E2E91" w14:textId="1C669D0A"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7B43FC">
        <w:rPr>
          <w:i/>
          <w:lang w:val="es-CR"/>
        </w:rPr>
        <w:t>C</w:t>
      </w:r>
      <w:r>
        <w:rPr>
          <w:i/>
          <w:lang w:val="es-CR"/>
        </w:rPr>
        <w:t xml:space="preserve">fr. </w:t>
      </w:r>
      <w:r w:rsidRPr="00C21A2E">
        <w:rPr>
          <w:i/>
        </w:rPr>
        <w:t>Caso Valle Jaramillo y otros Vs. Colombia</w:t>
      </w:r>
      <w:r>
        <w:rPr>
          <w:i/>
        </w:rPr>
        <w:t xml:space="preserve">, </w:t>
      </w:r>
      <w:r w:rsidRPr="007B43FC">
        <w:rPr>
          <w:lang w:val="es-CR"/>
        </w:rPr>
        <w:t>p</w:t>
      </w:r>
      <w:r w:rsidRPr="007B43FC">
        <w:rPr>
          <w:rFonts w:cs="Calibri"/>
          <w:lang w:val="es-CR"/>
        </w:rPr>
        <w:t>á</w:t>
      </w:r>
      <w:r w:rsidRPr="007B43FC">
        <w:rPr>
          <w:lang w:val="es-CR"/>
        </w:rPr>
        <w:t xml:space="preserve">rr. 155, y </w:t>
      </w:r>
      <w:r w:rsidRPr="00497E2A">
        <w:rPr>
          <w:i/>
          <w:lang w:val="es-CR"/>
        </w:rPr>
        <w:t xml:space="preserve">Caso </w:t>
      </w:r>
      <w:proofErr w:type="spellStart"/>
      <w:r w:rsidRPr="00497E2A">
        <w:rPr>
          <w:i/>
          <w:lang w:val="es-CR"/>
        </w:rPr>
        <w:t>Yarce</w:t>
      </w:r>
      <w:proofErr w:type="spellEnd"/>
      <w:r w:rsidRPr="00497E2A">
        <w:rPr>
          <w:i/>
          <w:lang w:val="es-CR"/>
        </w:rPr>
        <w:t xml:space="preserve"> y otras Vs. Colombia. Excepción Preliminar, Fondo, Reparaciones y Costas.</w:t>
      </w:r>
      <w:r w:rsidRPr="00C734BF">
        <w:rPr>
          <w:lang w:val="es-CR"/>
        </w:rPr>
        <w:t xml:space="preserve"> Sentencia de 22 de noviembre de 2016. Serie C No. 325</w:t>
      </w:r>
      <w:r>
        <w:rPr>
          <w:lang w:val="es-CR"/>
        </w:rPr>
        <w:t>, párr</w:t>
      </w:r>
      <w:r w:rsidRPr="007B43FC">
        <w:rPr>
          <w:lang w:val="es-CR"/>
        </w:rPr>
        <w:t>.</w:t>
      </w:r>
      <w:r>
        <w:rPr>
          <w:lang w:val="es-CR"/>
        </w:rPr>
        <w:t xml:space="preserve"> 288.</w:t>
      </w:r>
    </w:p>
  </w:footnote>
  <w:footnote w:id="177">
    <w:p w14:paraId="3EFD2726" w14:textId="323F6048" w:rsidR="00E02FDB" w:rsidRPr="007B43FC" w:rsidRDefault="00E02FDB" w:rsidP="004635E5">
      <w:pPr>
        <w:pStyle w:val="FootnoteText"/>
        <w:rPr>
          <w:lang w:val="es-CR"/>
        </w:rPr>
      </w:pPr>
      <w:r w:rsidRPr="00497E2A">
        <w:rPr>
          <w:rStyle w:val="FootnoteReference"/>
        </w:rPr>
        <w:footnoteRef/>
      </w:r>
      <w:r w:rsidRPr="007B43FC">
        <w:rPr>
          <w:i/>
          <w:lang w:val="es-CR"/>
        </w:rPr>
        <w:t xml:space="preserve"> </w:t>
      </w:r>
      <w:r>
        <w:rPr>
          <w:i/>
          <w:lang w:val="es-CR"/>
        </w:rPr>
        <w:tab/>
      </w:r>
      <w:r w:rsidRPr="00C734BF">
        <w:rPr>
          <w:i/>
          <w:lang w:val="es-CR"/>
        </w:rPr>
        <w:t xml:space="preserve">Cfr. Caso </w:t>
      </w:r>
      <w:proofErr w:type="spellStart"/>
      <w:r w:rsidRPr="00C734BF">
        <w:rPr>
          <w:i/>
          <w:lang w:val="es-CR"/>
        </w:rPr>
        <w:t>Anzualdo</w:t>
      </w:r>
      <w:proofErr w:type="spellEnd"/>
      <w:r w:rsidRPr="00C734BF">
        <w:rPr>
          <w:i/>
          <w:lang w:val="es-CR"/>
        </w:rPr>
        <w:t xml:space="preserve"> Castro Vs. Perú. Excepción Preliminar, Fondo, Reparaciones y Costas. </w:t>
      </w:r>
      <w:r w:rsidRPr="00497E2A">
        <w:rPr>
          <w:lang w:val="es-CR"/>
        </w:rPr>
        <w:t>Sentencia de 22 de septiembre de 2009. Serie C No. 202, párr. 156</w:t>
      </w:r>
      <w:r>
        <w:rPr>
          <w:lang w:val="es-CR"/>
        </w:rPr>
        <w:t xml:space="preserve">, y </w:t>
      </w:r>
      <w:r w:rsidRPr="00211FF5">
        <w:rPr>
          <w:rStyle w:val="Strong"/>
          <w:b w:val="0"/>
          <w:i/>
          <w:color w:val="000000"/>
          <w:shd w:val="clear" w:color="auto" w:fill="FFFFFF"/>
          <w:lang w:val="es-CR"/>
        </w:rPr>
        <w:t xml:space="preserve">Caso </w:t>
      </w:r>
      <w:r>
        <w:rPr>
          <w:rStyle w:val="Strong"/>
          <w:b w:val="0"/>
          <w:i/>
          <w:color w:val="000000"/>
          <w:shd w:val="clear" w:color="auto" w:fill="FFFFFF"/>
          <w:lang w:val="es-CR"/>
        </w:rPr>
        <w:t>Favela Nova Brasilia Vs. Brasil</w:t>
      </w:r>
      <w:r>
        <w:rPr>
          <w:rStyle w:val="Strong"/>
          <w:b w:val="0"/>
          <w:color w:val="000000"/>
          <w:shd w:val="clear" w:color="auto" w:fill="FFFFFF"/>
          <w:lang w:val="es-CR"/>
        </w:rPr>
        <w:t>, párr</w:t>
      </w:r>
      <w:r w:rsidRPr="007B43FC">
        <w:rPr>
          <w:rStyle w:val="Strong"/>
          <w:b w:val="0"/>
          <w:color w:val="000000"/>
          <w:shd w:val="clear" w:color="auto" w:fill="FFFFFF"/>
          <w:lang w:val="es-CR"/>
        </w:rPr>
        <w:t>.</w:t>
      </w:r>
      <w:r>
        <w:rPr>
          <w:rStyle w:val="Strong"/>
          <w:b w:val="0"/>
          <w:color w:val="000000"/>
          <w:shd w:val="clear" w:color="auto" w:fill="FFFFFF"/>
          <w:lang w:val="es-CR"/>
        </w:rPr>
        <w:t xml:space="preserve"> 218.</w:t>
      </w:r>
    </w:p>
  </w:footnote>
  <w:footnote w:id="178">
    <w:p w14:paraId="10D3B8AC" w14:textId="445D89CD" w:rsidR="00E02FDB" w:rsidRPr="007B43FC" w:rsidRDefault="00E02FDB" w:rsidP="004635E5">
      <w:pPr>
        <w:pStyle w:val="FootnoteText"/>
        <w:rPr>
          <w:lang w:val="es-CR"/>
        </w:rPr>
      </w:pPr>
      <w:r w:rsidRPr="007B43FC">
        <w:rPr>
          <w:rStyle w:val="FootnoteReference"/>
        </w:rPr>
        <w:footnoteRef/>
      </w:r>
      <w:r w:rsidRPr="007B43FC">
        <w:rPr>
          <w:lang w:val="es-CR"/>
        </w:rPr>
        <w:t xml:space="preserve"> </w:t>
      </w:r>
      <w:r>
        <w:rPr>
          <w:lang w:val="es-CR"/>
        </w:rPr>
        <w:tab/>
      </w:r>
      <w:r w:rsidRPr="00B36430">
        <w:rPr>
          <w:i/>
          <w:iCs/>
          <w:lang w:val="es-CR"/>
        </w:rPr>
        <w:t>C</w:t>
      </w:r>
      <w:r>
        <w:rPr>
          <w:i/>
          <w:iCs/>
          <w:lang w:val="es-CR"/>
        </w:rPr>
        <w:t>fr. C</w:t>
      </w:r>
      <w:r w:rsidRPr="00B36430">
        <w:rPr>
          <w:i/>
          <w:iCs/>
          <w:lang w:val="es-CR"/>
        </w:rPr>
        <w:t>aso</w:t>
      </w:r>
      <w:r w:rsidRPr="007B43FC">
        <w:rPr>
          <w:iCs/>
          <w:lang w:val="es-CR"/>
        </w:rPr>
        <w:t xml:space="preserve"> </w:t>
      </w:r>
      <w:proofErr w:type="spellStart"/>
      <w:r w:rsidRPr="007B43FC">
        <w:rPr>
          <w:i/>
          <w:iCs/>
          <w:lang w:val="es-CR"/>
        </w:rPr>
        <w:t>Genie</w:t>
      </w:r>
      <w:proofErr w:type="spellEnd"/>
      <w:r w:rsidRPr="007B43FC">
        <w:rPr>
          <w:i/>
          <w:iCs/>
          <w:lang w:val="es-CR"/>
        </w:rPr>
        <w:t xml:space="preserve"> Lacayo Vs. Nicaragua</w:t>
      </w:r>
      <w:r w:rsidRPr="007B43FC">
        <w:rPr>
          <w:lang w:val="es-CR"/>
        </w:rPr>
        <w:t xml:space="preserve">. </w:t>
      </w:r>
      <w:r w:rsidRPr="009B1D84">
        <w:rPr>
          <w:i/>
          <w:iCs/>
          <w:lang w:val="es-CR"/>
        </w:rPr>
        <w:t>Excepciones Preliminares</w:t>
      </w:r>
      <w:r w:rsidRPr="007B43FC">
        <w:rPr>
          <w:iCs/>
          <w:lang w:val="es-CR"/>
        </w:rPr>
        <w:t xml:space="preserve">. </w:t>
      </w:r>
      <w:r w:rsidRPr="007B43FC">
        <w:rPr>
          <w:lang w:val="es-CR"/>
        </w:rPr>
        <w:t>Sentencia de 27 de enero de 1995. Serie C No. 21, p</w:t>
      </w:r>
      <w:r w:rsidRPr="007B43FC">
        <w:rPr>
          <w:rFonts w:cs="Calibri"/>
          <w:lang w:val="es-CR"/>
        </w:rPr>
        <w:t>á</w:t>
      </w:r>
      <w:r w:rsidRPr="007B43FC">
        <w:rPr>
          <w:lang w:val="es-CR"/>
        </w:rPr>
        <w:t xml:space="preserve">rr. 78, y </w:t>
      </w:r>
      <w:r w:rsidRPr="00211FF5">
        <w:rPr>
          <w:rStyle w:val="Strong"/>
          <w:b w:val="0"/>
          <w:i/>
          <w:color w:val="000000"/>
          <w:shd w:val="clear" w:color="auto" w:fill="FFFFFF"/>
          <w:lang w:val="es-CR"/>
        </w:rPr>
        <w:t xml:space="preserve">Caso Favela Nova </w:t>
      </w:r>
      <w:proofErr w:type="spellStart"/>
      <w:r w:rsidRPr="00211FF5">
        <w:rPr>
          <w:rStyle w:val="Strong"/>
          <w:b w:val="0"/>
          <w:i/>
          <w:color w:val="000000"/>
          <w:shd w:val="clear" w:color="auto" w:fill="FFFFFF"/>
          <w:lang w:val="es-CR"/>
        </w:rPr>
        <w:t>Brasília</w:t>
      </w:r>
      <w:proofErr w:type="spellEnd"/>
      <w:r w:rsidRPr="00211FF5">
        <w:rPr>
          <w:rStyle w:val="Strong"/>
          <w:b w:val="0"/>
          <w:i/>
          <w:color w:val="000000"/>
          <w:shd w:val="clear" w:color="auto" w:fill="FFFFFF"/>
          <w:lang w:val="es-CR"/>
        </w:rPr>
        <w:t xml:space="preserve"> Vs. Brasil</w:t>
      </w:r>
      <w:r>
        <w:rPr>
          <w:rStyle w:val="Strong"/>
          <w:b w:val="0"/>
          <w:color w:val="000000"/>
          <w:shd w:val="clear" w:color="auto" w:fill="FFFFFF"/>
          <w:lang w:val="es-CR"/>
        </w:rPr>
        <w:t>, párr</w:t>
      </w:r>
      <w:r w:rsidRPr="007B43FC">
        <w:rPr>
          <w:rStyle w:val="Strong"/>
          <w:b w:val="0"/>
          <w:color w:val="000000"/>
          <w:shd w:val="clear" w:color="auto" w:fill="FFFFFF"/>
          <w:lang w:val="es-CR"/>
        </w:rPr>
        <w:t>.</w:t>
      </w:r>
      <w:r>
        <w:rPr>
          <w:rStyle w:val="Strong"/>
          <w:b w:val="0"/>
          <w:color w:val="000000"/>
          <w:shd w:val="clear" w:color="auto" w:fill="FFFFFF"/>
          <w:lang w:val="es-CR"/>
        </w:rPr>
        <w:t xml:space="preserve"> 220.</w:t>
      </w:r>
    </w:p>
  </w:footnote>
  <w:footnote w:id="179">
    <w:p w14:paraId="25604620" w14:textId="39DFB30F" w:rsidR="00E02FDB" w:rsidRPr="00497E2A" w:rsidRDefault="00E02FDB" w:rsidP="004635E5">
      <w:pPr>
        <w:pStyle w:val="FootnoteText"/>
        <w:rPr>
          <w:i/>
        </w:rPr>
      </w:pPr>
      <w:r>
        <w:rPr>
          <w:rStyle w:val="FootnoteReference"/>
        </w:rPr>
        <w:footnoteRef/>
      </w:r>
      <w:r>
        <w:t xml:space="preserve"> </w:t>
      </w:r>
      <w:r>
        <w:tab/>
      </w:r>
      <w:r>
        <w:rPr>
          <w:i/>
        </w:rPr>
        <w:t xml:space="preserve">Cfr. </w:t>
      </w:r>
      <w:r>
        <w:rPr>
          <w:rFonts w:cs="Verdana-Italic"/>
          <w:i/>
          <w:iCs/>
          <w:lang w:val="es-AR" w:bidi="en-US"/>
        </w:rPr>
        <w:t xml:space="preserve">Caso Myrna </w:t>
      </w:r>
      <w:proofErr w:type="spellStart"/>
      <w:r>
        <w:rPr>
          <w:rFonts w:cs="Verdana-Italic"/>
          <w:i/>
          <w:iCs/>
          <w:lang w:val="es-AR" w:bidi="en-US"/>
        </w:rPr>
        <w:t>Mack</w:t>
      </w:r>
      <w:proofErr w:type="spellEnd"/>
      <w:r>
        <w:rPr>
          <w:rFonts w:cs="Verdana-Italic"/>
          <w:i/>
          <w:iCs/>
          <w:lang w:val="es-AR" w:bidi="en-US"/>
        </w:rPr>
        <w:t xml:space="preserve"> Chang Vs. </w:t>
      </w:r>
      <w:r w:rsidRPr="009F659A">
        <w:rPr>
          <w:rFonts w:cs="Verdana-Italic"/>
          <w:i/>
          <w:iCs/>
          <w:lang w:val="es-AR" w:bidi="en-US"/>
        </w:rPr>
        <w:t>Guatemala</w:t>
      </w:r>
      <w:r w:rsidRPr="009F659A">
        <w:rPr>
          <w:lang w:val="es-AR" w:bidi="en-US"/>
        </w:rPr>
        <w:t>,</w:t>
      </w:r>
      <w:r>
        <w:rPr>
          <w:lang w:val="es-AR" w:bidi="en-US"/>
        </w:rPr>
        <w:t xml:space="preserve"> párr. 211 y </w:t>
      </w:r>
      <w:r w:rsidRPr="009F659A">
        <w:rPr>
          <w:i/>
          <w:lang w:val="es-AR" w:bidi="en-US"/>
        </w:rPr>
        <w:t>Caso Acosta y otros Vs. Nicaragua</w:t>
      </w:r>
      <w:r>
        <w:t>, párr. 16</w:t>
      </w:r>
      <w:r w:rsidRPr="00497E2A">
        <w:t>5.</w:t>
      </w:r>
    </w:p>
  </w:footnote>
  <w:footnote w:id="180">
    <w:p w14:paraId="796EF078" w14:textId="51283817" w:rsidR="00E02FDB" w:rsidRPr="007B43FC" w:rsidRDefault="00E02FDB" w:rsidP="004635E5">
      <w:pPr>
        <w:pStyle w:val="ListParagraph"/>
        <w:numPr>
          <w:ilvl w:val="0"/>
          <w:numId w:val="0"/>
        </w:numPr>
        <w:rPr>
          <w:lang w:val="es-CR"/>
        </w:rPr>
      </w:pPr>
      <w:r w:rsidRPr="007B43FC">
        <w:rPr>
          <w:rStyle w:val="FootnoteReference"/>
        </w:rPr>
        <w:footnoteRef/>
      </w:r>
      <w:r w:rsidRPr="007B43FC">
        <w:rPr>
          <w:sz w:val="16"/>
          <w:szCs w:val="16"/>
          <w:lang w:val="es-CR"/>
        </w:rPr>
        <w:t xml:space="preserve"> </w:t>
      </w:r>
      <w:r>
        <w:rPr>
          <w:sz w:val="16"/>
          <w:szCs w:val="16"/>
          <w:lang w:val="es-CR"/>
        </w:rPr>
        <w:tab/>
      </w:r>
      <w:r w:rsidRPr="0083028B">
        <w:rPr>
          <w:sz w:val="16"/>
          <w:szCs w:val="16"/>
          <w:lang w:val="es-CR"/>
        </w:rPr>
        <w:t xml:space="preserve">En cuanto a </w:t>
      </w:r>
      <w:r w:rsidRPr="0083028B">
        <w:rPr>
          <w:sz w:val="16"/>
          <w:szCs w:val="16"/>
        </w:rPr>
        <w:t>este cómputo, la Corte aclara que respecto al año 2012 sólo consta información estatal sobre un acto de “reconocimiento” cuya fecha no se indicó, y la alusión a que “se estableció” quien podría ser el autor material del homicidio, que resulta vaga pues no indica el modo en que ello se estableció y la fecha puntual en que se hizo (</w:t>
      </w:r>
      <w:r w:rsidRPr="0083028B">
        <w:rPr>
          <w:i/>
          <w:sz w:val="16"/>
          <w:szCs w:val="16"/>
        </w:rPr>
        <w:t>supra</w:t>
      </w:r>
      <w:r w:rsidRPr="0083028B">
        <w:rPr>
          <w:sz w:val="16"/>
          <w:szCs w:val="16"/>
        </w:rPr>
        <w:t xml:space="preserve"> párr. 53). Por la falta de precisión en cuanto a las fechas, este Tribunal se ve imposibilitado de señalar el tiempo preciso de inactividad durante 2012. Sin perjuicio de ello, nota que la actividad que pu</w:t>
      </w:r>
      <w:r>
        <w:rPr>
          <w:sz w:val="16"/>
          <w:szCs w:val="16"/>
        </w:rPr>
        <w:t>e</w:t>
      </w:r>
      <w:r w:rsidRPr="0083028B">
        <w:rPr>
          <w:sz w:val="16"/>
          <w:szCs w:val="16"/>
        </w:rPr>
        <w:t xml:space="preserve">de desprenderse de información estatal referida puede considerarse escaza. Por otra parte, </w:t>
      </w:r>
      <w:r w:rsidRPr="0083028B">
        <w:rPr>
          <w:sz w:val="16"/>
          <w:szCs w:val="16"/>
          <w:lang w:val="es-CR"/>
        </w:rPr>
        <w:t>a efectos de mayor abundamiento, cabe notar que la inactividad parece a</w:t>
      </w:r>
      <w:r w:rsidRPr="0083028B">
        <w:rPr>
          <w:rFonts w:cs="Calibri"/>
          <w:sz w:val="16"/>
          <w:szCs w:val="16"/>
          <w:lang w:val="es-CR"/>
        </w:rPr>
        <w:t>ú</w:t>
      </w:r>
      <w:r w:rsidRPr="0083028B">
        <w:rPr>
          <w:sz w:val="16"/>
          <w:szCs w:val="16"/>
          <w:lang w:val="es-CR"/>
        </w:rPr>
        <w:t>n mayor a seis años y siete meses, pues excede los nueve años y medio, si no se consideran los actos de trámite sino solo los per</w:t>
      </w:r>
      <w:r w:rsidRPr="0083028B">
        <w:rPr>
          <w:rFonts w:cs="Calibri"/>
          <w:sz w:val="16"/>
          <w:szCs w:val="16"/>
          <w:lang w:val="es-CR"/>
        </w:rPr>
        <w:t>í</w:t>
      </w:r>
      <w:r w:rsidRPr="0083028B">
        <w:rPr>
          <w:sz w:val="16"/>
          <w:szCs w:val="16"/>
          <w:lang w:val="es-CR"/>
        </w:rPr>
        <w:t>odos de inactividad cercanos o mayores a seis meses en cuanto a diligencias sustantivas de investigaci</w:t>
      </w:r>
      <w:r w:rsidRPr="0083028B">
        <w:rPr>
          <w:rFonts w:cs="Calibri"/>
          <w:sz w:val="16"/>
          <w:szCs w:val="16"/>
          <w:lang w:val="es-CR"/>
        </w:rPr>
        <w:t>ó</w:t>
      </w:r>
      <w:r w:rsidRPr="0083028B">
        <w:rPr>
          <w:sz w:val="16"/>
          <w:szCs w:val="16"/>
          <w:lang w:val="es-CR"/>
        </w:rPr>
        <w:t>n (tales como realizaci</w:t>
      </w:r>
      <w:r w:rsidRPr="0083028B">
        <w:rPr>
          <w:rFonts w:cs="Calibri"/>
          <w:sz w:val="16"/>
          <w:szCs w:val="16"/>
          <w:lang w:val="es-CR"/>
        </w:rPr>
        <w:t>ó</w:t>
      </w:r>
      <w:r w:rsidRPr="0083028B">
        <w:rPr>
          <w:sz w:val="16"/>
          <w:szCs w:val="16"/>
          <w:lang w:val="es-CR"/>
        </w:rPr>
        <w:t>n de pericias o allanamientos o la recepci</w:t>
      </w:r>
      <w:r w:rsidRPr="0083028B">
        <w:rPr>
          <w:rFonts w:cs="Calibri"/>
          <w:sz w:val="16"/>
          <w:szCs w:val="16"/>
          <w:lang w:val="es-CR"/>
        </w:rPr>
        <w:t>ó</w:t>
      </w:r>
      <w:r w:rsidRPr="0083028B">
        <w:rPr>
          <w:sz w:val="16"/>
          <w:szCs w:val="16"/>
          <w:lang w:val="es-CR"/>
        </w:rPr>
        <w:t>n de declaraciones). Respecto al tiempo señalado, es pertinente la consideración ya realizada sobre el año 2012. Con esa aclaración, cabe señalar la inactividad sustancial de investigaci</w:t>
      </w:r>
      <w:r w:rsidRPr="0083028B">
        <w:rPr>
          <w:rFonts w:cs="Calibri"/>
          <w:sz w:val="16"/>
          <w:szCs w:val="16"/>
          <w:lang w:val="es-CR"/>
        </w:rPr>
        <w:t>ó</w:t>
      </w:r>
      <w:r w:rsidRPr="0083028B">
        <w:rPr>
          <w:sz w:val="16"/>
          <w:szCs w:val="16"/>
          <w:lang w:val="es-CR"/>
        </w:rPr>
        <w:t>n en los periodos que seguidamente se mencionan. No consta actividad sustantiva de investigación entre el 28 de noviembre de 2002 (en que se asentó en un informe que declaró la Coordinadora interina de la DGIC (</w:t>
      </w:r>
      <w:r w:rsidRPr="0083028B">
        <w:rPr>
          <w:i/>
          <w:sz w:val="16"/>
          <w:szCs w:val="16"/>
          <w:lang w:val="es-CR"/>
        </w:rPr>
        <w:t>supra</w:t>
      </w:r>
      <w:r w:rsidRPr="0083028B">
        <w:rPr>
          <w:sz w:val="16"/>
          <w:szCs w:val="16"/>
          <w:lang w:val="es-CR"/>
        </w:rPr>
        <w:t xml:space="preserve"> p</w:t>
      </w:r>
      <w:r w:rsidRPr="0083028B">
        <w:rPr>
          <w:rFonts w:cs="Calibri"/>
          <w:sz w:val="16"/>
          <w:szCs w:val="16"/>
          <w:lang w:val="es-CR"/>
        </w:rPr>
        <w:t>á</w:t>
      </w:r>
      <w:r w:rsidRPr="0083028B">
        <w:rPr>
          <w:sz w:val="16"/>
          <w:szCs w:val="16"/>
          <w:lang w:val="es-CR"/>
        </w:rPr>
        <w:t>rr. 101)) y una fecha cercana al 10 de enero de 2004 cuando se emit</w:t>
      </w:r>
      <w:r>
        <w:rPr>
          <w:sz w:val="16"/>
          <w:szCs w:val="16"/>
          <w:lang w:val="es-CR"/>
        </w:rPr>
        <w:t>ió</w:t>
      </w:r>
      <w:r w:rsidRPr="0083028B">
        <w:rPr>
          <w:sz w:val="16"/>
          <w:szCs w:val="16"/>
          <w:lang w:val="es-CR"/>
        </w:rPr>
        <w:t xml:space="preserve"> un informe en que consta que, en fecha no determinada, prestó declaración MM (</w:t>
      </w:r>
      <w:r w:rsidRPr="0083028B">
        <w:rPr>
          <w:i/>
          <w:sz w:val="16"/>
          <w:szCs w:val="16"/>
          <w:lang w:val="es-CR"/>
        </w:rPr>
        <w:t>supra</w:t>
      </w:r>
      <w:r w:rsidRPr="0083028B">
        <w:rPr>
          <w:sz w:val="16"/>
          <w:szCs w:val="16"/>
          <w:lang w:val="es-CR"/>
        </w:rPr>
        <w:t xml:space="preserve"> p</w:t>
      </w:r>
      <w:r w:rsidRPr="0083028B">
        <w:rPr>
          <w:rFonts w:cs="Calibri"/>
          <w:sz w:val="16"/>
          <w:szCs w:val="16"/>
          <w:lang w:val="es-CR"/>
        </w:rPr>
        <w:t>á</w:t>
      </w:r>
      <w:r w:rsidRPr="0083028B">
        <w:rPr>
          <w:sz w:val="16"/>
          <w:szCs w:val="16"/>
          <w:lang w:val="es-CR"/>
        </w:rPr>
        <w:t>rr. 101). Por otra parte, no consta tal tipo de actividad en los años 2006 y 2007, ni entre el 22 de mayo de 2008 (cuando se tom</w:t>
      </w:r>
      <w:r w:rsidRPr="0083028B">
        <w:rPr>
          <w:rFonts w:cs="Calibri"/>
          <w:sz w:val="16"/>
          <w:szCs w:val="16"/>
          <w:lang w:val="es-CR"/>
        </w:rPr>
        <w:t>ó</w:t>
      </w:r>
      <w:r w:rsidRPr="0083028B">
        <w:rPr>
          <w:sz w:val="16"/>
          <w:szCs w:val="16"/>
          <w:lang w:val="es-CR"/>
        </w:rPr>
        <w:t xml:space="preserve"> declaraci</w:t>
      </w:r>
      <w:r w:rsidRPr="0083028B">
        <w:rPr>
          <w:rFonts w:cs="Calibri"/>
          <w:sz w:val="16"/>
          <w:szCs w:val="16"/>
          <w:lang w:val="es-CR"/>
        </w:rPr>
        <w:t>ó</w:t>
      </w:r>
      <w:r w:rsidRPr="0083028B">
        <w:rPr>
          <w:sz w:val="16"/>
          <w:szCs w:val="16"/>
          <w:lang w:val="es-CR"/>
        </w:rPr>
        <w:t xml:space="preserve">n a </w:t>
      </w:r>
      <w:proofErr w:type="spellStart"/>
      <w:r w:rsidRPr="0083028B">
        <w:rPr>
          <w:sz w:val="16"/>
          <w:szCs w:val="16"/>
          <w:lang w:val="es-CR"/>
        </w:rPr>
        <w:t>Jimy</w:t>
      </w:r>
      <w:proofErr w:type="spellEnd"/>
      <w:r w:rsidRPr="0083028B">
        <w:rPr>
          <w:sz w:val="16"/>
          <w:szCs w:val="16"/>
          <w:lang w:val="es-CR"/>
        </w:rPr>
        <w:t xml:space="preserve"> Pacheco (</w:t>
      </w:r>
      <w:r w:rsidRPr="0083028B">
        <w:rPr>
          <w:i/>
          <w:sz w:val="16"/>
          <w:szCs w:val="16"/>
          <w:lang w:val="es-CR"/>
        </w:rPr>
        <w:t>supra</w:t>
      </w:r>
      <w:r w:rsidRPr="0083028B">
        <w:rPr>
          <w:sz w:val="16"/>
          <w:szCs w:val="16"/>
          <w:lang w:val="es-CR"/>
        </w:rPr>
        <w:t xml:space="preserve"> p</w:t>
      </w:r>
      <w:r w:rsidRPr="0083028B">
        <w:rPr>
          <w:rFonts w:cs="Calibri"/>
          <w:sz w:val="16"/>
          <w:szCs w:val="16"/>
          <w:lang w:val="es-CR"/>
        </w:rPr>
        <w:t>á</w:t>
      </w:r>
      <w:r w:rsidRPr="0083028B">
        <w:rPr>
          <w:sz w:val="16"/>
          <w:szCs w:val="16"/>
          <w:lang w:val="es-CR"/>
        </w:rPr>
        <w:t>rr. 50)) hasta 2012, cuando se habría efectuado un “reconocimiento” (</w:t>
      </w:r>
      <w:r w:rsidRPr="0083028B">
        <w:rPr>
          <w:i/>
          <w:sz w:val="16"/>
          <w:szCs w:val="16"/>
          <w:lang w:val="es-CR"/>
        </w:rPr>
        <w:t>supra</w:t>
      </w:r>
      <w:r w:rsidRPr="0083028B">
        <w:rPr>
          <w:sz w:val="16"/>
          <w:szCs w:val="16"/>
          <w:lang w:val="es-CR"/>
        </w:rPr>
        <w:t xml:space="preserve"> párr. 53). Luego, no se evidencian actuaciones sustantivas de indagación durante los años 2013 a 2015. El 15 de febrero de 2016 se recibi</w:t>
      </w:r>
      <w:r w:rsidRPr="0083028B">
        <w:rPr>
          <w:rFonts w:cs="Calibri"/>
          <w:sz w:val="16"/>
          <w:szCs w:val="16"/>
          <w:lang w:val="es-CR"/>
        </w:rPr>
        <w:t>ó</w:t>
      </w:r>
      <w:r w:rsidRPr="0083028B">
        <w:rPr>
          <w:sz w:val="16"/>
          <w:szCs w:val="16"/>
          <w:lang w:val="es-CR"/>
        </w:rPr>
        <w:t xml:space="preserve"> una declaraci</w:t>
      </w:r>
      <w:r w:rsidRPr="0083028B">
        <w:rPr>
          <w:rFonts w:cs="Calibri"/>
          <w:sz w:val="16"/>
          <w:szCs w:val="16"/>
          <w:lang w:val="es-CR"/>
        </w:rPr>
        <w:t>ó</w:t>
      </w:r>
      <w:r w:rsidRPr="0083028B">
        <w:rPr>
          <w:sz w:val="16"/>
          <w:szCs w:val="16"/>
          <w:lang w:val="es-CR"/>
        </w:rPr>
        <w:t>n de Jos</w:t>
      </w:r>
      <w:r w:rsidRPr="0083028B">
        <w:rPr>
          <w:rFonts w:cs="Calibri"/>
          <w:sz w:val="16"/>
          <w:szCs w:val="16"/>
          <w:lang w:val="es-CR"/>
        </w:rPr>
        <w:t>é</w:t>
      </w:r>
      <w:r w:rsidRPr="0083028B">
        <w:rPr>
          <w:sz w:val="16"/>
          <w:szCs w:val="16"/>
          <w:lang w:val="es-CR"/>
        </w:rPr>
        <w:t xml:space="preserve"> Pacheco (</w:t>
      </w:r>
      <w:r w:rsidRPr="0083028B">
        <w:rPr>
          <w:i/>
          <w:sz w:val="16"/>
          <w:szCs w:val="16"/>
          <w:lang w:val="es-CR"/>
        </w:rPr>
        <w:t>supra</w:t>
      </w:r>
      <w:r w:rsidRPr="0083028B">
        <w:rPr>
          <w:sz w:val="16"/>
          <w:szCs w:val="16"/>
          <w:lang w:val="es-CR"/>
        </w:rPr>
        <w:t xml:space="preserve"> p</w:t>
      </w:r>
      <w:r w:rsidRPr="0083028B">
        <w:rPr>
          <w:rFonts w:cs="Calibri"/>
          <w:sz w:val="16"/>
          <w:szCs w:val="16"/>
          <w:lang w:val="es-CR"/>
        </w:rPr>
        <w:t>á</w:t>
      </w:r>
      <w:r w:rsidRPr="0083028B">
        <w:rPr>
          <w:sz w:val="16"/>
          <w:szCs w:val="16"/>
          <w:lang w:val="es-CR"/>
        </w:rPr>
        <w:t>rr. 57), y luego no se advierte actividad.</w:t>
      </w:r>
      <w:r>
        <w:rPr>
          <w:sz w:val="16"/>
          <w:szCs w:val="16"/>
          <w:lang w:val="es-CR"/>
        </w:rPr>
        <w:t xml:space="preserve"> </w:t>
      </w:r>
    </w:p>
  </w:footnote>
  <w:footnote w:id="181">
    <w:p w14:paraId="300C2A4C" w14:textId="55E5084F" w:rsidR="00E02FDB" w:rsidRPr="003E6CF7" w:rsidRDefault="00E02FDB" w:rsidP="004635E5">
      <w:pPr>
        <w:pStyle w:val="PrrafodeSentencia"/>
        <w:numPr>
          <w:ilvl w:val="0"/>
          <w:numId w:val="0"/>
        </w:numPr>
        <w:tabs>
          <w:tab w:val="clear" w:pos="567"/>
          <w:tab w:val="left" w:pos="-142"/>
        </w:tabs>
        <w:rPr>
          <w:rFonts w:cs="Arial"/>
          <w:b/>
          <w:sz w:val="16"/>
          <w:szCs w:val="16"/>
        </w:rPr>
      </w:pPr>
      <w:r>
        <w:rPr>
          <w:rStyle w:val="FootnoteReference"/>
        </w:rPr>
        <w:footnoteRef/>
      </w:r>
      <w:r>
        <w:t xml:space="preserve"> </w:t>
      </w:r>
      <w:r>
        <w:tab/>
      </w:r>
      <w:r w:rsidRPr="00710AEB">
        <w:rPr>
          <w:rFonts w:cs="Arial"/>
          <w:sz w:val="16"/>
          <w:szCs w:val="16"/>
        </w:rPr>
        <w:t>Al respecto esta Corte recuerda que entiende la impunidad como “</w:t>
      </w:r>
      <w:r w:rsidRPr="00710AEB">
        <w:rPr>
          <w:sz w:val="16"/>
          <w:szCs w:val="16"/>
        </w:rPr>
        <w:t>la falta en su conjunto de investigación, persecución, captura, enjuiciamiento y condena de los responsables de las violacion</w:t>
      </w:r>
      <w:r>
        <w:rPr>
          <w:sz w:val="16"/>
          <w:szCs w:val="16"/>
        </w:rPr>
        <w:t>e</w:t>
      </w:r>
      <w:r w:rsidRPr="00710AEB">
        <w:rPr>
          <w:sz w:val="16"/>
          <w:szCs w:val="16"/>
        </w:rPr>
        <w:t xml:space="preserve">s de los derechos protegidos por la Convención Americana, toda vez que el Estado tiene la obligación de combatir tal situación por todos los medios legales disponibles que </w:t>
      </w:r>
      <w:proofErr w:type="spellStart"/>
      <w:r w:rsidRPr="00710AEB">
        <w:rPr>
          <w:sz w:val="16"/>
          <w:szCs w:val="16"/>
        </w:rPr>
        <w:t>que</w:t>
      </w:r>
      <w:proofErr w:type="spellEnd"/>
      <w:r w:rsidRPr="00710AEB">
        <w:rPr>
          <w:sz w:val="16"/>
          <w:szCs w:val="16"/>
        </w:rPr>
        <w:t xml:space="preserve"> la impunidad propicia la repetición crónica de vi</w:t>
      </w:r>
      <w:r>
        <w:rPr>
          <w:sz w:val="16"/>
          <w:szCs w:val="16"/>
        </w:rPr>
        <w:t>o</w:t>
      </w:r>
      <w:r w:rsidRPr="00710AEB">
        <w:rPr>
          <w:sz w:val="16"/>
          <w:szCs w:val="16"/>
        </w:rPr>
        <w:t>laciones de derechos humanos y la total indefensión de las víctimas y de sus familiares”</w:t>
      </w:r>
      <w:r>
        <w:rPr>
          <w:sz w:val="16"/>
          <w:szCs w:val="16"/>
        </w:rPr>
        <w:t>.</w:t>
      </w:r>
      <w:r w:rsidRPr="00710AEB">
        <w:rPr>
          <w:sz w:val="16"/>
          <w:szCs w:val="16"/>
        </w:rPr>
        <w:t xml:space="preserve"> </w:t>
      </w:r>
      <w:r w:rsidRPr="003E6CF7">
        <w:rPr>
          <w:i/>
          <w:sz w:val="16"/>
          <w:szCs w:val="16"/>
        </w:rPr>
        <w:t xml:space="preserve">Cfr. </w:t>
      </w:r>
      <w:r w:rsidRPr="009168EB">
        <w:rPr>
          <w:i/>
          <w:sz w:val="16"/>
          <w:szCs w:val="16"/>
        </w:rPr>
        <w:t xml:space="preserve">Caso de la “Panel Blanca” (Paniagua Morales y otros) Vs. Guatemala. Excepciones Preliminares. </w:t>
      </w:r>
      <w:r w:rsidRPr="00497E2A">
        <w:rPr>
          <w:sz w:val="16"/>
          <w:szCs w:val="16"/>
        </w:rPr>
        <w:t>Sentencia del 25 de enero de 1996. Serie C No. 23, párr. 173</w:t>
      </w:r>
      <w:r>
        <w:rPr>
          <w:sz w:val="16"/>
          <w:szCs w:val="16"/>
        </w:rPr>
        <w:t xml:space="preserve">, y </w:t>
      </w:r>
      <w:r>
        <w:rPr>
          <w:i/>
          <w:sz w:val="16"/>
          <w:szCs w:val="16"/>
        </w:rPr>
        <w:t>Caso Favela Nova Brasil</w:t>
      </w:r>
      <w:r w:rsidRPr="00497E2A">
        <w:rPr>
          <w:i/>
          <w:sz w:val="16"/>
          <w:szCs w:val="16"/>
        </w:rPr>
        <w:t>ia Vs. Brasil.</w:t>
      </w:r>
      <w:r>
        <w:rPr>
          <w:sz w:val="16"/>
          <w:szCs w:val="16"/>
        </w:rPr>
        <w:t>, nota a pie de página 209.</w:t>
      </w:r>
    </w:p>
    <w:p w14:paraId="5DBF8571" w14:textId="77777777" w:rsidR="00E02FDB" w:rsidRPr="003E6CF7" w:rsidRDefault="00E02FDB" w:rsidP="004635E5">
      <w:pPr>
        <w:pStyle w:val="FootnoteText"/>
      </w:pPr>
    </w:p>
  </w:footnote>
  <w:footnote w:id="182">
    <w:p w14:paraId="51C41131" w14:textId="20C32BF7" w:rsidR="00E02FDB" w:rsidRPr="0034048B"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7B43FC">
        <w:rPr>
          <w:lang w:val="es-CR"/>
        </w:rPr>
        <w:t>La Comisi</w:t>
      </w:r>
      <w:r w:rsidRPr="007B43FC">
        <w:rPr>
          <w:rFonts w:cs="Calibri"/>
          <w:lang w:val="es-CR"/>
        </w:rPr>
        <w:t>ó</w:t>
      </w:r>
      <w:r w:rsidRPr="007B43FC">
        <w:rPr>
          <w:lang w:val="es-CR"/>
        </w:rPr>
        <w:t>n sustent</w:t>
      </w:r>
      <w:r w:rsidRPr="007B43FC">
        <w:rPr>
          <w:rFonts w:cs="Calibri"/>
          <w:lang w:val="es-CR"/>
        </w:rPr>
        <w:t>ó</w:t>
      </w:r>
      <w:r w:rsidRPr="007B43FC">
        <w:rPr>
          <w:lang w:val="es-CR"/>
        </w:rPr>
        <w:t xml:space="preserve"> su afirmaci</w:t>
      </w:r>
      <w:r w:rsidRPr="007B43FC">
        <w:rPr>
          <w:rFonts w:cs="Calibri"/>
          <w:lang w:val="es-CR"/>
        </w:rPr>
        <w:t>ó</w:t>
      </w:r>
      <w:r w:rsidRPr="007B43FC">
        <w:rPr>
          <w:lang w:val="es-CR"/>
        </w:rPr>
        <w:t>n citando el p</w:t>
      </w:r>
      <w:r w:rsidRPr="007B43FC">
        <w:rPr>
          <w:rFonts w:cs="Calibri"/>
          <w:lang w:val="es-CR"/>
        </w:rPr>
        <w:t>á</w:t>
      </w:r>
      <w:r w:rsidRPr="007B43FC">
        <w:rPr>
          <w:lang w:val="es-CR"/>
        </w:rPr>
        <w:t xml:space="preserve">rrafo 97 de la Sentencia de esta Corte en el caso </w:t>
      </w:r>
      <w:proofErr w:type="spellStart"/>
      <w:r w:rsidRPr="007B43FC">
        <w:rPr>
          <w:i/>
          <w:lang w:val="es-CR"/>
        </w:rPr>
        <w:t>Kawas</w:t>
      </w:r>
      <w:proofErr w:type="spellEnd"/>
      <w:r w:rsidRPr="007B43FC">
        <w:rPr>
          <w:i/>
          <w:lang w:val="es-CR"/>
        </w:rPr>
        <w:t xml:space="preserve"> Fern</w:t>
      </w:r>
      <w:r w:rsidRPr="007B43FC">
        <w:rPr>
          <w:rFonts w:cs="Calibri"/>
          <w:i/>
          <w:lang w:val="es-CR"/>
        </w:rPr>
        <w:t>á</w:t>
      </w:r>
      <w:r w:rsidRPr="007B43FC">
        <w:rPr>
          <w:i/>
          <w:lang w:val="es-CR"/>
        </w:rPr>
        <w:t>ndez Vs. Honduras</w:t>
      </w:r>
      <w:r w:rsidRPr="0034048B">
        <w:rPr>
          <w:lang w:val="es-CR"/>
        </w:rPr>
        <w:t>.</w:t>
      </w:r>
    </w:p>
  </w:footnote>
  <w:footnote w:id="183">
    <w:p w14:paraId="69D46A07" w14:textId="3BBD61D8" w:rsidR="00E02FDB" w:rsidRPr="00E92BEC" w:rsidRDefault="00E02FDB">
      <w:pPr>
        <w:pStyle w:val="FootnoteText"/>
      </w:pPr>
      <w:r w:rsidRPr="0034048B">
        <w:rPr>
          <w:rStyle w:val="FootnoteReference"/>
        </w:rPr>
        <w:footnoteRef/>
      </w:r>
      <w:r w:rsidRPr="0034048B">
        <w:t xml:space="preserve"> </w:t>
      </w:r>
      <w:r>
        <w:tab/>
      </w:r>
      <w:r w:rsidRPr="0034048B">
        <w:t>Aunque los representantes aludieron a “[v]arios testigos”</w:t>
      </w:r>
      <w:r>
        <w:t xml:space="preserve">, </w:t>
      </w:r>
      <w:proofErr w:type="spellStart"/>
      <w:r w:rsidRPr="00B41653">
        <w:t>Jimy</w:t>
      </w:r>
      <w:proofErr w:type="spellEnd"/>
      <w:r w:rsidRPr="00B41653">
        <w:t xml:space="preserve"> Pacheco concretamente en su declaración de rendida ante la Corte el 23 de marzo de 2017 </w:t>
      </w:r>
      <w:r w:rsidRPr="00F07B77">
        <w:t>hizo</w:t>
      </w:r>
      <w:r w:rsidRPr="00B41653">
        <w:t xml:space="preserve"> alusión a ello.</w:t>
      </w:r>
      <w:r>
        <w:t xml:space="preserve"> </w:t>
      </w:r>
    </w:p>
  </w:footnote>
  <w:footnote w:id="184">
    <w:p w14:paraId="14F47798" w14:textId="2C4F699E" w:rsidR="00E02FDB" w:rsidRPr="007B43FC"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7B43FC">
        <w:rPr>
          <w:lang w:val="es-CR"/>
        </w:rPr>
        <w:t>Los representantes tambi</w:t>
      </w:r>
      <w:r w:rsidRPr="007B43FC">
        <w:rPr>
          <w:rFonts w:cs="Calibri"/>
          <w:lang w:val="es-CR"/>
        </w:rPr>
        <w:t>é</w:t>
      </w:r>
      <w:r w:rsidRPr="007B43FC">
        <w:rPr>
          <w:lang w:val="es-CR"/>
        </w:rPr>
        <w:t>n afirmaron que se viol</w:t>
      </w:r>
      <w:r w:rsidRPr="007B43FC">
        <w:rPr>
          <w:rFonts w:cs="Calibri"/>
          <w:lang w:val="es-CR"/>
        </w:rPr>
        <w:t>ó</w:t>
      </w:r>
      <w:r w:rsidRPr="007B43FC">
        <w:rPr>
          <w:lang w:val="es-CR"/>
        </w:rPr>
        <w:t xml:space="preserve"> el art</w:t>
      </w:r>
      <w:r w:rsidRPr="007B43FC">
        <w:rPr>
          <w:rFonts w:cs="Calibri"/>
          <w:lang w:val="es-CR"/>
        </w:rPr>
        <w:t>í</w:t>
      </w:r>
      <w:r w:rsidRPr="007B43FC">
        <w:rPr>
          <w:lang w:val="es-CR"/>
        </w:rPr>
        <w:t xml:space="preserve">culo 2 del tratado pero, como se </w:t>
      </w:r>
      <w:r>
        <w:rPr>
          <w:lang w:val="es-CR"/>
        </w:rPr>
        <w:t>indica más adelante</w:t>
      </w:r>
      <w:r w:rsidRPr="007B43FC">
        <w:rPr>
          <w:lang w:val="es-CR"/>
        </w:rPr>
        <w:t xml:space="preserve"> (</w:t>
      </w:r>
      <w:r w:rsidRPr="005A2709">
        <w:rPr>
          <w:i/>
          <w:lang w:val="es-CR"/>
        </w:rPr>
        <w:t>inf</w:t>
      </w:r>
      <w:r w:rsidRPr="007B43FC">
        <w:rPr>
          <w:i/>
          <w:lang w:val="es-CR"/>
        </w:rPr>
        <w:t>ra</w:t>
      </w:r>
      <w:r w:rsidRPr="007B43FC">
        <w:rPr>
          <w:lang w:val="es-CR"/>
        </w:rPr>
        <w:t xml:space="preserve"> p</w:t>
      </w:r>
      <w:r w:rsidRPr="007B43FC">
        <w:rPr>
          <w:rFonts w:cs="Calibri"/>
          <w:lang w:val="es-CR"/>
        </w:rPr>
        <w:t>á</w:t>
      </w:r>
      <w:r w:rsidRPr="007B43FC">
        <w:rPr>
          <w:lang w:val="es-CR"/>
        </w:rPr>
        <w:t xml:space="preserve">rr. </w:t>
      </w:r>
      <w:r>
        <w:rPr>
          <w:lang w:val="es-CR"/>
        </w:rPr>
        <w:t>184</w:t>
      </w:r>
      <w:r w:rsidRPr="007B43FC">
        <w:rPr>
          <w:lang w:val="es-CR"/>
        </w:rPr>
        <w:t>), no expresaron razones sobre ello, por lo que tal afirmaci</w:t>
      </w:r>
      <w:r w:rsidRPr="007B43FC">
        <w:rPr>
          <w:rFonts w:cs="Calibri"/>
          <w:lang w:val="es-CR"/>
        </w:rPr>
        <w:t>ó</w:t>
      </w:r>
      <w:r w:rsidRPr="007B43FC">
        <w:rPr>
          <w:lang w:val="es-CR"/>
        </w:rPr>
        <w:t>n no ser</w:t>
      </w:r>
      <w:r w:rsidRPr="007B43FC">
        <w:rPr>
          <w:rFonts w:cs="Calibri"/>
          <w:lang w:val="es-CR"/>
        </w:rPr>
        <w:t>á</w:t>
      </w:r>
      <w:r w:rsidRPr="007B43FC">
        <w:rPr>
          <w:lang w:val="es-CR"/>
        </w:rPr>
        <w:t xml:space="preserve"> considerada. </w:t>
      </w:r>
    </w:p>
  </w:footnote>
  <w:footnote w:id="185">
    <w:p w14:paraId="77BED39F" w14:textId="45943B09" w:rsidR="00E02FDB" w:rsidRPr="00523E73" w:rsidRDefault="00E02FDB" w:rsidP="006554FA">
      <w:pPr>
        <w:pStyle w:val="FootnoteText"/>
        <w:rPr>
          <w:lang w:val="es-CR"/>
        </w:rPr>
      </w:pPr>
      <w:r w:rsidRPr="007B43FC">
        <w:rPr>
          <w:rStyle w:val="FootnoteReference"/>
        </w:rPr>
        <w:footnoteRef/>
      </w:r>
      <w:r w:rsidRPr="007B43FC">
        <w:rPr>
          <w:lang w:val="es-CR"/>
        </w:rPr>
        <w:t xml:space="preserve"> </w:t>
      </w:r>
      <w:r>
        <w:rPr>
          <w:lang w:val="es-CR"/>
        </w:rPr>
        <w:tab/>
      </w:r>
      <w:r w:rsidRPr="007B43FC">
        <w:rPr>
          <w:i/>
          <w:lang w:val="es-CR"/>
        </w:rPr>
        <w:t>Cfr. Caso de los “Ni</w:t>
      </w:r>
      <w:r w:rsidRPr="007B43FC">
        <w:rPr>
          <w:rFonts w:cs="Calibri"/>
          <w:i/>
          <w:lang w:val="es-CR"/>
        </w:rPr>
        <w:t>ñ</w:t>
      </w:r>
      <w:r w:rsidRPr="007B43FC">
        <w:rPr>
          <w:i/>
          <w:lang w:val="es-CR"/>
        </w:rPr>
        <w:t>os de la Calle” (Villagr</w:t>
      </w:r>
      <w:r w:rsidRPr="007B43FC">
        <w:rPr>
          <w:rFonts w:cs="Calibri"/>
          <w:i/>
          <w:lang w:val="es-CR"/>
        </w:rPr>
        <w:t>á</w:t>
      </w:r>
      <w:r w:rsidRPr="007B43FC">
        <w:rPr>
          <w:i/>
          <w:lang w:val="es-CR"/>
        </w:rPr>
        <w:t>n Morales y otros) Vs. Guatemala. Fondo,</w:t>
      </w:r>
      <w:r w:rsidRPr="007B43FC">
        <w:rPr>
          <w:lang w:val="es-CR"/>
        </w:rPr>
        <w:t xml:space="preserve"> p</w:t>
      </w:r>
      <w:r w:rsidRPr="007B43FC">
        <w:rPr>
          <w:rFonts w:cs="Calibri"/>
          <w:lang w:val="es-CR"/>
        </w:rPr>
        <w:t>á</w:t>
      </w:r>
      <w:r w:rsidRPr="007B43FC">
        <w:rPr>
          <w:lang w:val="es-CR"/>
        </w:rPr>
        <w:t xml:space="preserve">rr. 144, y </w:t>
      </w:r>
      <w:r w:rsidRPr="007B43FC">
        <w:rPr>
          <w:i/>
          <w:lang w:val="es-CR"/>
        </w:rPr>
        <w:t xml:space="preserve">Caso </w:t>
      </w:r>
      <w:r w:rsidRPr="00523E73">
        <w:rPr>
          <w:i/>
          <w:lang w:val="es-CR"/>
        </w:rPr>
        <w:t>Ortiz Hernández y otros Vs. Venezuela</w:t>
      </w:r>
      <w:r w:rsidRPr="00523E73">
        <w:rPr>
          <w:lang w:val="es-CR"/>
        </w:rPr>
        <w:t xml:space="preserve">, </w:t>
      </w:r>
      <w:proofErr w:type="spellStart"/>
      <w:r w:rsidRPr="00523E73">
        <w:rPr>
          <w:lang w:val="es-CR"/>
        </w:rPr>
        <w:t>p</w:t>
      </w:r>
      <w:r w:rsidRPr="00523E73">
        <w:rPr>
          <w:rFonts w:cs="Calibri"/>
          <w:lang w:val="es-CR"/>
        </w:rPr>
        <w:t>á</w:t>
      </w:r>
      <w:r w:rsidRPr="00523E73">
        <w:rPr>
          <w:lang w:val="es-CR"/>
        </w:rPr>
        <w:t>rrs</w:t>
      </w:r>
      <w:proofErr w:type="spellEnd"/>
      <w:r w:rsidRPr="00523E73">
        <w:rPr>
          <w:lang w:val="es-CR"/>
        </w:rPr>
        <w:t xml:space="preserve">. 100 y 101. </w:t>
      </w:r>
    </w:p>
  </w:footnote>
  <w:footnote w:id="186">
    <w:p w14:paraId="6EC96EAD" w14:textId="62A98F86" w:rsidR="00E02FDB" w:rsidRPr="007B43FC" w:rsidRDefault="00E02FDB" w:rsidP="007B43FC">
      <w:pPr>
        <w:autoSpaceDE w:val="0"/>
        <w:autoSpaceDN w:val="0"/>
        <w:adjustRightInd w:val="0"/>
        <w:rPr>
          <w:rFonts w:cs="Verdana"/>
          <w:sz w:val="16"/>
          <w:szCs w:val="16"/>
          <w:lang w:val="es-CR"/>
        </w:rPr>
      </w:pPr>
      <w:r w:rsidRPr="007B43FC">
        <w:rPr>
          <w:rStyle w:val="FootnoteReference"/>
        </w:rPr>
        <w:footnoteRef/>
      </w:r>
      <w:r w:rsidRPr="004610BF">
        <w:rPr>
          <w:rStyle w:val="Strong"/>
          <w:b w:val="0"/>
          <w:i/>
          <w:color w:val="000000"/>
          <w:sz w:val="16"/>
          <w:szCs w:val="16"/>
          <w:shd w:val="clear" w:color="auto" w:fill="FFFFFF"/>
          <w:lang w:val="es-CR"/>
        </w:rPr>
        <w:t xml:space="preserve"> </w:t>
      </w:r>
      <w:r>
        <w:rPr>
          <w:rStyle w:val="Strong"/>
          <w:i/>
          <w:color w:val="000000"/>
          <w:sz w:val="16"/>
          <w:szCs w:val="16"/>
          <w:shd w:val="clear" w:color="auto" w:fill="FFFFFF"/>
          <w:lang w:val="es-CR"/>
        </w:rPr>
        <w:tab/>
      </w:r>
      <w:r w:rsidRPr="00523E73">
        <w:rPr>
          <w:rStyle w:val="Strong"/>
          <w:b w:val="0"/>
          <w:i/>
          <w:color w:val="000000"/>
          <w:sz w:val="16"/>
          <w:szCs w:val="16"/>
          <w:shd w:val="clear" w:color="auto" w:fill="FFFFFF"/>
          <w:lang w:val="es-CR"/>
        </w:rPr>
        <w:t xml:space="preserve">Cfr. </w:t>
      </w:r>
      <w:r w:rsidRPr="00523E73">
        <w:rPr>
          <w:rFonts w:cs="Verdana-Italic"/>
          <w:i/>
          <w:iCs/>
          <w:sz w:val="16"/>
          <w:szCs w:val="16"/>
          <w:lang w:val="es-CR"/>
        </w:rPr>
        <w:t xml:space="preserve">Caso </w:t>
      </w:r>
      <w:proofErr w:type="spellStart"/>
      <w:r w:rsidRPr="00523E73">
        <w:rPr>
          <w:rFonts w:cs="Verdana-Italic"/>
          <w:i/>
          <w:iCs/>
          <w:sz w:val="16"/>
          <w:szCs w:val="16"/>
          <w:lang w:val="es-CR"/>
        </w:rPr>
        <w:t>Yatama</w:t>
      </w:r>
      <w:proofErr w:type="spellEnd"/>
      <w:r w:rsidRPr="00523E73">
        <w:rPr>
          <w:rFonts w:cs="Verdana-Italic"/>
          <w:i/>
          <w:iCs/>
          <w:sz w:val="16"/>
          <w:szCs w:val="16"/>
          <w:lang w:val="es-CR"/>
        </w:rPr>
        <w:t xml:space="preserve"> Vs. Nicaragua. Excepciones Preliminares, Fondo, Reparaciones y Costas. </w:t>
      </w:r>
      <w:r w:rsidRPr="00523E73">
        <w:rPr>
          <w:rFonts w:cs="Verdana"/>
          <w:sz w:val="16"/>
          <w:szCs w:val="16"/>
          <w:lang w:val="es-CR"/>
        </w:rPr>
        <w:t>Sentencia de 23 de junio de 2005. Serie C No. 127</w:t>
      </w:r>
      <w:r w:rsidRPr="00523E73">
        <w:rPr>
          <w:rFonts w:cs="Verdana-Italic"/>
          <w:i/>
          <w:iCs/>
          <w:sz w:val="16"/>
          <w:szCs w:val="16"/>
          <w:lang w:val="es-CR"/>
        </w:rPr>
        <w:t xml:space="preserve">, </w:t>
      </w:r>
      <w:proofErr w:type="spellStart"/>
      <w:r w:rsidRPr="00523E73">
        <w:rPr>
          <w:rFonts w:cs="Verdana"/>
          <w:sz w:val="16"/>
          <w:szCs w:val="16"/>
          <w:lang w:val="es-CR"/>
        </w:rPr>
        <w:t>p</w:t>
      </w:r>
      <w:r w:rsidRPr="00523E73">
        <w:rPr>
          <w:sz w:val="16"/>
          <w:szCs w:val="16"/>
          <w:lang w:val="es-CR"/>
        </w:rPr>
        <w:t>á</w:t>
      </w:r>
      <w:r w:rsidRPr="00523E73">
        <w:rPr>
          <w:rFonts w:cs="Verdana"/>
          <w:sz w:val="16"/>
          <w:szCs w:val="16"/>
          <w:lang w:val="es-CR"/>
        </w:rPr>
        <w:t>rrs</w:t>
      </w:r>
      <w:proofErr w:type="spellEnd"/>
      <w:r w:rsidRPr="00523E73">
        <w:rPr>
          <w:rFonts w:cs="Verdana"/>
          <w:sz w:val="16"/>
          <w:szCs w:val="16"/>
          <w:lang w:val="es-CR"/>
        </w:rPr>
        <w:t xml:space="preserve">. 194 a 200, y </w:t>
      </w:r>
      <w:r w:rsidRPr="00523E73">
        <w:rPr>
          <w:rFonts w:cs="Verdana-Italic"/>
          <w:i/>
          <w:iCs/>
          <w:sz w:val="16"/>
          <w:szCs w:val="16"/>
          <w:lang w:val="es-CR"/>
        </w:rPr>
        <w:t>Caso Casta</w:t>
      </w:r>
      <w:r w:rsidRPr="00523E73">
        <w:rPr>
          <w:i/>
          <w:iCs/>
          <w:sz w:val="16"/>
          <w:szCs w:val="16"/>
          <w:lang w:val="es-CR"/>
        </w:rPr>
        <w:t>ñ</w:t>
      </w:r>
      <w:r w:rsidRPr="00523E73">
        <w:rPr>
          <w:rFonts w:cs="Verdana-Italic"/>
          <w:i/>
          <w:iCs/>
          <w:sz w:val="16"/>
          <w:szCs w:val="16"/>
          <w:lang w:val="es-CR"/>
        </w:rPr>
        <w:t xml:space="preserve">eda </w:t>
      </w:r>
      <w:proofErr w:type="spellStart"/>
      <w:r w:rsidRPr="00523E73">
        <w:rPr>
          <w:rFonts w:cs="Verdana-Italic"/>
          <w:i/>
          <w:iCs/>
          <w:sz w:val="16"/>
          <w:szCs w:val="16"/>
          <w:lang w:val="es-CR"/>
        </w:rPr>
        <w:t>Gutman</w:t>
      </w:r>
      <w:proofErr w:type="spellEnd"/>
      <w:r w:rsidRPr="00523E73">
        <w:rPr>
          <w:rFonts w:cs="Verdana-Italic"/>
          <w:i/>
          <w:iCs/>
          <w:sz w:val="16"/>
          <w:szCs w:val="16"/>
          <w:lang w:val="es-CR"/>
        </w:rPr>
        <w:t xml:space="preserve"> Vs. M</w:t>
      </w:r>
      <w:r w:rsidRPr="00523E73">
        <w:rPr>
          <w:i/>
          <w:iCs/>
          <w:sz w:val="16"/>
          <w:szCs w:val="16"/>
          <w:lang w:val="es-CR"/>
        </w:rPr>
        <w:t>é</w:t>
      </w:r>
      <w:r w:rsidRPr="00523E73">
        <w:rPr>
          <w:rFonts w:cs="Verdana-Italic"/>
          <w:i/>
          <w:iCs/>
          <w:sz w:val="16"/>
          <w:szCs w:val="16"/>
          <w:lang w:val="es-CR"/>
        </w:rPr>
        <w:t xml:space="preserve">xico. Excepciones Preliminares, Fondo, Reparaciones y Costas. </w:t>
      </w:r>
      <w:r w:rsidRPr="00523E73">
        <w:rPr>
          <w:rFonts w:cs="Verdana"/>
          <w:sz w:val="16"/>
          <w:szCs w:val="16"/>
          <w:lang w:val="es-CR"/>
        </w:rPr>
        <w:t>Sentencia de 6 de agosto de 2008. Serie C No. 184, p</w:t>
      </w:r>
      <w:r w:rsidRPr="00523E73">
        <w:rPr>
          <w:sz w:val="16"/>
          <w:szCs w:val="16"/>
          <w:lang w:val="es-CR"/>
        </w:rPr>
        <w:t>á</w:t>
      </w:r>
      <w:r w:rsidRPr="00523E73">
        <w:rPr>
          <w:rFonts w:cs="Verdana"/>
          <w:sz w:val="16"/>
          <w:szCs w:val="16"/>
          <w:lang w:val="es-CR"/>
        </w:rPr>
        <w:t>rr. 144.</w:t>
      </w:r>
    </w:p>
  </w:footnote>
  <w:footnote w:id="187">
    <w:p w14:paraId="40A7C83A" w14:textId="6F6AC820" w:rsidR="00E02FDB" w:rsidRPr="007B43FC" w:rsidRDefault="00E02FDB" w:rsidP="007B43FC">
      <w:pPr>
        <w:pStyle w:val="FootnoteText"/>
        <w:rPr>
          <w:lang w:val="es-CR"/>
        </w:rPr>
      </w:pPr>
      <w:r w:rsidRPr="00A705F6">
        <w:rPr>
          <w:rStyle w:val="FootnoteReference"/>
        </w:rPr>
        <w:footnoteRef/>
      </w:r>
      <w:r w:rsidRPr="00CF7940">
        <w:rPr>
          <w:lang w:val="es-CR"/>
        </w:rPr>
        <w:t xml:space="preserve"> </w:t>
      </w:r>
      <w:r>
        <w:rPr>
          <w:lang w:val="es-CR"/>
        </w:rPr>
        <w:tab/>
      </w:r>
      <w:r w:rsidRPr="009D1972">
        <w:rPr>
          <w:i/>
          <w:lang w:val="es-CR"/>
        </w:rPr>
        <w:t>Cfr.</w:t>
      </w:r>
      <w:r w:rsidRPr="009D1972">
        <w:rPr>
          <w:lang w:val="es-CR"/>
        </w:rPr>
        <w:t xml:space="preserve"> </w:t>
      </w:r>
      <w:r w:rsidRPr="00DA3052">
        <w:rPr>
          <w:rStyle w:val="Strong"/>
          <w:b w:val="0"/>
          <w:i/>
          <w:lang w:val="es-CR"/>
        </w:rPr>
        <w:t>Caso Ma</w:t>
      </w:r>
      <w:r>
        <w:rPr>
          <w:rStyle w:val="Strong"/>
          <w:b w:val="0"/>
          <w:i/>
          <w:lang w:val="es-CR"/>
        </w:rPr>
        <w:t>nuel Cepeda Vargas Vs. Colombia</w:t>
      </w:r>
      <w:r w:rsidRPr="00A705F6">
        <w:rPr>
          <w:rStyle w:val="Strong"/>
          <w:b w:val="0"/>
          <w:lang w:val="es-CR"/>
        </w:rPr>
        <w:t>, p</w:t>
      </w:r>
      <w:r w:rsidRPr="00A705F6">
        <w:rPr>
          <w:rStyle w:val="Strong"/>
          <w:rFonts w:cs="Calibri"/>
          <w:b w:val="0"/>
          <w:lang w:val="es-CR"/>
        </w:rPr>
        <w:t>á</w:t>
      </w:r>
      <w:r w:rsidRPr="00A705F6">
        <w:rPr>
          <w:rStyle w:val="Strong"/>
          <w:b w:val="0"/>
          <w:lang w:val="es-CR"/>
        </w:rPr>
        <w:t>rr. 176.</w:t>
      </w:r>
      <w:r w:rsidRPr="007B43FC">
        <w:rPr>
          <w:rStyle w:val="Strong"/>
          <w:lang w:val="es-CR"/>
        </w:rPr>
        <w:t xml:space="preserve"> </w:t>
      </w:r>
    </w:p>
  </w:footnote>
  <w:footnote w:id="188">
    <w:p w14:paraId="7DBEF6A7" w14:textId="37745EA6" w:rsidR="00E02FDB" w:rsidRPr="00BC6CAC" w:rsidRDefault="00E02FDB" w:rsidP="00942DF7">
      <w:pPr>
        <w:pStyle w:val="FootnoteText"/>
        <w:rPr>
          <w:lang w:val="es-CR"/>
        </w:rPr>
      </w:pPr>
      <w:r>
        <w:rPr>
          <w:rStyle w:val="FootnoteReference"/>
        </w:rPr>
        <w:footnoteRef/>
      </w:r>
      <w:r>
        <w:t xml:space="preserve"> </w:t>
      </w:r>
      <w:r>
        <w:tab/>
      </w:r>
      <w:r w:rsidRPr="000874BF">
        <w:t>S</w:t>
      </w:r>
      <w:r w:rsidRPr="000874BF">
        <w:rPr>
          <w:rFonts w:cs="Arial"/>
        </w:rPr>
        <w:t xml:space="preserve">in perjuicio de eso, indicaron, respecto a los derechos </w:t>
      </w:r>
      <w:r w:rsidRPr="0083028B">
        <w:rPr>
          <w:rFonts w:cs="Arial"/>
        </w:rPr>
        <w:t>políticos, que “presuntamente” la muerte del señor Pacheco habría sido el resultado del actuar de agentes estatales (</w:t>
      </w:r>
      <w:r w:rsidRPr="0083028B">
        <w:rPr>
          <w:rFonts w:cs="Arial"/>
          <w:i/>
        </w:rPr>
        <w:t>supra</w:t>
      </w:r>
      <w:r w:rsidRPr="0083028B">
        <w:rPr>
          <w:rFonts w:cs="Arial"/>
        </w:rPr>
        <w:t xml:space="preserve"> párr. 135).</w:t>
      </w:r>
    </w:p>
  </w:footnote>
  <w:footnote w:id="189">
    <w:p w14:paraId="220954B0" w14:textId="11AA22FC" w:rsidR="00E02FDB" w:rsidRPr="005A2709" w:rsidRDefault="00E02FDB" w:rsidP="00942DF7">
      <w:pPr>
        <w:pStyle w:val="FootnoteText"/>
        <w:rPr>
          <w:lang w:val="es-CR"/>
        </w:rPr>
      </w:pPr>
      <w:r w:rsidRPr="007B43FC">
        <w:rPr>
          <w:rStyle w:val="FootnoteReference"/>
        </w:rPr>
        <w:footnoteRef/>
      </w:r>
      <w:r w:rsidRPr="007B43FC">
        <w:rPr>
          <w:lang w:val="es-CR"/>
        </w:rPr>
        <w:t xml:space="preserve"> </w:t>
      </w:r>
      <w:r>
        <w:rPr>
          <w:lang w:val="es-CR"/>
        </w:rPr>
        <w:tab/>
      </w:r>
      <w:r w:rsidRPr="007B43FC">
        <w:rPr>
          <w:i/>
          <w:lang w:val="es-CR"/>
        </w:rPr>
        <w:t>Caso Valencia Hinojosa y otra Vs. Ecuador. Excepciones Preliminares, Fondo, Reparaciones y Costas.</w:t>
      </w:r>
      <w:r w:rsidRPr="007B43FC">
        <w:rPr>
          <w:lang w:val="es-CR"/>
        </w:rPr>
        <w:t xml:space="preserve"> Sentencia de 29 de noviembre de 2016. Serie C No. 327, p</w:t>
      </w:r>
      <w:r w:rsidRPr="007B43FC">
        <w:rPr>
          <w:rFonts w:cs="Calibri"/>
          <w:lang w:val="es-CR"/>
        </w:rPr>
        <w:t>á</w:t>
      </w:r>
      <w:r w:rsidRPr="007B43FC">
        <w:rPr>
          <w:lang w:val="es-CR"/>
        </w:rPr>
        <w:t xml:space="preserve">rr. </w:t>
      </w:r>
      <w:r w:rsidRPr="00523E73">
        <w:rPr>
          <w:lang w:val="es-CR"/>
        </w:rPr>
        <w:t>132</w:t>
      </w:r>
      <w:r w:rsidRPr="00523E73">
        <w:rPr>
          <w:i/>
          <w:lang w:val="es-CR"/>
        </w:rPr>
        <w:t xml:space="preserve">. Mutatis </w:t>
      </w:r>
      <w:proofErr w:type="spellStart"/>
      <w:r w:rsidRPr="00523E73">
        <w:rPr>
          <w:i/>
          <w:lang w:val="es-CR"/>
        </w:rPr>
        <w:t>mutandi</w:t>
      </w:r>
      <w:proofErr w:type="spellEnd"/>
      <w:r w:rsidRPr="00523E73">
        <w:rPr>
          <w:i/>
          <w:lang w:val="es-CR"/>
        </w:rPr>
        <w:t>,</w:t>
      </w:r>
      <w:r w:rsidRPr="007B43FC">
        <w:rPr>
          <w:lang w:val="es-CR"/>
        </w:rPr>
        <w:t xml:space="preserve"> </w:t>
      </w:r>
      <w:r w:rsidRPr="007B43FC">
        <w:rPr>
          <w:i/>
          <w:iCs/>
          <w:lang w:val="es-CR"/>
        </w:rPr>
        <w:t>Caso Gonz</w:t>
      </w:r>
      <w:r w:rsidRPr="007B43FC">
        <w:rPr>
          <w:rFonts w:cs="Calibri"/>
          <w:i/>
          <w:iCs/>
          <w:lang w:val="es-CR"/>
        </w:rPr>
        <w:t>á</w:t>
      </w:r>
      <w:r w:rsidRPr="007B43FC">
        <w:rPr>
          <w:i/>
          <w:iCs/>
          <w:lang w:val="es-CR"/>
        </w:rPr>
        <w:t>lez y otras (“Campo Algodonero”) Vs. M</w:t>
      </w:r>
      <w:r w:rsidRPr="007B43FC">
        <w:rPr>
          <w:rFonts w:cs="Calibri"/>
          <w:i/>
          <w:iCs/>
          <w:lang w:val="es-CR"/>
        </w:rPr>
        <w:t>é</w:t>
      </w:r>
      <w:r w:rsidRPr="007B43FC">
        <w:rPr>
          <w:i/>
          <w:iCs/>
          <w:lang w:val="es-CR"/>
        </w:rPr>
        <w:t>xico</w:t>
      </w:r>
      <w:r w:rsidRPr="005A2709">
        <w:rPr>
          <w:i/>
          <w:iCs/>
          <w:lang w:val="es-CR"/>
        </w:rPr>
        <w:t>.</w:t>
      </w:r>
      <w:r w:rsidRPr="005A2709">
        <w:rPr>
          <w:lang w:val="es-CR"/>
        </w:rPr>
        <w:t>, p</w:t>
      </w:r>
      <w:r w:rsidRPr="005A2709">
        <w:rPr>
          <w:rFonts w:cs="Calibri"/>
          <w:lang w:val="es-CR"/>
        </w:rPr>
        <w:t>á</w:t>
      </w:r>
      <w:r w:rsidRPr="005A2709">
        <w:rPr>
          <w:lang w:val="es-CR"/>
        </w:rPr>
        <w:t xml:space="preserve">rr. 242.  </w:t>
      </w:r>
    </w:p>
  </w:footnote>
  <w:footnote w:id="190">
    <w:p w14:paraId="5B02ACB1" w14:textId="0CC25036" w:rsidR="00E02FDB" w:rsidRPr="007B43FC" w:rsidRDefault="00E02FDB" w:rsidP="00942DF7">
      <w:pPr>
        <w:autoSpaceDE w:val="0"/>
        <w:autoSpaceDN w:val="0"/>
        <w:adjustRightInd w:val="0"/>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0874BF">
        <w:rPr>
          <w:rStyle w:val="Strong"/>
          <w:b w:val="0"/>
          <w:i/>
          <w:sz w:val="16"/>
          <w:szCs w:val="16"/>
          <w:lang w:val="es-CR"/>
        </w:rPr>
        <w:t>Ca</w:t>
      </w:r>
      <w:r>
        <w:rPr>
          <w:rStyle w:val="Strong"/>
          <w:b w:val="0"/>
          <w:i/>
          <w:sz w:val="16"/>
          <w:szCs w:val="16"/>
          <w:lang w:val="es-CR"/>
        </w:rPr>
        <w:t xml:space="preserve">so </w:t>
      </w:r>
      <w:proofErr w:type="spellStart"/>
      <w:r>
        <w:rPr>
          <w:rStyle w:val="Strong"/>
          <w:b w:val="0"/>
          <w:i/>
          <w:sz w:val="16"/>
          <w:szCs w:val="16"/>
          <w:lang w:val="es-CR"/>
        </w:rPr>
        <w:t>Kawas</w:t>
      </w:r>
      <w:proofErr w:type="spellEnd"/>
      <w:r>
        <w:rPr>
          <w:rStyle w:val="Strong"/>
          <w:b w:val="0"/>
          <w:i/>
          <w:sz w:val="16"/>
          <w:szCs w:val="16"/>
          <w:lang w:val="es-CR"/>
        </w:rPr>
        <w:t xml:space="preserve"> Fernández Vs. Honduras</w:t>
      </w:r>
      <w:r w:rsidRPr="000874BF">
        <w:rPr>
          <w:rStyle w:val="Strong"/>
          <w:b w:val="0"/>
          <w:sz w:val="16"/>
          <w:szCs w:val="16"/>
          <w:lang w:val="es-CR"/>
        </w:rPr>
        <w:t>, párr. 79.</w:t>
      </w:r>
      <w:r w:rsidRPr="007B43FC">
        <w:rPr>
          <w:sz w:val="16"/>
          <w:szCs w:val="16"/>
          <w:lang w:val="es-CR"/>
        </w:rPr>
        <w:t xml:space="preserve"> </w:t>
      </w:r>
    </w:p>
  </w:footnote>
  <w:footnote w:id="191">
    <w:p w14:paraId="108BFA42" w14:textId="18976E0D" w:rsidR="00E02FDB" w:rsidRPr="00BA5F04" w:rsidRDefault="00E02FDB" w:rsidP="00942DF7">
      <w:pPr>
        <w:pStyle w:val="FootnoteText"/>
      </w:pPr>
      <w:r>
        <w:rPr>
          <w:rStyle w:val="FootnoteReference"/>
        </w:rPr>
        <w:footnoteRef/>
      </w:r>
      <w:r>
        <w:t xml:space="preserve"> </w:t>
      </w:r>
      <w:r>
        <w:tab/>
      </w:r>
      <w:r w:rsidRPr="008A2AE0">
        <w:rPr>
          <w:i/>
        </w:rPr>
        <w:t>C</w:t>
      </w:r>
      <w:r>
        <w:rPr>
          <w:i/>
        </w:rPr>
        <w:t xml:space="preserve">fr. </w:t>
      </w:r>
      <w:r w:rsidRPr="00BA5F04">
        <w:rPr>
          <w:i/>
        </w:rPr>
        <w:t xml:space="preserve">Caso </w:t>
      </w:r>
      <w:proofErr w:type="spellStart"/>
      <w:r w:rsidRPr="00BA5F04">
        <w:rPr>
          <w:i/>
        </w:rPr>
        <w:t>Kawas</w:t>
      </w:r>
      <w:proofErr w:type="spellEnd"/>
      <w:r w:rsidRPr="00BA5F04">
        <w:rPr>
          <w:i/>
        </w:rPr>
        <w:t xml:space="preserve"> Ferná</w:t>
      </w:r>
      <w:r>
        <w:rPr>
          <w:i/>
        </w:rPr>
        <w:t>ndez Vs. Honduras</w:t>
      </w:r>
      <w:r>
        <w:t xml:space="preserve">, </w:t>
      </w:r>
      <w:proofErr w:type="spellStart"/>
      <w:r>
        <w:t>párrs</w:t>
      </w:r>
      <w:proofErr w:type="spellEnd"/>
      <w:r>
        <w:t xml:space="preserve">. </w:t>
      </w:r>
      <w:r w:rsidRPr="00F07B77">
        <w:t>95 a 99.</w:t>
      </w:r>
      <w:r>
        <w:t xml:space="preserve"> </w:t>
      </w:r>
    </w:p>
  </w:footnote>
  <w:footnote w:id="192">
    <w:p w14:paraId="784D56DB" w14:textId="3778D2DE" w:rsidR="00E02FDB" w:rsidRPr="00E91526" w:rsidRDefault="00E02FDB">
      <w:pPr>
        <w:pStyle w:val="FootnoteText"/>
      </w:pPr>
      <w:r w:rsidRPr="00E91526">
        <w:rPr>
          <w:rStyle w:val="FootnoteReference"/>
        </w:rPr>
        <w:footnoteRef/>
      </w:r>
      <w:r w:rsidRPr="00E91526">
        <w:t xml:space="preserve"> </w:t>
      </w:r>
      <w:r w:rsidRPr="00E91526">
        <w:tab/>
        <w:t>La señora María Regina Pacheco, quien al momento de los hechos se encontraba en Estados Unidos de América, en una declaración rendida ante COFADEH, refirió que “en las inmediaciones del sitio de los hechos se encontraban dos patrullas policiales y no detuvieron a los hombres que se transportaban a exceso de velocidad en el carro pick up”, sin dar explicación o indicación alguna de cómo se enteró de lo anterior (</w:t>
      </w:r>
      <w:r w:rsidRPr="00E91526">
        <w:rPr>
          <w:i/>
        </w:rPr>
        <w:t>Cfr</w:t>
      </w:r>
      <w:r w:rsidRPr="00E91526">
        <w:t>. Declaración de María Regina Pacheco rendida ante COFADEH el 6 de julio de 2004, expediente de pruebas, Anexo 9 al Informe de Fondo, fs. 376 a 377).</w:t>
      </w:r>
    </w:p>
  </w:footnote>
  <w:footnote w:id="193">
    <w:p w14:paraId="650C7F08" w14:textId="4139084E" w:rsidR="00E02FDB" w:rsidRPr="008A2AE0" w:rsidRDefault="00E02FDB" w:rsidP="00942DF7">
      <w:pPr>
        <w:pStyle w:val="FootnoteText"/>
      </w:pPr>
      <w:r>
        <w:rPr>
          <w:rStyle w:val="FootnoteReference"/>
        </w:rPr>
        <w:footnoteRef/>
      </w:r>
      <w:r>
        <w:t xml:space="preserve"> </w:t>
      </w:r>
      <w:r>
        <w:tab/>
        <w:t>La Corte ha indicado que “a fin de establecer si la responsabilidad internacional estatal se encuentra comprometida en un caso sometido a su conocimiento, debe determinar si hubo una conducta activa u omisiva de sus agentes” (</w:t>
      </w:r>
      <w:r w:rsidRPr="00A936F2">
        <w:rPr>
          <w:i/>
        </w:rPr>
        <w:t>Caso Fernández Ortega y otros Vs. México. Interpretación de la Sentencia de Excepción Preliminar, Fondo, Reparaciones y Costas.</w:t>
      </w:r>
      <w:r w:rsidRPr="000D199C">
        <w:t xml:space="preserve"> Sentencia de 15 d</w:t>
      </w:r>
      <w:r>
        <w:t xml:space="preserve">e mayo de 2011. Serie C No. 224, párr. 32). Asimismo, ha señalado que “el Estado responde por los actos de sus agentes realizados al amparo de su carácter oficial”, aún si “el órgano o funcionario […] </w:t>
      </w:r>
      <w:proofErr w:type="spellStart"/>
      <w:proofErr w:type="gramStart"/>
      <w:r>
        <w:t>act</w:t>
      </w:r>
      <w:proofErr w:type="spellEnd"/>
      <w:r>
        <w:t>[</w:t>
      </w:r>
      <w:proofErr w:type="spellStart"/>
      <w:proofErr w:type="gramEnd"/>
      <w:r>
        <w:t>úa</w:t>
      </w:r>
      <w:proofErr w:type="spellEnd"/>
      <w:r>
        <w:t>] en contravención de disposiciones de derecho interno o desbordando los límites de su propia competencia” (C</w:t>
      </w:r>
      <w:r w:rsidRPr="00A936F2">
        <w:rPr>
          <w:i/>
        </w:rPr>
        <w:t>aso Velásque</w:t>
      </w:r>
      <w:r>
        <w:rPr>
          <w:i/>
        </w:rPr>
        <w:t>z Rodríguez Vs. Honduras. Fondo</w:t>
      </w:r>
      <w:r>
        <w:t xml:space="preserve">, párr. 170). </w:t>
      </w:r>
    </w:p>
  </w:footnote>
  <w:footnote w:id="194">
    <w:p w14:paraId="26BCD89F" w14:textId="075FEEB2" w:rsidR="00E02FDB" w:rsidRPr="00523E73" w:rsidRDefault="00E02FDB" w:rsidP="00942DF7">
      <w:pPr>
        <w:pStyle w:val="FootnoteText"/>
        <w:spacing w:line="276" w:lineRule="auto"/>
        <w:rPr>
          <w:lang w:val="es-CR"/>
        </w:rPr>
      </w:pPr>
      <w:r w:rsidRPr="007B43FC">
        <w:rPr>
          <w:rStyle w:val="FootnoteReference"/>
        </w:rPr>
        <w:footnoteRef/>
      </w:r>
      <w:r w:rsidRPr="007B43FC">
        <w:rPr>
          <w:lang w:val="es-CR"/>
        </w:rPr>
        <w:t xml:space="preserve"> </w:t>
      </w:r>
      <w:r>
        <w:rPr>
          <w:lang w:val="es-CR"/>
        </w:rPr>
        <w:tab/>
      </w:r>
      <w:r w:rsidRPr="00523E73">
        <w:rPr>
          <w:i/>
          <w:lang w:val="es-CR"/>
        </w:rPr>
        <w:t>Caso</w:t>
      </w:r>
      <w:r w:rsidRPr="00523E73">
        <w:rPr>
          <w:lang w:val="es-CR"/>
        </w:rPr>
        <w:t xml:space="preserve"> </w:t>
      </w:r>
      <w:proofErr w:type="spellStart"/>
      <w:r w:rsidRPr="00523E73">
        <w:rPr>
          <w:i/>
          <w:iCs/>
          <w:lang w:val="es-CR"/>
        </w:rPr>
        <w:t>Yatama</w:t>
      </w:r>
      <w:proofErr w:type="spellEnd"/>
      <w:r w:rsidRPr="00523E73">
        <w:rPr>
          <w:i/>
          <w:iCs/>
          <w:lang w:val="es-CR"/>
        </w:rPr>
        <w:t xml:space="preserve"> Vs. Nicaragua</w:t>
      </w:r>
      <w:r w:rsidRPr="00523E73">
        <w:rPr>
          <w:lang w:val="es-CR"/>
        </w:rPr>
        <w:t>, p</w:t>
      </w:r>
      <w:r w:rsidRPr="00523E73">
        <w:rPr>
          <w:rFonts w:cs="Calibri"/>
          <w:lang w:val="es-CR"/>
        </w:rPr>
        <w:t>á</w:t>
      </w:r>
      <w:r w:rsidRPr="00523E73">
        <w:rPr>
          <w:lang w:val="es-CR"/>
        </w:rPr>
        <w:t xml:space="preserve">rr. 20, y Caso </w:t>
      </w:r>
      <w:r w:rsidRPr="00523E73">
        <w:rPr>
          <w:i/>
          <w:lang w:val="es-CR"/>
        </w:rPr>
        <w:t>Luna L</w:t>
      </w:r>
      <w:r w:rsidRPr="00523E73">
        <w:rPr>
          <w:rFonts w:cs="Calibri"/>
          <w:i/>
          <w:lang w:val="es-CR"/>
        </w:rPr>
        <w:t>ó</w:t>
      </w:r>
      <w:r w:rsidRPr="00523E73">
        <w:rPr>
          <w:i/>
          <w:lang w:val="es-CR"/>
        </w:rPr>
        <w:t xml:space="preserve">pez vs. Honduras, </w:t>
      </w:r>
      <w:r w:rsidRPr="00523E73">
        <w:rPr>
          <w:lang w:val="es-CR"/>
        </w:rPr>
        <w:t>p</w:t>
      </w:r>
      <w:r w:rsidRPr="00523E73">
        <w:rPr>
          <w:rFonts w:cs="Calibri"/>
          <w:lang w:val="es-CR"/>
        </w:rPr>
        <w:t>á</w:t>
      </w:r>
      <w:r w:rsidRPr="00523E73">
        <w:rPr>
          <w:lang w:val="es-CR"/>
        </w:rPr>
        <w:t xml:space="preserve">rr. 142. </w:t>
      </w:r>
    </w:p>
  </w:footnote>
  <w:footnote w:id="195">
    <w:p w14:paraId="7D843617" w14:textId="11312C9E" w:rsidR="00E02FDB" w:rsidRPr="00523E73" w:rsidRDefault="00E02FDB" w:rsidP="007B43FC">
      <w:pPr>
        <w:pStyle w:val="FootnoteText"/>
        <w:rPr>
          <w:lang w:val="es-CR"/>
        </w:rPr>
      </w:pPr>
      <w:r w:rsidRPr="00523E73">
        <w:rPr>
          <w:rStyle w:val="FootnoteReference"/>
        </w:rPr>
        <w:footnoteRef/>
      </w:r>
      <w:r w:rsidRPr="00523E73">
        <w:rPr>
          <w:lang w:val="es-CR"/>
        </w:rPr>
        <w:t xml:space="preserve"> </w:t>
      </w:r>
      <w:r w:rsidRPr="00523E73">
        <w:rPr>
          <w:lang w:val="es-CR"/>
        </w:rPr>
        <w:tab/>
      </w:r>
      <w:r w:rsidRPr="00523E73">
        <w:rPr>
          <w:i/>
          <w:iCs/>
          <w:lang w:val="es-CR"/>
        </w:rPr>
        <w:t>Caso de la Masacre de Pueblo Bello Vs. Colombia</w:t>
      </w:r>
      <w:r w:rsidRPr="00523E73">
        <w:rPr>
          <w:lang w:val="es-CR"/>
        </w:rPr>
        <w:t>, p</w:t>
      </w:r>
      <w:r w:rsidRPr="00523E73">
        <w:rPr>
          <w:rFonts w:cs="Calibri"/>
          <w:lang w:val="es-CR"/>
        </w:rPr>
        <w:t>á</w:t>
      </w:r>
      <w:r w:rsidRPr="00523E73">
        <w:rPr>
          <w:lang w:val="es-CR"/>
        </w:rPr>
        <w:t xml:space="preserve">rr. 111, y </w:t>
      </w:r>
      <w:r w:rsidRPr="00523E73">
        <w:rPr>
          <w:i/>
          <w:iCs/>
          <w:lang w:val="es-CR"/>
        </w:rPr>
        <w:t>Caso Ortiz Hernández y otros Vs. Venezuela</w:t>
      </w:r>
      <w:r w:rsidRPr="00523E73">
        <w:rPr>
          <w:lang w:val="es-CR"/>
        </w:rPr>
        <w:t>, p</w:t>
      </w:r>
      <w:r w:rsidRPr="00523E73">
        <w:rPr>
          <w:rFonts w:cs="Calibri"/>
          <w:lang w:val="es-CR"/>
        </w:rPr>
        <w:t>á</w:t>
      </w:r>
      <w:r w:rsidRPr="00523E73">
        <w:rPr>
          <w:lang w:val="es-CR"/>
        </w:rPr>
        <w:t xml:space="preserve">rr. 110.  </w:t>
      </w:r>
    </w:p>
  </w:footnote>
  <w:footnote w:id="196">
    <w:p w14:paraId="541C1427" w14:textId="4A94EEDC" w:rsidR="00E02FDB" w:rsidRPr="007B43FC"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FE315C">
        <w:rPr>
          <w:i/>
          <w:iCs/>
          <w:lang w:val="es-CR"/>
        </w:rPr>
        <w:t>Caso Vel</w:t>
      </w:r>
      <w:r w:rsidRPr="009D1972">
        <w:rPr>
          <w:rFonts w:cs="Calibri"/>
          <w:i/>
          <w:iCs/>
          <w:lang w:val="es-CR"/>
        </w:rPr>
        <w:t>á</w:t>
      </w:r>
      <w:r w:rsidRPr="009D1972">
        <w:rPr>
          <w:i/>
          <w:iCs/>
          <w:lang w:val="es-CR"/>
        </w:rPr>
        <w:t>squez Rodr</w:t>
      </w:r>
      <w:r w:rsidRPr="00960FDC">
        <w:rPr>
          <w:rFonts w:cs="Calibri"/>
          <w:i/>
          <w:iCs/>
          <w:lang w:val="es-CR"/>
        </w:rPr>
        <w:t>í</w:t>
      </w:r>
      <w:r>
        <w:rPr>
          <w:i/>
          <w:iCs/>
          <w:lang w:val="es-CR"/>
        </w:rPr>
        <w:t>guez Vs. Honduras. Fondo,</w:t>
      </w:r>
      <w:r w:rsidRPr="00047AE7">
        <w:rPr>
          <w:lang w:val="es-CR"/>
        </w:rPr>
        <w:t xml:space="preserve"> p</w:t>
      </w:r>
      <w:r w:rsidRPr="00BB2662">
        <w:rPr>
          <w:rFonts w:cs="Calibri"/>
          <w:lang w:val="es-CR"/>
        </w:rPr>
        <w:t>á</w:t>
      </w:r>
      <w:r w:rsidRPr="00BB2662">
        <w:rPr>
          <w:lang w:val="es-CR"/>
        </w:rPr>
        <w:t>rr. 166</w:t>
      </w:r>
      <w:r w:rsidRPr="002035FF">
        <w:rPr>
          <w:lang w:val="es-CR"/>
        </w:rPr>
        <w:t>, y</w:t>
      </w:r>
      <w:r w:rsidRPr="007B43FC">
        <w:rPr>
          <w:lang w:val="es-CR"/>
        </w:rPr>
        <w:t xml:space="preserve"> </w:t>
      </w:r>
      <w:r w:rsidRPr="007B43FC">
        <w:rPr>
          <w:i/>
          <w:iCs/>
          <w:lang w:val="es-CR"/>
        </w:rPr>
        <w:t xml:space="preserve">Caso </w:t>
      </w:r>
      <w:proofErr w:type="spellStart"/>
      <w:r w:rsidRPr="00523E73">
        <w:rPr>
          <w:i/>
          <w:iCs/>
          <w:lang w:val="es-CR"/>
        </w:rPr>
        <w:t>Yarce</w:t>
      </w:r>
      <w:proofErr w:type="spellEnd"/>
      <w:r w:rsidRPr="00523E73">
        <w:rPr>
          <w:i/>
          <w:iCs/>
          <w:lang w:val="es-CR"/>
        </w:rPr>
        <w:t xml:space="preserve"> y Otras Vs. Colombia</w:t>
      </w:r>
      <w:r w:rsidRPr="00523E73">
        <w:rPr>
          <w:lang w:val="es-CR"/>
        </w:rPr>
        <w:t>, p</w:t>
      </w:r>
      <w:r w:rsidRPr="00523E73">
        <w:rPr>
          <w:rFonts w:cs="Calibri"/>
          <w:lang w:val="es-CR"/>
        </w:rPr>
        <w:t>á</w:t>
      </w:r>
      <w:r w:rsidRPr="00523E73">
        <w:rPr>
          <w:lang w:val="es-CR"/>
        </w:rPr>
        <w:t xml:space="preserve">rr. 181. </w:t>
      </w:r>
      <w:r w:rsidRPr="007B43FC">
        <w:rPr>
          <w:lang w:val="es-CR"/>
        </w:rPr>
        <w:t xml:space="preserve"> </w:t>
      </w:r>
    </w:p>
  </w:footnote>
  <w:footnote w:id="197">
    <w:p w14:paraId="543E097D" w14:textId="509E94EE" w:rsidR="00E02FDB" w:rsidRPr="007B43FC" w:rsidRDefault="00E02FDB" w:rsidP="007B43FC">
      <w:pPr>
        <w:pStyle w:val="FootnoteText"/>
        <w:spacing w:line="276" w:lineRule="auto"/>
        <w:rPr>
          <w:lang w:val="es-CR"/>
        </w:rPr>
      </w:pPr>
      <w:r w:rsidRPr="00FD4CD3">
        <w:rPr>
          <w:rStyle w:val="FootnoteReference"/>
        </w:rPr>
        <w:footnoteRef/>
      </w:r>
      <w:r w:rsidRPr="00FD4CD3">
        <w:rPr>
          <w:lang w:val="es-CR"/>
        </w:rPr>
        <w:t xml:space="preserve"> </w:t>
      </w:r>
      <w:r>
        <w:rPr>
          <w:lang w:val="es-CR"/>
        </w:rPr>
        <w:tab/>
      </w:r>
      <w:r>
        <w:rPr>
          <w:i/>
          <w:lang w:val="es-CR"/>
        </w:rPr>
        <w:t xml:space="preserve">Caso </w:t>
      </w:r>
      <w:proofErr w:type="spellStart"/>
      <w:r>
        <w:rPr>
          <w:i/>
          <w:lang w:val="es-CR"/>
        </w:rPr>
        <w:t>Yatama</w:t>
      </w:r>
      <w:proofErr w:type="spellEnd"/>
      <w:r>
        <w:rPr>
          <w:i/>
          <w:lang w:val="es-CR"/>
        </w:rPr>
        <w:t xml:space="preserve"> V</w:t>
      </w:r>
      <w:r w:rsidRPr="00FD4CD3">
        <w:rPr>
          <w:i/>
          <w:lang w:val="es-CR"/>
        </w:rPr>
        <w:t>s. Nicaragua</w:t>
      </w:r>
      <w:r w:rsidRPr="00FD4CD3">
        <w:rPr>
          <w:lang w:val="es-CR"/>
        </w:rPr>
        <w:t>,</w:t>
      </w:r>
      <w:r w:rsidRPr="00C438C1">
        <w:rPr>
          <w:lang w:val="es-CR"/>
        </w:rPr>
        <w:t xml:space="preserve"> p</w:t>
      </w:r>
      <w:r w:rsidRPr="00C438C1">
        <w:rPr>
          <w:rFonts w:cs="Calibri"/>
          <w:lang w:val="es-CR"/>
        </w:rPr>
        <w:t>á</w:t>
      </w:r>
      <w:r w:rsidRPr="00C438C1">
        <w:rPr>
          <w:lang w:val="es-CR"/>
        </w:rPr>
        <w:t>rr. 195.</w:t>
      </w:r>
    </w:p>
  </w:footnote>
  <w:footnote w:id="198">
    <w:p w14:paraId="1444EE17" w14:textId="2FF6F075" w:rsidR="00E02FDB" w:rsidRPr="000C41F4" w:rsidRDefault="00E02FDB" w:rsidP="00942DF7">
      <w:pPr>
        <w:pStyle w:val="FootnoteText"/>
      </w:pPr>
      <w:r>
        <w:rPr>
          <w:rStyle w:val="FootnoteReference"/>
        </w:rPr>
        <w:footnoteRef/>
      </w:r>
      <w:r>
        <w:t xml:space="preserve"> </w:t>
      </w:r>
      <w:r>
        <w:tab/>
      </w:r>
      <w:r w:rsidRPr="000C41F4">
        <w:rPr>
          <w:i/>
        </w:rPr>
        <w:t>Caso Ma</w:t>
      </w:r>
      <w:r>
        <w:rPr>
          <w:i/>
        </w:rPr>
        <w:t>nuel Cepeda Vargas Vs. Colombia</w:t>
      </w:r>
      <w:r>
        <w:t xml:space="preserve">, párr. 100. </w:t>
      </w:r>
    </w:p>
  </w:footnote>
  <w:footnote w:id="199">
    <w:p w14:paraId="336E9829" w14:textId="6EC456D5" w:rsidR="00E02FDB" w:rsidRPr="000C41F4" w:rsidRDefault="00E02FDB" w:rsidP="00942DF7">
      <w:pPr>
        <w:pStyle w:val="FootnoteText"/>
        <w:rPr>
          <w:lang w:val="es-CR"/>
        </w:rPr>
      </w:pPr>
      <w:r>
        <w:rPr>
          <w:rStyle w:val="FootnoteReference"/>
        </w:rPr>
        <w:footnoteRef/>
      </w:r>
      <w:r>
        <w:t xml:space="preserve"> </w:t>
      </w:r>
      <w:r>
        <w:tab/>
      </w:r>
      <w:r w:rsidRPr="000C41F4">
        <w:rPr>
          <w:i/>
        </w:rPr>
        <w:t>Caso Defensor de Derechos Humanos y otros Vs. Guatemala. Excepciones Preliminares, Fondo, Reparaciones y Costas.</w:t>
      </w:r>
      <w:r w:rsidRPr="000C41F4">
        <w:t xml:space="preserve"> Sentencia de 28 de </w:t>
      </w:r>
      <w:r>
        <w:t xml:space="preserve">agosto de 2014. Serie C No. 283, párr. 142. La Corte indicó también que los Estados </w:t>
      </w:r>
      <w:proofErr w:type="gramStart"/>
      <w:r>
        <w:t>deben ”</w:t>
      </w:r>
      <w:proofErr w:type="gramEnd"/>
      <w:r w:rsidRPr="000C41F4">
        <w:t xml:space="preserve">investigar seria y eficazmente las violaciones cometidas en </w:t>
      </w:r>
      <w:r>
        <w:t>[…] contra de [</w:t>
      </w:r>
      <w:r w:rsidRPr="000C41F4">
        <w:rPr>
          <w:lang w:val="es-CR" w:eastAsia="es-MX"/>
        </w:rPr>
        <w:t>personas defensoras de derechos humanos o que cumplan una función pública respecto de la cual se encuentren amenazados</w:t>
      </w:r>
      <w:r>
        <w:t xml:space="preserve"> ]”, cuestión que respecto al caso del señor Pacheco ya fue analizada (</w:t>
      </w:r>
      <w:r w:rsidRPr="0083028B">
        <w:rPr>
          <w:i/>
        </w:rPr>
        <w:t>supra</w:t>
      </w:r>
      <w:r w:rsidRPr="0083028B">
        <w:t xml:space="preserve"> Capítulo VI.1</w:t>
      </w:r>
      <w:r>
        <w:t xml:space="preserve"> ).</w:t>
      </w:r>
    </w:p>
  </w:footnote>
  <w:footnote w:id="200">
    <w:p w14:paraId="34D03264" w14:textId="5ED377C7" w:rsidR="00E02FDB" w:rsidRPr="000C41F4" w:rsidRDefault="00E02FDB" w:rsidP="00942DF7">
      <w:pPr>
        <w:pStyle w:val="FootnoteText"/>
      </w:pPr>
      <w:r>
        <w:rPr>
          <w:rStyle w:val="FootnoteReference"/>
        </w:rPr>
        <w:footnoteRef/>
      </w:r>
      <w:r>
        <w:t xml:space="preserve"> </w:t>
      </w:r>
      <w:r>
        <w:tab/>
        <w:t xml:space="preserve">Carta Democrática Interamericana, adoptada por la Asamblea General de la Organización de Estados Americanos el 11 de septiembre de 2001, artículo 23. </w:t>
      </w:r>
    </w:p>
  </w:footnote>
  <w:footnote w:id="201">
    <w:p w14:paraId="057FCEA5" w14:textId="1B5DADF6" w:rsidR="00E02FDB" w:rsidRPr="007B06E9" w:rsidRDefault="00E02FDB">
      <w:pPr>
        <w:pStyle w:val="FootnoteText"/>
      </w:pPr>
      <w:r>
        <w:rPr>
          <w:rStyle w:val="FootnoteReference"/>
        </w:rPr>
        <w:footnoteRef/>
      </w:r>
      <w:r>
        <w:t xml:space="preserve"> </w:t>
      </w:r>
      <w:r>
        <w:tab/>
      </w:r>
      <w:r w:rsidRPr="00523E73">
        <w:rPr>
          <w:i/>
        </w:rPr>
        <w:t xml:space="preserve">Cfr. </w:t>
      </w:r>
      <w:proofErr w:type="spellStart"/>
      <w:r w:rsidRPr="00523E73">
        <w:rPr>
          <w:i/>
        </w:rPr>
        <w:t>mutanti</w:t>
      </w:r>
      <w:proofErr w:type="spellEnd"/>
      <w:r w:rsidRPr="00523E73">
        <w:rPr>
          <w:i/>
        </w:rPr>
        <w:t xml:space="preserve"> </w:t>
      </w:r>
      <w:proofErr w:type="spellStart"/>
      <w:r w:rsidRPr="00523E73">
        <w:rPr>
          <w:i/>
        </w:rPr>
        <w:t>mutan</w:t>
      </w:r>
      <w:r>
        <w:rPr>
          <w:i/>
        </w:rPr>
        <w:t>d</w:t>
      </w:r>
      <w:r w:rsidRPr="00523E73">
        <w:rPr>
          <w:i/>
        </w:rPr>
        <w:t>i</w:t>
      </w:r>
      <w:proofErr w:type="spellEnd"/>
      <w:r w:rsidRPr="00523E73">
        <w:rPr>
          <w:i/>
        </w:rPr>
        <w:t>,</w:t>
      </w:r>
      <w:r w:rsidRPr="00523E73">
        <w:t xml:space="preserve"> </w:t>
      </w:r>
      <w:r w:rsidRPr="00523E73">
        <w:rPr>
          <w:i/>
          <w:lang w:val="es-CR"/>
        </w:rPr>
        <w:t>Caso</w:t>
      </w:r>
      <w:r w:rsidRPr="00523E73">
        <w:rPr>
          <w:lang w:val="es-CR"/>
        </w:rPr>
        <w:t xml:space="preserve"> </w:t>
      </w:r>
      <w:proofErr w:type="spellStart"/>
      <w:r w:rsidRPr="00523E73">
        <w:rPr>
          <w:i/>
          <w:iCs/>
          <w:lang w:val="es-CR"/>
        </w:rPr>
        <w:t>Yatama</w:t>
      </w:r>
      <w:proofErr w:type="spellEnd"/>
      <w:r w:rsidRPr="00523E73">
        <w:rPr>
          <w:i/>
          <w:iCs/>
          <w:lang w:val="es-CR"/>
        </w:rPr>
        <w:t xml:space="preserve"> Vs. Nicaragua</w:t>
      </w:r>
      <w:r w:rsidRPr="00523E73">
        <w:rPr>
          <w:lang w:val="es-CR"/>
        </w:rPr>
        <w:t xml:space="preserve">, </w:t>
      </w:r>
      <w:proofErr w:type="spellStart"/>
      <w:r w:rsidRPr="00523E73">
        <w:rPr>
          <w:lang w:val="es-CR"/>
        </w:rPr>
        <w:t>p</w:t>
      </w:r>
      <w:r w:rsidRPr="00523E73">
        <w:rPr>
          <w:rFonts w:cs="Calibri"/>
          <w:lang w:val="es-CR"/>
        </w:rPr>
        <w:t>á</w:t>
      </w:r>
      <w:r w:rsidRPr="00523E73">
        <w:rPr>
          <w:lang w:val="es-CR"/>
        </w:rPr>
        <w:t>rrs</w:t>
      </w:r>
      <w:proofErr w:type="spellEnd"/>
      <w:r w:rsidRPr="00523E73">
        <w:rPr>
          <w:lang w:val="es-CR"/>
        </w:rPr>
        <w:t>. 194 y 195.</w:t>
      </w:r>
      <w:r w:rsidRPr="000874BF">
        <w:rPr>
          <w:lang w:val="es-CR"/>
        </w:rPr>
        <w:t xml:space="preserve"> </w:t>
      </w:r>
    </w:p>
  </w:footnote>
  <w:footnote w:id="202">
    <w:p w14:paraId="6AFEDAC5" w14:textId="3168141E" w:rsidR="00E02FDB" w:rsidRPr="007B43FC" w:rsidRDefault="00E02FDB" w:rsidP="007B43FC">
      <w:pPr>
        <w:pStyle w:val="FootnoteText"/>
        <w:spacing w:line="276" w:lineRule="auto"/>
        <w:rPr>
          <w:lang w:val="es-CR"/>
        </w:rPr>
      </w:pPr>
      <w:r w:rsidRPr="007B43FC">
        <w:rPr>
          <w:rStyle w:val="FootnoteReference"/>
        </w:rPr>
        <w:footnoteRef/>
      </w:r>
      <w:r w:rsidRPr="007B43FC">
        <w:rPr>
          <w:lang w:val="es-CR"/>
        </w:rPr>
        <w:t xml:space="preserve"> </w:t>
      </w:r>
      <w:r>
        <w:rPr>
          <w:lang w:val="es-CR"/>
        </w:rPr>
        <w:tab/>
      </w:r>
      <w:r w:rsidRPr="007B43FC">
        <w:rPr>
          <w:i/>
          <w:iCs/>
          <w:lang w:val="es-CR"/>
        </w:rPr>
        <w:t xml:space="preserve">Caso de la </w:t>
      </w:r>
      <w:r w:rsidRPr="00F07B77">
        <w:rPr>
          <w:i/>
          <w:iCs/>
          <w:lang w:val="es-CR"/>
        </w:rPr>
        <w:t>Masacre de Pueblo Bello Vs. Colombia</w:t>
      </w:r>
      <w:r w:rsidRPr="00F07B77">
        <w:rPr>
          <w:lang w:val="es-CR"/>
        </w:rPr>
        <w:t>.</w:t>
      </w:r>
      <w:r w:rsidRPr="00F07B77">
        <w:rPr>
          <w:iCs/>
          <w:lang w:val="es-CR"/>
        </w:rPr>
        <w:t xml:space="preserve">, </w:t>
      </w:r>
      <w:r w:rsidRPr="00F07B77">
        <w:rPr>
          <w:lang w:val="es-CR"/>
        </w:rPr>
        <w:t>p</w:t>
      </w:r>
      <w:r w:rsidRPr="00F07B77">
        <w:rPr>
          <w:rFonts w:cs="Calibri"/>
          <w:lang w:val="es-CR"/>
        </w:rPr>
        <w:t>á</w:t>
      </w:r>
      <w:r>
        <w:rPr>
          <w:lang w:val="es-CR"/>
        </w:rPr>
        <w:t>rr. 123, y</w:t>
      </w:r>
      <w:r w:rsidRPr="00F07B77">
        <w:rPr>
          <w:lang w:val="es-CR"/>
        </w:rPr>
        <w:t xml:space="preserve"> </w:t>
      </w:r>
      <w:r w:rsidRPr="00F07B77">
        <w:rPr>
          <w:i/>
          <w:iCs/>
          <w:lang w:val="es-CR"/>
        </w:rPr>
        <w:t>Ca</w:t>
      </w:r>
      <w:r>
        <w:rPr>
          <w:i/>
          <w:iCs/>
          <w:lang w:val="es-CR"/>
        </w:rPr>
        <w:t>so Gutiérrez Hernández y otros V</w:t>
      </w:r>
      <w:r w:rsidRPr="00F07B77">
        <w:rPr>
          <w:i/>
          <w:iCs/>
          <w:lang w:val="es-CR"/>
        </w:rPr>
        <w:t>s. Guatemala</w:t>
      </w:r>
      <w:r w:rsidRPr="00F07B77">
        <w:rPr>
          <w:rStyle w:val="Strong"/>
          <w:color w:val="000000"/>
          <w:shd w:val="clear" w:color="auto" w:fill="FFFFFF"/>
          <w:lang w:val="es-CR"/>
        </w:rPr>
        <w:t xml:space="preserve">, </w:t>
      </w:r>
      <w:r w:rsidRPr="00F07B77">
        <w:rPr>
          <w:lang w:val="es-CR"/>
        </w:rPr>
        <w:t>p</w:t>
      </w:r>
      <w:r w:rsidRPr="00F07B77">
        <w:rPr>
          <w:rFonts w:cs="Calibri"/>
          <w:lang w:val="es-CR"/>
        </w:rPr>
        <w:t>á</w:t>
      </w:r>
      <w:r w:rsidRPr="00F07B77">
        <w:rPr>
          <w:lang w:val="es-CR"/>
        </w:rPr>
        <w:t>rr. 140.</w:t>
      </w:r>
    </w:p>
  </w:footnote>
  <w:footnote w:id="203">
    <w:p w14:paraId="1B7E4035" w14:textId="2B095482" w:rsidR="00E02FDB" w:rsidRDefault="00E02FDB" w:rsidP="00F63539">
      <w:pPr>
        <w:pStyle w:val="FootnoteText"/>
      </w:pPr>
      <w:r>
        <w:rPr>
          <w:rStyle w:val="FootnoteReference"/>
        </w:rPr>
        <w:footnoteRef/>
      </w:r>
      <w:r>
        <w:t xml:space="preserve"> </w:t>
      </w:r>
      <w:r>
        <w:tab/>
        <w:t>Coadyuva a tal entendimiento la circunstancia de que no consta que el señor Pacheco haya entendido necesario requerir protección estatal y que solo un día antes de su muerte requirió protección privada.</w:t>
      </w:r>
    </w:p>
  </w:footnote>
  <w:footnote w:id="204">
    <w:p w14:paraId="252B4EA6" w14:textId="147C6F2B" w:rsidR="00E02FDB" w:rsidRDefault="00E02FDB" w:rsidP="00F63539">
      <w:pPr>
        <w:autoSpaceDE w:val="0"/>
        <w:autoSpaceDN w:val="0"/>
        <w:adjustRightInd w:val="0"/>
        <w:rPr>
          <w:sz w:val="16"/>
          <w:szCs w:val="16"/>
          <w:lang w:val="es-CR"/>
        </w:rPr>
      </w:pPr>
      <w:r>
        <w:rPr>
          <w:sz w:val="16"/>
          <w:szCs w:val="16"/>
          <w:vertAlign w:val="superscript"/>
        </w:rPr>
        <w:footnoteRef/>
      </w:r>
      <w:r>
        <w:rPr>
          <w:rFonts w:eastAsia="Verdana" w:cs="Verdana"/>
          <w:sz w:val="16"/>
          <w:szCs w:val="16"/>
        </w:rPr>
        <w:t xml:space="preserve"> </w:t>
      </w:r>
      <w:r>
        <w:rPr>
          <w:rFonts w:eastAsia="Verdana" w:cs="Verdana"/>
          <w:sz w:val="16"/>
          <w:szCs w:val="16"/>
        </w:rPr>
        <w:tab/>
      </w:r>
      <w:r>
        <w:rPr>
          <w:rFonts w:cs="Verdana"/>
          <w:sz w:val="16"/>
          <w:szCs w:val="16"/>
        </w:rPr>
        <w:t>Al respecto, la Comisión explicó que “[a]</w:t>
      </w:r>
      <w:proofErr w:type="spellStart"/>
      <w:r>
        <w:rPr>
          <w:rFonts w:cs="Verdana"/>
          <w:sz w:val="16"/>
          <w:szCs w:val="16"/>
        </w:rPr>
        <w:t>unque</w:t>
      </w:r>
      <w:proofErr w:type="spellEnd"/>
      <w:r>
        <w:rPr>
          <w:rFonts w:cs="Verdana"/>
          <w:sz w:val="16"/>
          <w:szCs w:val="16"/>
        </w:rPr>
        <w:t xml:space="preserve"> no se cuenta con información detallada sobre el contenido y origen de estas amenazas, […] al menos algunas de ellas podrían considerarse como vinculadas con la muerte de Ángel Pacheco León [y que la] situación de inseguridad, la cual se [habría] </w:t>
      </w:r>
      <w:proofErr w:type="spellStart"/>
      <w:proofErr w:type="gramStart"/>
      <w:r>
        <w:rPr>
          <w:rFonts w:cs="Verdana"/>
          <w:sz w:val="16"/>
          <w:szCs w:val="16"/>
        </w:rPr>
        <w:t>manten</w:t>
      </w:r>
      <w:proofErr w:type="spellEnd"/>
      <w:r>
        <w:rPr>
          <w:rFonts w:cs="Verdana"/>
          <w:sz w:val="16"/>
          <w:szCs w:val="16"/>
        </w:rPr>
        <w:t>[</w:t>
      </w:r>
      <w:proofErr w:type="gramEnd"/>
      <w:r>
        <w:rPr>
          <w:rFonts w:cs="Verdana"/>
          <w:sz w:val="16"/>
          <w:szCs w:val="16"/>
        </w:rPr>
        <w:t xml:space="preserve">ido al menos hasta] octubre de 2014 […], ha tenido efectos en el núcleo familiar”. </w:t>
      </w:r>
    </w:p>
  </w:footnote>
  <w:footnote w:id="205">
    <w:p w14:paraId="6426F6EF" w14:textId="3B97FF19" w:rsidR="00E02FDB" w:rsidRDefault="00E02FDB" w:rsidP="00F63539">
      <w:pPr>
        <w:autoSpaceDE w:val="0"/>
        <w:autoSpaceDN w:val="0"/>
        <w:adjustRightInd w:val="0"/>
        <w:rPr>
          <w:rFonts w:eastAsiaTheme="minorHAnsi"/>
          <w:sz w:val="16"/>
          <w:szCs w:val="16"/>
        </w:rPr>
      </w:pPr>
      <w:r>
        <w:rPr>
          <w:rStyle w:val="FootnoteReference"/>
        </w:rPr>
        <w:footnoteRef/>
      </w:r>
      <w:r>
        <w:rPr>
          <w:sz w:val="16"/>
          <w:szCs w:val="16"/>
        </w:rPr>
        <w:t xml:space="preserve"> </w:t>
      </w:r>
      <w:r>
        <w:rPr>
          <w:sz w:val="16"/>
          <w:szCs w:val="16"/>
        </w:rPr>
        <w:tab/>
      </w:r>
      <w:r>
        <w:rPr>
          <w:sz w:val="16"/>
          <w:szCs w:val="16"/>
          <w:lang w:eastAsia="es-MX"/>
        </w:rPr>
        <w:t xml:space="preserve">Expresaron que los familiares del señor Pacheco </w:t>
      </w:r>
      <w:r>
        <w:rPr>
          <w:rFonts w:cs="Arial"/>
          <w:sz w:val="16"/>
          <w:szCs w:val="16"/>
        </w:rPr>
        <w:t>“se involucraron activamente en la búsqueda de justicia” y precisaron que “los hermanos [del señor Pacheco] que residen en los Estados Unidos realizaron muchas acciones desde ese país. […] Hicieron lo que podían para apoyar la investigación”.</w:t>
      </w:r>
    </w:p>
  </w:footnote>
  <w:footnote w:id="206">
    <w:p w14:paraId="052EE192" w14:textId="2CE5E0B7" w:rsidR="00E02FDB" w:rsidRPr="007B43FC" w:rsidRDefault="00E02FDB" w:rsidP="00C82C5A">
      <w:pPr>
        <w:autoSpaceDE w:val="0"/>
        <w:autoSpaceDN w:val="0"/>
        <w:adjustRightInd w:val="0"/>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rFonts w:cs="Arial"/>
          <w:sz w:val="16"/>
          <w:szCs w:val="16"/>
          <w:lang w:val="es-CR"/>
        </w:rPr>
        <w:t>Los representantes adujeron que “Jos</w:t>
      </w:r>
      <w:r w:rsidRPr="007B43FC">
        <w:rPr>
          <w:sz w:val="16"/>
          <w:szCs w:val="16"/>
          <w:lang w:val="es-CR"/>
        </w:rPr>
        <w:t>é</w:t>
      </w:r>
      <w:r w:rsidRPr="007B43FC">
        <w:rPr>
          <w:rFonts w:cs="Arial"/>
          <w:sz w:val="16"/>
          <w:szCs w:val="16"/>
          <w:lang w:val="es-CR"/>
        </w:rPr>
        <w:t xml:space="preserve"> Pacheco </w:t>
      </w:r>
      <w:proofErr w:type="spellStart"/>
      <w:r w:rsidRPr="007B43FC">
        <w:rPr>
          <w:rFonts w:cs="Arial"/>
          <w:sz w:val="16"/>
          <w:szCs w:val="16"/>
          <w:lang w:val="es-CR"/>
        </w:rPr>
        <w:t>solicit</w:t>
      </w:r>
      <w:proofErr w:type="spellEnd"/>
      <w:r w:rsidRPr="007B43FC">
        <w:rPr>
          <w:rFonts w:cs="Arial"/>
          <w:sz w:val="16"/>
          <w:szCs w:val="16"/>
          <w:lang w:val="es-CR"/>
        </w:rPr>
        <w:t>[</w:t>
      </w:r>
      <w:proofErr w:type="spellStart"/>
      <w:r w:rsidRPr="007B43FC">
        <w:rPr>
          <w:sz w:val="16"/>
          <w:szCs w:val="16"/>
          <w:lang w:val="es-CR"/>
        </w:rPr>
        <w:t>ó</w:t>
      </w:r>
      <w:proofErr w:type="spellEnd"/>
      <w:r w:rsidRPr="007B43FC">
        <w:rPr>
          <w:rFonts w:cs="Arial"/>
          <w:sz w:val="16"/>
          <w:szCs w:val="16"/>
          <w:lang w:val="es-CR"/>
        </w:rPr>
        <w:t>] medidas de protecci</w:t>
      </w:r>
      <w:r w:rsidRPr="007B43FC">
        <w:rPr>
          <w:sz w:val="16"/>
          <w:szCs w:val="16"/>
          <w:lang w:val="es-CR"/>
        </w:rPr>
        <w:t>ó</w:t>
      </w:r>
      <w:r w:rsidRPr="007B43FC">
        <w:rPr>
          <w:rFonts w:cs="Arial"/>
          <w:sz w:val="16"/>
          <w:szCs w:val="16"/>
          <w:lang w:val="es-CR"/>
        </w:rPr>
        <w:t>n al Presidente de la Rep</w:t>
      </w:r>
      <w:r w:rsidRPr="007B43FC">
        <w:rPr>
          <w:sz w:val="16"/>
          <w:szCs w:val="16"/>
          <w:lang w:val="es-CR"/>
        </w:rPr>
        <w:t>ú</w:t>
      </w:r>
      <w:r w:rsidRPr="007B43FC">
        <w:rPr>
          <w:rFonts w:cs="Arial"/>
          <w:sz w:val="16"/>
          <w:szCs w:val="16"/>
          <w:lang w:val="es-CR"/>
        </w:rPr>
        <w:t>blica, [</w:t>
      </w:r>
      <w:r w:rsidRPr="007B43FC">
        <w:rPr>
          <w:sz w:val="16"/>
          <w:szCs w:val="16"/>
          <w:lang w:val="es-CR"/>
        </w:rPr>
        <w:t>…</w:t>
      </w:r>
      <w:r w:rsidRPr="007B43FC">
        <w:rPr>
          <w:rFonts w:cs="Arial"/>
          <w:sz w:val="16"/>
          <w:szCs w:val="16"/>
          <w:lang w:val="es-CR"/>
        </w:rPr>
        <w:t>] y [a] la Directora de la Polic</w:t>
      </w:r>
      <w:r w:rsidRPr="007B43FC">
        <w:rPr>
          <w:sz w:val="16"/>
          <w:szCs w:val="16"/>
          <w:lang w:val="es-CR"/>
        </w:rPr>
        <w:t>í</w:t>
      </w:r>
      <w:r w:rsidRPr="007B43FC">
        <w:rPr>
          <w:rFonts w:cs="Arial"/>
          <w:sz w:val="16"/>
          <w:szCs w:val="16"/>
          <w:lang w:val="es-CR"/>
        </w:rPr>
        <w:t>a Nacional Preventiva, [que] fueron denegada</w:t>
      </w:r>
      <w:r>
        <w:rPr>
          <w:rFonts w:cs="Arial"/>
          <w:sz w:val="16"/>
          <w:szCs w:val="16"/>
          <w:lang w:val="es-CR"/>
        </w:rPr>
        <w:t>s</w:t>
      </w:r>
      <w:r w:rsidRPr="007B43FC">
        <w:rPr>
          <w:rFonts w:cs="Arial"/>
          <w:sz w:val="16"/>
          <w:szCs w:val="16"/>
          <w:lang w:val="es-CR"/>
        </w:rPr>
        <w:t xml:space="preserve"> o nunca implementad[a]</w:t>
      </w:r>
      <w:proofErr w:type="gramStart"/>
      <w:r w:rsidRPr="007B43FC">
        <w:rPr>
          <w:rFonts w:cs="Arial"/>
          <w:sz w:val="16"/>
          <w:szCs w:val="16"/>
          <w:lang w:val="es-CR"/>
        </w:rPr>
        <w:t>s[</w:t>
      </w:r>
      <w:proofErr w:type="gramEnd"/>
      <w:r w:rsidRPr="007B43FC">
        <w:rPr>
          <w:rFonts w:cs="Arial"/>
          <w:sz w:val="16"/>
          <w:szCs w:val="16"/>
          <w:lang w:val="es-CR"/>
        </w:rPr>
        <w:t>, p]</w:t>
      </w:r>
      <w:proofErr w:type="spellStart"/>
      <w:r w:rsidRPr="007B43FC">
        <w:rPr>
          <w:rFonts w:cs="Arial"/>
          <w:sz w:val="16"/>
          <w:szCs w:val="16"/>
          <w:lang w:val="es-CR"/>
        </w:rPr>
        <w:t>or</w:t>
      </w:r>
      <w:proofErr w:type="spellEnd"/>
      <w:r w:rsidRPr="007B43FC">
        <w:rPr>
          <w:rFonts w:cs="Arial"/>
          <w:sz w:val="16"/>
          <w:szCs w:val="16"/>
          <w:lang w:val="es-CR"/>
        </w:rPr>
        <w:t xml:space="preserve"> lo que se vio forzado, por las circunstancias, a contratar seguridad privada en virtud que su vida y la de su familia corre much</w:t>
      </w:r>
      <w:r w:rsidRPr="007B43FC">
        <w:rPr>
          <w:sz w:val="16"/>
          <w:szCs w:val="16"/>
          <w:lang w:val="es-CR"/>
        </w:rPr>
        <w:t>í</w:t>
      </w:r>
      <w:r w:rsidRPr="007B43FC">
        <w:rPr>
          <w:rFonts w:cs="Arial"/>
          <w:sz w:val="16"/>
          <w:szCs w:val="16"/>
          <w:lang w:val="es-CR"/>
        </w:rPr>
        <w:t xml:space="preserve">simo peligro”. </w:t>
      </w:r>
    </w:p>
  </w:footnote>
  <w:footnote w:id="207">
    <w:p w14:paraId="6265EE0D" w14:textId="1634C5FD" w:rsidR="00E02FDB" w:rsidRPr="00B92A60" w:rsidRDefault="00E02FDB">
      <w:pPr>
        <w:pStyle w:val="FootnoteText"/>
      </w:pPr>
      <w:r>
        <w:rPr>
          <w:rStyle w:val="FootnoteReference"/>
        </w:rPr>
        <w:footnoteRef/>
      </w:r>
      <w:r>
        <w:t xml:space="preserve"> </w:t>
      </w:r>
      <w:r>
        <w:tab/>
        <w:t>Agregaron que José Pacheco</w:t>
      </w:r>
      <w:r w:rsidRPr="008B46E8">
        <w:rPr>
          <w:rFonts w:cs="Arial"/>
          <w:lang w:val="es-CR"/>
        </w:rPr>
        <w:t xml:space="preserve"> “ha realizado incontables viajes a la Fiscalía de Derechos Humanos, a los Tribunales de Nacaome y Choluteca, los jueces se llamaron a silencio y no le informaron que en Nacaome</w:t>
      </w:r>
      <w:r>
        <w:rPr>
          <w:rFonts w:cs="Arial"/>
          <w:lang w:val="es-CR"/>
        </w:rPr>
        <w:t xml:space="preserve"> […]</w:t>
      </w:r>
      <w:r w:rsidRPr="008B46E8">
        <w:rPr>
          <w:rFonts w:cs="Arial"/>
          <w:lang w:val="es-CR"/>
        </w:rPr>
        <w:t xml:space="preserve"> no había expediente que todo había sido trasladado a Choluteca[; e]n Choluteca los responsables del archivo no encuentran el expediente judicial”</w:t>
      </w:r>
      <w:r>
        <w:rPr>
          <w:rFonts w:cs="Arial"/>
          <w:lang w:val="es-CR"/>
        </w:rPr>
        <w:t>.</w:t>
      </w:r>
    </w:p>
  </w:footnote>
  <w:footnote w:id="208">
    <w:p w14:paraId="72904A8B" w14:textId="0729E9ED" w:rsidR="00E02FDB" w:rsidRPr="005D079B" w:rsidRDefault="00E02FDB" w:rsidP="00C438C1">
      <w:pPr>
        <w:autoSpaceDE w:val="0"/>
        <w:autoSpaceDN w:val="0"/>
        <w:adjustRightInd w:val="0"/>
        <w:rPr>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sz w:val="16"/>
          <w:szCs w:val="16"/>
          <w:lang w:val="es-CR"/>
        </w:rPr>
        <w:t>Agregaron que “[s]</w:t>
      </w:r>
      <w:r w:rsidRPr="007B43FC">
        <w:rPr>
          <w:rFonts w:cs="Arial"/>
          <w:sz w:val="16"/>
          <w:szCs w:val="16"/>
          <w:lang w:val="es-CR"/>
        </w:rPr>
        <w:t>u estado an</w:t>
      </w:r>
      <w:r w:rsidRPr="007B43FC">
        <w:rPr>
          <w:sz w:val="16"/>
          <w:szCs w:val="16"/>
          <w:lang w:val="es-CR"/>
        </w:rPr>
        <w:t>í</w:t>
      </w:r>
      <w:r w:rsidRPr="007B43FC">
        <w:rPr>
          <w:rFonts w:cs="Arial"/>
          <w:sz w:val="16"/>
          <w:szCs w:val="16"/>
          <w:lang w:val="es-CR"/>
        </w:rPr>
        <w:t>mico no le permit</w:t>
      </w:r>
      <w:r w:rsidRPr="007B43FC">
        <w:rPr>
          <w:sz w:val="16"/>
          <w:szCs w:val="16"/>
          <w:lang w:val="es-CR"/>
        </w:rPr>
        <w:t>í</w:t>
      </w:r>
      <w:r w:rsidRPr="007B43FC">
        <w:rPr>
          <w:rFonts w:cs="Arial"/>
          <w:sz w:val="16"/>
          <w:szCs w:val="16"/>
          <w:lang w:val="es-CR"/>
        </w:rPr>
        <w:t>a dormir ni comer bien. Un d</w:t>
      </w:r>
      <w:r w:rsidRPr="007B43FC">
        <w:rPr>
          <w:sz w:val="16"/>
          <w:szCs w:val="16"/>
          <w:lang w:val="es-CR"/>
        </w:rPr>
        <w:t>í</w:t>
      </w:r>
      <w:r w:rsidRPr="007B43FC">
        <w:rPr>
          <w:rFonts w:cs="Arial"/>
          <w:sz w:val="16"/>
          <w:szCs w:val="16"/>
          <w:lang w:val="es-CR"/>
        </w:rPr>
        <w:t>a se fue supervisar la construcci</w:t>
      </w:r>
      <w:r w:rsidRPr="007B43FC">
        <w:rPr>
          <w:sz w:val="16"/>
          <w:szCs w:val="16"/>
          <w:lang w:val="es-CR"/>
        </w:rPr>
        <w:t>ó</w:t>
      </w:r>
      <w:r w:rsidRPr="007B43FC">
        <w:rPr>
          <w:rFonts w:cs="Arial"/>
          <w:sz w:val="16"/>
          <w:szCs w:val="16"/>
          <w:lang w:val="es-CR"/>
        </w:rPr>
        <w:t xml:space="preserve">n de la casa de su hija Nubia y una motocicleta la </w:t>
      </w:r>
      <w:proofErr w:type="spellStart"/>
      <w:r w:rsidRPr="007B43FC">
        <w:rPr>
          <w:rFonts w:cs="Arial"/>
          <w:sz w:val="16"/>
          <w:szCs w:val="16"/>
          <w:lang w:val="es-CR"/>
        </w:rPr>
        <w:t>atropell</w:t>
      </w:r>
      <w:proofErr w:type="spellEnd"/>
      <w:r w:rsidRPr="007B43FC">
        <w:rPr>
          <w:rFonts w:cs="Arial"/>
          <w:sz w:val="16"/>
          <w:szCs w:val="16"/>
          <w:lang w:val="es-CR"/>
        </w:rPr>
        <w:t>[</w:t>
      </w:r>
      <w:proofErr w:type="spellStart"/>
      <w:r w:rsidRPr="007B43FC">
        <w:rPr>
          <w:sz w:val="16"/>
          <w:szCs w:val="16"/>
          <w:lang w:val="es-CR"/>
        </w:rPr>
        <w:t>ó</w:t>
      </w:r>
      <w:proofErr w:type="spellEnd"/>
      <w:r w:rsidRPr="007B43FC">
        <w:rPr>
          <w:rFonts w:cs="Arial"/>
          <w:sz w:val="16"/>
          <w:szCs w:val="16"/>
          <w:lang w:val="es-CR"/>
        </w:rPr>
        <w:t>], porque no logr</w:t>
      </w:r>
      <w:r>
        <w:rPr>
          <w:rFonts w:cs="Arial"/>
          <w:sz w:val="16"/>
          <w:szCs w:val="16"/>
          <w:lang w:val="es-CR"/>
        </w:rPr>
        <w:t>ó</w:t>
      </w:r>
      <w:r w:rsidRPr="007B43FC">
        <w:rPr>
          <w:rFonts w:cs="Arial"/>
          <w:sz w:val="16"/>
          <w:szCs w:val="16"/>
          <w:lang w:val="es-CR"/>
        </w:rPr>
        <w:t xml:space="preserve"> sentir que ven</w:t>
      </w:r>
      <w:r w:rsidRPr="007B43FC">
        <w:rPr>
          <w:sz w:val="16"/>
          <w:szCs w:val="16"/>
          <w:lang w:val="es-CR"/>
        </w:rPr>
        <w:t>í</w:t>
      </w:r>
      <w:r w:rsidRPr="007B43FC">
        <w:rPr>
          <w:rFonts w:cs="Arial"/>
          <w:sz w:val="16"/>
          <w:szCs w:val="16"/>
          <w:lang w:val="es-CR"/>
        </w:rPr>
        <w:t>a cerca de ella. Permaneci</w:t>
      </w:r>
      <w:r w:rsidRPr="007B43FC">
        <w:rPr>
          <w:sz w:val="16"/>
          <w:szCs w:val="16"/>
          <w:lang w:val="es-CR"/>
        </w:rPr>
        <w:t>ó</w:t>
      </w:r>
      <w:r w:rsidRPr="007B43FC">
        <w:rPr>
          <w:rFonts w:cs="Arial"/>
          <w:sz w:val="16"/>
          <w:szCs w:val="16"/>
          <w:lang w:val="es-CR"/>
        </w:rPr>
        <w:t xml:space="preserve"> en coma por cinco d</w:t>
      </w:r>
      <w:r w:rsidRPr="007B43FC">
        <w:rPr>
          <w:sz w:val="16"/>
          <w:szCs w:val="16"/>
          <w:lang w:val="es-CR"/>
        </w:rPr>
        <w:t>í</w:t>
      </w:r>
      <w:r w:rsidRPr="007B43FC">
        <w:rPr>
          <w:rFonts w:cs="Arial"/>
          <w:sz w:val="16"/>
          <w:szCs w:val="16"/>
          <w:lang w:val="es-CR"/>
        </w:rPr>
        <w:t>as, fue</w:t>
      </w:r>
      <w:r>
        <w:rPr>
          <w:rFonts w:cs="Arial"/>
          <w:sz w:val="16"/>
          <w:szCs w:val="16"/>
          <w:lang w:val="es-CR"/>
        </w:rPr>
        <w:t xml:space="preserve"> </w:t>
      </w:r>
      <w:r w:rsidRPr="00C438C1">
        <w:rPr>
          <w:sz w:val="16"/>
          <w:szCs w:val="16"/>
          <w:lang w:val="es-CR"/>
        </w:rPr>
        <w:t xml:space="preserve">hospitalizada en las Clínicas Médicas”. </w:t>
      </w:r>
    </w:p>
  </w:footnote>
  <w:footnote w:id="209">
    <w:p w14:paraId="2B3A89C2" w14:textId="7219A6E8" w:rsidR="00E02FDB" w:rsidRPr="007B43FC"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7B43FC">
        <w:rPr>
          <w:i/>
          <w:lang w:val="es-CR"/>
        </w:rPr>
        <w:t>Cfr</w:t>
      </w:r>
      <w:r w:rsidRPr="007B43FC">
        <w:rPr>
          <w:lang w:val="es-CR"/>
        </w:rPr>
        <w:t xml:space="preserve">., </w:t>
      </w:r>
      <w:r w:rsidRPr="00C438C1">
        <w:rPr>
          <w:i/>
          <w:lang w:val="es-CR"/>
        </w:rPr>
        <w:t xml:space="preserve">mutatis </w:t>
      </w:r>
      <w:proofErr w:type="spellStart"/>
      <w:r w:rsidRPr="00C438C1">
        <w:rPr>
          <w:i/>
          <w:lang w:val="es-CR"/>
        </w:rPr>
        <w:t>mutandi</w:t>
      </w:r>
      <w:proofErr w:type="spellEnd"/>
      <w:r w:rsidRPr="007B43FC">
        <w:rPr>
          <w:lang w:val="es-CR"/>
        </w:rPr>
        <w:t>,</w:t>
      </w:r>
      <w:r w:rsidRPr="007B43FC">
        <w:rPr>
          <w:i/>
          <w:lang w:val="es-CR"/>
        </w:rPr>
        <w:t xml:space="preserve"> Caso Blake Vs. Guatemala. Fondo. </w:t>
      </w:r>
      <w:r w:rsidRPr="007B43FC">
        <w:rPr>
          <w:lang w:val="es-CR"/>
        </w:rPr>
        <w:t>Sentencia de 24 de enero de 1998.</w:t>
      </w:r>
      <w:r w:rsidRPr="007B43FC">
        <w:rPr>
          <w:i/>
          <w:lang w:val="es-CR"/>
        </w:rPr>
        <w:t xml:space="preserve"> </w:t>
      </w:r>
      <w:r w:rsidRPr="007B43FC">
        <w:rPr>
          <w:lang w:val="es-CR"/>
        </w:rPr>
        <w:t>Serie C No. 36, p</w:t>
      </w:r>
      <w:r w:rsidRPr="007B43FC">
        <w:rPr>
          <w:rFonts w:cs="Calibri"/>
          <w:lang w:val="es-CR"/>
        </w:rPr>
        <w:t>á</w:t>
      </w:r>
      <w:r w:rsidRPr="007B43FC">
        <w:rPr>
          <w:lang w:val="es-CR"/>
        </w:rPr>
        <w:t>rr. 114</w:t>
      </w:r>
      <w:r>
        <w:rPr>
          <w:lang w:val="es-CR"/>
        </w:rPr>
        <w:t>, y</w:t>
      </w:r>
      <w:r w:rsidRPr="00523E73">
        <w:rPr>
          <w:b/>
          <w:lang w:val="es-CR"/>
        </w:rPr>
        <w:t xml:space="preserve"> </w:t>
      </w:r>
      <w:r w:rsidRPr="00523E73">
        <w:rPr>
          <w:rStyle w:val="Strong"/>
          <w:b w:val="0"/>
          <w:i/>
          <w:lang w:val="es-CR"/>
        </w:rPr>
        <w:t>Caso Acosta y otros Vs. Nicaragua</w:t>
      </w:r>
      <w:r w:rsidRPr="00523E73">
        <w:rPr>
          <w:rStyle w:val="Strong"/>
          <w:b w:val="0"/>
          <w:lang w:val="es-CR"/>
        </w:rPr>
        <w:t>, p</w:t>
      </w:r>
      <w:r w:rsidRPr="00523E73">
        <w:rPr>
          <w:rStyle w:val="Strong"/>
          <w:rFonts w:cs="Calibri"/>
          <w:b w:val="0"/>
          <w:lang w:val="es-CR"/>
        </w:rPr>
        <w:t>á</w:t>
      </w:r>
      <w:r w:rsidRPr="00523E73">
        <w:rPr>
          <w:rStyle w:val="Strong"/>
          <w:b w:val="0"/>
          <w:lang w:val="es-CR"/>
        </w:rPr>
        <w:t>rr. 199</w:t>
      </w:r>
      <w:r w:rsidRPr="00C438C1">
        <w:rPr>
          <w:rStyle w:val="Strong"/>
          <w:b w:val="0"/>
          <w:lang w:val="es-CR"/>
        </w:rPr>
        <w:t>.</w:t>
      </w:r>
      <w:r w:rsidRPr="007B43FC">
        <w:rPr>
          <w:rStyle w:val="Strong"/>
          <w:lang w:val="es-CR"/>
        </w:rPr>
        <w:t xml:space="preserve"> </w:t>
      </w:r>
    </w:p>
  </w:footnote>
  <w:footnote w:id="210">
    <w:p w14:paraId="7FC3B030" w14:textId="31381B40" w:rsidR="00E02FDB" w:rsidRPr="007B43FC"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EC73BA">
        <w:rPr>
          <w:i/>
          <w:lang w:val="es-CR"/>
        </w:rPr>
        <w:t xml:space="preserve">Cfr., mutatis </w:t>
      </w:r>
      <w:proofErr w:type="spellStart"/>
      <w:r w:rsidRPr="00EC73BA">
        <w:rPr>
          <w:i/>
          <w:lang w:val="es-CR"/>
        </w:rPr>
        <w:t>mutandi</w:t>
      </w:r>
      <w:proofErr w:type="spellEnd"/>
      <w:r w:rsidRPr="007B43FC">
        <w:rPr>
          <w:lang w:val="es-CR"/>
        </w:rPr>
        <w:t xml:space="preserve">, </w:t>
      </w:r>
      <w:r w:rsidRPr="007B43FC">
        <w:rPr>
          <w:i/>
          <w:lang w:val="es-CR"/>
        </w:rPr>
        <w:t xml:space="preserve">Caso </w:t>
      </w:r>
      <w:proofErr w:type="spellStart"/>
      <w:r w:rsidRPr="007B43FC">
        <w:rPr>
          <w:i/>
          <w:lang w:val="es-CR"/>
        </w:rPr>
        <w:t>B</w:t>
      </w:r>
      <w:r w:rsidRPr="007B43FC">
        <w:rPr>
          <w:rFonts w:cs="Calibri"/>
          <w:i/>
          <w:lang w:val="es-CR"/>
        </w:rPr>
        <w:t>á</w:t>
      </w:r>
      <w:r w:rsidRPr="007B43FC">
        <w:rPr>
          <w:i/>
          <w:lang w:val="es-CR"/>
        </w:rPr>
        <w:t>maca</w:t>
      </w:r>
      <w:proofErr w:type="spellEnd"/>
      <w:r w:rsidRPr="007B43FC">
        <w:rPr>
          <w:i/>
          <w:lang w:val="es-CR"/>
        </w:rPr>
        <w:t xml:space="preserve"> Vel</w:t>
      </w:r>
      <w:r w:rsidRPr="007B43FC">
        <w:rPr>
          <w:rFonts w:cs="Calibri"/>
          <w:i/>
          <w:lang w:val="es-CR"/>
        </w:rPr>
        <w:t>á</w:t>
      </w:r>
      <w:r w:rsidRPr="007B43FC">
        <w:rPr>
          <w:i/>
          <w:lang w:val="es-CR"/>
        </w:rPr>
        <w:t>squez Vs. Guatemala. Fondo.</w:t>
      </w:r>
      <w:r w:rsidRPr="007B43FC">
        <w:rPr>
          <w:lang w:val="es-CR"/>
        </w:rPr>
        <w:t xml:space="preserve"> Sentencia de 25 de noviembre de 2000. Serie C No. 70, p</w:t>
      </w:r>
      <w:r w:rsidRPr="007B43FC">
        <w:rPr>
          <w:rFonts w:cs="Calibri"/>
          <w:lang w:val="es-CR"/>
        </w:rPr>
        <w:t>á</w:t>
      </w:r>
      <w:r w:rsidRPr="007B43FC">
        <w:rPr>
          <w:lang w:val="es-CR"/>
        </w:rPr>
        <w:t xml:space="preserve">rr. 163, y </w:t>
      </w:r>
      <w:r w:rsidRPr="007B43FC">
        <w:rPr>
          <w:rStyle w:val="Strong"/>
          <w:b w:val="0"/>
          <w:i/>
          <w:lang w:val="es-CR"/>
        </w:rPr>
        <w:t>Caso Valen</w:t>
      </w:r>
      <w:r>
        <w:rPr>
          <w:rStyle w:val="Strong"/>
          <w:b w:val="0"/>
          <w:i/>
          <w:lang w:val="es-CR"/>
        </w:rPr>
        <w:t>cia Hinojosa y otra Vs. Ecuador</w:t>
      </w:r>
      <w:r w:rsidRPr="007B43FC">
        <w:rPr>
          <w:rStyle w:val="Strong"/>
          <w:b w:val="0"/>
          <w:lang w:val="es-CR"/>
        </w:rPr>
        <w:t>, p</w:t>
      </w:r>
      <w:r w:rsidRPr="007B43FC">
        <w:rPr>
          <w:rStyle w:val="Strong"/>
          <w:rFonts w:cs="Calibri"/>
          <w:b w:val="0"/>
          <w:lang w:val="es-CR"/>
        </w:rPr>
        <w:t>á</w:t>
      </w:r>
      <w:r w:rsidRPr="007B43FC">
        <w:rPr>
          <w:rStyle w:val="Strong"/>
          <w:b w:val="0"/>
          <w:lang w:val="es-CR"/>
        </w:rPr>
        <w:t>rr. 142.</w:t>
      </w:r>
    </w:p>
  </w:footnote>
  <w:footnote w:id="211">
    <w:p w14:paraId="114B240A" w14:textId="79BCF3FD" w:rsidR="00E02FDB" w:rsidRPr="007B43FC" w:rsidRDefault="00E02FDB" w:rsidP="007B43FC">
      <w:pPr>
        <w:rPr>
          <w:sz w:val="16"/>
          <w:szCs w:val="16"/>
          <w:lang w:val="es-CR"/>
        </w:rPr>
      </w:pPr>
      <w:r w:rsidRPr="007B43FC">
        <w:rPr>
          <w:sz w:val="16"/>
          <w:szCs w:val="16"/>
          <w:vertAlign w:val="superscript"/>
        </w:rPr>
        <w:footnoteRef/>
      </w:r>
      <w:r w:rsidRPr="007B43FC">
        <w:rPr>
          <w:rFonts w:eastAsia="Verdana" w:cs="Verdana"/>
          <w:sz w:val="16"/>
          <w:szCs w:val="16"/>
          <w:lang w:val="es-CR"/>
        </w:rPr>
        <w:t xml:space="preserve"> </w:t>
      </w:r>
      <w:r>
        <w:rPr>
          <w:rFonts w:eastAsia="Verdana" w:cs="Verdana"/>
          <w:sz w:val="16"/>
          <w:szCs w:val="16"/>
          <w:lang w:val="es-CR"/>
        </w:rPr>
        <w:tab/>
      </w:r>
      <w:r w:rsidRPr="001D0170">
        <w:rPr>
          <w:rFonts w:eastAsia="Verdana" w:cs="Verdana"/>
          <w:i/>
          <w:sz w:val="16"/>
          <w:szCs w:val="16"/>
          <w:lang w:val="es-CR"/>
        </w:rPr>
        <w:t>Cfr</w:t>
      </w:r>
      <w:r w:rsidRPr="007B43FC">
        <w:rPr>
          <w:rFonts w:eastAsia="Verdana" w:cs="Verdana"/>
          <w:sz w:val="16"/>
          <w:szCs w:val="16"/>
          <w:lang w:val="es-CR"/>
        </w:rPr>
        <w:t xml:space="preserve">. </w:t>
      </w:r>
      <w:r w:rsidRPr="007B43FC">
        <w:rPr>
          <w:rFonts w:eastAsia="Verdana" w:cs="Verdana"/>
          <w:i/>
          <w:sz w:val="16"/>
          <w:szCs w:val="16"/>
          <w:lang w:val="es-CR"/>
        </w:rPr>
        <w:t>Caso Defensor de Derechos Humanos y otros Vs. Guatemala</w:t>
      </w:r>
      <w:r w:rsidRPr="007B43FC">
        <w:rPr>
          <w:rFonts w:eastAsia="Verdana" w:cs="Verdana"/>
          <w:sz w:val="16"/>
          <w:szCs w:val="16"/>
          <w:lang w:val="es-CR"/>
        </w:rPr>
        <w:t xml:space="preserve">, </w:t>
      </w:r>
      <w:proofErr w:type="spellStart"/>
      <w:r w:rsidRPr="007B43FC">
        <w:rPr>
          <w:rFonts w:eastAsia="Verdana" w:cs="Verdana"/>
          <w:sz w:val="16"/>
          <w:szCs w:val="16"/>
          <w:lang w:val="es-CR"/>
        </w:rPr>
        <w:t>p</w:t>
      </w:r>
      <w:r w:rsidRPr="007B43FC">
        <w:rPr>
          <w:sz w:val="16"/>
          <w:szCs w:val="16"/>
          <w:lang w:val="es-CR"/>
        </w:rPr>
        <w:t>á</w:t>
      </w:r>
      <w:r w:rsidRPr="007B43FC">
        <w:rPr>
          <w:rFonts w:eastAsia="Verdana" w:cs="Verdana"/>
          <w:sz w:val="16"/>
          <w:szCs w:val="16"/>
          <w:lang w:val="es-CR"/>
        </w:rPr>
        <w:t>rrs</w:t>
      </w:r>
      <w:proofErr w:type="spellEnd"/>
      <w:r w:rsidRPr="007B43FC">
        <w:rPr>
          <w:rFonts w:eastAsia="Verdana" w:cs="Verdana"/>
          <w:sz w:val="16"/>
          <w:szCs w:val="16"/>
          <w:lang w:val="es-CR"/>
        </w:rPr>
        <w:t>. 150 a 160</w:t>
      </w:r>
      <w:r w:rsidRPr="00580AAA">
        <w:rPr>
          <w:rFonts w:eastAsia="Verdana" w:cs="Verdana"/>
          <w:sz w:val="16"/>
          <w:szCs w:val="16"/>
          <w:lang w:val="es-CR"/>
        </w:rPr>
        <w:t>.</w:t>
      </w:r>
    </w:p>
  </w:footnote>
  <w:footnote w:id="212">
    <w:p w14:paraId="0AB25E31" w14:textId="3C5F0ACA" w:rsidR="00E02FDB" w:rsidRPr="007A2062" w:rsidRDefault="00E02FDB" w:rsidP="007A2062">
      <w:pPr>
        <w:pStyle w:val="PrrafodeSentencia"/>
        <w:numPr>
          <w:ilvl w:val="0"/>
          <w:numId w:val="0"/>
        </w:numPr>
      </w:pPr>
      <w:r>
        <w:rPr>
          <w:rStyle w:val="FootnoteReference"/>
        </w:rPr>
        <w:footnoteRef/>
      </w:r>
      <w:r>
        <w:t xml:space="preserve"> </w:t>
      </w:r>
      <w:r>
        <w:tab/>
      </w:r>
      <w:r w:rsidRPr="007A2062">
        <w:rPr>
          <w:rFonts w:eastAsia="Verdana"/>
          <w:sz w:val="16"/>
          <w:szCs w:val="16"/>
        </w:rPr>
        <w:t xml:space="preserve">En efecto, </w:t>
      </w:r>
      <w:r w:rsidRPr="007A2062">
        <w:rPr>
          <w:sz w:val="16"/>
          <w:szCs w:val="16"/>
        </w:rPr>
        <w:t>la Corte ha señalado que “[e]n casos que por sus circunstancias no suponen una grave violación a los derechos humanos, la vulneración de la integridad personal […] debe ser comprobada” (</w:t>
      </w:r>
      <w:r w:rsidRPr="007A2062">
        <w:rPr>
          <w:rFonts w:cs="Times"/>
          <w:i/>
          <w:noProof/>
          <w:sz w:val="16"/>
          <w:szCs w:val="16"/>
          <w:lang w:val="es-ES_tradnl"/>
        </w:rPr>
        <w:t>cfr.</w:t>
      </w:r>
      <w:r w:rsidRPr="007A2062">
        <w:rPr>
          <w:sz w:val="16"/>
          <w:szCs w:val="16"/>
        </w:rPr>
        <w:t xml:space="preserve"> </w:t>
      </w:r>
      <w:r w:rsidRPr="007A2062">
        <w:rPr>
          <w:rFonts w:cs="Times"/>
          <w:i/>
          <w:noProof/>
          <w:sz w:val="16"/>
          <w:szCs w:val="16"/>
          <w:lang w:val="es-ES_tradnl"/>
        </w:rPr>
        <w:t>Caso Tarazona Arrieta y otros Vs. Per</w:t>
      </w:r>
      <w:r w:rsidRPr="007A2062">
        <w:rPr>
          <w:rFonts w:eastAsia="Calibri" w:cs="Calibri"/>
          <w:i/>
          <w:noProof/>
          <w:sz w:val="16"/>
          <w:szCs w:val="16"/>
          <w:lang w:val="es-ES_tradnl"/>
        </w:rPr>
        <w:t>ú</w:t>
      </w:r>
      <w:r w:rsidRPr="007A2062">
        <w:rPr>
          <w:rFonts w:cs="Times"/>
          <w:i/>
          <w:noProof/>
          <w:sz w:val="16"/>
          <w:szCs w:val="16"/>
          <w:lang w:val="es-ES_tradnl"/>
        </w:rPr>
        <w:t>. Excepci</w:t>
      </w:r>
      <w:r w:rsidRPr="007A2062">
        <w:rPr>
          <w:rFonts w:eastAsia="Calibri" w:cs="Calibri"/>
          <w:i/>
          <w:noProof/>
          <w:sz w:val="16"/>
          <w:szCs w:val="16"/>
          <w:lang w:val="es-ES_tradnl"/>
        </w:rPr>
        <w:t>ó</w:t>
      </w:r>
      <w:r w:rsidRPr="007A2062">
        <w:rPr>
          <w:rFonts w:cs="Times"/>
          <w:i/>
          <w:noProof/>
          <w:sz w:val="16"/>
          <w:szCs w:val="16"/>
          <w:lang w:val="es-ES_tradnl"/>
        </w:rPr>
        <w:t>n Preliminar, Fondo, Reparaciones y Costas</w:t>
      </w:r>
      <w:r w:rsidRPr="007A2062">
        <w:rPr>
          <w:rFonts w:cs="Times"/>
          <w:noProof/>
          <w:sz w:val="16"/>
          <w:szCs w:val="16"/>
          <w:lang w:val="es-ES_tradnl"/>
        </w:rPr>
        <w:t>. Sentencia de 15 de octubre de 2014. Serie C No. 286, p</w:t>
      </w:r>
      <w:r w:rsidRPr="007A2062">
        <w:rPr>
          <w:rFonts w:eastAsia="Calibri" w:cs="Calibri"/>
          <w:noProof/>
          <w:sz w:val="16"/>
          <w:szCs w:val="16"/>
          <w:lang w:val="es-ES_tradnl"/>
        </w:rPr>
        <w:t>á</w:t>
      </w:r>
      <w:r w:rsidRPr="007A2062">
        <w:rPr>
          <w:rFonts w:cs="Times"/>
          <w:noProof/>
          <w:sz w:val="16"/>
          <w:szCs w:val="16"/>
          <w:lang w:val="es-ES_tradnl"/>
        </w:rPr>
        <w:t xml:space="preserve">rr. 146, y </w:t>
      </w:r>
      <w:r w:rsidRPr="007A2062">
        <w:rPr>
          <w:rStyle w:val="Strong"/>
          <w:b w:val="0"/>
          <w:i/>
          <w:sz w:val="16"/>
          <w:szCs w:val="16"/>
        </w:rPr>
        <w:t>Caso Valen</w:t>
      </w:r>
      <w:r>
        <w:rPr>
          <w:rStyle w:val="Strong"/>
          <w:b w:val="0"/>
          <w:i/>
          <w:sz w:val="16"/>
          <w:szCs w:val="16"/>
        </w:rPr>
        <w:t>cia Hinojosa y otra Vs. Ecuador</w:t>
      </w:r>
      <w:r w:rsidRPr="007A2062">
        <w:rPr>
          <w:rStyle w:val="Strong"/>
          <w:b w:val="0"/>
          <w:sz w:val="16"/>
          <w:szCs w:val="16"/>
        </w:rPr>
        <w:t>, p</w:t>
      </w:r>
      <w:r w:rsidRPr="007A2062">
        <w:rPr>
          <w:rStyle w:val="Strong"/>
          <w:rFonts w:eastAsia="Calibri" w:cs="Calibri"/>
          <w:b w:val="0"/>
          <w:sz w:val="16"/>
          <w:szCs w:val="16"/>
        </w:rPr>
        <w:t>á</w:t>
      </w:r>
      <w:r w:rsidRPr="007A2062">
        <w:rPr>
          <w:rStyle w:val="Strong"/>
          <w:b w:val="0"/>
          <w:sz w:val="16"/>
          <w:szCs w:val="16"/>
        </w:rPr>
        <w:t xml:space="preserve">rr. 143). </w:t>
      </w:r>
      <w:r w:rsidRPr="007A2062">
        <w:rPr>
          <w:sz w:val="16"/>
          <w:szCs w:val="16"/>
        </w:rPr>
        <w:t xml:space="preserve">Las dificultades en la investigación y los otros actos aludidos, no pueden entenderse como graves violaciones a los derechos humanos. </w:t>
      </w:r>
    </w:p>
  </w:footnote>
  <w:footnote w:id="213">
    <w:p w14:paraId="77D42702" w14:textId="402FA1DE" w:rsidR="00E02FDB" w:rsidRPr="00557544" w:rsidRDefault="00E02FDB" w:rsidP="00A936F2">
      <w:pPr>
        <w:pStyle w:val="ListParagraph"/>
        <w:numPr>
          <w:ilvl w:val="0"/>
          <w:numId w:val="0"/>
        </w:numPr>
        <w:rPr>
          <w:sz w:val="16"/>
          <w:szCs w:val="16"/>
        </w:rPr>
      </w:pPr>
      <w:r w:rsidRPr="007B43FC">
        <w:rPr>
          <w:rStyle w:val="FootnoteReference"/>
        </w:rPr>
        <w:footnoteRef/>
      </w:r>
      <w:r w:rsidRPr="007B43FC">
        <w:rPr>
          <w:sz w:val="16"/>
          <w:szCs w:val="16"/>
          <w:lang w:val="es-CR"/>
        </w:rPr>
        <w:t xml:space="preserve"> </w:t>
      </w:r>
      <w:r>
        <w:rPr>
          <w:sz w:val="16"/>
          <w:szCs w:val="16"/>
          <w:lang w:val="es-CR"/>
        </w:rPr>
        <w:tab/>
      </w:r>
      <w:r w:rsidRPr="007B43FC">
        <w:rPr>
          <w:rFonts w:cs="Cambria"/>
          <w:sz w:val="16"/>
          <w:szCs w:val="16"/>
          <w:lang w:val="es-CR"/>
        </w:rPr>
        <w:t>La Comisi</w:t>
      </w:r>
      <w:r w:rsidRPr="007B43FC">
        <w:rPr>
          <w:sz w:val="16"/>
          <w:szCs w:val="16"/>
          <w:lang w:val="es-CR"/>
        </w:rPr>
        <w:t>ó</w:t>
      </w:r>
      <w:r w:rsidRPr="007B43FC">
        <w:rPr>
          <w:rFonts w:cs="Cambria"/>
          <w:sz w:val="16"/>
          <w:szCs w:val="16"/>
          <w:lang w:val="es-CR"/>
        </w:rPr>
        <w:t>n, en el Informe de Fondo, se</w:t>
      </w:r>
      <w:r w:rsidRPr="007B43FC">
        <w:rPr>
          <w:sz w:val="16"/>
          <w:szCs w:val="16"/>
          <w:lang w:val="es-CR"/>
        </w:rPr>
        <w:t>ñ</w:t>
      </w:r>
      <w:r w:rsidRPr="007B43FC">
        <w:rPr>
          <w:rFonts w:cs="Cambria"/>
          <w:sz w:val="16"/>
          <w:szCs w:val="16"/>
          <w:lang w:val="es-CR"/>
        </w:rPr>
        <w:t>al</w:t>
      </w:r>
      <w:r w:rsidRPr="007B43FC">
        <w:rPr>
          <w:sz w:val="16"/>
          <w:szCs w:val="16"/>
          <w:lang w:val="es-CR"/>
        </w:rPr>
        <w:t>ó</w:t>
      </w:r>
      <w:r w:rsidRPr="007B43FC">
        <w:rPr>
          <w:rFonts w:cs="Cambria"/>
          <w:sz w:val="16"/>
          <w:szCs w:val="16"/>
          <w:lang w:val="es-CR"/>
        </w:rPr>
        <w:t xml:space="preserve"> que “no cuenta con las fechas de todas las denuncias realizadas, [pero que] </w:t>
      </w:r>
      <w:proofErr w:type="spellStart"/>
      <w:r w:rsidRPr="007B43FC">
        <w:rPr>
          <w:rFonts w:cs="Cambria"/>
          <w:sz w:val="16"/>
          <w:szCs w:val="16"/>
          <w:lang w:val="es-CR"/>
        </w:rPr>
        <w:t>tom</w:t>
      </w:r>
      <w:proofErr w:type="spellEnd"/>
      <w:r w:rsidRPr="007B43FC">
        <w:rPr>
          <w:rFonts w:cs="Cambria"/>
          <w:sz w:val="16"/>
          <w:szCs w:val="16"/>
          <w:lang w:val="es-CR"/>
        </w:rPr>
        <w:t>[</w:t>
      </w:r>
      <w:proofErr w:type="spellStart"/>
      <w:r w:rsidRPr="007B43FC">
        <w:rPr>
          <w:sz w:val="16"/>
          <w:szCs w:val="16"/>
          <w:lang w:val="es-CR"/>
        </w:rPr>
        <w:t>ó</w:t>
      </w:r>
      <w:proofErr w:type="spellEnd"/>
      <w:r w:rsidRPr="007B43FC">
        <w:rPr>
          <w:rFonts w:cs="Cambria"/>
          <w:sz w:val="16"/>
          <w:szCs w:val="16"/>
          <w:lang w:val="es-CR"/>
        </w:rPr>
        <w:t>]a nota de los n</w:t>
      </w:r>
      <w:r w:rsidRPr="007B43FC">
        <w:rPr>
          <w:sz w:val="16"/>
          <w:szCs w:val="16"/>
          <w:lang w:val="es-CR"/>
        </w:rPr>
        <w:t>ú</w:t>
      </w:r>
      <w:r w:rsidRPr="007B43FC">
        <w:rPr>
          <w:rFonts w:cs="Cambria"/>
          <w:sz w:val="16"/>
          <w:szCs w:val="16"/>
          <w:lang w:val="es-CR"/>
        </w:rPr>
        <w:t>meros de radicados de las investigaciones”: “Denuncias No. 4901 de 27 de septiembre de 2002; No. 314-03; No. 3505; No. 3287; No. 3370; No. 11591 de 31 de diciembre de 2005; y No. 3452. En comunicaci</w:t>
      </w:r>
      <w:r w:rsidRPr="007B43FC">
        <w:rPr>
          <w:sz w:val="16"/>
          <w:szCs w:val="16"/>
          <w:lang w:val="es-CR"/>
        </w:rPr>
        <w:t>ó</w:t>
      </w:r>
      <w:r w:rsidRPr="007B43FC">
        <w:rPr>
          <w:rFonts w:cs="Cambria"/>
          <w:sz w:val="16"/>
          <w:szCs w:val="16"/>
          <w:lang w:val="es-CR"/>
        </w:rPr>
        <w:t xml:space="preserve">n de [COFADEH] </w:t>
      </w:r>
      <w:r w:rsidRPr="007B43FC">
        <w:rPr>
          <w:rFonts w:cs="Arial"/>
          <w:sz w:val="16"/>
          <w:szCs w:val="16"/>
          <w:lang w:val="es-CR"/>
        </w:rPr>
        <w:t xml:space="preserve">de 13 de marzo de 2013” </w:t>
      </w:r>
      <w:r w:rsidRPr="007B43FC">
        <w:rPr>
          <w:rFonts w:cs="Cambria"/>
          <w:sz w:val="16"/>
          <w:szCs w:val="16"/>
          <w:lang w:val="es-CR"/>
        </w:rPr>
        <w:t>(</w:t>
      </w:r>
      <w:r>
        <w:rPr>
          <w:rFonts w:cs="Arial"/>
          <w:sz w:val="16"/>
          <w:szCs w:val="16"/>
          <w:lang w:val="es-CR"/>
        </w:rPr>
        <w:t>e</w:t>
      </w:r>
      <w:r w:rsidRPr="007B43FC">
        <w:rPr>
          <w:rFonts w:cs="Arial"/>
          <w:sz w:val="16"/>
          <w:szCs w:val="16"/>
          <w:lang w:val="es-CR"/>
        </w:rPr>
        <w:t>xpediente de prueba, anexo 22 al Informe de Fondo, fs. 432 a 438</w:t>
      </w:r>
      <w:r w:rsidRPr="007B43FC">
        <w:rPr>
          <w:rFonts w:cs="Cambria"/>
          <w:sz w:val="16"/>
          <w:szCs w:val="16"/>
          <w:lang w:val="es-CR"/>
        </w:rPr>
        <w:t xml:space="preserve">). </w:t>
      </w:r>
      <w:r w:rsidRPr="004D0607">
        <w:rPr>
          <w:rFonts w:cs="Cambria"/>
          <w:sz w:val="16"/>
          <w:szCs w:val="16"/>
          <w:lang w:val="es-CR"/>
        </w:rPr>
        <w:t>Pese a lo indicado por la Comisión, no consta la denuncia de todos los hechos aludidos.</w:t>
      </w:r>
      <w:r w:rsidRPr="004D0607">
        <w:rPr>
          <w:rFonts w:cs="Cambria"/>
          <w:b/>
          <w:sz w:val="16"/>
          <w:szCs w:val="16"/>
          <w:lang w:val="es-CR"/>
        </w:rPr>
        <w:t xml:space="preserve"> </w:t>
      </w:r>
      <w:r w:rsidRPr="00557544">
        <w:rPr>
          <w:rFonts w:cs="Cambria"/>
          <w:sz w:val="16"/>
          <w:szCs w:val="16"/>
          <w:lang w:val="es-CR"/>
        </w:rPr>
        <w:t xml:space="preserve">Aquellos hechos referidos respecto de los que no consta la prueba sobre su denuncia en el ámbito interno son los siguientes: 1.- </w:t>
      </w:r>
      <w:r w:rsidRPr="00557544">
        <w:rPr>
          <w:sz w:val="16"/>
          <w:szCs w:val="16"/>
          <w:lang w:val="es-CR"/>
        </w:rPr>
        <w:t xml:space="preserve">Al menos hasta antes del 24 de junio de 2003, personas desconocidas habían estado siguiendo a las hijas del señor José Pacheco en la Universidad (eso fue indicado por el señor José Pacheco en un escrito que el 24 de junio de 2003 presentó a los representantes (COFADEH). </w:t>
      </w:r>
      <w:r w:rsidRPr="00557544">
        <w:rPr>
          <w:rFonts w:cs="Times New Roman"/>
          <w:i/>
          <w:color w:val="0F0F0F"/>
          <w:sz w:val="16"/>
          <w:szCs w:val="16"/>
          <w:lang w:val="es-CR"/>
        </w:rPr>
        <w:t>Cfr.</w:t>
      </w:r>
      <w:r>
        <w:rPr>
          <w:rFonts w:cs="Times New Roman"/>
          <w:color w:val="0F0F0F"/>
          <w:sz w:val="16"/>
          <w:szCs w:val="16"/>
          <w:lang w:val="es-CR"/>
        </w:rPr>
        <w:t xml:space="preserve"> expediente de prueba, a</w:t>
      </w:r>
      <w:r w:rsidRPr="00557544">
        <w:rPr>
          <w:rFonts w:cs="Times New Roman"/>
          <w:color w:val="0F0F0F"/>
          <w:sz w:val="16"/>
          <w:szCs w:val="16"/>
          <w:lang w:val="es-CR"/>
        </w:rPr>
        <w:t xml:space="preserve">nexo 2 al Informe de Fondo, fs. 326 a 330). </w:t>
      </w:r>
      <w:r w:rsidRPr="00557544">
        <w:rPr>
          <w:sz w:val="16"/>
          <w:szCs w:val="16"/>
          <w:lang w:val="es-CR"/>
        </w:rPr>
        <w:t xml:space="preserve">2.- El 11 de diciembre de 2003 cuatro hombres armados secuestraron al ingeniero a cargo de la construcción de un nuevo domicilio del señor José Pacheco (este hecho fue referido por los representantes a la Comisión Interamericana; según COFADEH, los obreros que estaban en la construcción escucharon que cuando el ingeniero fue secuestrado, los hombres armados dijeron “no, este no es”. </w:t>
      </w:r>
      <w:r w:rsidRPr="00557544">
        <w:rPr>
          <w:i/>
          <w:sz w:val="16"/>
          <w:szCs w:val="16"/>
          <w:lang w:val="es-CR"/>
        </w:rPr>
        <w:t>Cfr.</w:t>
      </w:r>
      <w:r w:rsidRPr="00557544">
        <w:rPr>
          <w:sz w:val="16"/>
          <w:szCs w:val="16"/>
          <w:lang w:val="es-CR"/>
        </w:rPr>
        <w:t xml:space="preserve"> Comunicación de los petic</w:t>
      </w:r>
      <w:r>
        <w:rPr>
          <w:sz w:val="16"/>
          <w:szCs w:val="16"/>
          <w:lang w:val="es-CR"/>
        </w:rPr>
        <w:t>ionarios de 24 de junio de 2012;</w:t>
      </w:r>
      <w:r w:rsidRPr="00557544">
        <w:rPr>
          <w:sz w:val="16"/>
          <w:szCs w:val="16"/>
          <w:lang w:val="es-CR"/>
        </w:rPr>
        <w:t xml:space="preserve"> </w:t>
      </w:r>
      <w:r>
        <w:rPr>
          <w:sz w:val="16"/>
          <w:szCs w:val="16"/>
          <w:lang w:val="es-CR"/>
        </w:rPr>
        <w:t>e</w:t>
      </w:r>
      <w:r>
        <w:rPr>
          <w:rFonts w:cs="Arial"/>
          <w:sz w:val="16"/>
          <w:szCs w:val="16"/>
          <w:lang w:val="es-CR"/>
        </w:rPr>
        <w:t>xpediente de prueba, a</w:t>
      </w:r>
      <w:r w:rsidRPr="00557544">
        <w:rPr>
          <w:rFonts w:cs="Arial"/>
          <w:sz w:val="16"/>
          <w:szCs w:val="16"/>
          <w:lang w:val="es-CR"/>
        </w:rPr>
        <w:t>nexo 21 al Informe de Fondo, fs. 423 a 430</w:t>
      </w:r>
      <w:r w:rsidRPr="00557544">
        <w:rPr>
          <w:sz w:val="16"/>
          <w:szCs w:val="16"/>
          <w:lang w:val="es-CR"/>
        </w:rPr>
        <w:t>).</w:t>
      </w:r>
      <w:r>
        <w:rPr>
          <w:sz w:val="16"/>
          <w:szCs w:val="16"/>
          <w:lang w:val="es-CR"/>
        </w:rPr>
        <w:t>3</w:t>
      </w:r>
      <w:r w:rsidRPr="00557544">
        <w:rPr>
          <w:sz w:val="16"/>
          <w:szCs w:val="16"/>
          <w:lang w:val="es-CR"/>
        </w:rPr>
        <w:t>.- El 30 de diciembre de 2005 unas personas</w:t>
      </w:r>
      <w:r w:rsidRPr="00557544">
        <w:rPr>
          <w:rFonts w:eastAsia="Times New Roman"/>
          <w:sz w:val="16"/>
          <w:szCs w:val="16"/>
          <w:lang w:val="es-CR" w:eastAsia="es-CR"/>
        </w:rPr>
        <w:t xml:space="preserve"> </w:t>
      </w:r>
      <w:r w:rsidRPr="00557544">
        <w:rPr>
          <w:sz w:val="16"/>
          <w:szCs w:val="16"/>
          <w:lang w:val="es-CR"/>
        </w:rPr>
        <w:t xml:space="preserve">ingresaron al domicilio del señor José Pacheco y se llevaron documentación confidencial. </w:t>
      </w:r>
      <w:r>
        <w:rPr>
          <w:sz w:val="16"/>
          <w:szCs w:val="16"/>
          <w:lang w:val="es-CR"/>
        </w:rPr>
        <w:t>4</w:t>
      </w:r>
      <w:r w:rsidRPr="00557544">
        <w:rPr>
          <w:sz w:val="16"/>
          <w:szCs w:val="16"/>
        </w:rPr>
        <w:t xml:space="preserve">.- </w:t>
      </w:r>
      <w:r w:rsidRPr="00557544">
        <w:rPr>
          <w:rFonts w:cs="Cambria"/>
          <w:sz w:val="16"/>
          <w:szCs w:val="16"/>
          <w:lang w:val="es-CR"/>
        </w:rPr>
        <w:t xml:space="preserve">El 28 de mayo de 2012 </w:t>
      </w:r>
      <w:r w:rsidRPr="000D06AD">
        <w:rPr>
          <w:rFonts w:cs="Cambria"/>
          <w:sz w:val="16"/>
          <w:szCs w:val="16"/>
          <w:lang w:val="es-CR"/>
        </w:rPr>
        <w:t>José Pacheco y su hijo fueron</w:t>
      </w:r>
      <w:r w:rsidRPr="00557544">
        <w:rPr>
          <w:rFonts w:cs="Cambria"/>
          <w:sz w:val="16"/>
          <w:szCs w:val="16"/>
          <w:lang w:val="es-CR"/>
        </w:rPr>
        <w:t xml:space="preserve"> víctimas de secuestro y del robo de su vehículo. </w:t>
      </w:r>
      <w:r w:rsidRPr="00557544">
        <w:rPr>
          <w:rFonts w:cs="Cambria"/>
          <w:sz w:val="16"/>
          <w:szCs w:val="16"/>
        </w:rPr>
        <w:t xml:space="preserve">Estos dos últimos hechos fueron referidos por los peticionarios en su </w:t>
      </w:r>
      <w:r w:rsidRPr="00557544">
        <w:rPr>
          <w:rFonts w:cs="Cambria"/>
          <w:sz w:val="16"/>
          <w:szCs w:val="16"/>
          <w:lang w:val="es-CR"/>
        </w:rPr>
        <w:t>comunicaci</w:t>
      </w:r>
      <w:r w:rsidRPr="00557544">
        <w:rPr>
          <w:rFonts w:cs="Calibri"/>
          <w:sz w:val="16"/>
          <w:szCs w:val="16"/>
          <w:lang w:val="es-CR"/>
        </w:rPr>
        <w:t>ó</w:t>
      </w:r>
      <w:r w:rsidRPr="00557544">
        <w:rPr>
          <w:rFonts w:cs="Cambria"/>
          <w:sz w:val="16"/>
          <w:szCs w:val="16"/>
          <w:lang w:val="es-CR"/>
        </w:rPr>
        <w:t xml:space="preserve">n de 24 de junio de 2012 presentada ante la Comisión </w:t>
      </w:r>
      <w:r>
        <w:rPr>
          <w:rFonts w:cs="Cambria"/>
          <w:sz w:val="16"/>
          <w:szCs w:val="16"/>
          <w:lang w:val="es-CR"/>
        </w:rPr>
        <w:t>(</w:t>
      </w:r>
      <w:r w:rsidRPr="00557544">
        <w:rPr>
          <w:rFonts w:cs="Arial"/>
          <w:sz w:val="16"/>
          <w:szCs w:val="16"/>
          <w:lang w:val="es-CR"/>
        </w:rPr>
        <w:t xml:space="preserve">expediente de prueba, </w:t>
      </w:r>
      <w:r>
        <w:rPr>
          <w:rFonts w:cs="Arial"/>
          <w:sz w:val="16"/>
          <w:szCs w:val="16"/>
          <w:lang w:val="es-CR"/>
        </w:rPr>
        <w:t>a</w:t>
      </w:r>
      <w:r w:rsidRPr="00557544">
        <w:rPr>
          <w:rFonts w:cs="Arial"/>
          <w:sz w:val="16"/>
          <w:szCs w:val="16"/>
          <w:lang w:val="es-CR"/>
        </w:rPr>
        <w:t>nexo 21 al Informe de Fondo, fs. 423 a 430</w:t>
      </w:r>
      <w:r>
        <w:rPr>
          <w:rFonts w:cs="Arial"/>
          <w:sz w:val="16"/>
          <w:szCs w:val="16"/>
          <w:lang w:val="es-CR"/>
        </w:rPr>
        <w:t>)</w:t>
      </w:r>
      <w:r w:rsidRPr="00557544">
        <w:rPr>
          <w:rFonts w:cs="Cambria"/>
          <w:sz w:val="16"/>
          <w:szCs w:val="16"/>
          <w:lang w:val="es-CR"/>
        </w:rPr>
        <w:t>.</w:t>
      </w:r>
    </w:p>
  </w:footnote>
  <w:footnote w:id="214">
    <w:p w14:paraId="1BFF67A8" w14:textId="4970E4A3" w:rsidR="00E02FDB" w:rsidRPr="007B43FC" w:rsidRDefault="00E02FDB" w:rsidP="006020E2">
      <w:pPr>
        <w:pStyle w:val="FootnoteText"/>
        <w:rPr>
          <w:lang w:val="es-CR"/>
        </w:rPr>
      </w:pPr>
      <w:r w:rsidRPr="007B43FC">
        <w:rPr>
          <w:rStyle w:val="FootnoteReference"/>
        </w:rPr>
        <w:footnoteRef/>
      </w:r>
      <w:r w:rsidRPr="007B43FC">
        <w:rPr>
          <w:lang w:val="es-CR"/>
        </w:rPr>
        <w:t xml:space="preserve"> </w:t>
      </w:r>
      <w:r>
        <w:rPr>
          <w:lang w:val="es-CR"/>
        </w:rPr>
        <w:tab/>
      </w:r>
      <w:r w:rsidRPr="007B43FC">
        <w:rPr>
          <w:lang w:val="es-CR"/>
        </w:rPr>
        <w:t>Memor</w:t>
      </w:r>
      <w:r w:rsidRPr="007B43FC">
        <w:rPr>
          <w:rFonts w:cs="Calibri"/>
          <w:lang w:val="es-CR"/>
        </w:rPr>
        <w:t>á</w:t>
      </w:r>
      <w:r w:rsidRPr="007B43FC">
        <w:rPr>
          <w:lang w:val="es-CR"/>
        </w:rPr>
        <w:t xml:space="preserve">ndum FLN-248-2014 de 27 de noviembre de 2014 (expediente de prueba, </w:t>
      </w:r>
      <w:r>
        <w:rPr>
          <w:lang w:val="es-CR"/>
        </w:rPr>
        <w:t>a</w:t>
      </w:r>
      <w:r w:rsidRPr="007B43FC">
        <w:rPr>
          <w:lang w:val="es-CR"/>
        </w:rPr>
        <w:t>nexo 3 a la contestaci</w:t>
      </w:r>
      <w:r w:rsidRPr="007B43FC">
        <w:rPr>
          <w:rFonts w:cs="Calibri"/>
          <w:lang w:val="es-CR"/>
        </w:rPr>
        <w:t>ó</w:t>
      </w:r>
      <w:r w:rsidRPr="007B43FC">
        <w:rPr>
          <w:lang w:val="es-CR"/>
        </w:rPr>
        <w:t xml:space="preserve">n, f. 2644). </w:t>
      </w:r>
    </w:p>
  </w:footnote>
  <w:footnote w:id="215">
    <w:p w14:paraId="30386B94" w14:textId="5CD3B128" w:rsidR="00E02FDB" w:rsidRPr="007B43FC" w:rsidRDefault="00E02FDB" w:rsidP="006020E2">
      <w:pPr>
        <w:pStyle w:val="FootnoteText"/>
        <w:rPr>
          <w:lang w:val="es-CR"/>
        </w:rPr>
      </w:pPr>
      <w:r w:rsidRPr="007B43FC">
        <w:rPr>
          <w:rStyle w:val="FootnoteReference"/>
        </w:rPr>
        <w:footnoteRef/>
      </w:r>
      <w:r w:rsidRPr="007B43FC">
        <w:rPr>
          <w:lang w:val="es-CR"/>
        </w:rPr>
        <w:t xml:space="preserve"> </w:t>
      </w:r>
      <w:r>
        <w:rPr>
          <w:lang w:val="es-CR"/>
        </w:rPr>
        <w:tab/>
      </w:r>
      <w:r w:rsidRPr="007B43FC">
        <w:rPr>
          <w:i/>
          <w:lang w:val="es-CR"/>
        </w:rPr>
        <w:t>Cfr.</w:t>
      </w:r>
      <w:r w:rsidRPr="007B43FC">
        <w:rPr>
          <w:lang w:val="es-CR"/>
        </w:rPr>
        <w:t xml:space="preserve"> Oficio FRCH-OD-164-2015 de 28 de julio de 2015 (expediente de prueba, </w:t>
      </w:r>
      <w:r>
        <w:rPr>
          <w:lang w:val="es-CR"/>
        </w:rPr>
        <w:t>a</w:t>
      </w:r>
      <w:r w:rsidRPr="007B43FC">
        <w:rPr>
          <w:lang w:val="es-CR"/>
        </w:rPr>
        <w:t>nexo 2 a la contestaci</w:t>
      </w:r>
      <w:r w:rsidRPr="007B43FC">
        <w:rPr>
          <w:rFonts w:cs="Calibri"/>
          <w:lang w:val="es-CR"/>
        </w:rPr>
        <w:t>ó</w:t>
      </w:r>
      <w:r w:rsidRPr="007B43FC">
        <w:rPr>
          <w:lang w:val="es-CR"/>
        </w:rPr>
        <w:t xml:space="preserve">n, f. 2600). </w:t>
      </w:r>
    </w:p>
  </w:footnote>
  <w:footnote w:id="216">
    <w:p w14:paraId="21829E15" w14:textId="1E8AC22D" w:rsidR="00E02FDB" w:rsidRPr="00557544" w:rsidRDefault="00E02FDB" w:rsidP="00C82C5A">
      <w:pPr>
        <w:autoSpaceDE w:val="0"/>
        <w:autoSpaceDN w:val="0"/>
        <w:adjustRightInd w:val="0"/>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sz w:val="16"/>
          <w:szCs w:val="16"/>
          <w:lang w:val="es-CR"/>
        </w:rPr>
        <w:t xml:space="preserve">El hecho fue denunciado el </w:t>
      </w:r>
      <w:r w:rsidRPr="007B43FC">
        <w:rPr>
          <w:rFonts w:cs="Cambria"/>
          <w:sz w:val="16"/>
          <w:szCs w:val="16"/>
          <w:lang w:val="es-CR"/>
        </w:rPr>
        <w:t>25 de abril de 2003</w:t>
      </w:r>
      <w:r w:rsidRPr="007B43FC">
        <w:rPr>
          <w:sz w:val="16"/>
          <w:szCs w:val="16"/>
          <w:lang w:val="es-CR"/>
        </w:rPr>
        <w:t xml:space="preserve"> por el señor José Pacheco </w:t>
      </w:r>
      <w:r w:rsidRPr="007B43FC">
        <w:rPr>
          <w:rFonts w:cs="Cambria"/>
          <w:sz w:val="16"/>
          <w:szCs w:val="16"/>
          <w:lang w:val="es-CR"/>
        </w:rPr>
        <w:t>el ante la DGIC</w:t>
      </w:r>
      <w:r>
        <w:rPr>
          <w:rFonts w:cs="Cambria"/>
          <w:sz w:val="16"/>
          <w:szCs w:val="16"/>
          <w:lang w:val="es-CR"/>
        </w:rPr>
        <w:t xml:space="preserve">. </w:t>
      </w:r>
      <w:r w:rsidRPr="002B7F7C">
        <w:rPr>
          <w:rFonts w:cs="Cambria"/>
          <w:i/>
          <w:sz w:val="16"/>
          <w:szCs w:val="16"/>
          <w:lang w:val="es-CR"/>
        </w:rPr>
        <w:t>Cfr</w:t>
      </w:r>
      <w:r>
        <w:rPr>
          <w:rFonts w:cs="Cambria"/>
          <w:i/>
          <w:sz w:val="16"/>
          <w:szCs w:val="16"/>
          <w:lang w:val="es-CR"/>
        </w:rPr>
        <w:t>.</w:t>
      </w:r>
      <w:r>
        <w:rPr>
          <w:rFonts w:cs="Cambria"/>
          <w:sz w:val="16"/>
          <w:szCs w:val="16"/>
          <w:lang w:val="es-CR"/>
        </w:rPr>
        <w:t xml:space="preserve"> </w:t>
      </w:r>
      <w:r w:rsidRPr="007B43FC">
        <w:rPr>
          <w:rFonts w:cs="Cambria"/>
          <w:sz w:val="16"/>
          <w:szCs w:val="16"/>
          <w:lang w:val="es-CR"/>
        </w:rPr>
        <w:t>denuncia de Jos</w:t>
      </w:r>
      <w:r w:rsidRPr="007B43FC">
        <w:rPr>
          <w:sz w:val="16"/>
          <w:szCs w:val="16"/>
          <w:lang w:val="es-CR"/>
        </w:rPr>
        <w:t>é</w:t>
      </w:r>
      <w:r>
        <w:rPr>
          <w:rFonts w:cs="Cambria"/>
          <w:sz w:val="16"/>
          <w:szCs w:val="16"/>
          <w:lang w:val="es-CR"/>
        </w:rPr>
        <w:t xml:space="preserve"> Pacheco</w:t>
      </w:r>
      <w:r w:rsidRPr="007B43FC">
        <w:rPr>
          <w:rFonts w:cs="Cambria"/>
          <w:sz w:val="16"/>
          <w:szCs w:val="16"/>
          <w:lang w:val="es-CR"/>
        </w:rPr>
        <w:t xml:space="preserve"> rendida ante Centro de Recepci</w:t>
      </w:r>
      <w:r w:rsidRPr="007B43FC">
        <w:rPr>
          <w:sz w:val="16"/>
          <w:szCs w:val="16"/>
          <w:lang w:val="es-CR"/>
        </w:rPr>
        <w:t>ó</w:t>
      </w:r>
      <w:r w:rsidRPr="007B43FC">
        <w:rPr>
          <w:rFonts w:cs="Cambria"/>
          <w:sz w:val="16"/>
          <w:szCs w:val="16"/>
          <w:lang w:val="es-CR"/>
        </w:rPr>
        <w:t>n de Denuncia del Departamento de Investigaci</w:t>
      </w:r>
      <w:r w:rsidRPr="007B43FC">
        <w:rPr>
          <w:sz w:val="16"/>
          <w:szCs w:val="16"/>
          <w:lang w:val="es-CR"/>
        </w:rPr>
        <w:t>ó</w:t>
      </w:r>
      <w:r w:rsidRPr="007B43FC">
        <w:rPr>
          <w:rFonts w:cs="Cambria"/>
          <w:sz w:val="16"/>
          <w:szCs w:val="16"/>
          <w:lang w:val="es-CR"/>
        </w:rPr>
        <w:t>n Criminal el 25 de abril de 2003. De acuerdo a lo expresado por COFADEH ante la Comisi</w:t>
      </w:r>
      <w:r w:rsidRPr="007B43FC">
        <w:rPr>
          <w:sz w:val="16"/>
          <w:szCs w:val="16"/>
          <w:lang w:val="es-CR"/>
        </w:rPr>
        <w:t>ó</w:t>
      </w:r>
      <w:r w:rsidRPr="007B43FC">
        <w:rPr>
          <w:rFonts w:cs="Cambria"/>
          <w:sz w:val="16"/>
          <w:szCs w:val="16"/>
          <w:lang w:val="es-CR"/>
        </w:rPr>
        <w:t>n Interamericana, el se</w:t>
      </w:r>
      <w:r w:rsidRPr="007B43FC">
        <w:rPr>
          <w:sz w:val="16"/>
          <w:szCs w:val="16"/>
          <w:lang w:val="es-CR"/>
        </w:rPr>
        <w:t>ñ</w:t>
      </w:r>
      <w:r w:rsidRPr="007B43FC">
        <w:rPr>
          <w:rFonts w:cs="Cambria"/>
          <w:sz w:val="16"/>
          <w:szCs w:val="16"/>
          <w:lang w:val="es-CR"/>
        </w:rPr>
        <w:t>or Pacheco indic</w:t>
      </w:r>
      <w:r w:rsidRPr="007B43FC">
        <w:rPr>
          <w:sz w:val="16"/>
          <w:szCs w:val="16"/>
          <w:lang w:val="es-CR"/>
        </w:rPr>
        <w:t>ó</w:t>
      </w:r>
      <w:r w:rsidRPr="007B43FC">
        <w:rPr>
          <w:rFonts w:cs="Cambria"/>
          <w:sz w:val="16"/>
          <w:szCs w:val="16"/>
          <w:lang w:val="es-CR"/>
        </w:rPr>
        <w:t xml:space="preserve"> que sospecha qu</w:t>
      </w:r>
      <w:r w:rsidRPr="00557544">
        <w:rPr>
          <w:rFonts w:cs="Cambria"/>
          <w:sz w:val="16"/>
          <w:szCs w:val="16"/>
          <w:lang w:val="es-CR"/>
        </w:rPr>
        <w:t xml:space="preserve">e las personas responsables de este hecho fueron las mismas que asesinaron a su hermano </w:t>
      </w:r>
      <w:r w:rsidRPr="00557544">
        <w:rPr>
          <w:sz w:val="16"/>
          <w:szCs w:val="16"/>
          <w:lang w:val="es-CR"/>
        </w:rPr>
        <w:t>Á</w:t>
      </w:r>
      <w:r w:rsidRPr="00557544">
        <w:rPr>
          <w:rFonts w:cs="Cambria"/>
          <w:sz w:val="16"/>
          <w:szCs w:val="16"/>
          <w:lang w:val="es-CR"/>
        </w:rPr>
        <w:t>ngel. (</w:t>
      </w:r>
      <w:r>
        <w:rPr>
          <w:rFonts w:cs="Cambria"/>
          <w:sz w:val="16"/>
          <w:szCs w:val="16"/>
          <w:lang w:val="es-CR"/>
        </w:rPr>
        <w:t>E</w:t>
      </w:r>
      <w:r w:rsidRPr="00557544">
        <w:rPr>
          <w:rFonts w:cs="Arial"/>
          <w:sz w:val="16"/>
          <w:szCs w:val="16"/>
          <w:lang w:val="es-CR"/>
        </w:rPr>
        <w:t>xpediente de prueba, anexo 20 al Informe de Fondo, f. 421</w:t>
      </w:r>
      <w:r w:rsidRPr="00557544">
        <w:rPr>
          <w:rFonts w:cs="Cambria"/>
          <w:sz w:val="16"/>
          <w:szCs w:val="16"/>
          <w:lang w:val="es-CR"/>
        </w:rPr>
        <w:t>, y Comunicaci</w:t>
      </w:r>
      <w:r w:rsidRPr="00557544">
        <w:rPr>
          <w:sz w:val="16"/>
          <w:szCs w:val="16"/>
          <w:lang w:val="es-CR"/>
        </w:rPr>
        <w:t>ó</w:t>
      </w:r>
      <w:r w:rsidRPr="00557544">
        <w:rPr>
          <w:rFonts w:cs="Cambria"/>
          <w:sz w:val="16"/>
          <w:szCs w:val="16"/>
          <w:lang w:val="es-CR"/>
        </w:rPr>
        <w:t>n de los peticionarios de 24 de junio de 2012</w:t>
      </w:r>
      <w:r>
        <w:rPr>
          <w:rFonts w:cs="Cambria"/>
          <w:sz w:val="16"/>
          <w:szCs w:val="16"/>
          <w:lang w:val="es-CR"/>
        </w:rPr>
        <w:t>;</w:t>
      </w:r>
      <w:r w:rsidRPr="00557544">
        <w:rPr>
          <w:rFonts w:cs="Cambria"/>
          <w:sz w:val="16"/>
          <w:szCs w:val="16"/>
          <w:lang w:val="es-CR"/>
        </w:rPr>
        <w:t xml:space="preserve"> </w:t>
      </w:r>
      <w:r w:rsidRPr="00557544">
        <w:rPr>
          <w:rFonts w:cs="Arial"/>
          <w:sz w:val="16"/>
          <w:szCs w:val="16"/>
          <w:lang w:val="es-CR"/>
        </w:rPr>
        <w:t>expediente de prueba, anexo 21 al Informe de Fondo, fs. 423 a 430</w:t>
      </w:r>
      <w:r w:rsidRPr="00557544">
        <w:rPr>
          <w:rFonts w:cs="Cambria"/>
          <w:sz w:val="16"/>
          <w:szCs w:val="16"/>
          <w:lang w:val="es-CR"/>
        </w:rPr>
        <w:t xml:space="preserve">). </w:t>
      </w:r>
    </w:p>
  </w:footnote>
  <w:footnote w:id="217">
    <w:p w14:paraId="52E746DF" w14:textId="2233FD14" w:rsidR="00E02FDB" w:rsidRPr="007B43FC" w:rsidRDefault="00E02FDB" w:rsidP="00DB0D15">
      <w:pPr>
        <w:pStyle w:val="FootnoteText"/>
        <w:rPr>
          <w:lang w:val="es-CR"/>
        </w:rPr>
      </w:pPr>
      <w:r w:rsidRPr="00557544">
        <w:rPr>
          <w:rStyle w:val="FootnoteReference"/>
        </w:rPr>
        <w:footnoteRef/>
      </w:r>
      <w:r w:rsidRPr="00557544">
        <w:rPr>
          <w:lang w:val="es-CR"/>
        </w:rPr>
        <w:t xml:space="preserve"> </w:t>
      </w:r>
      <w:r w:rsidRPr="00557544">
        <w:rPr>
          <w:lang w:val="es-CR"/>
        </w:rPr>
        <w:tab/>
        <w:t xml:space="preserve">Según denuncia de </w:t>
      </w:r>
      <w:r w:rsidRPr="00557544">
        <w:rPr>
          <w:rFonts w:cs="Cambria"/>
          <w:lang w:val="es-CR"/>
        </w:rPr>
        <w:t>N</w:t>
      </w:r>
      <w:r>
        <w:rPr>
          <w:rFonts w:cs="Cambria"/>
          <w:lang w:val="es-CR"/>
        </w:rPr>
        <w:t>P</w:t>
      </w:r>
      <w:r w:rsidRPr="00557544">
        <w:rPr>
          <w:rFonts w:cs="Cambria"/>
          <w:lang w:val="es-CR"/>
        </w:rPr>
        <w:t xml:space="preserve"> en el Centro de Recepci</w:t>
      </w:r>
      <w:r w:rsidRPr="00557544">
        <w:rPr>
          <w:rFonts w:cs="Calibri"/>
          <w:lang w:val="es-CR"/>
        </w:rPr>
        <w:t>ó</w:t>
      </w:r>
      <w:r w:rsidRPr="00557544">
        <w:rPr>
          <w:rFonts w:cs="Cambria"/>
          <w:lang w:val="es-CR"/>
        </w:rPr>
        <w:t>n de Denuncias del Departamento de Investigaci</w:t>
      </w:r>
      <w:r w:rsidRPr="00557544">
        <w:rPr>
          <w:rFonts w:cs="Calibri"/>
          <w:lang w:val="es-CR"/>
        </w:rPr>
        <w:t>ó</w:t>
      </w:r>
      <w:r w:rsidRPr="00557544">
        <w:rPr>
          <w:rFonts w:cs="Cambria"/>
          <w:lang w:val="es-CR"/>
        </w:rPr>
        <w:t>n Crimina</w:t>
      </w:r>
      <w:r>
        <w:rPr>
          <w:rFonts w:cs="Cambria"/>
          <w:lang w:val="es-CR"/>
        </w:rPr>
        <w:t>l, el 27 de septiembre de 2002 (</w:t>
      </w:r>
      <w:r w:rsidRPr="00557544">
        <w:rPr>
          <w:rFonts w:cs="Arial"/>
          <w:lang w:val="es-CR"/>
        </w:rPr>
        <w:t>expediente de prueba, anexo 19 al Informe de Fondo, f. 419)</w:t>
      </w:r>
      <w:r w:rsidRPr="00557544">
        <w:rPr>
          <w:rFonts w:cs="Cambria"/>
          <w:lang w:val="es-CR"/>
        </w:rPr>
        <w:t>. En el Informe de Fondo se indic</w:t>
      </w:r>
      <w:r w:rsidRPr="00557544">
        <w:rPr>
          <w:rFonts w:cs="Calibri"/>
          <w:lang w:val="es-CR"/>
        </w:rPr>
        <w:t>ó</w:t>
      </w:r>
      <w:r w:rsidRPr="00557544">
        <w:rPr>
          <w:rFonts w:cs="Cambria"/>
          <w:lang w:val="es-CR"/>
        </w:rPr>
        <w:t xml:space="preserve"> que “[d]e acuerdo a lo informado por [COFADEH], debido a este hecho Jos</w:t>
      </w:r>
      <w:r w:rsidRPr="00557544">
        <w:rPr>
          <w:rFonts w:cs="Calibri"/>
          <w:lang w:val="es-CR"/>
        </w:rPr>
        <w:t>é</w:t>
      </w:r>
      <w:r w:rsidRPr="00557544">
        <w:rPr>
          <w:rFonts w:cs="Cambria"/>
          <w:lang w:val="es-CR"/>
        </w:rPr>
        <w:t xml:space="preserve"> Pacheco obtuvo una audiencia con el entonces Presidente de la Rep</w:t>
      </w:r>
      <w:r w:rsidRPr="00557544">
        <w:rPr>
          <w:rFonts w:cs="Calibri"/>
          <w:lang w:val="es-CR"/>
        </w:rPr>
        <w:t>ú</w:t>
      </w:r>
      <w:r w:rsidRPr="00557544">
        <w:rPr>
          <w:rFonts w:cs="Cambria"/>
          <w:lang w:val="es-CR"/>
        </w:rPr>
        <w:t>blica</w:t>
      </w:r>
      <w:r>
        <w:rPr>
          <w:rFonts w:cs="Cambria"/>
          <w:lang w:val="es-CR"/>
        </w:rPr>
        <w:t xml:space="preserve"> […]</w:t>
      </w:r>
      <w:r w:rsidRPr="00557544">
        <w:rPr>
          <w:rFonts w:cs="Cambria"/>
          <w:lang w:val="es-CR"/>
        </w:rPr>
        <w:t xml:space="preserve">. </w:t>
      </w:r>
      <w:proofErr w:type="spellStart"/>
      <w:r w:rsidRPr="00557544">
        <w:rPr>
          <w:rFonts w:cs="Cambria"/>
          <w:lang w:val="es-CR"/>
        </w:rPr>
        <w:t>Indic</w:t>
      </w:r>
      <w:proofErr w:type="spellEnd"/>
      <w:r w:rsidRPr="00557544">
        <w:rPr>
          <w:rFonts w:cs="Cambria"/>
          <w:lang w:val="es-CR"/>
        </w:rPr>
        <w:t>[</w:t>
      </w:r>
      <w:proofErr w:type="spellStart"/>
      <w:r w:rsidRPr="00557544">
        <w:rPr>
          <w:rFonts w:cs="Calibri"/>
          <w:lang w:val="es-CR"/>
        </w:rPr>
        <w:t>ó</w:t>
      </w:r>
      <w:proofErr w:type="spellEnd"/>
      <w:r w:rsidRPr="00557544">
        <w:rPr>
          <w:rFonts w:cs="Cambria"/>
          <w:lang w:val="es-CR"/>
        </w:rPr>
        <w:t>] que el entonces Presidente habr</w:t>
      </w:r>
      <w:r w:rsidRPr="00557544">
        <w:rPr>
          <w:rFonts w:cs="Calibri"/>
          <w:lang w:val="es-CR"/>
        </w:rPr>
        <w:t>í</w:t>
      </w:r>
      <w:r w:rsidRPr="00557544">
        <w:rPr>
          <w:rFonts w:cs="Cambria"/>
          <w:lang w:val="es-CR"/>
        </w:rPr>
        <w:t>a solicitado a las entidades correspondientes que se brinde protecci</w:t>
      </w:r>
      <w:r w:rsidRPr="00557544">
        <w:rPr>
          <w:rFonts w:cs="Calibri"/>
          <w:lang w:val="es-CR"/>
        </w:rPr>
        <w:t>ó</w:t>
      </w:r>
      <w:r w:rsidRPr="00557544">
        <w:rPr>
          <w:rFonts w:cs="Cambria"/>
          <w:lang w:val="es-CR"/>
        </w:rPr>
        <w:t>n al se</w:t>
      </w:r>
      <w:r w:rsidRPr="00557544">
        <w:rPr>
          <w:rFonts w:cs="Calibri"/>
          <w:lang w:val="es-CR"/>
        </w:rPr>
        <w:t>ñ</w:t>
      </w:r>
      <w:r w:rsidRPr="00557544">
        <w:rPr>
          <w:rFonts w:cs="Cambria"/>
          <w:lang w:val="es-CR"/>
        </w:rPr>
        <w:t xml:space="preserve">or José Pacheco, lo cual nunca fue implementado. [COFADEH] </w:t>
      </w:r>
      <w:proofErr w:type="spellStart"/>
      <w:r w:rsidRPr="00557544">
        <w:rPr>
          <w:rFonts w:cs="Cambria"/>
          <w:lang w:val="es-CR"/>
        </w:rPr>
        <w:t>indic</w:t>
      </w:r>
      <w:proofErr w:type="spellEnd"/>
      <w:r w:rsidRPr="00557544">
        <w:rPr>
          <w:rFonts w:cs="Cambria"/>
          <w:lang w:val="es-CR"/>
        </w:rPr>
        <w:t>[</w:t>
      </w:r>
      <w:proofErr w:type="spellStart"/>
      <w:r w:rsidRPr="00557544">
        <w:rPr>
          <w:rFonts w:cs="Calibri"/>
          <w:lang w:val="es-CR"/>
        </w:rPr>
        <w:t>ó</w:t>
      </w:r>
      <w:proofErr w:type="spellEnd"/>
      <w:r w:rsidRPr="00557544">
        <w:rPr>
          <w:rFonts w:cs="Cambria"/>
          <w:lang w:val="es-CR"/>
        </w:rPr>
        <w:t>] que ante la persistencia de amenazas, el 24 de abril de 2003 Jos</w:t>
      </w:r>
      <w:r w:rsidRPr="00557544">
        <w:rPr>
          <w:rFonts w:cs="Calibri"/>
          <w:lang w:val="es-CR"/>
        </w:rPr>
        <w:t>é</w:t>
      </w:r>
      <w:r w:rsidRPr="00557544">
        <w:rPr>
          <w:rFonts w:cs="Cambria"/>
          <w:lang w:val="es-CR"/>
        </w:rPr>
        <w:t xml:space="preserve"> Pacheco solicit</w:t>
      </w:r>
      <w:r w:rsidRPr="00557544">
        <w:rPr>
          <w:rFonts w:cs="Calibri"/>
          <w:lang w:val="es-CR"/>
        </w:rPr>
        <w:t>ó</w:t>
      </w:r>
      <w:r w:rsidRPr="00557544">
        <w:rPr>
          <w:rFonts w:cs="Cambria"/>
          <w:lang w:val="es-CR"/>
        </w:rPr>
        <w:t xml:space="preserve"> protecci</w:t>
      </w:r>
      <w:r w:rsidRPr="00557544">
        <w:rPr>
          <w:rFonts w:cs="Calibri"/>
          <w:lang w:val="es-CR"/>
        </w:rPr>
        <w:t>ó</w:t>
      </w:r>
      <w:r w:rsidRPr="00557544">
        <w:rPr>
          <w:rFonts w:cs="Cambria"/>
          <w:lang w:val="es-CR"/>
        </w:rPr>
        <w:t>n a la Directora de la Polic</w:t>
      </w:r>
      <w:r w:rsidRPr="00557544">
        <w:rPr>
          <w:rFonts w:cs="Calibri"/>
          <w:lang w:val="es-CR"/>
        </w:rPr>
        <w:t>í</w:t>
      </w:r>
      <w:r w:rsidRPr="00557544">
        <w:rPr>
          <w:rFonts w:cs="Cambria"/>
          <w:lang w:val="es-CR"/>
        </w:rPr>
        <w:t>a Nacional Preventiva, la cual fue denegada. Manifestaron que el se</w:t>
      </w:r>
      <w:r w:rsidRPr="00557544">
        <w:rPr>
          <w:rFonts w:cs="Calibri"/>
          <w:lang w:val="es-CR"/>
        </w:rPr>
        <w:t>ñ</w:t>
      </w:r>
      <w:r w:rsidRPr="00557544">
        <w:rPr>
          <w:rFonts w:cs="Cambria"/>
          <w:lang w:val="es-CR"/>
        </w:rPr>
        <w:t>or Pacheco tambi</w:t>
      </w:r>
      <w:r w:rsidRPr="00557544">
        <w:rPr>
          <w:rFonts w:cs="Calibri"/>
          <w:lang w:val="es-CR"/>
        </w:rPr>
        <w:t>é</w:t>
      </w:r>
      <w:r w:rsidRPr="00557544">
        <w:rPr>
          <w:rFonts w:cs="Cambria"/>
          <w:lang w:val="es-CR"/>
        </w:rPr>
        <w:t>n le inform</w:t>
      </w:r>
      <w:r w:rsidRPr="00557544">
        <w:rPr>
          <w:rFonts w:cs="Calibri"/>
          <w:lang w:val="es-CR"/>
        </w:rPr>
        <w:t>ó</w:t>
      </w:r>
      <w:r w:rsidRPr="00557544">
        <w:rPr>
          <w:rFonts w:cs="Cambria"/>
          <w:lang w:val="es-CR"/>
        </w:rPr>
        <w:t xml:space="preserve"> de estos hechos al fiscal auxiliar a cargo del caso sobre el asesinato de su hermano </w:t>
      </w:r>
      <w:r w:rsidRPr="00557544">
        <w:rPr>
          <w:rFonts w:cs="Calibri"/>
          <w:lang w:val="es-CR"/>
        </w:rPr>
        <w:t>Á</w:t>
      </w:r>
      <w:r w:rsidRPr="00557544">
        <w:rPr>
          <w:rFonts w:cs="Cambria"/>
          <w:lang w:val="es-CR"/>
        </w:rPr>
        <w:t xml:space="preserve">ngel. </w:t>
      </w:r>
      <w:r w:rsidRPr="00557544">
        <w:rPr>
          <w:rFonts w:cs="Cambria"/>
          <w:i/>
          <w:lang w:val="es-CR"/>
        </w:rPr>
        <w:t xml:space="preserve">Cfr. </w:t>
      </w:r>
      <w:r w:rsidRPr="00557544">
        <w:rPr>
          <w:rFonts w:cs="Cambria"/>
          <w:lang w:val="es-CR"/>
        </w:rPr>
        <w:t>Comunicaci</w:t>
      </w:r>
      <w:r w:rsidRPr="00557544">
        <w:rPr>
          <w:rFonts w:cs="Calibri"/>
          <w:lang w:val="es-CR"/>
        </w:rPr>
        <w:t>ó</w:t>
      </w:r>
      <w:r w:rsidRPr="00557544">
        <w:rPr>
          <w:rFonts w:cs="Cambria"/>
          <w:lang w:val="es-CR"/>
        </w:rPr>
        <w:t>n de los peticionarios de 24 de julio de 2007</w:t>
      </w:r>
      <w:r w:rsidRPr="00EC73BA">
        <w:rPr>
          <w:rFonts w:cs="Cambria"/>
          <w:b/>
          <w:lang w:val="es-CR"/>
        </w:rPr>
        <w:t xml:space="preserve"> </w:t>
      </w:r>
      <w:r w:rsidRPr="00137D01">
        <w:rPr>
          <w:rFonts w:cs="Arial"/>
          <w:lang w:val="es-CR"/>
        </w:rPr>
        <w:t>(expediente de prueba, anexo 18 al Informe de Fondo, fs. 412 a 417)</w:t>
      </w:r>
      <w:r w:rsidRPr="00137D01">
        <w:rPr>
          <w:rFonts w:cs="Cambria"/>
          <w:lang w:val="es-CR"/>
        </w:rPr>
        <w:t xml:space="preserve">.  </w:t>
      </w:r>
    </w:p>
  </w:footnote>
  <w:footnote w:id="218">
    <w:p w14:paraId="4E525112" w14:textId="43ACFC27" w:rsidR="00E02FDB" w:rsidRPr="00DB0D15" w:rsidRDefault="00E02FDB">
      <w:pPr>
        <w:pStyle w:val="FootnoteText"/>
      </w:pPr>
      <w:r>
        <w:rPr>
          <w:rStyle w:val="FootnoteReference"/>
        </w:rPr>
        <w:footnoteRef/>
      </w:r>
      <w:r>
        <w:t xml:space="preserve"> </w:t>
      </w:r>
      <w:r>
        <w:tab/>
        <w:t xml:space="preserve">Denuncia presentada por PS ante la DGIC de 17 de mayo de 2003 (expediente de prueba, anexo 2 al Informe de Fondo, f. 147). </w:t>
      </w:r>
    </w:p>
  </w:footnote>
  <w:footnote w:id="219">
    <w:p w14:paraId="00214FCE" w14:textId="299580C7" w:rsidR="00E02FDB" w:rsidRPr="007B43FC"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7B43FC">
        <w:rPr>
          <w:rFonts w:cs="Cambria"/>
          <w:i/>
          <w:lang w:val="es-CR"/>
        </w:rPr>
        <w:t>Cfr.</w:t>
      </w:r>
      <w:r w:rsidRPr="007B43FC">
        <w:rPr>
          <w:rFonts w:cs="Cambria"/>
          <w:lang w:val="es-CR"/>
        </w:rPr>
        <w:t xml:space="preserve"> Comunicaci</w:t>
      </w:r>
      <w:r w:rsidRPr="007B43FC">
        <w:rPr>
          <w:rFonts w:cs="Calibri"/>
          <w:lang w:val="es-CR"/>
        </w:rPr>
        <w:t>ó</w:t>
      </w:r>
      <w:r w:rsidRPr="007B43FC">
        <w:rPr>
          <w:rFonts w:cs="Cambria"/>
          <w:lang w:val="es-CR"/>
        </w:rPr>
        <w:t>n de los peticionarios de 24 de junio de 2012 (</w:t>
      </w:r>
      <w:r>
        <w:rPr>
          <w:rFonts w:cs="Arial"/>
          <w:lang w:val="es-CR"/>
        </w:rPr>
        <w:t>e</w:t>
      </w:r>
      <w:r w:rsidRPr="007B43FC">
        <w:rPr>
          <w:rFonts w:cs="Arial"/>
          <w:lang w:val="es-CR"/>
        </w:rPr>
        <w:t>xpediente de prueba, anexo 21 al Informe de Fondo, fs. 423 a 430</w:t>
      </w:r>
      <w:r w:rsidRPr="007B43FC">
        <w:rPr>
          <w:rFonts w:cs="Cambria"/>
          <w:lang w:val="es-CR"/>
        </w:rPr>
        <w:t>).</w:t>
      </w:r>
    </w:p>
  </w:footnote>
  <w:footnote w:id="220">
    <w:p w14:paraId="18FF3607" w14:textId="31A18F13" w:rsidR="00E02FDB" w:rsidRPr="007B43FC" w:rsidRDefault="00E02FDB" w:rsidP="007B43FC">
      <w:pPr>
        <w:autoSpaceDE w:val="0"/>
        <w:autoSpaceDN w:val="0"/>
        <w:adjustRightInd w:val="0"/>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sz w:val="16"/>
          <w:szCs w:val="16"/>
          <w:lang w:val="es-CR"/>
        </w:rPr>
        <w:t xml:space="preserve">Según indicó la Comisión en el Informe de Fondo, COFADEH señaló como antecedente </w:t>
      </w:r>
      <w:r>
        <w:rPr>
          <w:sz w:val="16"/>
          <w:szCs w:val="16"/>
          <w:lang w:val="es-CR"/>
        </w:rPr>
        <w:t xml:space="preserve">de esa solicitud de protección </w:t>
      </w:r>
      <w:r w:rsidRPr="007B43FC">
        <w:rPr>
          <w:sz w:val="16"/>
          <w:szCs w:val="16"/>
          <w:lang w:val="es-CR"/>
        </w:rPr>
        <w:t>“</w:t>
      </w:r>
      <w:r w:rsidRPr="007B43FC">
        <w:rPr>
          <w:rFonts w:cs="Cambria"/>
          <w:sz w:val="16"/>
          <w:szCs w:val="16"/>
          <w:lang w:val="es-CR"/>
        </w:rPr>
        <w:t>que, por ejemplo, un veh</w:t>
      </w:r>
      <w:r w:rsidRPr="007B43FC">
        <w:rPr>
          <w:sz w:val="16"/>
          <w:szCs w:val="16"/>
          <w:lang w:val="es-CR"/>
        </w:rPr>
        <w:t>í</w:t>
      </w:r>
      <w:r w:rsidRPr="007B43FC">
        <w:rPr>
          <w:rFonts w:cs="Cambria"/>
          <w:sz w:val="16"/>
          <w:szCs w:val="16"/>
          <w:lang w:val="es-CR"/>
        </w:rPr>
        <w:t>culo que ten</w:t>
      </w:r>
      <w:r w:rsidRPr="007B43FC">
        <w:rPr>
          <w:sz w:val="16"/>
          <w:szCs w:val="16"/>
          <w:lang w:val="es-CR"/>
        </w:rPr>
        <w:t>í</w:t>
      </w:r>
      <w:r w:rsidRPr="007B43FC">
        <w:rPr>
          <w:rFonts w:cs="Cambria"/>
          <w:sz w:val="16"/>
          <w:szCs w:val="16"/>
          <w:lang w:val="es-CR"/>
        </w:rPr>
        <w:t>a las mismas caracter</w:t>
      </w:r>
      <w:r w:rsidRPr="007B43FC">
        <w:rPr>
          <w:sz w:val="16"/>
          <w:szCs w:val="16"/>
          <w:lang w:val="es-CR"/>
        </w:rPr>
        <w:t>í</w:t>
      </w:r>
      <w:r w:rsidRPr="007B43FC">
        <w:rPr>
          <w:rFonts w:cs="Cambria"/>
          <w:sz w:val="16"/>
          <w:szCs w:val="16"/>
          <w:lang w:val="es-CR"/>
        </w:rPr>
        <w:t xml:space="preserve">sticas que </w:t>
      </w:r>
      <w:proofErr w:type="spellStart"/>
      <w:r w:rsidRPr="007B43FC">
        <w:rPr>
          <w:rFonts w:cs="Cambria"/>
          <w:sz w:val="16"/>
          <w:szCs w:val="16"/>
          <w:lang w:val="es-CR"/>
        </w:rPr>
        <w:t>el</w:t>
      </w:r>
      <w:proofErr w:type="spellEnd"/>
      <w:r w:rsidRPr="007B43FC">
        <w:rPr>
          <w:rFonts w:cs="Cambria"/>
          <w:sz w:val="16"/>
          <w:szCs w:val="16"/>
          <w:lang w:val="es-CR"/>
        </w:rPr>
        <w:t xml:space="preserve"> [de Jos</w:t>
      </w:r>
      <w:r w:rsidRPr="007B43FC">
        <w:rPr>
          <w:sz w:val="16"/>
          <w:szCs w:val="16"/>
          <w:lang w:val="es-CR"/>
        </w:rPr>
        <w:t>é</w:t>
      </w:r>
      <w:r w:rsidRPr="007B43FC">
        <w:rPr>
          <w:rFonts w:cs="Cambria"/>
          <w:sz w:val="16"/>
          <w:szCs w:val="16"/>
          <w:lang w:val="es-CR"/>
        </w:rPr>
        <w:t xml:space="preserve"> Pacheco] y que estaba estacionado cerca a su domicilio fue robado. [COFADEH] </w:t>
      </w:r>
      <w:proofErr w:type="spellStart"/>
      <w:r w:rsidRPr="007B43FC">
        <w:rPr>
          <w:rFonts w:cs="Cambria"/>
          <w:sz w:val="16"/>
          <w:szCs w:val="16"/>
          <w:lang w:val="es-CR"/>
        </w:rPr>
        <w:t>indic</w:t>
      </w:r>
      <w:proofErr w:type="spellEnd"/>
      <w:r w:rsidRPr="007B43FC">
        <w:rPr>
          <w:rFonts w:cs="Cambria"/>
          <w:sz w:val="16"/>
          <w:szCs w:val="16"/>
          <w:lang w:val="es-CR"/>
        </w:rPr>
        <w:t>[</w:t>
      </w:r>
      <w:proofErr w:type="spellStart"/>
      <w:r w:rsidRPr="007B43FC">
        <w:rPr>
          <w:sz w:val="16"/>
          <w:szCs w:val="16"/>
          <w:lang w:val="es-CR"/>
        </w:rPr>
        <w:t>ó</w:t>
      </w:r>
      <w:proofErr w:type="spellEnd"/>
      <w:r w:rsidRPr="007B43FC">
        <w:rPr>
          <w:rFonts w:cs="Cambria"/>
          <w:sz w:val="16"/>
          <w:szCs w:val="16"/>
          <w:lang w:val="es-CR"/>
        </w:rPr>
        <w:t xml:space="preserve">] que el entonces Ministro de Seguridad </w:t>
      </w:r>
      <w:r w:rsidRPr="00557544">
        <w:rPr>
          <w:rFonts w:cs="Cambria"/>
          <w:sz w:val="16"/>
          <w:szCs w:val="16"/>
          <w:lang w:val="es-CR"/>
        </w:rPr>
        <w:t>respondió</w:t>
      </w:r>
      <w:r w:rsidRPr="007B43FC">
        <w:rPr>
          <w:rFonts w:cs="Cambria"/>
          <w:sz w:val="16"/>
          <w:szCs w:val="16"/>
          <w:lang w:val="es-CR"/>
        </w:rPr>
        <w:t xml:space="preserve"> al se</w:t>
      </w:r>
      <w:r w:rsidRPr="007B43FC">
        <w:rPr>
          <w:sz w:val="16"/>
          <w:szCs w:val="16"/>
          <w:lang w:val="es-CR"/>
        </w:rPr>
        <w:t>ñ</w:t>
      </w:r>
      <w:r w:rsidRPr="007B43FC">
        <w:rPr>
          <w:rFonts w:cs="Cambria"/>
          <w:sz w:val="16"/>
          <w:szCs w:val="16"/>
          <w:lang w:val="es-CR"/>
        </w:rPr>
        <w:t>or Pacheco que ‘no ten</w:t>
      </w:r>
      <w:r w:rsidRPr="007B43FC">
        <w:rPr>
          <w:sz w:val="16"/>
          <w:szCs w:val="16"/>
          <w:lang w:val="es-CR"/>
        </w:rPr>
        <w:t>í</w:t>
      </w:r>
      <w:r w:rsidRPr="007B43FC">
        <w:rPr>
          <w:rFonts w:cs="Cambria"/>
          <w:sz w:val="16"/>
          <w:szCs w:val="16"/>
          <w:lang w:val="es-CR"/>
        </w:rPr>
        <w:t xml:space="preserve">a ni presupuesto ni personal suficiente para brindarle seguridad’” </w:t>
      </w:r>
      <w:r w:rsidRPr="007B43FC">
        <w:rPr>
          <w:rFonts w:cs="Cambria"/>
          <w:i/>
          <w:sz w:val="16"/>
          <w:szCs w:val="16"/>
          <w:lang w:val="es-CR"/>
        </w:rPr>
        <w:t xml:space="preserve">Cfr. </w:t>
      </w:r>
      <w:r w:rsidRPr="007B43FC">
        <w:rPr>
          <w:rFonts w:cs="Cambria"/>
          <w:sz w:val="16"/>
          <w:szCs w:val="16"/>
          <w:lang w:val="es-CR"/>
        </w:rPr>
        <w:t>Comunicaci</w:t>
      </w:r>
      <w:r w:rsidRPr="007B43FC">
        <w:rPr>
          <w:sz w:val="16"/>
          <w:szCs w:val="16"/>
          <w:lang w:val="es-CR"/>
        </w:rPr>
        <w:t>ó</w:t>
      </w:r>
      <w:r w:rsidRPr="007B43FC">
        <w:rPr>
          <w:rFonts w:cs="Cambria"/>
          <w:sz w:val="16"/>
          <w:szCs w:val="16"/>
          <w:lang w:val="es-CR"/>
        </w:rPr>
        <w:t xml:space="preserve">n de los peticionarios de 24 de julio de 2007 </w:t>
      </w:r>
      <w:r w:rsidRPr="007B43FC">
        <w:rPr>
          <w:rFonts w:cs="Arial"/>
          <w:sz w:val="16"/>
          <w:szCs w:val="16"/>
          <w:lang w:val="es-CR"/>
        </w:rPr>
        <w:t>(</w:t>
      </w:r>
      <w:r>
        <w:rPr>
          <w:rFonts w:cs="Arial"/>
          <w:sz w:val="16"/>
          <w:szCs w:val="16"/>
          <w:lang w:val="es-CR"/>
        </w:rPr>
        <w:t>e</w:t>
      </w:r>
      <w:r w:rsidRPr="007B43FC">
        <w:rPr>
          <w:rFonts w:cs="Arial"/>
          <w:sz w:val="16"/>
          <w:szCs w:val="16"/>
          <w:lang w:val="es-CR"/>
        </w:rPr>
        <w:t>xpediente de prueba, anexo 18 al Informe de Fondo, fs. 412 a 417)</w:t>
      </w:r>
      <w:r w:rsidRPr="007B43FC">
        <w:rPr>
          <w:rFonts w:cs="Cambria"/>
          <w:sz w:val="16"/>
          <w:szCs w:val="16"/>
          <w:lang w:val="es-CR"/>
        </w:rPr>
        <w:t xml:space="preserve">. </w:t>
      </w:r>
    </w:p>
  </w:footnote>
  <w:footnote w:id="221">
    <w:p w14:paraId="11C87A1F" w14:textId="5E1D266D" w:rsidR="00E02FDB" w:rsidRPr="007B43FC"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7B43FC">
        <w:rPr>
          <w:rFonts w:cs="Cambria"/>
          <w:i/>
          <w:lang w:val="es-CR"/>
        </w:rPr>
        <w:t>Cfr.</w:t>
      </w:r>
      <w:r w:rsidRPr="007B43FC">
        <w:rPr>
          <w:rFonts w:cs="Cambria"/>
          <w:lang w:val="es-CR"/>
        </w:rPr>
        <w:t xml:space="preserve"> Comunicaci</w:t>
      </w:r>
      <w:r w:rsidRPr="007B43FC">
        <w:rPr>
          <w:rFonts w:cs="Calibri"/>
          <w:lang w:val="es-CR"/>
        </w:rPr>
        <w:t>ó</w:t>
      </w:r>
      <w:r w:rsidRPr="007B43FC">
        <w:rPr>
          <w:rFonts w:cs="Cambria"/>
          <w:lang w:val="es-CR"/>
        </w:rPr>
        <w:t xml:space="preserve">n de los peticionarios de 24 de julio de 2007 </w:t>
      </w:r>
      <w:r w:rsidRPr="007B43FC">
        <w:rPr>
          <w:rFonts w:cs="Arial"/>
          <w:lang w:val="es-CR"/>
        </w:rPr>
        <w:t>(</w:t>
      </w:r>
      <w:r>
        <w:rPr>
          <w:rFonts w:cs="Arial"/>
          <w:lang w:val="es-CR"/>
        </w:rPr>
        <w:t>e</w:t>
      </w:r>
      <w:r w:rsidRPr="007B43FC">
        <w:rPr>
          <w:rFonts w:cs="Arial"/>
          <w:lang w:val="es-CR"/>
        </w:rPr>
        <w:t xml:space="preserve">xpediente de prueba, anexo 18 al Informe de Fondo, fs. 412 a 417), y </w:t>
      </w:r>
      <w:r>
        <w:rPr>
          <w:rFonts w:cs="Arial"/>
          <w:bCs/>
          <w:lang w:val="es-CR"/>
        </w:rPr>
        <w:t>declaración</w:t>
      </w:r>
      <w:r w:rsidRPr="007B43FC">
        <w:rPr>
          <w:rFonts w:cs="Arial"/>
          <w:lang w:val="es-CR"/>
        </w:rPr>
        <w:t xml:space="preserve"> de Jos</w:t>
      </w:r>
      <w:r w:rsidRPr="007B43FC">
        <w:rPr>
          <w:rFonts w:cs="Calibri"/>
          <w:lang w:val="es-CR"/>
        </w:rPr>
        <w:t>é</w:t>
      </w:r>
      <w:r>
        <w:rPr>
          <w:rFonts w:cs="Arial"/>
          <w:lang w:val="es-CR"/>
        </w:rPr>
        <w:t xml:space="preserve"> Pacheco</w:t>
      </w:r>
      <w:r w:rsidRPr="007B43FC">
        <w:rPr>
          <w:rFonts w:cs="Arial"/>
          <w:lang w:val="es-CR"/>
        </w:rPr>
        <w:t xml:space="preserve"> de 8 de julio de 2003 (</w:t>
      </w:r>
      <w:r>
        <w:rPr>
          <w:rFonts w:cs="Arial"/>
          <w:lang w:val="es-CR"/>
        </w:rPr>
        <w:t>e</w:t>
      </w:r>
      <w:r w:rsidRPr="007B43FC">
        <w:rPr>
          <w:rFonts w:cs="Arial"/>
          <w:lang w:val="es-CR"/>
        </w:rPr>
        <w:t xml:space="preserve">xpediente de prueba, anexo 16 al </w:t>
      </w:r>
      <w:r>
        <w:rPr>
          <w:rFonts w:cs="Arial"/>
          <w:lang w:val="es-CR"/>
        </w:rPr>
        <w:t>e</w:t>
      </w:r>
      <w:r w:rsidRPr="007B43FC">
        <w:rPr>
          <w:rFonts w:cs="Arial"/>
          <w:lang w:val="es-CR"/>
        </w:rPr>
        <w:t xml:space="preserve">scrito de </w:t>
      </w:r>
      <w:r>
        <w:rPr>
          <w:rFonts w:cs="Arial"/>
          <w:lang w:val="es-CR"/>
        </w:rPr>
        <w:t>s</w:t>
      </w:r>
      <w:r w:rsidRPr="007B43FC">
        <w:rPr>
          <w:rFonts w:cs="Arial"/>
          <w:lang w:val="es-CR"/>
        </w:rPr>
        <w:t>olicitudes</w:t>
      </w:r>
      <w:r>
        <w:rPr>
          <w:rFonts w:cs="Arial"/>
          <w:lang w:val="es-CR"/>
        </w:rPr>
        <w:t xml:space="preserve"> y a</w:t>
      </w:r>
      <w:r w:rsidRPr="007B43FC">
        <w:rPr>
          <w:rFonts w:cs="Arial"/>
          <w:lang w:val="es-CR"/>
        </w:rPr>
        <w:t>rgumentos, fs. 1628 a 1634)</w:t>
      </w:r>
      <w:r>
        <w:rPr>
          <w:rFonts w:cs="Arial"/>
          <w:lang w:val="es-CR"/>
        </w:rPr>
        <w:t>.</w:t>
      </w:r>
    </w:p>
  </w:footnote>
  <w:footnote w:id="222">
    <w:p w14:paraId="5D3541FF" w14:textId="0D185ADE" w:rsidR="00E02FDB" w:rsidRPr="00DC7E55" w:rsidRDefault="00E02FDB">
      <w:pPr>
        <w:pStyle w:val="FootnoteText"/>
      </w:pPr>
      <w:r>
        <w:rPr>
          <w:rStyle w:val="FootnoteReference"/>
        </w:rPr>
        <w:footnoteRef/>
      </w:r>
      <w:r>
        <w:t xml:space="preserve"> </w:t>
      </w:r>
      <w:r>
        <w:tab/>
        <w:t xml:space="preserve">Por ello, es evidente que no pueden considerarse argumentos sobre una supuesta afectación a la integridad personal porque José Pacheco no estaba </w:t>
      </w:r>
      <w:r w:rsidRPr="00DC7E55">
        <w:t>emocionalmente preparado</w:t>
      </w:r>
      <w:r>
        <w:t xml:space="preserve"> para ser diputado</w:t>
      </w:r>
      <w:r w:rsidRPr="00DC7E55">
        <w:t>,</w:t>
      </w:r>
      <w:r>
        <w:t xml:space="preserve"> o porque</w:t>
      </w:r>
      <w:r w:rsidRPr="00DC7E55">
        <w:t xml:space="preserve"> se vio </w:t>
      </w:r>
      <w:r>
        <w:t>“</w:t>
      </w:r>
      <w:r w:rsidRPr="00DC7E55">
        <w:t>obligado</w:t>
      </w:r>
      <w:r>
        <w:t>”</w:t>
      </w:r>
      <w:r w:rsidRPr="00DC7E55">
        <w:t xml:space="preserve"> a compartir el cargo con el principal sospechoso del asesinato de su hermano</w:t>
      </w:r>
      <w:r>
        <w:t>, o</w:t>
      </w:r>
      <w:r w:rsidRPr="00DC7E55">
        <w:t xml:space="preserve"> </w:t>
      </w:r>
      <w:r>
        <w:t>que f</w:t>
      </w:r>
      <w:r w:rsidRPr="00DC7E55">
        <w:t xml:space="preserve">ue sujeto </w:t>
      </w:r>
      <w:r>
        <w:t>de marginación y discriminación y que</w:t>
      </w:r>
      <w:r w:rsidRPr="00DC7E55">
        <w:t xml:space="preserve"> no se le otorgaron fondos para desarrollar proyectos sociales</w:t>
      </w:r>
      <w:r>
        <w:t>.</w:t>
      </w:r>
    </w:p>
  </w:footnote>
  <w:footnote w:id="223">
    <w:p w14:paraId="60B14649" w14:textId="49A41447" w:rsidR="00E02FDB" w:rsidRPr="00F31487" w:rsidRDefault="00E02FDB">
      <w:pPr>
        <w:pStyle w:val="FootnoteText"/>
      </w:pPr>
      <w:r>
        <w:rPr>
          <w:rStyle w:val="FootnoteReference"/>
        </w:rPr>
        <w:footnoteRef/>
      </w:r>
      <w:r>
        <w:t xml:space="preserve"> </w:t>
      </w:r>
      <w:r>
        <w:tab/>
      </w:r>
      <w:r w:rsidRPr="00137D01">
        <w:t>Declaración d</w:t>
      </w:r>
      <w:r w:rsidRPr="00F31487">
        <w:t>e Andrea Pacheco</w:t>
      </w:r>
      <w:r>
        <w:t xml:space="preserve"> López rendida </w:t>
      </w:r>
      <w:r w:rsidRPr="00F31487">
        <w:t>ante COFADEH</w:t>
      </w:r>
      <w:r w:rsidRPr="006A4E16">
        <w:t xml:space="preserve"> </w:t>
      </w:r>
      <w:r>
        <w:t>de 17 de febrero de 2016,</w:t>
      </w:r>
      <w:r w:rsidRPr="00F31487">
        <w:t xml:space="preserve"> presentad</w:t>
      </w:r>
      <w:r>
        <w:t>a</w:t>
      </w:r>
      <w:r w:rsidRPr="00F31487">
        <w:t xml:space="preserve"> como prueba documental </w:t>
      </w:r>
      <w:r>
        <w:t>(expediente de prueba, a</w:t>
      </w:r>
      <w:r w:rsidRPr="00F31487">
        <w:t>nexo 7 al escrito de solicitudes y argumentos, fs. 1586 a 1588</w:t>
      </w:r>
      <w:r>
        <w:t>).</w:t>
      </w:r>
    </w:p>
  </w:footnote>
  <w:footnote w:id="224">
    <w:p w14:paraId="0BE25A01" w14:textId="4502DEB8" w:rsidR="00E02FDB" w:rsidRPr="00D958E7" w:rsidRDefault="00E02FDB">
      <w:pPr>
        <w:pStyle w:val="FootnoteText"/>
      </w:pPr>
      <w:r>
        <w:rPr>
          <w:rStyle w:val="FootnoteReference"/>
        </w:rPr>
        <w:footnoteRef/>
      </w:r>
      <w:r>
        <w:t xml:space="preserve"> </w:t>
      </w:r>
      <w:r>
        <w:tab/>
        <w:t xml:space="preserve">Entre sus señalamientos, al hacer alusiones específicas sobre gestiones realizadas por sus familiares, además de nombrar actos realizados por José Pacheco, indicó que en una oportunidad a ella y a él los acompañó su hermana María Regina Pacheco a hacer averiguaciones al </w:t>
      </w:r>
      <w:r w:rsidRPr="00695C09">
        <w:t>Juzgado de Nacaome, y que en 2002 ambas hermanas lograron ser atendidas por el Presidente de la Nación.</w:t>
      </w:r>
      <w:r>
        <w:t xml:space="preserve"> </w:t>
      </w:r>
    </w:p>
  </w:footnote>
  <w:footnote w:id="225">
    <w:p w14:paraId="4364A724" w14:textId="26018873" w:rsidR="00E02FDB" w:rsidRPr="008879C6" w:rsidRDefault="00E02FDB">
      <w:pPr>
        <w:pStyle w:val="FootnoteText"/>
      </w:pPr>
      <w:r>
        <w:rPr>
          <w:rStyle w:val="FootnoteReference"/>
        </w:rPr>
        <w:footnoteRef/>
      </w:r>
      <w:r>
        <w:t xml:space="preserve"> </w:t>
      </w:r>
      <w:r>
        <w:tab/>
      </w:r>
      <w:r w:rsidRPr="00972235">
        <w:rPr>
          <w:i/>
        </w:rPr>
        <w:t>Cfr.</w:t>
      </w:r>
      <w:r>
        <w:t xml:space="preserve"> </w:t>
      </w:r>
      <w:r>
        <w:rPr>
          <w:i/>
          <w:iCs/>
        </w:rPr>
        <w:t>Caso Cinco Pensionistas Vs. Perú</w:t>
      </w:r>
      <w:r>
        <w:t xml:space="preserve">, párr. 155, y </w:t>
      </w:r>
      <w:r w:rsidRPr="00972235">
        <w:rPr>
          <w:i/>
        </w:rPr>
        <w:t>Ca</w:t>
      </w:r>
      <w:r>
        <w:rPr>
          <w:i/>
        </w:rPr>
        <w:t>so Acosta y otros Vs. Nicaragua</w:t>
      </w:r>
      <w:r>
        <w:t>, párr. 30.</w:t>
      </w:r>
    </w:p>
  </w:footnote>
  <w:footnote w:id="226">
    <w:p w14:paraId="05A39908" w14:textId="78285CC3" w:rsidR="00E02FDB" w:rsidRPr="007B43FC"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7B43FC">
        <w:rPr>
          <w:lang w:val="es-CR"/>
        </w:rPr>
        <w:t>El art</w:t>
      </w:r>
      <w:r w:rsidRPr="007B43FC">
        <w:rPr>
          <w:rFonts w:cs="Calibri"/>
          <w:lang w:val="es-CR"/>
        </w:rPr>
        <w:t>í</w:t>
      </w:r>
      <w:r w:rsidRPr="007B43FC">
        <w:rPr>
          <w:lang w:val="es-CR"/>
        </w:rPr>
        <w:t>culo 63.1 de la Convenci</w:t>
      </w:r>
      <w:r w:rsidRPr="007B43FC">
        <w:rPr>
          <w:rFonts w:cs="Calibri"/>
          <w:lang w:val="es-CR"/>
        </w:rPr>
        <w:t>ó</w:t>
      </w:r>
      <w:r>
        <w:rPr>
          <w:lang w:val="es-CR"/>
        </w:rPr>
        <w:t xml:space="preserve">n establece: </w:t>
      </w:r>
      <w:r w:rsidRPr="007B43FC">
        <w:rPr>
          <w:lang w:val="es-CR"/>
        </w:rPr>
        <w:t>“Cuando decida que hubo violaci</w:t>
      </w:r>
      <w:r w:rsidRPr="007B43FC">
        <w:rPr>
          <w:rFonts w:cs="Calibri"/>
          <w:lang w:val="es-CR"/>
        </w:rPr>
        <w:t>ó</w:t>
      </w:r>
      <w:r w:rsidRPr="007B43FC">
        <w:rPr>
          <w:lang w:val="es-CR"/>
        </w:rPr>
        <w:t>n de un derecho o libertad protegidos en [la] Convenci</w:t>
      </w:r>
      <w:r w:rsidRPr="007B43FC">
        <w:rPr>
          <w:rFonts w:cs="Calibri"/>
          <w:lang w:val="es-CR"/>
        </w:rPr>
        <w:t>ó</w:t>
      </w:r>
      <w:r w:rsidRPr="007B43FC">
        <w:rPr>
          <w:lang w:val="es-CR"/>
        </w:rPr>
        <w:t>n, la Corte dispondr</w:t>
      </w:r>
      <w:r w:rsidRPr="007B43FC">
        <w:rPr>
          <w:rFonts w:cs="Calibri"/>
          <w:lang w:val="es-CR"/>
        </w:rPr>
        <w:t>á</w:t>
      </w:r>
      <w:r w:rsidRPr="007B43FC">
        <w:rPr>
          <w:lang w:val="es-CR"/>
        </w:rPr>
        <w:t xml:space="preserve"> que se garantice al lesionado en el goce de su derecho o libertad conculcados. Dispondr</w:t>
      </w:r>
      <w:r w:rsidRPr="007B43FC">
        <w:rPr>
          <w:rFonts w:cs="Calibri"/>
          <w:lang w:val="es-CR"/>
        </w:rPr>
        <w:t>á</w:t>
      </w:r>
      <w:r w:rsidRPr="007B43FC">
        <w:rPr>
          <w:lang w:val="es-CR"/>
        </w:rPr>
        <w:t xml:space="preserve"> asimismo, si ello fuera procedente, que se reparen las consecuencias de la medida o situaci</w:t>
      </w:r>
      <w:r w:rsidRPr="007B43FC">
        <w:rPr>
          <w:rFonts w:cs="Calibri"/>
          <w:lang w:val="es-CR"/>
        </w:rPr>
        <w:t>ó</w:t>
      </w:r>
      <w:r w:rsidRPr="007B43FC">
        <w:rPr>
          <w:lang w:val="es-CR"/>
        </w:rPr>
        <w:t>n que ha configurado la vulneraci</w:t>
      </w:r>
      <w:r w:rsidRPr="007B43FC">
        <w:rPr>
          <w:rFonts w:cs="Calibri"/>
          <w:lang w:val="es-CR"/>
        </w:rPr>
        <w:t>ó</w:t>
      </w:r>
      <w:r w:rsidRPr="007B43FC">
        <w:rPr>
          <w:lang w:val="es-CR"/>
        </w:rPr>
        <w:t>n de esos derechos y el pago de una justa indemnizaci</w:t>
      </w:r>
      <w:r w:rsidRPr="007B43FC">
        <w:rPr>
          <w:rFonts w:cs="Calibri"/>
          <w:lang w:val="es-CR"/>
        </w:rPr>
        <w:t>ó</w:t>
      </w:r>
      <w:r w:rsidRPr="007B43FC">
        <w:rPr>
          <w:lang w:val="es-CR"/>
        </w:rPr>
        <w:t xml:space="preserve">n a la parte lesionada”.  </w:t>
      </w:r>
    </w:p>
  </w:footnote>
  <w:footnote w:id="227">
    <w:p w14:paraId="70327203" w14:textId="4F7D92C3" w:rsidR="00E02FDB" w:rsidRPr="007B43FC"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7B43FC">
        <w:rPr>
          <w:i/>
          <w:iCs/>
          <w:lang w:val="es-CR"/>
        </w:rPr>
        <w:t>Caso Vel</w:t>
      </w:r>
      <w:r w:rsidRPr="007B43FC">
        <w:rPr>
          <w:rFonts w:cs="Calibri"/>
          <w:i/>
          <w:iCs/>
          <w:lang w:val="es-CR"/>
        </w:rPr>
        <w:t>á</w:t>
      </w:r>
      <w:r w:rsidRPr="007B43FC">
        <w:rPr>
          <w:i/>
          <w:iCs/>
          <w:lang w:val="es-CR"/>
        </w:rPr>
        <w:t>squez Rodr</w:t>
      </w:r>
      <w:r w:rsidRPr="007B43FC">
        <w:rPr>
          <w:rFonts w:cs="Calibri"/>
          <w:i/>
          <w:iCs/>
          <w:lang w:val="es-CR"/>
        </w:rPr>
        <w:t>í</w:t>
      </w:r>
      <w:r w:rsidRPr="007B43FC">
        <w:rPr>
          <w:i/>
          <w:iCs/>
          <w:lang w:val="es-CR"/>
        </w:rPr>
        <w:t>guez Vs. Honduras. Reparaciones y Costas</w:t>
      </w:r>
      <w:r w:rsidRPr="007B43FC">
        <w:rPr>
          <w:lang w:val="es-CR"/>
        </w:rPr>
        <w:t>. Sentencia de 21 de julio de 1989. Serie C No. 7, p</w:t>
      </w:r>
      <w:r w:rsidRPr="007B43FC">
        <w:rPr>
          <w:rFonts w:cs="Calibri"/>
          <w:lang w:val="es-CR"/>
        </w:rPr>
        <w:t>á</w:t>
      </w:r>
      <w:r w:rsidRPr="007B43FC">
        <w:rPr>
          <w:lang w:val="es-CR"/>
        </w:rPr>
        <w:t xml:space="preserve">rr. 25, y </w:t>
      </w:r>
      <w:r w:rsidRPr="007B43FC">
        <w:rPr>
          <w:i/>
          <w:iCs/>
          <w:lang w:val="es-CR"/>
        </w:rPr>
        <w:t>Caso</w:t>
      </w:r>
      <w:r>
        <w:rPr>
          <w:i/>
          <w:iCs/>
          <w:lang w:val="es-CR"/>
        </w:rPr>
        <w:t xml:space="preserve"> </w:t>
      </w:r>
      <w:r w:rsidRPr="00523E73">
        <w:rPr>
          <w:i/>
          <w:iCs/>
          <w:lang w:val="es-CR"/>
        </w:rPr>
        <w:t>Lagos del Campo Vs. Perú</w:t>
      </w:r>
      <w:r w:rsidRPr="00523E73">
        <w:rPr>
          <w:lang w:val="es-CR"/>
        </w:rPr>
        <w:t>, p</w:t>
      </w:r>
      <w:r w:rsidRPr="00523E73">
        <w:rPr>
          <w:rFonts w:cs="Calibri"/>
          <w:lang w:val="es-CR"/>
        </w:rPr>
        <w:t>á</w:t>
      </w:r>
      <w:r w:rsidRPr="00523E73">
        <w:rPr>
          <w:lang w:val="es-CR"/>
        </w:rPr>
        <w:t>rr. 195.</w:t>
      </w:r>
      <w:r w:rsidRPr="007B43FC">
        <w:rPr>
          <w:lang w:val="es-CR"/>
        </w:rPr>
        <w:t xml:space="preserve">  </w:t>
      </w:r>
    </w:p>
  </w:footnote>
  <w:footnote w:id="228">
    <w:p w14:paraId="5A4CE070" w14:textId="75702815" w:rsidR="00E02FDB" w:rsidRPr="005620AA" w:rsidRDefault="00E02FDB">
      <w:pPr>
        <w:pStyle w:val="FootnoteText"/>
        <w:rPr>
          <w:lang w:val="es-MX"/>
        </w:rPr>
      </w:pPr>
      <w:r>
        <w:rPr>
          <w:rStyle w:val="FootnoteReference"/>
        </w:rPr>
        <w:footnoteRef/>
      </w:r>
      <w:r>
        <w:t xml:space="preserve"> </w:t>
      </w:r>
      <w:r>
        <w:tab/>
      </w:r>
      <w:r w:rsidRPr="001D0170">
        <w:rPr>
          <w:i/>
        </w:rPr>
        <w:t>Cfr.</w:t>
      </w:r>
      <w:r>
        <w:t xml:space="preserve"> </w:t>
      </w:r>
      <w:r w:rsidRPr="00231F08">
        <w:rPr>
          <w:i/>
        </w:rPr>
        <w:t>Caso Velásquez Rodríguez Vs. Honduras. Reparaciones y Costas</w:t>
      </w:r>
      <w:r>
        <w:t xml:space="preserve">, párr. 26, y </w:t>
      </w:r>
      <w:r w:rsidRPr="00523E73">
        <w:rPr>
          <w:i/>
          <w:iCs/>
          <w:lang w:val="es-CR"/>
        </w:rPr>
        <w:t>Caso Lagos del Campo Vs. Perú</w:t>
      </w:r>
      <w:r w:rsidRPr="00523E73">
        <w:rPr>
          <w:lang w:val="es-CR"/>
        </w:rPr>
        <w:t>, p</w:t>
      </w:r>
      <w:r w:rsidRPr="00523E73">
        <w:rPr>
          <w:rFonts w:cs="Calibri"/>
          <w:lang w:val="es-CR"/>
        </w:rPr>
        <w:t>á</w:t>
      </w:r>
      <w:r w:rsidRPr="00523E73">
        <w:rPr>
          <w:lang w:val="es-CR"/>
        </w:rPr>
        <w:t>rr. 194</w:t>
      </w:r>
      <w:r>
        <w:rPr>
          <w:lang w:val="es-CR"/>
        </w:rPr>
        <w:t>.</w:t>
      </w:r>
    </w:p>
  </w:footnote>
  <w:footnote w:id="229">
    <w:p w14:paraId="524B128F" w14:textId="52D94306" w:rsidR="00E02FDB" w:rsidRPr="007B43FC" w:rsidRDefault="00E02FDB" w:rsidP="007B43FC">
      <w:pPr>
        <w:pStyle w:val="FootnoteText"/>
        <w:rPr>
          <w:lang w:val="es-CR"/>
        </w:rPr>
      </w:pPr>
      <w:r w:rsidRPr="007B43FC">
        <w:rPr>
          <w:rStyle w:val="FootnoteReference"/>
        </w:rPr>
        <w:footnoteRef/>
      </w:r>
      <w:r w:rsidRPr="007B43FC">
        <w:rPr>
          <w:lang w:val="es-CR"/>
        </w:rPr>
        <w:t xml:space="preserve"> </w:t>
      </w:r>
      <w:r>
        <w:rPr>
          <w:lang w:val="es-CR"/>
        </w:rPr>
        <w:tab/>
      </w:r>
      <w:r w:rsidRPr="007B43FC">
        <w:rPr>
          <w:i/>
          <w:iCs/>
          <w:lang w:val="es-CR"/>
        </w:rPr>
        <w:t xml:space="preserve">Caso </w:t>
      </w:r>
      <w:proofErr w:type="spellStart"/>
      <w:r w:rsidRPr="007B43FC">
        <w:rPr>
          <w:i/>
          <w:iCs/>
          <w:lang w:val="es-CR"/>
        </w:rPr>
        <w:t>Ticona</w:t>
      </w:r>
      <w:proofErr w:type="spellEnd"/>
      <w:r w:rsidRPr="007B43FC">
        <w:rPr>
          <w:i/>
          <w:iCs/>
          <w:lang w:val="es-CR"/>
        </w:rPr>
        <w:t xml:space="preserve"> Estrada y otros Vs. Bolivia</w:t>
      </w:r>
      <w:r w:rsidRPr="007B43FC">
        <w:rPr>
          <w:lang w:val="es-CR"/>
        </w:rPr>
        <w:t>, p</w:t>
      </w:r>
      <w:r w:rsidRPr="007B43FC">
        <w:rPr>
          <w:rFonts w:cs="Calibri"/>
          <w:lang w:val="es-CR"/>
        </w:rPr>
        <w:t>á</w:t>
      </w:r>
      <w:r w:rsidRPr="007B43FC">
        <w:rPr>
          <w:lang w:val="es-CR"/>
        </w:rPr>
        <w:t xml:space="preserve">rr. </w:t>
      </w:r>
      <w:r w:rsidRPr="00523E73">
        <w:rPr>
          <w:lang w:val="es-CR"/>
        </w:rPr>
        <w:t xml:space="preserve">110, y </w:t>
      </w:r>
      <w:r w:rsidRPr="00523E73">
        <w:rPr>
          <w:i/>
          <w:iCs/>
          <w:lang w:val="es-CR"/>
        </w:rPr>
        <w:t>Caso Lagos del Campo Vs. Perú</w:t>
      </w:r>
      <w:r w:rsidRPr="00523E73">
        <w:rPr>
          <w:lang w:val="es-CR"/>
        </w:rPr>
        <w:t>, p</w:t>
      </w:r>
      <w:r w:rsidRPr="00523E73">
        <w:rPr>
          <w:rFonts w:cs="Calibri"/>
          <w:lang w:val="es-CR"/>
        </w:rPr>
        <w:t>á</w:t>
      </w:r>
      <w:r w:rsidRPr="00523E73">
        <w:rPr>
          <w:lang w:val="es-CR"/>
        </w:rPr>
        <w:t>rr. 193</w:t>
      </w:r>
      <w:r w:rsidRPr="007B43FC">
        <w:rPr>
          <w:lang w:val="es-CR"/>
        </w:rPr>
        <w:t xml:space="preserve">.  </w:t>
      </w:r>
    </w:p>
  </w:footnote>
  <w:footnote w:id="230">
    <w:p w14:paraId="2513EB0B" w14:textId="5DFAE037" w:rsidR="00E02FDB" w:rsidRPr="007B43FC" w:rsidRDefault="00E02FDB" w:rsidP="002D5A5C">
      <w:pPr>
        <w:autoSpaceDE w:val="0"/>
        <w:autoSpaceDN w:val="0"/>
        <w:adjustRightInd w:val="0"/>
        <w:rPr>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rFonts w:cs="Arial"/>
          <w:color w:val="1F2121"/>
          <w:sz w:val="16"/>
          <w:szCs w:val="16"/>
          <w:lang w:val="es-CR"/>
        </w:rPr>
        <w:t>Agreg</w:t>
      </w:r>
      <w:r w:rsidRPr="007B43FC">
        <w:rPr>
          <w:color w:val="1F2121"/>
          <w:sz w:val="16"/>
          <w:szCs w:val="16"/>
          <w:lang w:val="es-CR"/>
        </w:rPr>
        <w:t>ó</w:t>
      </w:r>
      <w:r w:rsidRPr="007B43FC">
        <w:rPr>
          <w:rFonts w:cs="Arial"/>
          <w:color w:val="1F2121"/>
          <w:sz w:val="16"/>
          <w:szCs w:val="16"/>
          <w:lang w:val="es-CR"/>
        </w:rPr>
        <w:t xml:space="preserve"> Honduras que </w:t>
      </w:r>
      <w:r w:rsidRPr="00D16278">
        <w:rPr>
          <w:rFonts w:cs="Arial"/>
          <w:color w:val="1F2121"/>
          <w:sz w:val="16"/>
          <w:szCs w:val="16"/>
          <w:lang w:val="es-CR"/>
        </w:rPr>
        <w:t xml:space="preserve">“si bien las reparaciones a derechos humanos deben ser integrales, esto no conlleva a que se deba dar una doble reparación por cada violación, es decir, a cada hecho ilícito corresponde una medida de reparación adecuada”. </w:t>
      </w:r>
    </w:p>
  </w:footnote>
  <w:footnote w:id="231">
    <w:p w14:paraId="082CB87A" w14:textId="7114744C" w:rsidR="00E02FDB" w:rsidRPr="0092751C" w:rsidRDefault="00E02FDB" w:rsidP="002A776C">
      <w:r>
        <w:rPr>
          <w:rStyle w:val="FootnoteReference"/>
        </w:rPr>
        <w:footnoteRef/>
      </w:r>
      <w:r w:rsidRPr="00DA18B8">
        <w:rPr>
          <w:sz w:val="16"/>
          <w:szCs w:val="16"/>
        </w:rPr>
        <w:t xml:space="preserve"> </w:t>
      </w:r>
      <w:r>
        <w:rPr>
          <w:sz w:val="16"/>
          <w:szCs w:val="16"/>
        </w:rPr>
        <w:tab/>
      </w:r>
      <w:r w:rsidRPr="00BB75BC">
        <w:rPr>
          <w:sz w:val="16"/>
          <w:szCs w:val="16"/>
        </w:rPr>
        <w:t xml:space="preserve">La Corte en esta Sentencia ha declarado la violación a la integridad personal en relación con la investigación de los hechos, y </w:t>
      </w:r>
      <w:r w:rsidRPr="00137D01">
        <w:rPr>
          <w:sz w:val="16"/>
          <w:szCs w:val="16"/>
        </w:rPr>
        <w:t>nota que las medidas de rehabilitación pedidas por los representantes</w:t>
      </w:r>
      <w:r w:rsidRPr="00BB75BC">
        <w:rPr>
          <w:sz w:val="16"/>
          <w:szCs w:val="16"/>
        </w:rPr>
        <w:t xml:space="preserve"> tienen por fundamento supuestas afectaciones a la integridad personal de las víctimas a causa de la muerte del señor Pacheco Le</w:t>
      </w:r>
      <w:r>
        <w:rPr>
          <w:sz w:val="16"/>
          <w:szCs w:val="16"/>
        </w:rPr>
        <w:t>ó</w:t>
      </w:r>
      <w:r w:rsidRPr="00BB75BC">
        <w:rPr>
          <w:sz w:val="16"/>
          <w:szCs w:val="16"/>
        </w:rPr>
        <w:t xml:space="preserve">n. Por tanto, no cabe considerar la petición de los representantes. Sin perjuicio de ello, se aclara que la violación a la integridad personal de las víctimas sí declarada en la presente Sentencia será considerada en relación con </w:t>
      </w:r>
      <w:r>
        <w:rPr>
          <w:sz w:val="16"/>
          <w:szCs w:val="16"/>
        </w:rPr>
        <w:t xml:space="preserve">medidas </w:t>
      </w:r>
      <w:proofErr w:type="spellStart"/>
      <w:r>
        <w:rPr>
          <w:sz w:val="16"/>
          <w:szCs w:val="16"/>
        </w:rPr>
        <w:t>reparatorias</w:t>
      </w:r>
      <w:proofErr w:type="spellEnd"/>
      <w:r>
        <w:rPr>
          <w:sz w:val="16"/>
          <w:szCs w:val="16"/>
        </w:rPr>
        <w:t xml:space="preserve"> de indemnización pecuniaria</w:t>
      </w:r>
      <w:r w:rsidRPr="00BB75BC">
        <w:rPr>
          <w:sz w:val="16"/>
          <w:szCs w:val="16"/>
        </w:rPr>
        <w:t xml:space="preserve"> (</w:t>
      </w:r>
      <w:r w:rsidRPr="00BB75BC">
        <w:rPr>
          <w:i/>
          <w:sz w:val="16"/>
          <w:szCs w:val="16"/>
        </w:rPr>
        <w:t>infra</w:t>
      </w:r>
      <w:r w:rsidRPr="00BB75BC">
        <w:rPr>
          <w:sz w:val="16"/>
          <w:szCs w:val="16"/>
        </w:rPr>
        <w:t xml:space="preserve"> </w:t>
      </w:r>
      <w:proofErr w:type="spellStart"/>
      <w:r w:rsidRPr="00BB75BC">
        <w:rPr>
          <w:sz w:val="16"/>
          <w:szCs w:val="16"/>
        </w:rPr>
        <w:t>párrs</w:t>
      </w:r>
      <w:proofErr w:type="spellEnd"/>
      <w:r w:rsidRPr="00BB75BC">
        <w:rPr>
          <w:sz w:val="16"/>
          <w:szCs w:val="16"/>
        </w:rPr>
        <w:t>.</w:t>
      </w:r>
      <w:r>
        <w:rPr>
          <w:sz w:val="16"/>
          <w:szCs w:val="16"/>
        </w:rPr>
        <w:t xml:space="preserve"> 217 a 219).</w:t>
      </w:r>
    </w:p>
  </w:footnote>
  <w:footnote w:id="232">
    <w:p w14:paraId="69254208" w14:textId="20D1CB59" w:rsidR="00E02FDB" w:rsidRDefault="00E02FDB" w:rsidP="00C05C12">
      <w:pPr>
        <w:pStyle w:val="FootnoteText"/>
      </w:pPr>
      <w:r>
        <w:rPr>
          <w:rStyle w:val="FootnoteReference"/>
        </w:rPr>
        <w:footnoteRef/>
      </w:r>
      <w:r>
        <w:t xml:space="preserve"> </w:t>
      </w:r>
      <w:r>
        <w:tab/>
        <w:t xml:space="preserve">Adicionalmente, la Corte nota que el perito Daniel Herrera Salinas, en su declaración por </w:t>
      </w:r>
      <w:r w:rsidRPr="002B7F7C">
        <w:rPr>
          <w:i/>
        </w:rPr>
        <w:t>affidávit</w:t>
      </w:r>
      <w:r>
        <w:t>, señaló que la realización de “[i]</w:t>
      </w:r>
      <w:proofErr w:type="spellStart"/>
      <w:r>
        <w:t>nvestigaciones</w:t>
      </w:r>
      <w:proofErr w:type="spellEnd"/>
      <w:r>
        <w:t xml:space="preserve"> serias”, así como la “difusión de la verdad”, pueden contribuir a que “se aligeren [los] sufrimientos” de “los familiares” del señor Pacheco (expediente de </w:t>
      </w:r>
      <w:r w:rsidRPr="005871BF">
        <w:rPr>
          <w:i/>
        </w:rPr>
        <w:t>affidávits</w:t>
      </w:r>
      <w:r>
        <w:t xml:space="preserve"> y declaraciones, fs. 2728 a 2733).</w:t>
      </w:r>
    </w:p>
  </w:footnote>
  <w:footnote w:id="233">
    <w:p w14:paraId="622AFCFD" w14:textId="2B5ED4CC" w:rsidR="00E02FDB" w:rsidRPr="00373EF0" w:rsidRDefault="00E02FDB" w:rsidP="006E29A4">
      <w:pPr>
        <w:pStyle w:val="FootnoteText"/>
        <w:rPr>
          <w:lang w:val="es-ES"/>
        </w:rPr>
      </w:pPr>
      <w:r>
        <w:rPr>
          <w:rStyle w:val="FootnoteReference"/>
        </w:rPr>
        <w:footnoteRef/>
      </w:r>
      <w:r>
        <w:t xml:space="preserve"> </w:t>
      </w:r>
      <w:r>
        <w:tab/>
      </w:r>
      <w:r w:rsidRPr="00373EF0">
        <w:t xml:space="preserve">Al respecto, la Corte nota que a partir de un convenio suscrito entre la Organización de Estados Americanos con el Estado de Honduras el pasado 19 de enero de 2016, se creó la Misión de Apoyo Contra la Corrupción y la Impunidad en Honduras (MACCIH), que trabaja para coadyuvar con el Estado en el combate a la corrupción e impunidad, y </w:t>
      </w:r>
      <w:r>
        <w:t xml:space="preserve">que tiene entre sus objetivos, </w:t>
      </w:r>
      <w:r w:rsidRPr="00373EF0">
        <w:t>“</w:t>
      </w:r>
      <w:r>
        <w:t>[</w:t>
      </w:r>
      <w:r w:rsidRPr="00373EF0">
        <w:t>c</w:t>
      </w:r>
      <w:r>
        <w:t>]</w:t>
      </w:r>
      <w:proofErr w:type="spellStart"/>
      <w:r w:rsidRPr="00373EF0">
        <w:t>ontribuir</w:t>
      </w:r>
      <w:proofErr w:type="spellEnd"/>
      <w:r w:rsidRPr="00373EF0">
        <w:t xml:space="preserve"> a mejorar la coordinación entre las distintas instituciones del Estado que trabajan en esta materia”, y “</w:t>
      </w:r>
      <w:r>
        <w:t>[</w:t>
      </w:r>
      <w:r w:rsidRPr="00373EF0">
        <w:t>p</w:t>
      </w:r>
      <w:r>
        <w:t>]</w:t>
      </w:r>
      <w:proofErr w:type="spellStart"/>
      <w:r w:rsidRPr="00373EF0">
        <w:t>roponer</w:t>
      </w:r>
      <w:proofErr w:type="spellEnd"/>
      <w:r w:rsidRPr="00373EF0">
        <w:t xml:space="preserve"> al Gobierno reformas al Sistema de Justicia hondureño”. La Corte considera pertinente que dicha Misión tome en consideración la jurisprudencia de la Corte Interamericana de Derechos Humanos sobre el combate a la impunidad.</w:t>
      </w:r>
    </w:p>
  </w:footnote>
  <w:footnote w:id="234">
    <w:p w14:paraId="4469B8E1" w14:textId="206DCB09" w:rsidR="00E02FDB" w:rsidRPr="007B43FC" w:rsidRDefault="00E02FDB" w:rsidP="006E29A4">
      <w:pPr>
        <w:autoSpaceDE w:val="0"/>
        <w:autoSpaceDN w:val="0"/>
        <w:adjustRightInd w:val="0"/>
        <w:rPr>
          <w:sz w:val="16"/>
          <w:szCs w:val="16"/>
          <w:lang w:val="es-CR"/>
        </w:rPr>
      </w:pPr>
      <w:r w:rsidRPr="007B43FC">
        <w:rPr>
          <w:rStyle w:val="FootnoteReference"/>
        </w:rPr>
        <w:footnoteRef/>
      </w:r>
      <w:r w:rsidRPr="007B43FC">
        <w:rPr>
          <w:sz w:val="16"/>
          <w:szCs w:val="16"/>
          <w:lang w:val="es-CR"/>
        </w:rPr>
        <w:t xml:space="preserve"> </w:t>
      </w:r>
      <w:r>
        <w:rPr>
          <w:sz w:val="16"/>
          <w:szCs w:val="16"/>
          <w:lang w:val="es-CR"/>
        </w:rPr>
        <w:tab/>
      </w:r>
      <w:r w:rsidRPr="007B43FC">
        <w:rPr>
          <w:sz w:val="16"/>
          <w:szCs w:val="16"/>
          <w:lang w:val="es-CR"/>
        </w:rPr>
        <w:t>Solicitaron que a efectos del acto público se “</w:t>
      </w:r>
      <w:r w:rsidRPr="007B43FC">
        <w:rPr>
          <w:rFonts w:cs="Arial"/>
          <w:sz w:val="16"/>
          <w:szCs w:val="16"/>
          <w:lang w:val="es-CR"/>
        </w:rPr>
        <w:t>instruya al Estado que asegure la presencia de las v</w:t>
      </w:r>
      <w:r w:rsidRPr="007B43FC">
        <w:rPr>
          <w:sz w:val="16"/>
          <w:szCs w:val="16"/>
          <w:lang w:val="es-CR"/>
        </w:rPr>
        <w:t>í</w:t>
      </w:r>
      <w:r w:rsidRPr="007B43FC">
        <w:rPr>
          <w:rFonts w:cs="Arial"/>
          <w:sz w:val="16"/>
          <w:szCs w:val="16"/>
          <w:lang w:val="es-CR"/>
        </w:rPr>
        <w:t>ctimas en el acto p</w:t>
      </w:r>
      <w:r w:rsidRPr="007B43FC">
        <w:rPr>
          <w:sz w:val="16"/>
          <w:szCs w:val="16"/>
          <w:lang w:val="es-CR"/>
        </w:rPr>
        <w:t>ú</w:t>
      </w:r>
      <w:r w:rsidRPr="007B43FC">
        <w:rPr>
          <w:rFonts w:cs="Arial"/>
          <w:sz w:val="16"/>
          <w:szCs w:val="16"/>
          <w:lang w:val="es-CR"/>
        </w:rPr>
        <w:t>blico sufragando los gastos en que pudieran incurrir, convoc</w:t>
      </w:r>
      <w:r w:rsidRPr="007B43FC">
        <w:rPr>
          <w:sz w:val="16"/>
          <w:szCs w:val="16"/>
          <w:lang w:val="es-CR"/>
        </w:rPr>
        <w:t>á</w:t>
      </w:r>
      <w:r w:rsidRPr="007B43FC">
        <w:rPr>
          <w:rFonts w:cs="Arial"/>
          <w:sz w:val="16"/>
          <w:szCs w:val="16"/>
          <w:lang w:val="es-CR"/>
        </w:rPr>
        <w:t>ndolos con la debida antelaci</w:t>
      </w:r>
      <w:r w:rsidRPr="007B43FC">
        <w:rPr>
          <w:sz w:val="16"/>
          <w:szCs w:val="16"/>
          <w:lang w:val="es-CR"/>
        </w:rPr>
        <w:t>ó</w:t>
      </w:r>
      <w:r w:rsidRPr="007B43FC">
        <w:rPr>
          <w:rFonts w:cs="Arial"/>
          <w:sz w:val="16"/>
          <w:szCs w:val="16"/>
          <w:lang w:val="es-CR"/>
        </w:rPr>
        <w:t>n y que el evento sea difundido a trav</w:t>
      </w:r>
      <w:r w:rsidRPr="007B43FC">
        <w:rPr>
          <w:sz w:val="16"/>
          <w:szCs w:val="16"/>
          <w:lang w:val="es-CR"/>
        </w:rPr>
        <w:t>é</w:t>
      </w:r>
      <w:r w:rsidRPr="007B43FC">
        <w:rPr>
          <w:rFonts w:cs="Arial"/>
          <w:sz w:val="16"/>
          <w:szCs w:val="16"/>
          <w:lang w:val="es-CR"/>
        </w:rPr>
        <w:t>s de los medios de comunicaci</w:t>
      </w:r>
      <w:r w:rsidRPr="007B43FC">
        <w:rPr>
          <w:sz w:val="16"/>
          <w:szCs w:val="16"/>
          <w:lang w:val="es-CR"/>
        </w:rPr>
        <w:t>ó</w:t>
      </w:r>
      <w:r w:rsidRPr="007B43FC">
        <w:rPr>
          <w:rFonts w:cs="Arial"/>
          <w:sz w:val="16"/>
          <w:szCs w:val="16"/>
          <w:lang w:val="es-CR"/>
        </w:rPr>
        <w:t>n televisivos o radiales, asegurando que sea en</w:t>
      </w:r>
      <w:r>
        <w:rPr>
          <w:rFonts w:cs="Arial"/>
          <w:sz w:val="16"/>
          <w:szCs w:val="16"/>
          <w:lang w:val="es-CR"/>
        </w:rPr>
        <w:t xml:space="preserve"> un horario de alta audiencia”.</w:t>
      </w:r>
    </w:p>
  </w:footnote>
  <w:footnote w:id="235">
    <w:p w14:paraId="26E65DF7" w14:textId="02A2E545" w:rsidR="00E02FDB" w:rsidRPr="00DF3243" w:rsidRDefault="00E02FDB">
      <w:pPr>
        <w:pStyle w:val="FootnoteText"/>
      </w:pPr>
      <w:r>
        <w:rPr>
          <w:rStyle w:val="FootnoteReference"/>
        </w:rPr>
        <w:footnoteRef/>
      </w:r>
      <w:r>
        <w:t xml:space="preserve"> </w:t>
      </w:r>
      <w:r>
        <w:tab/>
        <w:t>También adujeron que debía resarcirse el “lucro cesante”, pero basaron el mismo en la p</w:t>
      </w:r>
      <w:r w:rsidRPr="0083028B">
        <w:t>é</w:t>
      </w:r>
      <w:r>
        <w:t xml:space="preserve">rdida de ingresos del señor Pacheco a causa de su deceso. </w:t>
      </w:r>
      <w:r w:rsidRPr="0083028B">
        <w:t>Por</w:t>
      </w:r>
      <w:r>
        <w:t xml:space="preserve"> los motivos antes </w:t>
      </w:r>
      <w:r w:rsidRPr="0083028B">
        <w:t>expresados (</w:t>
      </w:r>
      <w:r w:rsidRPr="0083028B">
        <w:rPr>
          <w:i/>
        </w:rPr>
        <w:t>supra</w:t>
      </w:r>
      <w:r w:rsidRPr="0083028B">
        <w:t xml:space="preserve"> párr.</w:t>
      </w:r>
      <w:r>
        <w:t xml:space="preserve"> 190), no corresponde analizar esos argumentos. </w:t>
      </w:r>
    </w:p>
  </w:footnote>
  <w:footnote w:id="236">
    <w:p w14:paraId="6EAF987B" w14:textId="67F31547" w:rsidR="00E02FDB" w:rsidRPr="00C011CF" w:rsidRDefault="00E02FDB" w:rsidP="00C011CF">
      <w:pPr>
        <w:rPr>
          <w:lang w:val="es-CR"/>
        </w:rPr>
      </w:pPr>
      <w:r>
        <w:rPr>
          <w:rStyle w:val="FootnoteReference"/>
        </w:rPr>
        <w:footnoteRef/>
      </w:r>
      <w:r>
        <w:t xml:space="preserve"> </w:t>
      </w:r>
      <w:r>
        <w:tab/>
      </w:r>
      <w:r w:rsidRPr="00475A31">
        <w:rPr>
          <w:rFonts w:cs="Verdana"/>
          <w:sz w:val="16"/>
          <w:szCs w:val="16"/>
          <w:lang w:val="es-ES_tradnl" w:eastAsia="es-ES"/>
        </w:rPr>
        <w:t xml:space="preserve">Por ejemplo, explicaron que “[l]os familiares de Ángel Pacheco León realizaron movilizaciones en Tegucigalpa y el departamento de Valle con el fin de obtener justicia e impulsar los mecanismos jurídicos”; que [l]os hermanos y hermanas, principalmente </w:t>
      </w:r>
      <w:proofErr w:type="spellStart"/>
      <w:r w:rsidRPr="00475A31">
        <w:rPr>
          <w:rFonts w:cs="Verdana"/>
          <w:sz w:val="16"/>
          <w:szCs w:val="16"/>
          <w:lang w:val="es-ES_tradnl" w:eastAsia="es-ES"/>
        </w:rPr>
        <w:t>Marleny</w:t>
      </w:r>
      <w:proofErr w:type="spellEnd"/>
      <w:r w:rsidRPr="00475A31">
        <w:rPr>
          <w:rFonts w:cs="Verdana"/>
          <w:sz w:val="16"/>
          <w:szCs w:val="16"/>
          <w:lang w:val="es-ES_tradnl" w:eastAsia="es-ES"/>
        </w:rPr>
        <w:t xml:space="preserve"> </w:t>
      </w:r>
      <w:r>
        <w:rPr>
          <w:rFonts w:cs="Verdana"/>
          <w:sz w:val="16"/>
          <w:szCs w:val="16"/>
          <w:lang w:val="es-ES_tradnl" w:eastAsia="es-ES"/>
        </w:rPr>
        <w:t xml:space="preserve">[Pacheco Posadas] </w:t>
      </w:r>
      <w:r w:rsidRPr="00475A31">
        <w:rPr>
          <w:rFonts w:cs="Verdana"/>
          <w:sz w:val="16"/>
          <w:szCs w:val="16"/>
          <w:lang w:val="es-ES_tradnl" w:eastAsia="es-ES"/>
        </w:rPr>
        <w:t>y José</w:t>
      </w:r>
      <w:r>
        <w:rPr>
          <w:rFonts w:cs="Verdana"/>
          <w:sz w:val="16"/>
          <w:szCs w:val="16"/>
          <w:lang w:val="es-ES_tradnl" w:eastAsia="es-ES"/>
        </w:rPr>
        <w:t xml:space="preserve"> [Pacheco]</w:t>
      </w:r>
      <w:r w:rsidRPr="00475A31">
        <w:rPr>
          <w:rFonts w:cs="Verdana"/>
          <w:sz w:val="16"/>
          <w:szCs w:val="16"/>
          <w:lang w:val="es-ES_tradnl" w:eastAsia="es-ES"/>
        </w:rPr>
        <w:t xml:space="preserve">, perdieron ingresos durante la búsqueda a nivel interno, las investigaciones o </w:t>
      </w:r>
      <w:r w:rsidRPr="00695C09">
        <w:rPr>
          <w:rFonts w:cs="Verdana"/>
          <w:sz w:val="16"/>
          <w:szCs w:val="16"/>
          <w:lang w:val="es-ES_tradnl" w:eastAsia="es-ES"/>
        </w:rPr>
        <w:t xml:space="preserve">para </w:t>
      </w:r>
      <w:r w:rsidRPr="00475A31">
        <w:rPr>
          <w:rFonts w:cs="Verdana"/>
          <w:sz w:val="16"/>
          <w:szCs w:val="16"/>
          <w:lang w:val="es-ES_tradnl" w:eastAsia="es-ES"/>
        </w:rPr>
        <w:t>asistir a las audiencias ante sede internacional”; que “</w:t>
      </w:r>
      <w:proofErr w:type="spellStart"/>
      <w:r w:rsidRPr="00475A31">
        <w:rPr>
          <w:rFonts w:cs="Verdana"/>
          <w:sz w:val="16"/>
          <w:szCs w:val="16"/>
          <w:lang w:val="es-ES_tradnl" w:eastAsia="es-ES"/>
        </w:rPr>
        <w:t>Marleny</w:t>
      </w:r>
      <w:proofErr w:type="spellEnd"/>
      <w:r w:rsidRPr="00475A31">
        <w:rPr>
          <w:rFonts w:cs="Verdana"/>
          <w:sz w:val="16"/>
          <w:szCs w:val="16"/>
          <w:lang w:val="es-ES_tradnl" w:eastAsia="es-ES"/>
        </w:rPr>
        <w:t xml:space="preserve"> </w:t>
      </w:r>
      <w:r>
        <w:rPr>
          <w:rFonts w:cs="Verdana"/>
          <w:sz w:val="16"/>
          <w:szCs w:val="16"/>
          <w:lang w:val="es-ES_tradnl" w:eastAsia="es-ES"/>
        </w:rPr>
        <w:t xml:space="preserve">[Pacheco Posadas] </w:t>
      </w:r>
      <w:r w:rsidRPr="00475A31">
        <w:rPr>
          <w:rFonts w:cs="Verdana"/>
          <w:sz w:val="16"/>
          <w:szCs w:val="16"/>
          <w:lang w:val="es-ES_tradnl" w:eastAsia="es-ES"/>
        </w:rPr>
        <w:t xml:space="preserve">vive en los Estados-Unidos [y] ha viajado a Honduras específicamente por asuntos relacionados a la investigación del asesinato de su hermano aproximadamente diez […] veces”, y que José Pacheco, durante el transcurso de 15 años, </w:t>
      </w:r>
      <w:r>
        <w:rPr>
          <w:rFonts w:cs="Verdana"/>
          <w:sz w:val="16"/>
          <w:szCs w:val="16"/>
          <w:lang w:val="es-ES_tradnl" w:eastAsia="es-ES"/>
        </w:rPr>
        <w:t>“</w:t>
      </w:r>
      <w:r w:rsidRPr="00475A31">
        <w:rPr>
          <w:rFonts w:cs="Verdana"/>
          <w:sz w:val="16"/>
          <w:szCs w:val="16"/>
          <w:lang w:val="es-ES_tradnl" w:eastAsia="es-ES"/>
        </w:rPr>
        <w:t xml:space="preserve">viajaba a la zona sur del país con el objetivo de hacer diligencia para esclarecer el </w:t>
      </w:r>
      <w:r w:rsidRPr="0063422C">
        <w:rPr>
          <w:rFonts w:cs="Verdana"/>
          <w:sz w:val="16"/>
          <w:szCs w:val="16"/>
          <w:lang w:val="es-ES_tradnl" w:eastAsia="es-ES"/>
        </w:rPr>
        <w:t>[homicidio]</w:t>
      </w:r>
      <w:r w:rsidRPr="00475A31">
        <w:rPr>
          <w:rFonts w:cs="Verdana"/>
          <w:sz w:val="16"/>
          <w:szCs w:val="16"/>
          <w:lang w:val="es-ES_tradnl" w:eastAsia="es-ES"/>
        </w:rPr>
        <w:t xml:space="preserve"> de su hermano. También, viajó a Washington para asistir a las audiencias ante sede internacional”</w:t>
      </w:r>
      <w:r>
        <w:rPr>
          <w:rFonts w:cs="Verdana"/>
          <w:sz w:val="16"/>
          <w:szCs w:val="16"/>
          <w:lang w:val="es-ES_tradnl" w:eastAsia="es-ES"/>
        </w:rPr>
        <w:t>.</w:t>
      </w:r>
    </w:p>
  </w:footnote>
  <w:footnote w:id="237">
    <w:p w14:paraId="61799906" w14:textId="25446129" w:rsidR="00E02FDB" w:rsidRPr="0092751C" w:rsidRDefault="00E02FDB">
      <w:pPr>
        <w:pStyle w:val="FootnoteText"/>
      </w:pPr>
      <w:r>
        <w:rPr>
          <w:rStyle w:val="FootnoteReference"/>
        </w:rPr>
        <w:footnoteRef/>
      </w:r>
      <w:r>
        <w:t xml:space="preserve"> </w:t>
      </w:r>
      <w:r>
        <w:tab/>
        <w:t xml:space="preserve">El Estado efectuó esta consideración sin detallar si se refería al daño moral o al daño material, o a ambos. Luego, refiriéndose específicamente al daño moral, reiteró el mismo argumento. </w:t>
      </w:r>
    </w:p>
  </w:footnote>
  <w:footnote w:id="238">
    <w:p w14:paraId="10F05C37" w14:textId="14C219AC" w:rsidR="00E02FDB" w:rsidRPr="00523E73" w:rsidRDefault="00E02FDB" w:rsidP="00AD3CE6">
      <w:pPr>
        <w:pStyle w:val="FootnoteText"/>
      </w:pPr>
      <w:r>
        <w:rPr>
          <w:rStyle w:val="FootnoteReference"/>
        </w:rPr>
        <w:footnoteRef/>
      </w:r>
      <w:r>
        <w:t xml:space="preserve"> </w:t>
      </w:r>
      <w:r>
        <w:tab/>
      </w:r>
      <w:r w:rsidRPr="00523E73">
        <w:rPr>
          <w:i/>
        </w:rPr>
        <w:t xml:space="preserve">Caso </w:t>
      </w:r>
      <w:proofErr w:type="spellStart"/>
      <w:r w:rsidRPr="00523E73">
        <w:rPr>
          <w:i/>
        </w:rPr>
        <w:t>Bámaca</w:t>
      </w:r>
      <w:proofErr w:type="spellEnd"/>
      <w:r w:rsidRPr="00523E73">
        <w:rPr>
          <w:i/>
        </w:rPr>
        <w:t xml:space="preserve"> Velásquez Vs. Guatemala. Reparaciones y Costas.</w:t>
      </w:r>
      <w:r w:rsidRPr="00523E73">
        <w:t xml:space="preserve"> Sentencia de 22 de febrero de 2002. Serie C No. 91, párr. 43, y </w:t>
      </w:r>
      <w:r w:rsidRPr="00523E73">
        <w:rPr>
          <w:i/>
          <w:iCs/>
          <w:lang w:val="es-CR"/>
        </w:rPr>
        <w:t>Caso Lagos del Campo Vs. Perú</w:t>
      </w:r>
      <w:r w:rsidRPr="00523E73">
        <w:rPr>
          <w:lang w:val="es-CR"/>
        </w:rPr>
        <w:t>, p</w:t>
      </w:r>
      <w:r w:rsidRPr="00523E73">
        <w:rPr>
          <w:rFonts w:cs="Calibri"/>
          <w:lang w:val="es-CR"/>
        </w:rPr>
        <w:t>á</w:t>
      </w:r>
      <w:r w:rsidRPr="00523E73">
        <w:rPr>
          <w:lang w:val="es-CR"/>
        </w:rPr>
        <w:t xml:space="preserve">rr. 213. </w:t>
      </w:r>
    </w:p>
  </w:footnote>
  <w:footnote w:id="239">
    <w:p w14:paraId="700E6612" w14:textId="391BDF09" w:rsidR="00E02FDB" w:rsidRPr="008B111A" w:rsidRDefault="00E02FDB" w:rsidP="004218C1">
      <w:pPr>
        <w:pStyle w:val="FootnoteText"/>
      </w:pPr>
      <w:r w:rsidRPr="00523E73">
        <w:rPr>
          <w:rStyle w:val="FootnoteReference"/>
        </w:rPr>
        <w:footnoteRef/>
      </w:r>
      <w:r w:rsidRPr="00523E73">
        <w:t xml:space="preserve"> </w:t>
      </w:r>
      <w:r w:rsidRPr="00523E73">
        <w:tab/>
      </w:r>
      <w:r w:rsidRPr="00523E73">
        <w:rPr>
          <w:i/>
        </w:rPr>
        <w:t>Cfr. Caso de los “Niños de la Calle” (Villagrán Morales y otros) Vs. Guatemala</w:t>
      </w:r>
      <w:r w:rsidRPr="00523E73">
        <w:t xml:space="preserve">. </w:t>
      </w:r>
      <w:r w:rsidRPr="00523E73">
        <w:rPr>
          <w:i/>
        </w:rPr>
        <w:t xml:space="preserve">Reparaciones y Costas. </w:t>
      </w:r>
      <w:r w:rsidRPr="00523E73">
        <w:t>Sentencia de 26 de mayo de 2001. Serie C No. 77</w:t>
      </w:r>
      <w:r w:rsidRPr="00523E73">
        <w:rPr>
          <w:i/>
        </w:rPr>
        <w:t xml:space="preserve">, </w:t>
      </w:r>
      <w:r w:rsidRPr="00523E73">
        <w:t xml:space="preserve">párr. 84, y </w:t>
      </w:r>
      <w:r w:rsidRPr="00523E73">
        <w:rPr>
          <w:i/>
          <w:iCs/>
          <w:lang w:val="es-CR"/>
        </w:rPr>
        <w:t>Caso Lagos del Campo Vs. Perú</w:t>
      </w:r>
      <w:r w:rsidRPr="00523E73">
        <w:rPr>
          <w:lang w:val="es-CR"/>
        </w:rPr>
        <w:t>, p</w:t>
      </w:r>
      <w:r w:rsidRPr="00523E73">
        <w:rPr>
          <w:rFonts w:cs="Calibri"/>
          <w:lang w:val="es-CR"/>
        </w:rPr>
        <w:t>á</w:t>
      </w:r>
      <w:r w:rsidRPr="00523E73">
        <w:rPr>
          <w:lang w:val="es-CR"/>
        </w:rPr>
        <w:t>rr. 220.</w:t>
      </w:r>
    </w:p>
  </w:footnote>
  <w:footnote w:id="240">
    <w:p w14:paraId="736EB44D" w14:textId="608DDDC9" w:rsidR="00E02FDB" w:rsidRPr="008B111A" w:rsidRDefault="00E02FDB" w:rsidP="004218C1">
      <w:pPr>
        <w:pStyle w:val="FootnoteText"/>
        <w:rPr>
          <w:lang w:val="es-MX"/>
        </w:rPr>
      </w:pPr>
      <w:r>
        <w:rPr>
          <w:rStyle w:val="FootnoteReference"/>
        </w:rPr>
        <w:footnoteRef/>
      </w:r>
      <w:r>
        <w:t xml:space="preserve"> </w:t>
      </w:r>
      <w:r>
        <w:tab/>
      </w:r>
      <w:r w:rsidRPr="00C438C1">
        <w:rPr>
          <w:i/>
        </w:rPr>
        <w:t xml:space="preserve">Cfr. </w:t>
      </w:r>
      <w:r w:rsidRPr="00523E73">
        <w:rPr>
          <w:i/>
        </w:rPr>
        <w:t>Caso de los “Niños de la Calle” (Villagrán Morales y otros) Vs. Guatemala</w:t>
      </w:r>
      <w:r w:rsidRPr="00523E73">
        <w:t xml:space="preserve">. </w:t>
      </w:r>
      <w:r w:rsidRPr="00523E73">
        <w:rPr>
          <w:i/>
        </w:rPr>
        <w:t xml:space="preserve">Reparaciones y Costas, </w:t>
      </w:r>
      <w:r w:rsidRPr="00523E73">
        <w:t xml:space="preserve">párr. 84, y </w:t>
      </w:r>
      <w:r w:rsidRPr="00523E73">
        <w:rPr>
          <w:i/>
        </w:rPr>
        <w:t>Caso Gutiérrez Hernández y Otros Vs. Guatemala,</w:t>
      </w:r>
      <w:r w:rsidRPr="00523E73">
        <w:t xml:space="preserve"> párr. 218.</w:t>
      </w:r>
    </w:p>
  </w:footnote>
  <w:footnote w:id="241">
    <w:p w14:paraId="7907E03C" w14:textId="38E8EFA1" w:rsidR="00E02FDB" w:rsidRPr="003B3AB2" w:rsidRDefault="00E02FDB">
      <w:pPr>
        <w:pStyle w:val="FootnoteText"/>
      </w:pPr>
      <w:r w:rsidRPr="006F35D9">
        <w:rPr>
          <w:rStyle w:val="FootnoteReference"/>
        </w:rPr>
        <w:footnoteRef/>
      </w:r>
      <w:r w:rsidRPr="006F35D9">
        <w:t xml:space="preserve"> </w:t>
      </w:r>
      <w:r>
        <w:tab/>
        <w:t xml:space="preserve">Por otra parte, cabe aclarar que los representantes explicaron </w:t>
      </w:r>
      <w:r w:rsidRPr="000D01F8">
        <w:t>que en vista de que algunos de los viajes no fueron utilizados en su totalidad para el trabajo respecto del presente caso, los montos se han establecido tomando en cuenta los gastos realizados en un porcentaje proporcional del viaje, en atención al tiempo dedicado específicamente al caso. Pidieron</w:t>
      </w:r>
      <w:r w:rsidRPr="00C438C1">
        <w:t xml:space="preserve"> que la Corte ordene que dicha cantidad sea reintegrada directamente por el Estado al COFADEH.</w:t>
      </w:r>
    </w:p>
  </w:footnote>
  <w:footnote w:id="242">
    <w:p w14:paraId="3E325E26" w14:textId="5FD4023B" w:rsidR="00E02FDB" w:rsidRPr="000B4C73" w:rsidRDefault="00E02FDB" w:rsidP="00E45C61">
      <w:pPr>
        <w:pStyle w:val="FootnoteText"/>
      </w:pPr>
      <w:r>
        <w:rPr>
          <w:rStyle w:val="FootnoteReference"/>
        </w:rPr>
        <w:footnoteRef/>
      </w:r>
      <w:r>
        <w:t xml:space="preserve"> </w:t>
      </w:r>
      <w:r>
        <w:tab/>
      </w:r>
      <w:r w:rsidRPr="006E29A4">
        <w:rPr>
          <w:i/>
        </w:rPr>
        <w:t xml:space="preserve">Cfr. </w:t>
      </w:r>
      <w:r w:rsidRPr="00523E73">
        <w:rPr>
          <w:i/>
        </w:rPr>
        <w:t xml:space="preserve">Caso Garrido y </w:t>
      </w:r>
      <w:proofErr w:type="spellStart"/>
      <w:r w:rsidRPr="00523E73">
        <w:rPr>
          <w:i/>
        </w:rPr>
        <w:t>Baigorria</w:t>
      </w:r>
      <w:proofErr w:type="spellEnd"/>
      <w:r w:rsidRPr="00523E73">
        <w:rPr>
          <w:i/>
        </w:rPr>
        <w:t xml:space="preserve"> Vs. Argentina. Reparaciones y Costas</w:t>
      </w:r>
      <w:r w:rsidRPr="00523E73">
        <w:t xml:space="preserve">. Sentencia de 27 de agosto de 1998. Serie C No. 39, párr. 82, y </w:t>
      </w:r>
      <w:r w:rsidRPr="00523E73">
        <w:rPr>
          <w:i/>
          <w:iCs/>
          <w:lang w:val="es-CR"/>
        </w:rPr>
        <w:t>Caso Lagos del Campo Vs. Perú</w:t>
      </w:r>
      <w:r w:rsidRPr="00523E73">
        <w:rPr>
          <w:lang w:val="es-CR"/>
        </w:rPr>
        <w:t>, p</w:t>
      </w:r>
      <w:r w:rsidRPr="00523E73">
        <w:rPr>
          <w:rFonts w:cs="Calibri"/>
          <w:lang w:val="es-CR"/>
        </w:rPr>
        <w:t>á</w:t>
      </w:r>
      <w:r w:rsidRPr="00523E73">
        <w:rPr>
          <w:lang w:val="es-CR"/>
        </w:rPr>
        <w:t>rr. 225.</w:t>
      </w:r>
    </w:p>
  </w:footnote>
  <w:footnote w:id="243">
    <w:p w14:paraId="59560E86" w14:textId="4DCB25C6" w:rsidR="00E02FDB" w:rsidRPr="000B4C73" w:rsidRDefault="00E02FDB">
      <w:pPr>
        <w:pStyle w:val="FootnoteText"/>
        <w:rPr>
          <w:lang w:val="es-MX"/>
        </w:rPr>
      </w:pPr>
      <w:r>
        <w:rPr>
          <w:rStyle w:val="FootnoteReference"/>
        </w:rPr>
        <w:footnoteRef/>
      </w:r>
      <w:r>
        <w:t xml:space="preserve"> </w:t>
      </w:r>
      <w:r>
        <w:tab/>
      </w:r>
      <w:r w:rsidRPr="00C438C1">
        <w:rPr>
          <w:i/>
        </w:rPr>
        <w:t xml:space="preserve">Cfr. Caso Comunidad Indígena </w:t>
      </w:r>
      <w:proofErr w:type="spellStart"/>
      <w:r w:rsidRPr="00C438C1">
        <w:rPr>
          <w:i/>
        </w:rPr>
        <w:t>Xákmok</w:t>
      </w:r>
      <w:proofErr w:type="spellEnd"/>
      <w:r w:rsidRPr="00C438C1">
        <w:rPr>
          <w:i/>
        </w:rPr>
        <w:t xml:space="preserve"> </w:t>
      </w:r>
      <w:proofErr w:type="spellStart"/>
      <w:r w:rsidRPr="00C438C1">
        <w:rPr>
          <w:i/>
        </w:rPr>
        <w:t>Kásek</w:t>
      </w:r>
      <w:proofErr w:type="spellEnd"/>
      <w:r w:rsidRPr="00C438C1">
        <w:rPr>
          <w:i/>
        </w:rPr>
        <w:t xml:space="preserve"> Vs. Paraguay. Fondo, Reparaciones y Costas. </w:t>
      </w:r>
      <w:r>
        <w:t xml:space="preserve">Sentencia de 24 de agosto de 2010. Serie C No. 214, párr. 331 y </w:t>
      </w:r>
      <w:r w:rsidRPr="00523E73">
        <w:rPr>
          <w:bCs/>
          <w:i/>
        </w:rPr>
        <w:t xml:space="preserve">Caso </w:t>
      </w:r>
      <w:r>
        <w:rPr>
          <w:bCs/>
          <w:i/>
        </w:rPr>
        <w:t>Orti</w:t>
      </w:r>
      <w:r w:rsidRPr="00523E73">
        <w:rPr>
          <w:bCs/>
          <w:i/>
        </w:rPr>
        <w:t>z Hernández y Otros Vs. Venezuela</w:t>
      </w:r>
      <w:r w:rsidRPr="00523E73">
        <w:rPr>
          <w:bCs/>
        </w:rPr>
        <w:t>, párr. 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E4BF" w14:textId="77777777" w:rsidR="00E02FDB" w:rsidRDefault="00E02FDB"/>
  <w:p w14:paraId="43A654A5" w14:textId="77777777" w:rsidR="00E02FDB" w:rsidRDefault="00E02FDB" w:rsidP="00D157D7">
    <w:pPr>
      <w:jc w:val="center"/>
    </w:pPr>
    <w:r>
      <w:rPr>
        <w:rStyle w:val="PageNumber"/>
      </w:rPr>
      <w:fldChar w:fldCharType="begin"/>
    </w:r>
    <w:r>
      <w:rPr>
        <w:rStyle w:val="PageNumber"/>
      </w:rPr>
      <w:instrText xml:space="preserve"> PAGE </w:instrText>
    </w:r>
    <w:r>
      <w:rPr>
        <w:rStyle w:val="PageNumber"/>
      </w:rPr>
      <w:fldChar w:fldCharType="separate"/>
    </w:r>
    <w:r w:rsidR="007D5BA9">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0233" w14:textId="37C4657B" w:rsidR="00E02FDB" w:rsidRPr="00E702C4" w:rsidRDefault="00E02FDB" w:rsidP="00F955F4">
    <w:pPr>
      <w:pStyle w:val="Header"/>
      <w:rPr>
        <w:i/>
        <w:sz w:val="16"/>
        <w:szCs w:val="16"/>
      </w:rPr>
    </w:pPr>
    <w:r>
      <w:rPr>
        <w:sz w:val="16"/>
        <w:szCs w:val="16"/>
      </w:rPr>
      <w:tab/>
      <w:t xml:space="preserve">              </w:t>
    </w:r>
  </w:p>
  <w:p w14:paraId="2679488E" w14:textId="77777777" w:rsidR="00E02FDB" w:rsidRDefault="00E02FDB">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D7242152"/>
    <w:lvl w:ilvl="0">
      <w:start w:val="3"/>
      <w:numFmt w:val="decimal"/>
      <w:lvlText w:val="%1."/>
      <w:lvlJc w:val="left"/>
      <w:pPr>
        <w:tabs>
          <w:tab w:val="num" w:pos="360"/>
        </w:tabs>
        <w:ind w:left="360" w:hanging="360"/>
      </w:pPr>
      <w:rPr>
        <w:rFonts w:ascii="Verdana" w:hAnsi="Verdana" w:hint="default"/>
        <w:b w:val="0"/>
        <w:i w:val="0"/>
        <w:strike w:val="0"/>
        <w:color w:val="auto"/>
        <w:sz w:val="20"/>
        <w:szCs w:val="20"/>
      </w:rPr>
    </w:lvl>
    <w:lvl w:ilvl="1">
      <w:start w:val="1"/>
      <w:numFmt w:val="decimal"/>
      <w:lvlText w:val="%2."/>
      <w:lvlJc w:val="left"/>
      <w:pPr>
        <w:tabs>
          <w:tab w:val="num" w:pos="1080"/>
        </w:tabs>
        <w:ind w:left="1080" w:hanging="360"/>
      </w:pPr>
      <w:rPr>
        <w:lang w:val="es-C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809A4"/>
    <w:multiLevelType w:val="hybridMultilevel"/>
    <w:tmpl w:val="CB5E4886"/>
    <w:lvl w:ilvl="0" w:tplc="322AF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F6B66"/>
    <w:multiLevelType w:val="hybridMultilevel"/>
    <w:tmpl w:val="C25E3460"/>
    <w:lvl w:ilvl="0" w:tplc="E42E6DE8">
      <w:start w:val="2"/>
      <w:numFmt w:val="decimal"/>
      <w:pStyle w:val="PrrafodeSentencia"/>
      <w:lvlText w:val="%1."/>
      <w:lvlJc w:val="left"/>
      <w:pPr>
        <w:ind w:left="8730" w:hanging="360"/>
      </w:pPr>
      <w:rPr>
        <w:rFonts w:ascii="Verdana" w:hAnsi="Verdana" w:hint="default"/>
        <w:b w:val="0"/>
        <w:i w:val="0"/>
        <w:strike w:val="0"/>
        <w:color w:val="auto"/>
        <w:sz w:val="20"/>
        <w:szCs w:val="20"/>
        <w:vertAlign w:val="baseline"/>
        <w:lang w:val="es-CR"/>
      </w:rPr>
    </w:lvl>
    <w:lvl w:ilvl="1" w:tplc="140A0019" w:tentative="1">
      <w:start w:val="1"/>
      <w:numFmt w:val="lowerLetter"/>
      <w:lvlText w:val="%2."/>
      <w:lvlJc w:val="left"/>
      <w:pPr>
        <w:ind w:left="1854" w:hanging="360"/>
      </w:pPr>
    </w:lvl>
    <w:lvl w:ilvl="2" w:tplc="140A001B" w:tentative="1">
      <w:start w:val="1"/>
      <w:numFmt w:val="lowerRoman"/>
      <w:lvlText w:val="%3."/>
      <w:lvlJc w:val="right"/>
      <w:pPr>
        <w:ind w:left="2574" w:hanging="180"/>
      </w:pPr>
    </w:lvl>
    <w:lvl w:ilvl="3" w:tplc="140A000F" w:tentative="1">
      <w:start w:val="1"/>
      <w:numFmt w:val="decimal"/>
      <w:lvlText w:val="%4."/>
      <w:lvlJc w:val="left"/>
      <w:pPr>
        <w:ind w:left="3294" w:hanging="360"/>
      </w:pPr>
    </w:lvl>
    <w:lvl w:ilvl="4" w:tplc="140A0019" w:tentative="1">
      <w:start w:val="1"/>
      <w:numFmt w:val="lowerLetter"/>
      <w:lvlText w:val="%5."/>
      <w:lvlJc w:val="left"/>
      <w:pPr>
        <w:ind w:left="4014" w:hanging="360"/>
      </w:pPr>
    </w:lvl>
    <w:lvl w:ilvl="5" w:tplc="140A001B" w:tentative="1">
      <w:start w:val="1"/>
      <w:numFmt w:val="lowerRoman"/>
      <w:lvlText w:val="%6."/>
      <w:lvlJc w:val="right"/>
      <w:pPr>
        <w:ind w:left="4734" w:hanging="180"/>
      </w:pPr>
    </w:lvl>
    <w:lvl w:ilvl="6" w:tplc="140A000F" w:tentative="1">
      <w:start w:val="1"/>
      <w:numFmt w:val="decimal"/>
      <w:lvlText w:val="%7."/>
      <w:lvlJc w:val="left"/>
      <w:pPr>
        <w:ind w:left="5454" w:hanging="360"/>
      </w:pPr>
    </w:lvl>
    <w:lvl w:ilvl="7" w:tplc="140A0019" w:tentative="1">
      <w:start w:val="1"/>
      <w:numFmt w:val="lowerLetter"/>
      <w:lvlText w:val="%8."/>
      <w:lvlJc w:val="left"/>
      <w:pPr>
        <w:ind w:left="6174" w:hanging="360"/>
      </w:pPr>
    </w:lvl>
    <w:lvl w:ilvl="8" w:tplc="140A001B" w:tentative="1">
      <w:start w:val="1"/>
      <w:numFmt w:val="lowerRoman"/>
      <w:lvlText w:val="%9."/>
      <w:lvlJc w:val="right"/>
      <w:pPr>
        <w:ind w:left="6894" w:hanging="180"/>
      </w:pPr>
    </w:lvl>
  </w:abstractNum>
  <w:abstractNum w:abstractNumId="3">
    <w:nsid w:val="045A2743"/>
    <w:multiLevelType w:val="multilevel"/>
    <w:tmpl w:val="E474C6B8"/>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CA84D2E"/>
    <w:multiLevelType w:val="hybridMultilevel"/>
    <w:tmpl w:val="2020B8BC"/>
    <w:lvl w:ilvl="0" w:tplc="869A542A">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B33B0"/>
    <w:multiLevelType w:val="hybridMultilevel"/>
    <w:tmpl w:val="6BF2A066"/>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2562A82"/>
    <w:multiLevelType w:val="hybridMultilevel"/>
    <w:tmpl w:val="D4E28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E2B34"/>
    <w:multiLevelType w:val="hybridMultilevel"/>
    <w:tmpl w:val="9D7C40D4"/>
    <w:lvl w:ilvl="0" w:tplc="5E70847C">
      <w:start w:val="1"/>
      <w:numFmt w:val="decimal"/>
      <w:lvlText w:val="%1."/>
      <w:lvlJc w:val="left"/>
      <w:pPr>
        <w:ind w:left="1710" w:hanging="360"/>
      </w:pPr>
      <w:rPr>
        <w:b w:val="0"/>
        <w:strike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AA62A0"/>
    <w:multiLevelType w:val="hybridMultilevel"/>
    <w:tmpl w:val="A248178C"/>
    <w:lvl w:ilvl="0" w:tplc="9BE05112">
      <w:start w:val="1"/>
      <w:numFmt w:val="lowerRoman"/>
      <w:lvlText w:val="%1)"/>
      <w:lvlJc w:val="left"/>
      <w:pPr>
        <w:ind w:left="2148" w:hanging="720"/>
      </w:pPr>
      <w:rPr>
        <w:rFonts w:hint="default"/>
        <w:i/>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9">
    <w:nsid w:val="24074DD9"/>
    <w:multiLevelType w:val="hybridMultilevel"/>
    <w:tmpl w:val="A24CD21E"/>
    <w:lvl w:ilvl="0" w:tplc="0640106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4410298"/>
    <w:multiLevelType w:val="hybridMultilevel"/>
    <w:tmpl w:val="2020B8BC"/>
    <w:lvl w:ilvl="0" w:tplc="869A542A">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50383"/>
    <w:multiLevelType w:val="hybridMultilevel"/>
    <w:tmpl w:val="CBB8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A3DC6"/>
    <w:multiLevelType w:val="hybridMultilevel"/>
    <w:tmpl w:val="28C6B070"/>
    <w:lvl w:ilvl="0" w:tplc="00B466C6">
      <w:start w:val="186"/>
      <w:numFmt w:val="decimal"/>
      <w:lvlText w:val="%1."/>
      <w:lvlJc w:val="left"/>
      <w:pPr>
        <w:ind w:left="795" w:hanging="435"/>
      </w:pPr>
      <w:rPr>
        <w:rFonts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74B2576"/>
    <w:multiLevelType w:val="hybridMultilevel"/>
    <w:tmpl w:val="A24CD21E"/>
    <w:lvl w:ilvl="0" w:tplc="0640106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8492132"/>
    <w:multiLevelType w:val="hybridMultilevel"/>
    <w:tmpl w:val="A248178C"/>
    <w:lvl w:ilvl="0" w:tplc="9BE05112">
      <w:start w:val="1"/>
      <w:numFmt w:val="lowerRoman"/>
      <w:lvlText w:val="%1)"/>
      <w:lvlJc w:val="left"/>
      <w:pPr>
        <w:ind w:left="2148" w:hanging="720"/>
      </w:pPr>
      <w:rPr>
        <w:rFonts w:hint="default"/>
        <w:i/>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5">
    <w:nsid w:val="2A872CF2"/>
    <w:multiLevelType w:val="hybridMultilevel"/>
    <w:tmpl w:val="2020B8BC"/>
    <w:lvl w:ilvl="0" w:tplc="869A542A">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42861"/>
    <w:multiLevelType w:val="hybridMultilevel"/>
    <w:tmpl w:val="C0806B0A"/>
    <w:lvl w:ilvl="0" w:tplc="104C795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02D5E53"/>
    <w:multiLevelType w:val="hybridMultilevel"/>
    <w:tmpl w:val="2B2818EA"/>
    <w:lvl w:ilvl="0" w:tplc="26FCEB44">
      <w:start w:val="1"/>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0697134"/>
    <w:multiLevelType w:val="hybridMultilevel"/>
    <w:tmpl w:val="68CCD34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4BD039B"/>
    <w:multiLevelType w:val="hybridMultilevel"/>
    <w:tmpl w:val="63BC8068"/>
    <w:lvl w:ilvl="0" w:tplc="71AA0FE0">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9455922"/>
    <w:multiLevelType w:val="hybridMultilevel"/>
    <w:tmpl w:val="5E58DE10"/>
    <w:lvl w:ilvl="0" w:tplc="C85AD8D0">
      <w:start w:val="1"/>
      <w:numFmt w:val="decimal"/>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nsid w:val="3A632D50"/>
    <w:multiLevelType w:val="hybridMultilevel"/>
    <w:tmpl w:val="6512D998"/>
    <w:lvl w:ilvl="0" w:tplc="EFEA95E8">
      <w:start w:val="116"/>
      <w:numFmt w:val="bullet"/>
      <w:lvlText w:val="-"/>
      <w:lvlJc w:val="left"/>
      <w:pPr>
        <w:ind w:left="720" w:hanging="360"/>
      </w:pPr>
      <w:rPr>
        <w:rFonts w:ascii="Verdana" w:eastAsia="Batang"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3BB26701"/>
    <w:multiLevelType w:val="hybridMultilevel"/>
    <w:tmpl w:val="A24CD21E"/>
    <w:lvl w:ilvl="0" w:tplc="0640106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3F381A43"/>
    <w:multiLevelType w:val="hybridMultilevel"/>
    <w:tmpl w:val="CE3438E2"/>
    <w:lvl w:ilvl="0" w:tplc="814A79EE">
      <w:start w:val="300"/>
      <w:numFmt w:val="decimal"/>
      <w:lvlText w:val="%1."/>
      <w:lvlJc w:val="left"/>
      <w:pPr>
        <w:ind w:left="735" w:hanging="375"/>
      </w:pPr>
      <w:rPr>
        <w:rFonts w:ascii="Verdana" w:hAnsi="Verdana"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E6D9D"/>
    <w:multiLevelType w:val="hybridMultilevel"/>
    <w:tmpl w:val="DF60E5CA"/>
    <w:lvl w:ilvl="0" w:tplc="138C4E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D367F"/>
    <w:multiLevelType w:val="hybridMultilevel"/>
    <w:tmpl w:val="255EEF44"/>
    <w:lvl w:ilvl="0" w:tplc="BD109862">
      <w:start w:val="213"/>
      <w:numFmt w:val="decimal"/>
      <w:lvlText w:val="%1."/>
      <w:lvlJc w:val="left"/>
      <w:pPr>
        <w:ind w:left="795" w:hanging="435"/>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D2A19BB"/>
    <w:multiLevelType w:val="hybridMultilevel"/>
    <w:tmpl w:val="7ABE663C"/>
    <w:lvl w:ilvl="0" w:tplc="917A810E">
      <w:start w:val="1"/>
      <w:numFmt w:val="lowerLetter"/>
      <w:lvlText w:val="%1)"/>
      <w:lvlJc w:val="left"/>
      <w:pPr>
        <w:ind w:left="1713" w:hanging="1005"/>
      </w:pPr>
      <w:rPr>
        <w:rFonts w:ascii="Verdana" w:eastAsiaTheme="minorHAnsi" w:hAnsi="Verdana" w:cs="Arial" w:hint="default"/>
        <w:sz w:val="20"/>
        <w:szCs w:val="2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8">
    <w:nsid w:val="4DD249FE"/>
    <w:multiLevelType w:val="hybridMultilevel"/>
    <w:tmpl w:val="079ADA8E"/>
    <w:lvl w:ilvl="0" w:tplc="77404824">
      <w:start w:val="204"/>
      <w:numFmt w:val="decimal"/>
      <w:lvlText w:val="%1."/>
      <w:lvlJc w:val="left"/>
      <w:pPr>
        <w:ind w:left="8805" w:hanging="435"/>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29">
    <w:nsid w:val="4FE253DD"/>
    <w:multiLevelType w:val="hybridMultilevel"/>
    <w:tmpl w:val="E722C578"/>
    <w:lvl w:ilvl="0" w:tplc="3882204E">
      <w:start w:val="1"/>
      <w:numFmt w:val="lowerLetter"/>
      <w:lvlText w:val="%1)"/>
      <w:lvlJc w:val="left"/>
      <w:pPr>
        <w:ind w:left="735" w:hanging="360"/>
      </w:pPr>
      <w:rPr>
        <w:rFonts w:ascii="Verdana" w:eastAsia="Calibri" w:hAnsi="Verdana" w:cs="Cambria"/>
      </w:rPr>
    </w:lvl>
    <w:lvl w:ilvl="1" w:tplc="140A0019" w:tentative="1">
      <w:start w:val="1"/>
      <w:numFmt w:val="lowerLetter"/>
      <w:lvlText w:val="%2."/>
      <w:lvlJc w:val="left"/>
      <w:pPr>
        <w:ind w:left="1455" w:hanging="360"/>
      </w:pPr>
    </w:lvl>
    <w:lvl w:ilvl="2" w:tplc="140A001B" w:tentative="1">
      <w:start w:val="1"/>
      <w:numFmt w:val="lowerRoman"/>
      <w:lvlText w:val="%3."/>
      <w:lvlJc w:val="right"/>
      <w:pPr>
        <w:ind w:left="2175" w:hanging="180"/>
      </w:pPr>
    </w:lvl>
    <w:lvl w:ilvl="3" w:tplc="140A000F" w:tentative="1">
      <w:start w:val="1"/>
      <w:numFmt w:val="decimal"/>
      <w:lvlText w:val="%4."/>
      <w:lvlJc w:val="left"/>
      <w:pPr>
        <w:ind w:left="2895" w:hanging="360"/>
      </w:pPr>
    </w:lvl>
    <w:lvl w:ilvl="4" w:tplc="140A0019" w:tentative="1">
      <w:start w:val="1"/>
      <w:numFmt w:val="lowerLetter"/>
      <w:lvlText w:val="%5."/>
      <w:lvlJc w:val="left"/>
      <w:pPr>
        <w:ind w:left="3615" w:hanging="360"/>
      </w:pPr>
    </w:lvl>
    <w:lvl w:ilvl="5" w:tplc="140A001B" w:tentative="1">
      <w:start w:val="1"/>
      <w:numFmt w:val="lowerRoman"/>
      <w:lvlText w:val="%6."/>
      <w:lvlJc w:val="right"/>
      <w:pPr>
        <w:ind w:left="4335" w:hanging="180"/>
      </w:pPr>
    </w:lvl>
    <w:lvl w:ilvl="6" w:tplc="140A000F" w:tentative="1">
      <w:start w:val="1"/>
      <w:numFmt w:val="decimal"/>
      <w:lvlText w:val="%7."/>
      <w:lvlJc w:val="left"/>
      <w:pPr>
        <w:ind w:left="5055" w:hanging="360"/>
      </w:pPr>
    </w:lvl>
    <w:lvl w:ilvl="7" w:tplc="140A0019" w:tentative="1">
      <w:start w:val="1"/>
      <w:numFmt w:val="lowerLetter"/>
      <w:lvlText w:val="%8."/>
      <w:lvlJc w:val="left"/>
      <w:pPr>
        <w:ind w:left="5775" w:hanging="360"/>
      </w:pPr>
    </w:lvl>
    <w:lvl w:ilvl="8" w:tplc="140A001B" w:tentative="1">
      <w:start w:val="1"/>
      <w:numFmt w:val="lowerRoman"/>
      <w:lvlText w:val="%9."/>
      <w:lvlJc w:val="right"/>
      <w:pPr>
        <w:ind w:left="6495" w:hanging="180"/>
      </w:pPr>
    </w:lvl>
  </w:abstractNum>
  <w:abstractNum w:abstractNumId="30">
    <w:nsid w:val="569F605A"/>
    <w:multiLevelType w:val="hybridMultilevel"/>
    <w:tmpl w:val="CB5E4886"/>
    <w:lvl w:ilvl="0" w:tplc="322AF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4020A"/>
    <w:multiLevelType w:val="hybridMultilevel"/>
    <w:tmpl w:val="906CF60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B6A3445"/>
    <w:multiLevelType w:val="hybridMultilevel"/>
    <w:tmpl w:val="C2FA8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807C1"/>
    <w:multiLevelType w:val="hybridMultilevel"/>
    <w:tmpl w:val="928A3CD4"/>
    <w:lvl w:ilvl="0" w:tplc="0640106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15D6ECD"/>
    <w:multiLevelType w:val="hybridMultilevel"/>
    <w:tmpl w:val="20D8447E"/>
    <w:lvl w:ilvl="0" w:tplc="2968E114">
      <w:start w:val="1"/>
      <w:numFmt w:val="lowerLetter"/>
      <w:lvlText w:val="%1)"/>
      <w:lvlJc w:val="left"/>
      <w:pPr>
        <w:ind w:left="1080" w:hanging="360"/>
      </w:pPr>
      <w:rPr>
        <w:rFonts w:ascii="Verdana" w:hAnsi="Verdana" w:cs="Verdana" w:hint="default"/>
        <w:sz w:val="20"/>
        <w:szCs w:val="20"/>
      </w:rPr>
    </w:lvl>
    <w:lvl w:ilvl="1" w:tplc="140A0019">
      <w:start w:val="1"/>
      <w:numFmt w:val="decimal"/>
      <w:pStyle w:val="ListParagraph"/>
      <w:lvlText w:val="%2."/>
      <w:lvlJc w:val="left"/>
      <w:pPr>
        <w:tabs>
          <w:tab w:val="num" w:pos="0"/>
        </w:tabs>
      </w:pPr>
      <w:rPr>
        <w:rFonts w:hint="default"/>
        <w:b w:val="0"/>
        <w:bCs w:val="0"/>
        <w:color w:val="auto"/>
        <w:sz w:val="20"/>
        <w:szCs w:val="20"/>
        <w:lang w:val="es-MX"/>
      </w:rPr>
    </w:lvl>
    <w:lvl w:ilvl="2" w:tplc="140A001B">
      <w:start w:val="1"/>
      <w:numFmt w:val="lowerLetter"/>
      <w:lvlText w:val="%3)"/>
      <w:lvlJc w:val="left"/>
      <w:pPr>
        <w:ind w:left="2700" w:hanging="360"/>
      </w:pPr>
      <w:rPr>
        <w:rFonts w:ascii="Verdana" w:hAnsi="Verdana" w:cs="Verdana" w:hint="default"/>
        <w:b w:val="0"/>
        <w:bCs w:val="0"/>
        <w:sz w:val="20"/>
        <w:szCs w:val="20"/>
      </w:r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35">
    <w:nsid w:val="67F0346A"/>
    <w:multiLevelType w:val="hybridMultilevel"/>
    <w:tmpl w:val="B966081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6">
    <w:nsid w:val="692165CD"/>
    <w:multiLevelType w:val="hybridMultilevel"/>
    <w:tmpl w:val="69A2CC32"/>
    <w:lvl w:ilvl="0" w:tplc="4A5E499C">
      <w:start w:val="1"/>
      <w:numFmt w:val="upperLetter"/>
      <w:lvlText w:val="%1."/>
      <w:lvlJc w:val="left"/>
      <w:pPr>
        <w:ind w:left="1080" w:hanging="360"/>
      </w:pPr>
      <w:rPr>
        <w:rFonts w:ascii="Verdana" w:hAnsi="Verdana" w:hint="default"/>
        <w:i/>
        <w:sz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7">
    <w:nsid w:val="6EF74735"/>
    <w:multiLevelType w:val="hybridMultilevel"/>
    <w:tmpl w:val="EA2C3E44"/>
    <w:lvl w:ilvl="0" w:tplc="0CD251CE">
      <w:start w:val="3"/>
      <w:numFmt w:val="lowerLetter"/>
      <w:lvlText w:val="%1)"/>
      <w:lvlJc w:val="left"/>
      <w:pPr>
        <w:ind w:left="720" w:hanging="360"/>
      </w:pPr>
      <w:rPr>
        <w:rFonts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195210B"/>
    <w:multiLevelType w:val="hybridMultilevel"/>
    <w:tmpl w:val="AFE68BD4"/>
    <w:lvl w:ilvl="0" w:tplc="188E80A6">
      <w:start w:val="203"/>
      <w:numFmt w:val="decimal"/>
      <w:lvlText w:val="%1."/>
      <w:lvlJc w:val="left"/>
      <w:pPr>
        <w:ind w:left="795" w:hanging="43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83F61E4"/>
    <w:multiLevelType w:val="hybridMultilevel"/>
    <w:tmpl w:val="C02CD07A"/>
    <w:lvl w:ilvl="0" w:tplc="9B1AC53A">
      <w:start w:val="3"/>
      <w:numFmt w:val="bullet"/>
      <w:lvlText w:val="-"/>
      <w:lvlJc w:val="left"/>
      <w:pPr>
        <w:ind w:left="720" w:hanging="360"/>
      </w:pPr>
      <w:rPr>
        <w:rFonts w:ascii="Verdana" w:eastAsia="Batang"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78E070C0"/>
    <w:multiLevelType w:val="hybridMultilevel"/>
    <w:tmpl w:val="47CE2132"/>
    <w:lvl w:ilvl="0" w:tplc="C27223A2">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1">
    <w:nsid w:val="7A7D511C"/>
    <w:multiLevelType w:val="hybridMultilevel"/>
    <w:tmpl w:val="0DA6EDF0"/>
    <w:lvl w:ilvl="0" w:tplc="50A65828">
      <w:start w:val="1"/>
      <w:numFmt w:val="decimal"/>
      <w:lvlText w:val="%1."/>
      <w:lvlJc w:val="left"/>
      <w:pPr>
        <w:ind w:left="720" w:hanging="360"/>
      </w:pPr>
      <w:rPr>
        <w:rFonts w:ascii="Verdana" w:hAnsi="Verdana" w:hint="default"/>
        <w:b w:val="0"/>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43">
    <w:nsid w:val="7E31771B"/>
    <w:multiLevelType w:val="hybridMultilevel"/>
    <w:tmpl w:val="2C90051C"/>
    <w:lvl w:ilvl="0" w:tplc="3A6EE5FE">
      <w:start w:val="3"/>
      <w:numFmt w:val="upperLetter"/>
      <w:lvlText w:val="%1."/>
      <w:lvlJc w:val="left"/>
      <w:pPr>
        <w:ind w:left="1080" w:hanging="360"/>
      </w:pPr>
      <w:rPr>
        <w:rFonts w:ascii="Verdana" w:hAnsi="Verdana" w:hint="default"/>
        <w:i/>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4"/>
  </w:num>
  <w:num w:numId="2">
    <w:abstractNumId w:val="42"/>
  </w:num>
  <w:num w:numId="3">
    <w:abstractNumId w:val="2"/>
  </w:num>
  <w:num w:numId="4">
    <w:abstractNumId w:val="35"/>
  </w:num>
  <w:num w:numId="5">
    <w:abstractNumId w:val="41"/>
  </w:num>
  <w:num w:numId="6">
    <w:abstractNumId w:val="14"/>
  </w:num>
  <w:num w:numId="7">
    <w:abstractNumId w:val="21"/>
  </w:num>
  <w:num w:numId="8">
    <w:abstractNumId w:val="20"/>
  </w:num>
  <w:num w:numId="9">
    <w:abstractNumId w:val="3"/>
  </w:num>
  <w:num w:numId="10">
    <w:abstractNumId w:val="24"/>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6"/>
  </w:num>
  <w:num w:numId="14">
    <w:abstractNumId w:val="43"/>
  </w:num>
  <w:num w:numId="15">
    <w:abstractNumId w:val="1"/>
  </w:num>
  <w:num w:numId="16">
    <w:abstractNumId w:val="17"/>
  </w:num>
  <w:num w:numId="17">
    <w:abstractNumId w:val="19"/>
  </w:num>
  <w:num w:numId="18">
    <w:abstractNumId w:val="31"/>
  </w:num>
  <w:num w:numId="19">
    <w:abstractNumId w:val="33"/>
  </w:num>
  <w:num w:numId="20">
    <w:abstractNumId w:val="9"/>
  </w:num>
  <w:num w:numId="21">
    <w:abstractNumId w:val="23"/>
  </w:num>
  <w:num w:numId="22">
    <w:abstractNumId w:val="29"/>
  </w:num>
  <w:num w:numId="23">
    <w:abstractNumId w:val="27"/>
  </w:num>
  <w:num w:numId="24">
    <w:abstractNumId w:val="16"/>
  </w:num>
  <w:num w:numId="25">
    <w:abstractNumId w:val="30"/>
  </w:num>
  <w:num w:numId="26">
    <w:abstractNumId w:val="13"/>
  </w:num>
  <w:num w:numId="27">
    <w:abstractNumId w:val="15"/>
  </w:num>
  <w:num w:numId="28">
    <w:abstractNumId w:val="10"/>
  </w:num>
  <w:num w:numId="29">
    <w:abstractNumId w:val="6"/>
  </w:num>
  <w:num w:numId="30">
    <w:abstractNumId w:val="11"/>
  </w:num>
  <w:num w:numId="31">
    <w:abstractNumId w:val="7"/>
  </w:num>
  <w:num w:numId="32">
    <w:abstractNumId w:val="39"/>
  </w:num>
  <w:num w:numId="33">
    <w:abstractNumId w:val="5"/>
  </w:num>
  <w:num w:numId="34">
    <w:abstractNumId w:val="8"/>
  </w:num>
  <w:num w:numId="35">
    <w:abstractNumId w:val="4"/>
  </w:num>
  <w:num w:numId="36">
    <w:abstractNumId w:val="2"/>
    <w:lvlOverride w:ilvl="0">
      <w:startOverride w:val="1"/>
    </w:lvlOverride>
  </w:num>
  <w:num w:numId="37">
    <w:abstractNumId w:val="40"/>
  </w:num>
  <w:num w:numId="38">
    <w:abstractNumId w:val="22"/>
  </w:num>
  <w:num w:numId="39">
    <w:abstractNumId w:val="2"/>
  </w:num>
  <w:num w:numId="40">
    <w:abstractNumId w:val="2"/>
  </w:num>
  <w:num w:numId="41">
    <w:abstractNumId w:val="2"/>
  </w:num>
  <w:num w:numId="42">
    <w:abstractNumId w:val="37"/>
  </w:num>
  <w:num w:numId="43">
    <w:abstractNumId w:val="32"/>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2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
    <w:lvlOverride w:ilvl="0">
      <w:startOverride w:val="65"/>
    </w:lvlOverride>
  </w:num>
  <w:num w:numId="50">
    <w:abstractNumId w:val="26"/>
  </w:num>
  <w:num w:numId="51">
    <w:abstractNumId w:val="12"/>
  </w:num>
  <w:num w:numId="52">
    <w:abstractNumId w:val="2"/>
    <w:lvlOverride w:ilvl="0">
      <w:startOverride w:val="192"/>
    </w:lvlOverride>
  </w:num>
  <w:num w:numId="53">
    <w:abstractNumId w:val="2"/>
    <w:lvlOverride w:ilvl="0">
      <w:startOverride w:val="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2"/>
    <w:lvlOverride w:ilvl="0">
      <w:startOverride w:val="67"/>
    </w:lvlOverride>
  </w:num>
  <w:num w:numId="56">
    <w:abstractNumId w:val="28"/>
  </w:num>
  <w:num w:numId="57">
    <w:abstractNumId w:val="38"/>
  </w:num>
  <w:num w:numId="58">
    <w:abstractNumId w:val="2"/>
    <w:lvlOverride w:ilvl="0">
      <w:startOverride w:val="204"/>
    </w:lvlOverride>
  </w:num>
  <w:num w:numId="59">
    <w:abstractNumId w:val="25"/>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7E"/>
    <w:rsid w:val="00000143"/>
    <w:rsid w:val="00000484"/>
    <w:rsid w:val="00000560"/>
    <w:rsid w:val="000015D3"/>
    <w:rsid w:val="000022FE"/>
    <w:rsid w:val="00002477"/>
    <w:rsid w:val="0000293E"/>
    <w:rsid w:val="00002BE4"/>
    <w:rsid w:val="00003024"/>
    <w:rsid w:val="000032E9"/>
    <w:rsid w:val="00003673"/>
    <w:rsid w:val="000038FE"/>
    <w:rsid w:val="0000461F"/>
    <w:rsid w:val="00004FBD"/>
    <w:rsid w:val="00005E93"/>
    <w:rsid w:val="00006040"/>
    <w:rsid w:val="000065E5"/>
    <w:rsid w:val="00007E97"/>
    <w:rsid w:val="0001050F"/>
    <w:rsid w:val="00010B85"/>
    <w:rsid w:val="00010CC2"/>
    <w:rsid w:val="000111E3"/>
    <w:rsid w:val="00011AE3"/>
    <w:rsid w:val="00011BBE"/>
    <w:rsid w:val="00012340"/>
    <w:rsid w:val="000138F1"/>
    <w:rsid w:val="00014F1F"/>
    <w:rsid w:val="00015A0E"/>
    <w:rsid w:val="00015EA7"/>
    <w:rsid w:val="00017134"/>
    <w:rsid w:val="00017C7B"/>
    <w:rsid w:val="00017FF8"/>
    <w:rsid w:val="00022CF2"/>
    <w:rsid w:val="00022F0A"/>
    <w:rsid w:val="00022F9D"/>
    <w:rsid w:val="000230D7"/>
    <w:rsid w:val="0002313F"/>
    <w:rsid w:val="000235A8"/>
    <w:rsid w:val="00024BAD"/>
    <w:rsid w:val="00025734"/>
    <w:rsid w:val="000266FD"/>
    <w:rsid w:val="00027300"/>
    <w:rsid w:val="000274ED"/>
    <w:rsid w:val="0003031E"/>
    <w:rsid w:val="0003043F"/>
    <w:rsid w:val="000307DD"/>
    <w:rsid w:val="00030B40"/>
    <w:rsid w:val="00030FAE"/>
    <w:rsid w:val="000324D6"/>
    <w:rsid w:val="0003395B"/>
    <w:rsid w:val="00033F68"/>
    <w:rsid w:val="00035E08"/>
    <w:rsid w:val="000361E9"/>
    <w:rsid w:val="000367D2"/>
    <w:rsid w:val="00036EC7"/>
    <w:rsid w:val="00037575"/>
    <w:rsid w:val="00037AB6"/>
    <w:rsid w:val="00037C60"/>
    <w:rsid w:val="00040604"/>
    <w:rsid w:val="000413E4"/>
    <w:rsid w:val="00042B8C"/>
    <w:rsid w:val="00042D76"/>
    <w:rsid w:val="00042E2E"/>
    <w:rsid w:val="000430DC"/>
    <w:rsid w:val="000432E9"/>
    <w:rsid w:val="000434D2"/>
    <w:rsid w:val="00043D96"/>
    <w:rsid w:val="00043F8F"/>
    <w:rsid w:val="0004573B"/>
    <w:rsid w:val="0004688A"/>
    <w:rsid w:val="00047AE7"/>
    <w:rsid w:val="0005024D"/>
    <w:rsid w:val="0005122C"/>
    <w:rsid w:val="00051CBF"/>
    <w:rsid w:val="00051D26"/>
    <w:rsid w:val="00053DE3"/>
    <w:rsid w:val="00054987"/>
    <w:rsid w:val="0005525F"/>
    <w:rsid w:val="000552B3"/>
    <w:rsid w:val="00055317"/>
    <w:rsid w:val="000575D8"/>
    <w:rsid w:val="000602B4"/>
    <w:rsid w:val="00060F48"/>
    <w:rsid w:val="000619A5"/>
    <w:rsid w:val="00062031"/>
    <w:rsid w:val="000624A9"/>
    <w:rsid w:val="000629DB"/>
    <w:rsid w:val="00062B10"/>
    <w:rsid w:val="000643CE"/>
    <w:rsid w:val="00064646"/>
    <w:rsid w:val="00064BA3"/>
    <w:rsid w:val="00065891"/>
    <w:rsid w:val="000672FA"/>
    <w:rsid w:val="00067D05"/>
    <w:rsid w:val="0007036E"/>
    <w:rsid w:val="00070F67"/>
    <w:rsid w:val="00071BC1"/>
    <w:rsid w:val="00071E1E"/>
    <w:rsid w:val="00071F8C"/>
    <w:rsid w:val="00072952"/>
    <w:rsid w:val="00073625"/>
    <w:rsid w:val="000736EE"/>
    <w:rsid w:val="00074136"/>
    <w:rsid w:val="0007462B"/>
    <w:rsid w:val="000746EA"/>
    <w:rsid w:val="00074B55"/>
    <w:rsid w:val="00074DFB"/>
    <w:rsid w:val="00076274"/>
    <w:rsid w:val="000763A0"/>
    <w:rsid w:val="00076F72"/>
    <w:rsid w:val="000804BA"/>
    <w:rsid w:val="00082FF9"/>
    <w:rsid w:val="00083D7C"/>
    <w:rsid w:val="000842A5"/>
    <w:rsid w:val="0008527E"/>
    <w:rsid w:val="000854F3"/>
    <w:rsid w:val="00085670"/>
    <w:rsid w:val="000858A4"/>
    <w:rsid w:val="000874BF"/>
    <w:rsid w:val="00087556"/>
    <w:rsid w:val="000908A9"/>
    <w:rsid w:val="00090CB0"/>
    <w:rsid w:val="00091832"/>
    <w:rsid w:val="00092FAB"/>
    <w:rsid w:val="00093E5E"/>
    <w:rsid w:val="0009555C"/>
    <w:rsid w:val="0009562D"/>
    <w:rsid w:val="0009584D"/>
    <w:rsid w:val="000A0608"/>
    <w:rsid w:val="000A0AD9"/>
    <w:rsid w:val="000A1AD2"/>
    <w:rsid w:val="000A2CF1"/>
    <w:rsid w:val="000A3933"/>
    <w:rsid w:val="000A5741"/>
    <w:rsid w:val="000A5AA6"/>
    <w:rsid w:val="000A5DAD"/>
    <w:rsid w:val="000A6914"/>
    <w:rsid w:val="000A6EA3"/>
    <w:rsid w:val="000B1044"/>
    <w:rsid w:val="000B1663"/>
    <w:rsid w:val="000B1DFF"/>
    <w:rsid w:val="000B40B7"/>
    <w:rsid w:val="000B48A5"/>
    <w:rsid w:val="000B4956"/>
    <w:rsid w:val="000B4C73"/>
    <w:rsid w:val="000B4D95"/>
    <w:rsid w:val="000B577A"/>
    <w:rsid w:val="000B6741"/>
    <w:rsid w:val="000C1B92"/>
    <w:rsid w:val="000C27DD"/>
    <w:rsid w:val="000C2F2B"/>
    <w:rsid w:val="000C30A1"/>
    <w:rsid w:val="000C5A1B"/>
    <w:rsid w:val="000C5FA7"/>
    <w:rsid w:val="000C6619"/>
    <w:rsid w:val="000C6CAB"/>
    <w:rsid w:val="000C7068"/>
    <w:rsid w:val="000C7091"/>
    <w:rsid w:val="000C70C2"/>
    <w:rsid w:val="000C739D"/>
    <w:rsid w:val="000C7994"/>
    <w:rsid w:val="000D01F8"/>
    <w:rsid w:val="000D06AD"/>
    <w:rsid w:val="000D0A32"/>
    <w:rsid w:val="000D12CD"/>
    <w:rsid w:val="000D1613"/>
    <w:rsid w:val="000D199C"/>
    <w:rsid w:val="000D226B"/>
    <w:rsid w:val="000D2732"/>
    <w:rsid w:val="000D388D"/>
    <w:rsid w:val="000D4339"/>
    <w:rsid w:val="000D43D6"/>
    <w:rsid w:val="000D4643"/>
    <w:rsid w:val="000D4BD7"/>
    <w:rsid w:val="000D5842"/>
    <w:rsid w:val="000D58ED"/>
    <w:rsid w:val="000D70BD"/>
    <w:rsid w:val="000D79B4"/>
    <w:rsid w:val="000D7EAB"/>
    <w:rsid w:val="000E04AF"/>
    <w:rsid w:val="000E0AAE"/>
    <w:rsid w:val="000E1506"/>
    <w:rsid w:val="000E1811"/>
    <w:rsid w:val="000E382E"/>
    <w:rsid w:val="000E38E5"/>
    <w:rsid w:val="000E4F2D"/>
    <w:rsid w:val="000E60D0"/>
    <w:rsid w:val="000E63A0"/>
    <w:rsid w:val="000E6A8D"/>
    <w:rsid w:val="000E78F8"/>
    <w:rsid w:val="000E7B56"/>
    <w:rsid w:val="000F1D8E"/>
    <w:rsid w:val="000F3738"/>
    <w:rsid w:val="000F3D49"/>
    <w:rsid w:val="000F4108"/>
    <w:rsid w:val="000F6102"/>
    <w:rsid w:val="000F6162"/>
    <w:rsid w:val="000F64CE"/>
    <w:rsid w:val="000F6680"/>
    <w:rsid w:val="000F6A41"/>
    <w:rsid w:val="000F752E"/>
    <w:rsid w:val="000F7BC6"/>
    <w:rsid w:val="000F7F0C"/>
    <w:rsid w:val="00100188"/>
    <w:rsid w:val="00100340"/>
    <w:rsid w:val="001006A8"/>
    <w:rsid w:val="00101638"/>
    <w:rsid w:val="00101989"/>
    <w:rsid w:val="001032A0"/>
    <w:rsid w:val="00103FFC"/>
    <w:rsid w:val="00104B36"/>
    <w:rsid w:val="0010516B"/>
    <w:rsid w:val="00107825"/>
    <w:rsid w:val="0010791A"/>
    <w:rsid w:val="00107CC5"/>
    <w:rsid w:val="0011007D"/>
    <w:rsid w:val="0011010F"/>
    <w:rsid w:val="00110CF7"/>
    <w:rsid w:val="00112A4E"/>
    <w:rsid w:val="00112C2F"/>
    <w:rsid w:val="001130AF"/>
    <w:rsid w:val="00114820"/>
    <w:rsid w:val="00114D72"/>
    <w:rsid w:val="0011525F"/>
    <w:rsid w:val="001154B1"/>
    <w:rsid w:val="0011572A"/>
    <w:rsid w:val="0011660D"/>
    <w:rsid w:val="001179C9"/>
    <w:rsid w:val="0012201B"/>
    <w:rsid w:val="001227FD"/>
    <w:rsid w:val="00123A7A"/>
    <w:rsid w:val="00125214"/>
    <w:rsid w:val="00125A0E"/>
    <w:rsid w:val="00126415"/>
    <w:rsid w:val="001265D5"/>
    <w:rsid w:val="00126C0C"/>
    <w:rsid w:val="0012731C"/>
    <w:rsid w:val="001274DD"/>
    <w:rsid w:val="0012789D"/>
    <w:rsid w:val="00130BDF"/>
    <w:rsid w:val="001312FB"/>
    <w:rsid w:val="00132CDB"/>
    <w:rsid w:val="00133340"/>
    <w:rsid w:val="00133F0F"/>
    <w:rsid w:val="00134A01"/>
    <w:rsid w:val="0013504C"/>
    <w:rsid w:val="0013526F"/>
    <w:rsid w:val="00137D01"/>
    <w:rsid w:val="001400FD"/>
    <w:rsid w:val="00140841"/>
    <w:rsid w:val="00140E00"/>
    <w:rsid w:val="00140F8F"/>
    <w:rsid w:val="0014144D"/>
    <w:rsid w:val="0014209B"/>
    <w:rsid w:val="00142E05"/>
    <w:rsid w:val="001432E3"/>
    <w:rsid w:val="001446B4"/>
    <w:rsid w:val="0014478A"/>
    <w:rsid w:val="00145ABD"/>
    <w:rsid w:val="00145B08"/>
    <w:rsid w:val="0014640D"/>
    <w:rsid w:val="00146B43"/>
    <w:rsid w:val="00147835"/>
    <w:rsid w:val="0015009A"/>
    <w:rsid w:val="00150F60"/>
    <w:rsid w:val="001511F6"/>
    <w:rsid w:val="0015128C"/>
    <w:rsid w:val="0015130A"/>
    <w:rsid w:val="00151787"/>
    <w:rsid w:val="00151D65"/>
    <w:rsid w:val="00152B9B"/>
    <w:rsid w:val="00152DD3"/>
    <w:rsid w:val="0015405E"/>
    <w:rsid w:val="00155522"/>
    <w:rsid w:val="001569F6"/>
    <w:rsid w:val="00156FF8"/>
    <w:rsid w:val="0015733F"/>
    <w:rsid w:val="00157DD2"/>
    <w:rsid w:val="001600D1"/>
    <w:rsid w:val="001601E4"/>
    <w:rsid w:val="00160684"/>
    <w:rsid w:val="00161659"/>
    <w:rsid w:val="00162302"/>
    <w:rsid w:val="00163AC8"/>
    <w:rsid w:val="00163AD7"/>
    <w:rsid w:val="00165C3D"/>
    <w:rsid w:val="00166327"/>
    <w:rsid w:val="0016636D"/>
    <w:rsid w:val="001665FB"/>
    <w:rsid w:val="00166935"/>
    <w:rsid w:val="00166AA0"/>
    <w:rsid w:val="00167264"/>
    <w:rsid w:val="00170284"/>
    <w:rsid w:val="001702E7"/>
    <w:rsid w:val="00170668"/>
    <w:rsid w:val="001707F9"/>
    <w:rsid w:val="0017263F"/>
    <w:rsid w:val="00172A23"/>
    <w:rsid w:val="001744C2"/>
    <w:rsid w:val="00174A8D"/>
    <w:rsid w:val="00176914"/>
    <w:rsid w:val="00177964"/>
    <w:rsid w:val="0018029A"/>
    <w:rsid w:val="00180985"/>
    <w:rsid w:val="00180C2A"/>
    <w:rsid w:val="0018118D"/>
    <w:rsid w:val="0018148F"/>
    <w:rsid w:val="00181EDF"/>
    <w:rsid w:val="00183658"/>
    <w:rsid w:val="00184AC7"/>
    <w:rsid w:val="001856BC"/>
    <w:rsid w:val="00185BA8"/>
    <w:rsid w:val="00186111"/>
    <w:rsid w:val="001863BA"/>
    <w:rsid w:val="001867BD"/>
    <w:rsid w:val="00190178"/>
    <w:rsid w:val="0019090C"/>
    <w:rsid w:val="00191B70"/>
    <w:rsid w:val="00191CE5"/>
    <w:rsid w:val="00191E35"/>
    <w:rsid w:val="00192476"/>
    <w:rsid w:val="001926E5"/>
    <w:rsid w:val="00192A85"/>
    <w:rsid w:val="00193297"/>
    <w:rsid w:val="001935DE"/>
    <w:rsid w:val="00194E7E"/>
    <w:rsid w:val="00195770"/>
    <w:rsid w:val="001958FD"/>
    <w:rsid w:val="00196998"/>
    <w:rsid w:val="00196A6F"/>
    <w:rsid w:val="001971B7"/>
    <w:rsid w:val="00197449"/>
    <w:rsid w:val="00197F73"/>
    <w:rsid w:val="001A271A"/>
    <w:rsid w:val="001A2D81"/>
    <w:rsid w:val="001A33BF"/>
    <w:rsid w:val="001A35E1"/>
    <w:rsid w:val="001A6B8F"/>
    <w:rsid w:val="001A6E08"/>
    <w:rsid w:val="001A6FCA"/>
    <w:rsid w:val="001A71E4"/>
    <w:rsid w:val="001B0A1F"/>
    <w:rsid w:val="001B159C"/>
    <w:rsid w:val="001B250D"/>
    <w:rsid w:val="001B2761"/>
    <w:rsid w:val="001B310B"/>
    <w:rsid w:val="001B3F86"/>
    <w:rsid w:val="001B4736"/>
    <w:rsid w:val="001B5E90"/>
    <w:rsid w:val="001B60DF"/>
    <w:rsid w:val="001B6143"/>
    <w:rsid w:val="001B6310"/>
    <w:rsid w:val="001B6AC0"/>
    <w:rsid w:val="001B6E0F"/>
    <w:rsid w:val="001B7FA9"/>
    <w:rsid w:val="001C0551"/>
    <w:rsid w:val="001C0ACD"/>
    <w:rsid w:val="001C0F4A"/>
    <w:rsid w:val="001C2ED0"/>
    <w:rsid w:val="001C35C0"/>
    <w:rsid w:val="001C3DF1"/>
    <w:rsid w:val="001C4FB3"/>
    <w:rsid w:val="001C59CB"/>
    <w:rsid w:val="001C5A64"/>
    <w:rsid w:val="001C5C1F"/>
    <w:rsid w:val="001C7FFD"/>
    <w:rsid w:val="001D0103"/>
    <w:rsid w:val="001D0170"/>
    <w:rsid w:val="001D032B"/>
    <w:rsid w:val="001D0932"/>
    <w:rsid w:val="001D1EEF"/>
    <w:rsid w:val="001D4755"/>
    <w:rsid w:val="001D4D93"/>
    <w:rsid w:val="001D540B"/>
    <w:rsid w:val="001D5ECF"/>
    <w:rsid w:val="001D60B2"/>
    <w:rsid w:val="001D6E98"/>
    <w:rsid w:val="001E10D5"/>
    <w:rsid w:val="001E1438"/>
    <w:rsid w:val="001E3BA2"/>
    <w:rsid w:val="001E3DDB"/>
    <w:rsid w:val="001E4419"/>
    <w:rsid w:val="001E4A09"/>
    <w:rsid w:val="001E53CE"/>
    <w:rsid w:val="001E57E5"/>
    <w:rsid w:val="001E5C91"/>
    <w:rsid w:val="001F061C"/>
    <w:rsid w:val="001F0AB9"/>
    <w:rsid w:val="001F1076"/>
    <w:rsid w:val="001F1A36"/>
    <w:rsid w:val="001F1D8F"/>
    <w:rsid w:val="001F1EA7"/>
    <w:rsid w:val="001F2B5F"/>
    <w:rsid w:val="001F38F7"/>
    <w:rsid w:val="001F530D"/>
    <w:rsid w:val="001F590E"/>
    <w:rsid w:val="001F5A33"/>
    <w:rsid w:val="001F5A9B"/>
    <w:rsid w:val="001F5B0E"/>
    <w:rsid w:val="001F5D94"/>
    <w:rsid w:val="001F5F50"/>
    <w:rsid w:val="001F6198"/>
    <w:rsid w:val="001F61CC"/>
    <w:rsid w:val="001F6C0C"/>
    <w:rsid w:val="001F792F"/>
    <w:rsid w:val="001F7CD7"/>
    <w:rsid w:val="002002E8"/>
    <w:rsid w:val="00200927"/>
    <w:rsid w:val="002015EF"/>
    <w:rsid w:val="00201817"/>
    <w:rsid w:val="00202A98"/>
    <w:rsid w:val="00202BEE"/>
    <w:rsid w:val="002032A4"/>
    <w:rsid w:val="002035FF"/>
    <w:rsid w:val="00203C01"/>
    <w:rsid w:val="00203E0E"/>
    <w:rsid w:val="0020403D"/>
    <w:rsid w:val="0020412C"/>
    <w:rsid w:val="002045BB"/>
    <w:rsid w:val="00206546"/>
    <w:rsid w:val="00206ADA"/>
    <w:rsid w:val="00206FC1"/>
    <w:rsid w:val="00213E8C"/>
    <w:rsid w:val="00214413"/>
    <w:rsid w:val="00216A31"/>
    <w:rsid w:val="00216C25"/>
    <w:rsid w:val="002170BA"/>
    <w:rsid w:val="0021747B"/>
    <w:rsid w:val="00217F93"/>
    <w:rsid w:val="0022064A"/>
    <w:rsid w:val="0022196D"/>
    <w:rsid w:val="002224BC"/>
    <w:rsid w:val="00222793"/>
    <w:rsid w:val="00222D6F"/>
    <w:rsid w:val="00223C09"/>
    <w:rsid w:val="00223C92"/>
    <w:rsid w:val="00226E5B"/>
    <w:rsid w:val="0022773F"/>
    <w:rsid w:val="002277DB"/>
    <w:rsid w:val="0023066C"/>
    <w:rsid w:val="0023125C"/>
    <w:rsid w:val="00231B81"/>
    <w:rsid w:val="00231C59"/>
    <w:rsid w:val="00231F08"/>
    <w:rsid w:val="00232B33"/>
    <w:rsid w:val="00232C46"/>
    <w:rsid w:val="00232C6E"/>
    <w:rsid w:val="00234565"/>
    <w:rsid w:val="002352C0"/>
    <w:rsid w:val="00235D24"/>
    <w:rsid w:val="002369D7"/>
    <w:rsid w:val="00236B5D"/>
    <w:rsid w:val="00236BF0"/>
    <w:rsid w:val="00237159"/>
    <w:rsid w:val="002373EB"/>
    <w:rsid w:val="00237E12"/>
    <w:rsid w:val="0024052C"/>
    <w:rsid w:val="00241232"/>
    <w:rsid w:val="00241FFD"/>
    <w:rsid w:val="00242392"/>
    <w:rsid w:val="00243D3A"/>
    <w:rsid w:val="002448B6"/>
    <w:rsid w:val="0024490E"/>
    <w:rsid w:val="00245A5E"/>
    <w:rsid w:val="00246CA0"/>
    <w:rsid w:val="00247437"/>
    <w:rsid w:val="00250028"/>
    <w:rsid w:val="00251C18"/>
    <w:rsid w:val="0025267B"/>
    <w:rsid w:val="00252EF1"/>
    <w:rsid w:val="0025301B"/>
    <w:rsid w:val="00256123"/>
    <w:rsid w:val="002571B6"/>
    <w:rsid w:val="002571CD"/>
    <w:rsid w:val="00261D8F"/>
    <w:rsid w:val="00262934"/>
    <w:rsid w:val="00262E87"/>
    <w:rsid w:val="0026392B"/>
    <w:rsid w:val="0026397C"/>
    <w:rsid w:val="00264147"/>
    <w:rsid w:val="00264405"/>
    <w:rsid w:val="00264FC4"/>
    <w:rsid w:val="0026687E"/>
    <w:rsid w:val="00266EF4"/>
    <w:rsid w:val="002720F4"/>
    <w:rsid w:val="002748DB"/>
    <w:rsid w:val="00276254"/>
    <w:rsid w:val="002807FA"/>
    <w:rsid w:val="002809FB"/>
    <w:rsid w:val="00281D84"/>
    <w:rsid w:val="00281DB3"/>
    <w:rsid w:val="00281E40"/>
    <w:rsid w:val="00283839"/>
    <w:rsid w:val="00283B4C"/>
    <w:rsid w:val="00284070"/>
    <w:rsid w:val="00284557"/>
    <w:rsid w:val="0028653D"/>
    <w:rsid w:val="0028798A"/>
    <w:rsid w:val="00287A29"/>
    <w:rsid w:val="00287DFA"/>
    <w:rsid w:val="00290292"/>
    <w:rsid w:val="0029063C"/>
    <w:rsid w:val="0029080E"/>
    <w:rsid w:val="00290D46"/>
    <w:rsid w:val="00291162"/>
    <w:rsid w:val="002913F6"/>
    <w:rsid w:val="00291453"/>
    <w:rsid w:val="002916AF"/>
    <w:rsid w:val="0029256A"/>
    <w:rsid w:val="00293709"/>
    <w:rsid w:val="00294A60"/>
    <w:rsid w:val="00295CA8"/>
    <w:rsid w:val="002961A0"/>
    <w:rsid w:val="002A0211"/>
    <w:rsid w:val="002A0C74"/>
    <w:rsid w:val="002A0D43"/>
    <w:rsid w:val="002A48D8"/>
    <w:rsid w:val="002A4D51"/>
    <w:rsid w:val="002A6697"/>
    <w:rsid w:val="002A67C0"/>
    <w:rsid w:val="002A6827"/>
    <w:rsid w:val="002A7205"/>
    <w:rsid w:val="002A735A"/>
    <w:rsid w:val="002A776C"/>
    <w:rsid w:val="002B442B"/>
    <w:rsid w:val="002B727B"/>
    <w:rsid w:val="002B76F7"/>
    <w:rsid w:val="002B7F7C"/>
    <w:rsid w:val="002C0636"/>
    <w:rsid w:val="002C15FE"/>
    <w:rsid w:val="002C1BB1"/>
    <w:rsid w:val="002C1E66"/>
    <w:rsid w:val="002C23BA"/>
    <w:rsid w:val="002C2EC8"/>
    <w:rsid w:val="002C341A"/>
    <w:rsid w:val="002C5C82"/>
    <w:rsid w:val="002C6521"/>
    <w:rsid w:val="002C7EAC"/>
    <w:rsid w:val="002D04E8"/>
    <w:rsid w:val="002D0CC8"/>
    <w:rsid w:val="002D2CD9"/>
    <w:rsid w:val="002D2EAE"/>
    <w:rsid w:val="002D3607"/>
    <w:rsid w:val="002D4375"/>
    <w:rsid w:val="002D4608"/>
    <w:rsid w:val="002D4958"/>
    <w:rsid w:val="002D4B56"/>
    <w:rsid w:val="002D52A8"/>
    <w:rsid w:val="002D5A5C"/>
    <w:rsid w:val="002D5B11"/>
    <w:rsid w:val="002D61D5"/>
    <w:rsid w:val="002D69CE"/>
    <w:rsid w:val="002D6BFC"/>
    <w:rsid w:val="002D7946"/>
    <w:rsid w:val="002D7DF5"/>
    <w:rsid w:val="002E00B0"/>
    <w:rsid w:val="002E0B83"/>
    <w:rsid w:val="002E18D5"/>
    <w:rsid w:val="002E1A9B"/>
    <w:rsid w:val="002E1CF0"/>
    <w:rsid w:val="002E25B8"/>
    <w:rsid w:val="002E2627"/>
    <w:rsid w:val="002E28C0"/>
    <w:rsid w:val="002E35B3"/>
    <w:rsid w:val="002E3981"/>
    <w:rsid w:val="002E44FA"/>
    <w:rsid w:val="002E555C"/>
    <w:rsid w:val="002E5B29"/>
    <w:rsid w:val="002E6232"/>
    <w:rsid w:val="002E6DF2"/>
    <w:rsid w:val="002E753E"/>
    <w:rsid w:val="002F020F"/>
    <w:rsid w:val="002F11E3"/>
    <w:rsid w:val="002F1E1C"/>
    <w:rsid w:val="002F2E89"/>
    <w:rsid w:val="002F3F5C"/>
    <w:rsid w:val="002F4EAC"/>
    <w:rsid w:val="002F5337"/>
    <w:rsid w:val="002F53F0"/>
    <w:rsid w:val="002F629A"/>
    <w:rsid w:val="002F6BAA"/>
    <w:rsid w:val="002F6BBB"/>
    <w:rsid w:val="002F6C5F"/>
    <w:rsid w:val="002F73FF"/>
    <w:rsid w:val="002F7BD8"/>
    <w:rsid w:val="003000C2"/>
    <w:rsid w:val="00300691"/>
    <w:rsid w:val="003017CE"/>
    <w:rsid w:val="003018BD"/>
    <w:rsid w:val="0030208B"/>
    <w:rsid w:val="003020DA"/>
    <w:rsid w:val="003021B3"/>
    <w:rsid w:val="00303BF0"/>
    <w:rsid w:val="00303EC8"/>
    <w:rsid w:val="003040A6"/>
    <w:rsid w:val="00306414"/>
    <w:rsid w:val="00306694"/>
    <w:rsid w:val="00306DA2"/>
    <w:rsid w:val="00307A79"/>
    <w:rsid w:val="00310604"/>
    <w:rsid w:val="003118BF"/>
    <w:rsid w:val="00313267"/>
    <w:rsid w:val="00313F20"/>
    <w:rsid w:val="00315286"/>
    <w:rsid w:val="00315C9C"/>
    <w:rsid w:val="00317FBC"/>
    <w:rsid w:val="003218A4"/>
    <w:rsid w:val="00322F37"/>
    <w:rsid w:val="00323BFE"/>
    <w:rsid w:val="00323CBC"/>
    <w:rsid w:val="00325568"/>
    <w:rsid w:val="00325DD2"/>
    <w:rsid w:val="00326329"/>
    <w:rsid w:val="003263B3"/>
    <w:rsid w:val="00330281"/>
    <w:rsid w:val="00330DFC"/>
    <w:rsid w:val="0033188D"/>
    <w:rsid w:val="00331DEC"/>
    <w:rsid w:val="003324B2"/>
    <w:rsid w:val="003331D4"/>
    <w:rsid w:val="00333448"/>
    <w:rsid w:val="00334BF5"/>
    <w:rsid w:val="00335314"/>
    <w:rsid w:val="00336140"/>
    <w:rsid w:val="0033725C"/>
    <w:rsid w:val="003378AD"/>
    <w:rsid w:val="00340157"/>
    <w:rsid w:val="0034037F"/>
    <w:rsid w:val="0034048B"/>
    <w:rsid w:val="00340512"/>
    <w:rsid w:val="00340963"/>
    <w:rsid w:val="00340D22"/>
    <w:rsid w:val="0034107B"/>
    <w:rsid w:val="00341D03"/>
    <w:rsid w:val="00341E45"/>
    <w:rsid w:val="00343861"/>
    <w:rsid w:val="003438D8"/>
    <w:rsid w:val="00344B2D"/>
    <w:rsid w:val="0034541D"/>
    <w:rsid w:val="0034701D"/>
    <w:rsid w:val="0034798D"/>
    <w:rsid w:val="00347E4F"/>
    <w:rsid w:val="00350B83"/>
    <w:rsid w:val="003529C4"/>
    <w:rsid w:val="00353204"/>
    <w:rsid w:val="00353579"/>
    <w:rsid w:val="00353671"/>
    <w:rsid w:val="003537C6"/>
    <w:rsid w:val="00354CEF"/>
    <w:rsid w:val="00354D41"/>
    <w:rsid w:val="003552CD"/>
    <w:rsid w:val="003559C6"/>
    <w:rsid w:val="00356170"/>
    <w:rsid w:val="0035697B"/>
    <w:rsid w:val="003572B9"/>
    <w:rsid w:val="003614D4"/>
    <w:rsid w:val="00361D95"/>
    <w:rsid w:val="00361E78"/>
    <w:rsid w:val="0036212D"/>
    <w:rsid w:val="003623F5"/>
    <w:rsid w:val="003626BC"/>
    <w:rsid w:val="00362DE3"/>
    <w:rsid w:val="00363CB0"/>
    <w:rsid w:val="003648EE"/>
    <w:rsid w:val="0036495A"/>
    <w:rsid w:val="00364CEA"/>
    <w:rsid w:val="00364CFA"/>
    <w:rsid w:val="003656CD"/>
    <w:rsid w:val="0036576E"/>
    <w:rsid w:val="00365887"/>
    <w:rsid w:val="003658B5"/>
    <w:rsid w:val="00367E40"/>
    <w:rsid w:val="00370CD7"/>
    <w:rsid w:val="00370DE4"/>
    <w:rsid w:val="00370F91"/>
    <w:rsid w:val="003712DA"/>
    <w:rsid w:val="003718C4"/>
    <w:rsid w:val="00372004"/>
    <w:rsid w:val="00373A3D"/>
    <w:rsid w:val="00373EF0"/>
    <w:rsid w:val="00380607"/>
    <w:rsid w:val="003808D7"/>
    <w:rsid w:val="00381478"/>
    <w:rsid w:val="0038153E"/>
    <w:rsid w:val="003815F7"/>
    <w:rsid w:val="003824AB"/>
    <w:rsid w:val="00383EAF"/>
    <w:rsid w:val="00384CAC"/>
    <w:rsid w:val="00384CC6"/>
    <w:rsid w:val="00386B8C"/>
    <w:rsid w:val="00387B4A"/>
    <w:rsid w:val="003901F5"/>
    <w:rsid w:val="00390EB1"/>
    <w:rsid w:val="00391C6F"/>
    <w:rsid w:val="00391D2B"/>
    <w:rsid w:val="0039219F"/>
    <w:rsid w:val="0039290D"/>
    <w:rsid w:val="003929A6"/>
    <w:rsid w:val="00392D9D"/>
    <w:rsid w:val="00394018"/>
    <w:rsid w:val="00394301"/>
    <w:rsid w:val="00395A01"/>
    <w:rsid w:val="003960F0"/>
    <w:rsid w:val="0039668B"/>
    <w:rsid w:val="00396DD6"/>
    <w:rsid w:val="003A33EF"/>
    <w:rsid w:val="003A3C7B"/>
    <w:rsid w:val="003A426E"/>
    <w:rsid w:val="003A54C5"/>
    <w:rsid w:val="003A58AA"/>
    <w:rsid w:val="003A5C5C"/>
    <w:rsid w:val="003A6E12"/>
    <w:rsid w:val="003A6FF6"/>
    <w:rsid w:val="003B06FF"/>
    <w:rsid w:val="003B095E"/>
    <w:rsid w:val="003B130A"/>
    <w:rsid w:val="003B1705"/>
    <w:rsid w:val="003B2447"/>
    <w:rsid w:val="003B24AE"/>
    <w:rsid w:val="003B2655"/>
    <w:rsid w:val="003B2C6C"/>
    <w:rsid w:val="003B2D8F"/>
    <w:rsid w:val="003B3316"/>
    <w:rsid w:val="003B344D"/>
    <w:rsid w:val="003B3AB2"/>
    <w:rsid w:val="003B3CDC"/>
    <w:rsid w:val="003B3D90"/>
    <w:rsid w:val="003B5272"/>
    <w:rsid w:val="003B54A6"/>
    <w:rsid w:val="003B6D40"/>
    <w:rsid w:val="003B7BBD"/>
    <w:rsid w:val="003B7D90"/>
    <w:rsid w:val="003C01A9"/>
    <w:rsid w:val="003C02EA"/>
    <w:rsid w:val="003C0556"/>
    <w:rsid w:val="003C0738"/>
    <w:rsid w:val="003C0899"/>
    <w:rsid w:val="003C12C0"/>
    <w:rsid w:val="003C136A"/>
    <w:rsid w:val="003C21EC"/>
    <w:rsid w:val="003C2904"/>
    <w:rsid w:val="003C3845"/>
    <w:rsid w:val="003C41B7"/>
    <w:rsid w:val="003C45B9"/>
    <w:rsid w:val="003C5477"/>
    <w:rsid w:val="003C58D0"/>
    <w:rsid w:val="003C6A5C"/>
    <w:rsid w:val="003C6F2E"/>
    <w:rsid w:val="003C728C"/>
    <w:rsid w:val="003C73F2"/>
    <w:rsid w:val="003C7FDD"/>
    <w:rsid w:val="003D02C1"/>
    <w:rsid w:val="003D0D84"/>
    <w:rsid w:val="003D0F9F"/>
    <w:rsid w:val="003D1A32"/>
    <w:rsid w:val="003D2D93"/>
    <w:rsid w:val="003D3134"/>
    <w:rsid w:val="003D34C4"/>
    <w:rsid w:val="003D38DF"/>
    <w:rsid w:val="003D3C79"/>
    <w:rsid w:val="003D4269"/>
    <w:rsid w:val="003D5A5B"/>
    <w:rsid w:val="003D5B54"/>
    <w:rsid w:val="003D5C35"/>
    <w:rsid w:val="003D6CD3"/>
    <w:rsid w:val="003D6FF5"/>
    <w:rsid w:val="003D717E"/>
    <w:rsid w:val="003D77BA"/>
    <w:rsid w:val="003D7AE8"/>
    <w:rsid w:val="003D7E17"/>
    <w:rsid w:val="003E0165"/>
    <w:rsid w:val="003E0F64"/>
    <w:rsid w:val="003E0F83"/>
    <w:rsid w:val="003E2113"/>
    <w:rsid w:val="003E2AF8"/>
    <w:rsid w:val="003E2D29"/>
    <w:rsid w:val="003E3148"/>
    <w:rsid w:val="003E440A"/>
    <w:rsid w:val="003E5E96"/>
    <w:rsid w:val="003E5F3A"/>
    <w:rsid w:val="003E6CF7"/>
    <w:rsid w:val="003E71BE"/>
    <w:rsid w:val="003E75E7"/>
    <w:rsid w:val="003E7788"/>
    <w:rsid w:val="003E7890"/>
    <w:rsid w:val="003E7FB2"/>
    <w:rsid w:val="003F0E9E"/>
    <w:rsid w:val="003F16C6"/>
    <w:rsid w:val="003F2AFC"/>
    <w:rsid w:val="003F3282"/>
    <w:rsid w:val="003F5159"/>
    <w:rsid w:val="003F65E3"/>
    <w:rsid w:val="003F6EBB"/>
    <w:rsid w:val="003F78E9"/>
    <w:rsid w:val="003F7FFD"/>
    <w:rsid w:val="004002B6"/>
    <w:rsid w:val="00400E3C"/>
    <w:rsid w:val="0040198B"/>
    <w:rsid w:val="00401ABE"/>
    <w:rsid w:val="00402214"/>
    <w:rsid w:val="004029F2"/>
    <w:rsid w:val="00403858"/>
    <w:rsid w:val="004040C9"/>
    <w:rsid w:val="00404519"/>
    <w:rsid w:val="004047CC"/>
    <w:rsid w:val="00404CE5"/>
    <w:rsid w:val="0040563D"/>
    <w:rsid w:val="00405AFD"/>
    <w:rsid w:val="00406310"/>
    <w:rsid w:val="00406925"/>
    <w:rsid w:val="004071B1"/>
    <w:rsid w:val="004075A3"/>
    <w:rsid w:val="00407A02"/>
    <w:rsid w:val="00411138"/>
    <w:rsid w:val="00411A5E"/>
    <w:rsid w:val="004123BA"/>
    <w:rsid w:val="00412676"/>
    <w:rsid w:val="0041293F"/>
    <w:rsid w:val="00412D9C"/>
    <w:rsid w:val="00414095"/>
    <w:rsid w:val="004143F0"/>
    <w:rsid w:val="004149AA"/>
    <w:rsid w:val="00414CB3"/>
    <w:rsid w:val="0041585C"/>
    <w:rsid w:val="004169E7"/>
    <w:rsid w:val="00416CB2"/>
    <w:rsid w:val="00416E4C"/>
    <w:rsid w:val="00417133"/>
    <w:rsid w:val="004171A8"/>
    <w:rsid w:val="00417484"/>
    <w:rsid w:val="00417563"/>
    <w:rsid w:val="00417915"/>
    <w:rsid w:val="00417B4F"/>
    <w:rsid w:val="0042034D"/>
    <w:rsid w:val="00420A78"/>
    <w:rsid w:val="00420CCE"/>
    <w:rsid w:val="004218B5"/>
    <w:rsid w:val="004218C1"/>
    <w:rsid w:val="00421D33"/>
    <w:rsid w:val="004220B0"/>
    <w:rsid w:val="0042213B"/>
    <w:rsid w:val="00422462"/>
    <w:rsid w:val="00422FE0"/>
    <w:rsid w:val="004231AC"/>
    <w:rsid w:val="00424AA7"/>
    <w:rsid w:val="00424B1C"/>
    <w:rsid w:val="004265A2"/>
    <w:rsid w:val="00426B61"/>
    <w:rsid w:val="00427500"/>
    <w:rsid w:val="00430536"/>
    <w:rsid w:val="00431C58"/>
    <w:rsid w:val="00432071"/>
    <w:rsid w:val="004326B3"/>
    <w:rsid w:val="00432B65"/>
    <w:rsid w:val="0043370D"/>
    <w:rsid w:val="00434BBB"/>
    <w:rsid w:val="00435183"/>
    <w:rsid w:val="004353F8"/>
    <w:rsid w:val="00435F5F"/>
    <w:rsid w:val="0043736F"/>
    <w:rsid w:val="004375DD"/>
    <w:rsid w:val="00437852"/>
    <w:rsid w:val="00437AC6"/>
    <w:rsid w:val="00437D27"/>
    <w:rsid w:val="00440222"/>
    <w:rsid w:val="00440EA8"/>
    <w:rsid w:val="004416A6"/>
    <w:rsid w:val="00441ACA"/>
    <w:rsid w:val="00441F0B"/>
    <w:rsid w:val="004422B6"/>
    <w:rsid w:val="00442B3D"/>
    <w:rsid w:val="00442B9C"/>
    <w:rsid w:val="00443A81"/>
    <w:rsid w:val="00443DAA"/>
    <w:rsid w:val="00444168"/>
    <w:rsid w:val="00444211"/>
    <w:rsid w:val="004451D1"/>
    <w:rsid w:val="00445487"/>
    <w:rsid w:val="004464FB"/>
    <w:rsid w:val="00446F5D"/>
    <w:rsid w:val="00447E17"/>
    <w:rsid w:val="00447E9C"/>
    <w:rsid w:val="00450C1C"/>
    <w:rsid w:val="00451EC7"/>
    <w:rsid w:val="004531B3"/>
    <w:rsid w:val="00453AA5"/>
    <w:rsid w:val="00454D79"/>
    <w:rsid w:val="00460951"/>
    <w:rsid w:val="004610BF"/>
    <w:rsid w:val="0046124A"/>
    <w:rsid w:val="004614E3"/>
    <w:rsid w:val="004635E5"/>
    <w:rsid w:val="0046361D"/>
    <w:rsid w:val="0046400B"/>
    <w:rsid w:val="004641FC"/>
    <w:rsid w:val="00465E6F"/>
    <w:rsid w:val="00466261"/>
    <w:rsid w:val="00466E92"/>
    <w:rsid w:val="00467A0C"/>
    <w:rsid w:val="0047098B"/>
    <w:rsid w:val="004709DD"/>
    <w:rsid w:val="004716E9"/>
    <w:rsid w:val="00472716"/>
    <w:rsid w:val="004729A2"/>
    <w:rsid w:val="0047320B"/>
    <w:rsid w:val="004732B3"/>
    <w:rsid w:val="00473431"/>
    <w:rsid w:val="0047364C"/>
    <w:rsid w:val="00473F3B"/>
    <w:rsid w:val="00474186"/>
    <w:rsid w:val="00475108"/>
    <w:rsid w:val="00475A31"/>
    <w:rsid w:val="0047616C"/>
    <w:rsid w:val="004765C6"/>
    <w:rsid w:val="00477565"/>
    <w:rsid w:val="00477EFE"/>
    <w:rsid w:val="00480B60"/>
    <w:rsid w:val="00480D34"/>
    <w:rsid w:val="0048105D"/>
    <w:rsid w:val="004810C4"/>
    <w:rsid w:val="00481186"/>
    <w:rsid w:val="00482450"/>
    <w:rsid w:val="00482821"/>
    <w:rsid w:val="004837B3"/>
    <w:rsid w:val="00483C48"/>
    <w:rsid w:val="00484309"/>
    <w:rsid w:val="0048460B"/>
    <w:rsid w:val="00484A7C"/>
    <w:rsid w:val="00485198"/>
    <w:rsid w:val="00485695"/>
    <w:rsid w:val="004857A4"/>
    <w:rsid w:val="004864CD"/>
    <w:rsid w:val="0048659D"/>
    <w:rsid w:val="004866E0"/>
    <w:rsid w:val="00487EA7"/>
    <w:rsid w:val="00487F76"/>
    <w:rsid w:val="00490703"/>
    <w:rsid w:val="00491593"/>
    <w:rsid w:val="00491D80"/>
    <w:rsid w:val="004923DC"/>
    <w:rsid w:val="00492D52"/>
    <w:rsid w:val="0049336A"/>
    <w:rsid w:val="00493415"/>
    <w:rsid w:val="00493F83"/>
    <w:rsid w:val="0049419E"/>
    <w:rsid w:val="00494B73"/>
    <w:rsid w:val="00495776"/>
    <w:rsid w:val="00496804"/>
    <w:rsid w:val="00496C2F"/>
    <w:rsid w:val="004A00FF"/>
    <w:rsid w:val="004A0940"/>
    <w:rsid w:val="004A0C60"/>
    <w:rsid w:val="004A18F9"/>
    <w:rsid w:val="004A333D"/>
    <w:rsid w:val="004A3A79"/>
    <w:rsid w:val="004A4197"/>
    <w:rsid w:val="004A559A"/>
    <w:rsid w:val="004A5626"/>
    <w:rsid w:val="004A5C4C"/>
    <w:rsid w:val="004A5CA8"/>
    <w:rsid w:val="004A5FDF"/>
    <w:rsid w:val="004A7258"/>
    <w:rsid w:val="004B053B"/>
    <w:rsid w:val="004B1797"/>
    <w:rsid w:val="004B1879"/>
    <w:rsid w:val="004B2A58"/>
    <w:rsid w:val="004B326A"/>
    <w:rsid w:val="004B5905"/>
    <w:rsid w:val="004B6522"/>
    <w:rsid w:val="004B6954"/>
    <w:rsid w:val="004B6D6D"/>
    <w:rsid w:val="004B749D"/>
    <w:rsid w:val="004B74B3"/>
    <w:rsid w:val="004B7766"/>
    <w:rsid w:val="004C072E"/>
    <w:rsid w:val="004C1891"/>
    <w:rsid w:val="004C18EC"/>
    <w:rsid w:val="004C2118"/>
    <w:rsid w:val="004C26E5"/>
    <w:rsid w:val="004C2CBF"/>
    <w:rsid w:val="004C38E9"/>
    <w:rsid w:val="004C3B24"/>
    <w:rsid w:val="004C3D00"/>
    <w:rsid w:val="004C3F32"/>
    <w:rsid w:val="004C41C6"/>
    <w:rsid w:val="004C5F49"/>
    <w:rsid w:val="004C79D8"/>
    <w:rsid w:val="004D0281"/>
    <w:rsid w:val="004D030C"/>
    <w:rsid w:val="004D0607"/>
    <w:rsid w:val="004D127B"/>
    <w:rsid w:val="004D2ECF"/>
    <w:rsid w:val="004D3266"/>
    <w:rsid w:val="004D3809"/>
    <w:rsid w:val="004D3A0A"/>
    <w:rsid w:val="004D3A13"/>
    <w:rsid w:val="004D3F3E"/>
    <w:rsid w:val="004D44DB"/>
    <w:rsid w:val="004D485E"/>
    <w:rsid w:val="004D4ED3"/>
    <w:rsid w:val="004D5145"/>
    <w:rsid w:val="004D59BE"/>
    <w:rsid w:val="004D61EE"/>
    <w:rsid w:val="004D6AB2"/>
    <w:rsid w:val="004D6AE5"/>
    <w:rsid w:val="004D6D19"/>
    <w:rsid w:val="004D7137"/>
    <w:rsid w:val="004E05D9"/>
    <w:rsid w:val="004E0A65"/>
    <w:rsid w:val="004E0F59"/>
    <w:rsid w:val="004E1A9B"/>
    <w:rsid w:val="004E2691"/>
    <w:rsid w:val="004E2B29"/>
    <w:rsid w:val="004E2BDE"/>
    <w:rsid w:val="004E3F81"/>
    <w:rsid w:val="004E44B1"/>
    <w:rsid w:val="004E5B90"/>
    <w:rsid w:val="004E7670"/>
    <w:rsid w:val="004F228D"/>
    <w:rsid w:val="004F2DD5"/>
    <w:rsid w:val="004F343A"/>
    <w:rsid w:val="004F4A02"/>
    <w:rsid w:val="004F565F"/>
    <w:rsid w:val="004F5742"/>
    <w:rsid w:val="004F7227"/>
    <w:rsid w:val="004F7970"/>
    <w:rsid w:val="004F7D65"/>
    <w:rsid w:val="0050046B"/>
    <w:rsid w:val="00502854"/>
    <w:rsid w:val="005028F3"/>
    <w:rsid w:val="0050379E"/>
    <w:rsid w:val="0050380C"/>
    <w:rsid w:val="00504098"/>
    <w:rsid w:val="005040AA"/>
    <w:rsid w:val="00505627"/>
    <w:rsid w:val="00506898"/>
    <w:rsid w:val="005069CE"/>
    <w:rsid w:val="00506C7F"/>
    <w:rsid w:val="00506DE5"/>
    <w:rsid w:val="00507658"/>
    <w:rsid w:val="00507E79"/>
    <w:rsid w:val="00510DF3"/>
    <w:rsid w:val="00511B93"/>
    <w:rsid w:val="00511CD7"/>
    <w:rsid w:val="00512022"/>
    <w:rsid w:val="00512B60"/>
    <w:rsid w:val="00513B5D"/>
    <w:rsid w:val="00513E66"/>
    <w:rsid w:val="00514835"/>
    <w:rsid w:val="00514E34"/>
    <w:rsid w:val="00515434"/>
    <w:rsid w:val="0051579F"/>
    <w:rsid w:val="00515EB3"/>
    <w:rsid w:val="00516008"/>
    <w:rsid w:val="0051656F"/>
    <w:rsid w:val="00516B7A"/>
    <w:rsid w:val="00517A3B"/>
    <w:rsid w:val="00520C22"/>
    <w:rsid w:val="005217CC"/>
    <w:rsid w:val="0052278E"/>
    <w:rsid w:val="00523086"/>
    <w:rsid w:val="00523E73"/>
    <w:rsid w:val="00526A00"/>
    <w:rsid w:val="00526F43"/>
    <w:rsid w:val="00530263"/>
    <w:rsid w:val="0053079E"/>
    <w:rsid w:val="00530A12"/>
    <w:rsid w:val="00530F68"/>
    <w:rsid w:val="00532A3B"/>
    <w:rsid w:val="00532E14"/>
    <w:rsid w:val="00532E9F"/>
    <w:rsid w:val="0053560B"/>
    <w:rsid w:val="00535FC1"/>
    <w:rsid w:val="00536AFC"/>
    <w:rsid w:val="005370D5"/>
    <w:rsid w:val="00537259"/>
    <w:rsid w:val="005376C7"/>
    <w:rsid w:val="005378D0"/>
    <w:rsid w:val="00540208"/>
    <w:rsid w:val="005405BC"/>
    <w:rsid w:val="00541CE1"/>
    <w:rsid w:val="005420F0"/>
    <w:rsid w:val="005421A7"/>
    <w:rsid w:val="00542746"/>
    <w:rsid w:val="00542BB9"/>
    <w:rsid w:val="00542F3E"/>
    <w:rsid w:val="005433AD"/>
    <w:rsid w:val="00543F52"/>
    <w:rsid w:val="00544372"/>
    <w:rsid w:val="005461E8"/>
    <w:rsid w:val="005472DB"/>
    <w:rsid w:val="00550947"/>
    <w:rsid w:val="00551128"/>
    <w:rsid w:val="0055153B"/>
    <w:rsid w:val="005520DE"/>
    <w:rsid w:val="005521FD"/>
    <w:rsid w:val="00552AA6"/>
    <w:rsid w:val="00552DA9"/>
    <w:rsid w:val="00552ED8"/>
    <w:rsid w:val="005535CA"/>
    <w:rsid w:val="00553824"/>
    <w:rsid w:val="00554842"/>
    <w:rsid w:val="00555392"/>
    <w:rsid w:val="00555BEC"/>
    <w:rsid w:val="00556A2B"/>
    <w:rsid w:val="0055712F"/>
    <w:rsid w:val="00557544"/>
    <w:rsid w:val="00557951"/>
    <w:rsid w:val="005602D5"/>
    <w:rsid w:val="00560879"/>
    <w:rsid w:val="00560EAD"/>
    <w:rsid w:val="005613D0"/>
    <w:rsid w:val="0056153D"/>
    <w:rsid w:val="00561FEE"/>
    <w:rsid w:val="005620AA"/>
    <w:rsid w:val="005634EA"/>
    <w:rsid w:val="00563F22"/>
    <w:rsid w:val="005642B6"/>
    <w:rsid w:val="00564370"/>
    <w:rsid w:val="00564ABB"/>
    <w:rsid w:val="005656B6"/>
    <w:rsid w:val="0056645C"/>
    <w:rsid w:val="00566E60"/>
    <w:rsid w:val="00567CE7"/>
    <w:rsid w:val="00567F7C"/>
    <w:rsid w:val="0057050D"/>
    <w:rsid w:val="00570D0F"/>
    <w:rsid w:val="0057192D"/>
    <w:rsid w:val="0057288D"/>
    <w:rsid w:val="00573F6E"/>
    <w:rsid w:val="005746A2"/>
    <w:rsid w:val="005753F5"/>
    <w:rsid w:val="00575474"/>
    <w:rsid w:val="00575DDD"/>
    <w:rsid w:val="00575F08"/>
    <w:rsid w:val="0057732F"/>
    <w:rsid w:val="005806F4"/>
    <w:rsid w:val="005809CB"/>
    <w:rsid w:val="00580AAA"/>
    <w:rsid w:val="00581B9D"/>
    <w:rsid w:val="00581D2C"/>
    <w:rsid w:val="00582AFC"/>
    <w:rsid w:val="005837B2"/>
    <w:rsid w:val="0058473D"/>
    <w:rsid w:val="00584DC7"/>
    <w:rsid w:val="0058556D"/>
    <w:rsid w:val="00585FD0"/>
    <w:rsid w:val="0058604C"/>
    <w:rsid w:val="005870F2"/>
    <w:rsid w:val="005871BF"/>
    <w:rsid w:val="0058729F"/>
    <w:rsid w:val="005908EA"/>
    <w:rsid w:val="00590E3C"/>
    <w:rsid w:val="00591D1A"/>
    <w:rsid w:val="00591E97"/>
    <w:rsid w:val="00593B9D"/>
    <w:rsid w:val="00595E42"/>
    <w:rsid w:val="0059639B"/>
    <w:rsid w:val="0059668D"/>
    <w:rsid w:val="005976B1"/>
    <w:rsid w:val="0059773A"/>
    <w:rsid w:val="00597DD5"/>
    <w:rsid w:val="00597E64"/>
    <w:rsid w:val="005A0431"/>
    <w:rsid w:val="005A0CCD"/>
    <w:rsid w:val="005A1461"/>
    <w:rsid w:val="005A1CD0"/>
    <w:rsid w:val="005A2709"/>
    <w:rsid w:val="005A4487"/>
    <w:rsid w:val="005A7873"/>
    <w:rsid w:val="005A79E0"/>
    <w:rsid w:val="005B1F57"/>
    <w:rsid w:val="005B1F89"/>
    <w:rsid w:val="005B2277"/>
    <w:rsid w:val="005B2671"/>
    <w:rsid w:val="005B2957"/>
    <w:rsid w:val="005B2B62"/>
    <w:rsid w:val="005B450B"/>
    <w:rsid w:val="005B5891"/>
    <w:rsid w:val="005B61E8"/>
    <w:rsid w:val="005B6307"/>
    <w:rsid w:val="005B6454"/>
    <w:rsid w:val="005B64C5"/>
    <w:rsid w:val="005B65D4"/>
    <w:rsid w:val="005B66B4"/>
    <w:rsid w:val="005B6A52"/>
    <w:rsid w:val="005B6DD1"/>
    <w:rsid w:val="005B7759"/>
    <w:rsid w:val="005B781A"/>
    <w:rsid w:val="005C2B27"/>
    <w:rsid w:val="005C2B7D"/>
    <w:rsid w:val="005C2C05"/>
    <w:rsid w:val="005C34FA"/>
    <w:rsid w:val="005C4937"/>
    <w:rsid w:val="005C7E94"/>
    <w:rsid w:val="005D079B"/>
    <w:rsid w:val="005D0B2F"/>
    <w:rsid w:val="005D2BD4"/>
    <w:rsid w:val="005D3580"/>
    <w:rsid w:val="005D4474"/>
    <w:rsid w:val="005D4810"/>
    <w:rsid w:val="005D6843"/>
    <w:rsid w:val="005D7E37"/>
    <w:rsid w:val="005D7FB5"/>
    <w:rsid w:val="005E02C7"/>
    <w:rsid w:val="005E03B0"/>
    <w:rsid w:val="005E04C8"/>
    <w:rsid w:val="005E054D"/>
    <w:rsid w:val="005E07A0"/>
    <w:rsid w:val="005E2D1B"/>
    <w:rsid w:val="005E3EEB"/>
    <w:rsid w:val="005E58F7"/>
    <w:rsid w:val="005E5ACB"/>
    <w:rsid w:val="005E637B"/>
    <w:rsid w:val="005E68CD"/>
    <w:rsid w:val="005E6D3C"/>
    <w:rsid w:val="005E7EB4"/>
    <w:rsid w:val="005F0219"/>
    <w:rsid w:val="005F07F6"/>
    <w:rsid w:val="005F1345"/>
    <w:rsid w:val="005F1829"/>
    <w:rsid w:val="005F401D"/>
    <w:rsid w:val="005F413C"/>
    <w:rsid w:val="005F4F35"/>
    <w:rsid w:val="005F515A"/>
    <w:rsid w:val="005F5239"/>
    <w:rsid w:val="005F5382"/>
    <w:rsid w:val="005F59FE"/>
    <w:rsid w:val="005F5D36"/>
    <w:rsid w:val="005F5D48"/>
    <w:rsid w:val="005F6EAA"/>
    <w:rsid w:val="005F6F35"/>
    <w:rsid w:val="005F7B09"/>
    <w:rsid w:val="00600746"/>
    <w:rsid w:val="006007C3"/>
    <w:rsid w:val="006020E2"/>
    <w:rsid w:val="0060277C"/>
    <w:rsid w:val="00603542"/>
    <w:rsid w:val="00605788"/>
    <w:rsid w:val="00606938"/>
    <w:rsid w:val="0061229F"/>
    <w:rsid w:val="0061353F"/>
    <w:rsid w:val="006136BB"/>
    <w:rsid w:val="00614215"/>
    <w:rsid w:val="006142AC"/>
    <w:rsid w:val="00614B77"/>
    <w:rsid w:val="0061500B"/>
    <w:rsid w:val="00615A2F"/>
    <w:rsid w:val="006162ED"/>
    <w:rsid w:val="00620224"/>
    <w:rsid w:val="00620BC0"/>
    <w:rsid w:val="0062199B"/>
    <w:rsid w:val="00621B0C"/>
    <w:rsid w:val="0062281D"/>
    <w:rsid w:val="006228C4"/>
    <w:rsid w:val="00623BB5"/>
    <w:rsid w:val="006242D5"/>
    <w:rsid w:val="00624BA9"/>
    <w:rsid w:val="00625588"/>
    <w:rsid w:val="0062567F"/>
    <w:rsid w:val="0062649F"/>
    <w:rsid w:val="00627F85"/>
    <w:rsid w:val="006306E9"/>
    <w:rsid w:val="00630CBD"/>
    <w:rsid w:val="00631537"/>
    <w:rsid w:val="0063321B"/>
    <w:rsid w:val="00633E24"/>
    <w:rsid w:val="0063422C"/>
    <w:rsid w:val="00635742"/>
    <w:rsid w:val="006373DD"/>
    <w:rsid w:val="00637664"/>
    <w:rsid w:val="00640426"/>
    <w:rsid w:val="00640C37"/>
    <w:rsid w:val="00640F3B"/>
    <w:rsid w:val="00641B0D"/>
    <w:rsid w:val="006429C2"/>
    <w:rsid w:val="006434A2"/>
    <w:rsid w:val="006435F8"/>
    <w:rsid w:val="00643D73"/>
    <w:rsid w:val="00644302"/>
    <w:rsid w:val="006444FA"/>
    <w:rsid w:val="00644806"/>
    <w:rsid w:val="00645CD6"/>
    <w:rsid w:val="00645DA0"/>
    <w:rsid w:val="0065023F"/>
    <w:rsid w:val="00650359"/>
    <w:rsid w:val="00650575"/>
    <w:rsid w:val="00650A1D"/>
    <w:rsid w:val="00650C2A"/>
    <w:rsid w:val="00650FC3"/>
    <w:rsid w:val="00651494"/>
    <w:rsid w:val="00651A2E"/>
    <w:rsid w:val="00652F09"/>
    <w:rsid w:val="0065444A"/>
    <w:rsid w:val="00654460"/>
    <w:rsid w:val="00654557"/>
    <w:rsid w:val="00654A5A"/>
    <w:rsid w:val="006554FA"/>
    <w:rsid w:val="006567BF"/>
    <w:rsid w:val="006567FC"/>
    <w:rsid w:val="00660E01"/>
    <w:rsid w:val="00660FD2"/>
    <w:rsid w:val="006618FE"/>
    <w:rsid w:val="006624B3"/>
    <w:rsid w:val="00663568"/>
    <w:rsid w:val="00664E41"/>
    <w:rsid w:val="006655EA"/>
    <w:rsid w:val="00670DE8"/>
    <w:rsid w:val="006721E2"/>
    <w:rsid w:val="0067331A"/>
    <w:rsid w:val="006757F7"/>
    <w:rsid w:val="00676FDB"/>
    <w:rsid w:val="00680171"/>
    <w:rsid w:val="00681887"/>
    <w:rsid w:val="0068250B"/>
    <w:rsid w:val="00682BE6"/>
    <w:rsid w:val="0068376F"/>
    <w:rsid w:val="006844B4"/>
    <w:rsid w:val="006850E7"/>
    <w:rsid w:val="00685B42"/>
    <w:rsid w:val="00685BB7"/>
    <w:rsid w:val="006867A5"/>
    <w:rsid w:val="00690767"/>
    <w:rsid w:val="00691E6F"/>
    <w:rsid w:val="00693523"/>
    <w:rsid w:val="00694596"/>
    <w:rsid w:val="00694D24"/>
    <w:rsid w:val="006958F1"/>
    <w:rsid w:val="00695C09"/>
    <w:rsid w:val="00696EC6"/>
    <w:rsid w:val="00696EF1"/>
    <w:rsid w:val="006A00FB"/>
    <w:rsid w:val="006A0398"/>
    <w:rsid w:val="006A1837"/>
    <w:rsid w:val="006A1930"/>
    <w:rsid w:val="006A2674"/>
    <w:rsid w:val="006A382C"/>
    <w:rsid w:val="006A38FD"/>
    <w:rsid w:val="006A3B18"/>
    <w:rsid w:val="006A3D3C"/>
    <w:rsid w:val="006A4059"/>
    <w:rsid w:val="006A4924"/>
    <w:rsid w:val="006A4E16"/>
    <w:rsid w:val="006A5185"/>
    <w:rsid w:val="006A59A7"/>
    <w:rsid w:val="006A62BA"/>
    <w:rsid w:val="006A6821"/>
    <w:rsid w:val="006A760B"/>
    <w:rsid w:val="006A77E9"/>
    <w:rsid w:val="006A7962"/>
    <w:rsid w:val="006B0460"/>
    <w:rsid w:val="006B0627"/>
    <w:rsid w:val="006B1DF8"/>
    <w:rsid w:val="006B34C5"/>
    <w:rsid w:val="006B34D7"/>
    <w:rsid w:val="006B3D06"/>
    <w:rsid w:val="006B5389"/>
    <w:rsid w:val="006B5E68"/>
    <w:rsid w:val="006B6E06"/>
    <w:rsid w:val="006B770D"/>
    <w:rsid w:val="006C0893"/>
    <w:rsid w:val="006C2F4F"/>
    <w:rsid w:val="006C33EE"/>
    <w:rsid w:val="006C38FD"/>
    <w:rsid w:val="006C5094"/>
    <w:rsid w:val="006C5ECB"/>
    <w:rsid w:val="006C656A"/>
    <w:rsid w:val="006C6A0F"/>
    <w:rsid w:val="006C77DE"/>
    <w:rsid w:val="006D0193"/>
    <w:rsid w:val="006D0588"/>
    <w:rsid w:val="006D1953"/>
    <w:rsid w:val="006D1B13"/>
    <w:rsid w:val="006D25C3"/>
    <w:rsid w:val="006D3C40"/>
    <w:rsid w:val="006D3C75"/>
    <w:rsid w:val="006D4FD8"/>
    <w:rsid w:val="006D506B"/>
    <w:rsid w:val="006D540A"/>
    <w:rsid w:val="006D701B"/>
    <w:rsid w:val="006E05D2"/>
    <w:rsid w:val="006E1430"/>
    <w:rsid w:val="006E2124"/>
    <w:rsid w:val="006E224A"/>
    <w:rsid w:val="006E29A4"/>
    <w:rsid w:val="006E2E4D"/>
    <w:rsid w:val="006E332B"/>
    <w:rsid w:val="006E4125"/>
    <w:rsid w:val="006E7225"/>
    <w:rsid w:val="006E77ED"/>
    <w:rsid w:val="006E795F"/>
    <w:rsid w:val="006F2144"/>
    <w:rsid w:val="006F24A8"/>
    <w:rsid w:val="006F35D9"/>
    <w:rsid w:val="006F3824"/>
    <w:rsid w:val="006F4268"/>
    <w:rsid w:val="006F5B73"/>
    <w:rsid w:val="006F7C3F"/>
    <w:rsid w:val="00700516"/>
    <w:rsid w:val="00702158"/>
    <w:rsid w:val="007022BF"/>
    <w:rsid w:val="0070343C"/>
    <w:rsid w:val="0070445F"/>
    <w:rsid w:val="00704F46"/>
    <w:rsid w:val="00705C60"/>
    <w:rsid w:val="00706224"/>
    <w:rsid w:val="0070660E"/>
    <w:rsid w:val="0070705A"/>
    <w:rsid w:val="007076F0"/>
    <w:rsid w:val="00707EA0"/>
    <w:rsid w:val="00710640"/>
    <w:rsid w:val="00710AEB"/>
    <w:rsid w:val="00712B17"/>
    <w:rsid w:val="007148D5"/>
    <w:rsid w:val="00715553"/>
    <w:rsid w:val="00715CD1"/>
    <w:rsid w:val="00716237"/>
    <w:rsid w:val="00717791"/>
    <w:rsid w:val="007179E1"/>
    <w:rsid w:val="007215E8"/>
    <w:rsid w:val="00721874"/>
    <w:rsid w:val="007226DD"/>
    <w:rsid w:val="007229D1"/>
    <w:rsid w:val="00723AC5"/>
    <w:rsid w:val="00724560"/>
    <w:rsid w:val="00724D6C"/>
    <w:rsid w:val="00727822"/>
    <w:rsid w:val="00727B1F"/>
    <w:rsid w:val="007305CC"/>
    <w:rsid w:val="007316A6"/>
    <w:rsid w:val="00732817"/>
    <w:rsid w:val="00732892"/>
    <w:rsid w:val="00734861"/>
    <w:rsid w:val="00734948"/>
    <w:rsid w:val="00734A70"/>
    <w:rsid w:val="00735287"/>
    <w:rsid w:val="007358F1"/>
    <w:rsid w:val="00736ADC"/>
    <w:rsid w:val="00736FB6"/>
    <w:rsid w:val="00737BA7"/>
    <w:rsid w:val="00737D07"/>
    <w:rsid w:val="0074012F"/>
    <w:rsid w:val="007405FA"/>
    <w:rsid w:val="007424E2"/>
    <w:rsid w:val="00742C6C"/>
    <w:rsid w:val="007434BB"/>
    <w:rsid w:val="00744141"/>
    <w:rsid w:val="00744288"/>
    <w:rsid w:val="007448F3"/>
    <w:rsid w:val="007454EF"/>
    <w:rsid w:val="00746A09"/>
    <w:rsid w:val="00746BAF"/>
    <w:rsid w:val="00746C49"/>
    <w:rsid w:val="007471AB"/>
    <w:rsid w:val="007478FF"/>
    <w:rsid w:val="00750435"/>
    <w:rsid w:val="0075077D"/>
    <w:rsid w:val="00752ED7"/>
    <w:rsid w:val="00752FE6"/>
    <w:rsid w:val="00754CAF"/>
    <w:rsid w:val="007570B1"/>
    <w:rsid w:val="007600BE"/>
    <w:rsid w:val="00761E15"/>
    <w:rsid w:val="007624C4"/>
    <w:rsid w:val="00763C6E"/>
    <w:rsid w:val="00765C89"/>
    <w:rsid w:val="00766040"/>
    <w:rsid w:val="007664A0"/>
    <w:rsid w:val="00767F14"/>
    <w:rsid w:val="007702F5"/>
    <w:rsid w:val="0077327F"/>
    <w:rsid w:val="0077388B"/>
    <w:rsid w:val="00773AD1"/>
    <w:rsid w:val="00774BB4"/>
    <w:rsid w:val="0077528C"/>
    <w:rsid w:val="00775685"/>
    <w:rsid w:val="00775E59"/>
    <w:rsid w:val="00776167"/>
    <w:rsid w:val="00776711"/>
    <w:rsid w:val="00776D7E"/>
    <w:rsid w:val="00777C53"/>
    <w:rsid w:val="007822DF"/>
    <w:rsid w:val="00782857"/>
    <w:rsid w:val="00782BC6"/>
    <w:rsid w:val="00783116"/>
    <w:rsid w:val="00783D9F"/>
    <w:rsid w:val="00784352"/>
    <w:rsid w:val="00784574"/>
    <w:rsid w:val="00791AC6"/>
    <w:rsid w:val="00792985"/>
    <w:rsid w:val="007936F2"/>
    <w:rsid w:val="00793BAA"/>
    <w:rsid w:val="007942A4"/>
    <w:rsid w:val="00794CA7"/>
    <w:rsid w:val="007953AA"/>
    <w:rsid w:val="00795A7C"/>
    <w:rsid w:val="00795D97"/>
    <w:rsid w:val="007966C2"/>
    <w:rsid w:val="00796F87"/>
    <w:rsid w:val="00797862"/>
    <w:rsid w:val="007979C8"/>
    <w:rsid w:val="007A0F96"/>
    <w:rsid w:val="007A1A5E"/>
    <w:rsid w:val="007A2062"/>
    <w:rsid w:val="007A3D11"/>
    <w:rsid w:val="007A4379"/>
    <w:rsid w:val="007A4B1F"/>
    <w:rsid w:val="007A576C"/>
    <w:rsid w:val="007A5BE9"/>
    <w:rsid w:val="007A5DB4"/>
    <w:rsid w:val="007A5F06"/>
    <w:rsid w:val="007A61E1"/>
    <w:rsid w:val="007A62C1"/>
    <w:rsid w:val="007B05B0"/>
    <w:rsid w:val="007B06E9"/>
    <w:rsid w:val="007B08A2"/>
    <w:rsid w:val="007B115E"/>
    <w:rsid w:val="007B11B8"/>
    <w:rsid w:val="007B1D19"/>
    <w:rsid w:val="007B1D85"/>
    <w:rsid w:val="007B2ACA"/>
    <w:rsid w:val="007B3481"/>
    <w:rsid w:val="007B43FC"/>
    <w:rsid w:val="007B4F22"/>
    <w:rsid w:val="007B53E5"/>
    <w:rsid w:val="007B6253"/>
    <w:rsid w:val="007B6946"/>
    <w:rsid w:val="007B7219"/>
    <w:rsid w:val="007C065F"/>
    <w:rsid w:val="007C07AD"/>
    <w:rsid w:val="007C21DB"/>
    <w:rsid w:val="007C262A"/>
    <w:rsid w:val="007C2A55"/>
    <w:rsid w:val="007C2BD5"/>
    <w:rsid w:val="007C30AF"/>
    <w:rsid w:val="007C34FE"/>
    <w:rsid w:val="007C3640"/>
    <w:rsid w:val="007C4209"/>
    <w:rsid w:val="007C4643"/>
    <w:rsid w:val="007C464A"/>
    <w:rsid w:val="007C4756"/>
    <w:rsid w:val="007C52AB"/>
    <w:rsid w:val="007C5B2E"/>
    <w:rsid w:val="007C6293"/>
    <w:rsid w:val="007C62FE"/>
    <w:rsid w:val="007C7C1E"/>
    <w:rsid w:val="007D026A"/>
    <w:rsid w:val="007D2E92"/>
    <w:rsid w:val="007D4F35"/>
    <w:rsid w:val="007D5109"/>
    <w:rsid w:val="007D5564"/>
    <w:rsid w:val="007D5BA9"/>
    <w:rsid w:val="007D5E30"/>
    <w:rsid w:val="007D6586"/>
    <w:rsid w:val="007E0481"/>
    <w:rsid w:val="007E04D3"/>
    <w:rsid w:val="007E0D86"/>
    <w:rsid w:val="007E0DE7"/>
    <w:rsid w:val="007E1DF3"/>
    <w:rsid w:val="007E1FC6"/>
    <w:rsid w:val="007E2006"/>
    <w:rsid w:val="007E29F9"/>
    <w:rsid w:val="007E309D"/>
    <w:rsid w:val="007E5A0E"/>
    <w:rsid w:val="007E5B4F"/>
    <w:rsid w:val="007E5F3A"/>
    <w:rsid w:val="007E64F4"/>
    <w:rsid w:val="007E6D13"/>
    <w:rsid w:val="007E7377"/>
    <w:rsid w:val="007F0200"/>
    <w:rsid w:val="007F0483"/>
    <w:rsid w:val="007F24AE"/>
    <w:rsid w:val="007F2505"/>
    <w:rsid w:val="007F36DE"/>
    <w:rsid w:val="007F38FF"/>
    <w:rsid w:val="007F3D52"/>
    <w:rsid w:val="007F5933"/>
    <w:rsid w:val="007F5BE2"/>
    <w:rsid w:val="007F5EA0"/>
    <w:rsid w:val="007F693F"/>
    <w:rsid w:val="007F69BD"/>
    <w:rsid w:val="007F75A4"/>
    <w:rsid w:val="007F791B"/>
    <w:rsid w:val="008009BB"/>
    <w:rsid w:val="00801101"/>
    <w:rsid w:val="0080113A"/>
    <w:rsid w:val="00801813"/>
    <w:rsid w:val="00801A78"/>
    <w:rsid w:val="008030AA"/>
    <w:rsid w:val="00804295"/>
    <w:rsid w:val="008042D1"/>
    <w:rsid w:val="00805238"/>
    <w:rsid w:val="008052C3"/>
    <w:rsid w:val="00805E82"/>
    <w:rsid w:val="008104CF"/>
    <w:rsid w:val="00811A35"/>
    <w:rsid w:val="00812BC5"/>
    <w:rsid w:val="00812C0F"/>
    <w:rsid w:val="00812D5A"/>
    <w:rsid w:val="008132F4"/>
    <w:rsid w:val="0081357D"/>
    <w:rsid w:val="008136C1"/>
    <w:rsid w:val="00813E6D"/>
    <w:rsid w:val="00813E7A"/>
    <w:rsid w:val="0081446F"/>
    <w:rsid w:val="00815C14"/>
    <w:rsid w:val="0081647C"/>
    <w:rsid w:val="0081651D"/>
    <w:rsid w:val="008168BD"/>
    <w:rsid w:val="00816CCF"/>
    <w:rsid w:val="008176DF"/>
    <w:rsid w:val="00817718"/>
    <w:rsid w:val="00817D8A"/>
    <w:rsid w:val="00817F65"/>
    <w:rsid w:val="00823459"/>
    <w:rsid w:val="008237EF"/>
    <w:rsid w:val="00823BD4"/>
    <w:rsid w:val="00823C52"/>
    <w:rsid w:val="00824D61"/>
    <w:rsid w:val="00825250"/>
    <w:rsid w:val="008255ED"/>
    <w:rsid w:val="00827215"/>
    <w:rsid w:val="008274B8"/>
    <w:rsid w:val="00827621"/>
    <w:rsid w:val="00827724"/>
    <w:rsid w:val="00827A58"/>
    <w:rsid w:val="008301D0"/>
    <w:rsid w:val="0083021E"/>
    <w:rsid w:val="0083028B"/>
    <w:rsid w:val="0083111A"/>
    <w:rsid w:val="008319FF"/>
    <w:rsid w:val="00831C19"/>
    <w:rsid w:val="00832C30"/>
    <w:rsid w:val="00833313"/>
    <w:rsid w:val="00833C3B"/>
    <w:rsid w:val="00834603"/>
    <w:rsid w:val="00835CE5"/>
    <w:rsid w:val="0083678F"/>
    <w:rsid w:val="00836BDB"/>
    <w:rsid w:val="00837463"/>
    <w:rsid w:val="00837F7C"/>
    <w:rsid w:val="00837FBE"/>
    <w:rsid w:val="0084042B"/>
    <w:rsid w:val="008421E2"/>
    <w:rsid w:val="00842BAA"/>
    <w:rsid w:val="00843AD2"/>
    <w:rsid w:val="0084495A"/>
    <w:rsid w:val="008460D8"/>
    <w:rsid w:val="0084681D"/>
    <w:rsid w:val="00847C82"/>
    <w:rsid w:val="00847FCC"/>
    <w:rsid w:val="0085146C"/>
    <w:rsid w:val="008514A5"/>
    <w:rsid w:val="0085255B"/>
    <w:rsid w:val="008527EE"/>
    <w:rsid w:val="00852DA0"/>
    <w:rsid w:val="008531FC"/>
    <w:rsid w:val="008538DF"/>
    <w:rsid w:val="00853F87"/>
    <w:rsid w:val="00854436"/>
    <w:rsid w:val="0085466C"/>
    <w:rsid w:val="00854D5B"/>
    <w:rsid w:val="00854FBB"/>
    <w:rsid w:val="0085691D"/>
    <w:rsid w:val="00856EF6"/>
    <w:rsid w:val="008575F9"/>
    <w:rsid w:val="00857DA4"/>
    <w:rsid w:val="008606C1"/>
    <w:rsid w:val="00861527"/>
    <w:rsid w:val="00861D47"/>
    <w:rsid w:val="00862857"/>
    <w:rsid w:val="00863EB9"/>
    <w:rsid w:val="0086419F"/>
    <w:rsid w:val="008641FF"/>
    <w:rsid w:val="00864689"/>
    <w:rsid w:val="008657AC"/>
    <w:rsid w:val="008657F0"/>
    <w:rsid w:val="0086612F"/>
    <w:rsid w:val="0086748C"/>
    <w:rsid w:val="00867EF1"/>
    <w:rsid w:val="0087003A"/>
    <w:rsid w:val="00870F07"/>
    <w:rsid w:val="00871864"/>
    <w:rsid w:val="008732BC"/>
    <w:rsid w:val="0087493E"/>
    <w:rsid w:val="00874F1F"/>
    <w:rsid w:val="00875024"/>
    <w:rsid w:val="00875626"/>
    <w:rsid w:val="00875E98"/>
    <w:rsid w:val="00876566"/>
    <w:rsid w:val="0087793E"/>
    <w:rsid w:val="00880201"/>
    <w:rsid w:val="00880AC8"/>
    <w:rsid w:val="0088145C"/>
    <w:rsid w:val="00881461"/>
    <w:rsid w:val="008814A3"/>
    <w:rsid w:val="00881955"/>
    <w:rsid w:val="008819BB"/>
    <w:rsid w:val="008822FF"/>
    <w:rsid w:val="008838B8"/>
    <w:rsid w:val="00884219"/>
    <w:rsid w:val="0088461E"/>
    <w:rsid w:val="00884661"/>
    <w:rsid w:val="008847B4"/>
    <w:rsid w:val="008855FB"/>
    <w:rsid w:val="00886085"/>
    <w:rsid w:val="00886517"/>
    <w:rsid w:val="00886EBC"/>
    <w:rsid w:val="008879C6"/>
    <w:rsid w:val="0089125C"/>
    <w:rsid w:val="00891388"/>
    <w:rsid w:val="00891456"/>
    <w:rsid w:val="00891F43"/>
    <w:rsid w:val="008924EC"/>
    <w:rsid w:val="008924F1"/>
    <w:rsid w:val="00895BAB"/>
    <w:rsid w:val="00895BEA"/>
    <w:rsid w:val="008969A7"/>
    <w:rsid w:val="00896C32"/>
    <w:rsid w:val="00896D57"/>
    <w:rsid w:val="00896F18"/>
    <w:rsid w:val="00897A11"/>
    <w:rsid w:val="008A272B"/>
    <w:rsid w:val="008A2A8B"/>
    <w:rsid w:val="008A2AE0"/>
    <w:rsid w:val="008A302E"/>
    <w:rsid w:val="008A30E2"/>
    <w:rsid w:val="008A40CA"/>
    <w:rsid w:val="008A633A"/>
    <w:rsid w:val="008B111A"/>
    <w:rsid w:val="008B26CD"/>
    <w:rsid w:val="008B371F"/>
    <w:rsid w:val="008B524D"/>
    <w:rsid w:val="008B563B"/>
    <w:rsid w:val="008B6E85"/>
    <w:rsid w:val="008C016A"/>
    <w:rsid w:val="008C0177"/>
    <w:rsid w:val="008C07BF"/>
    <w:rsid w:val="008C08F1"/>
    <w:rsid w:val="008C18BE"/>
    <w:rsid w:val="008C1E54"/>
    <w:rsid w:val="008C2B56"/>
    <w:rsid w:val="008C3032"/>
    <w:rsid w:val="008C3829"/>
    <w:rsid w:val="008C3848"/>
    <w:rsid w:val="008C49A5"/>
    <w:rsid w:val="008C4B72"/>
    <w:rsid w:val="008C5ADE"/>
    <w:rsid w:val="008C5BB7"/>
    <w:rsid w:val="008C620B"/>
    <w:rsid w:val="008C6D8C"/>
    <w:rsid w:val="008C722A"/>
    <w:rsid w:val="008C72FF"/>
    <w:rsid w:val="008C7C00"/>
    <w:rsid w:val="008C7FC1"/>
    <w:rsid w:val="008D131E"/>
    <w:rsid w:val="008D1CD9"/>
    <w:rsid w:val="008D26FC"/>
    <w:rsid w:val="008D2A6E"/>
    <w:rsid w:val="008D344C"/>
    <w:rsid w:val="008D3585"/>
    <w:rsid w:val="008D425A"/>
    <w:rsid w:val="008D60D1"/>
    <w:rsid w:val="008D6320"/>
    <w:rsid w:val="008D6AA5"/>
    <w:rsid w:val="008D75C3"/>
    <w:rsid w:val="008D7A04"/>
    <w:rsid w:val="008E189C"/>
    <w:rsid w:val="008E202A"/>
    <w:rsid w:val="008E23CB"/>
    <w:rsid w:val="008E2A09"/>
    <w:rsid w:val="008E419F"/>
    <w:rsid w:val="008E48FB"/>
    <w:rsid w:val="008E4F84"/>
    <w:rsid w:val="008E5262"/>
    <w:rsid w:val="008E5436"/>
    <w:rsid w:val="008E5D0C"/>
    <w:rsid w:val="008E69D8"/>
    <w:rsid w:val="008E775E"/>
    <w:rsid w:val="008F050D"/>
    <w:rsid w:val="008F1E60"/>
    <w:rsid w:val="008F1F79"/>
    <w:rsid w:val="008F253B"/>
    <w:rsid w:val="008F26E6"/>
    <w:rsid w:val="008F28E7"/>
    <w:rsid w:val="008F36FA"/>
    <w:rsid w:val="008F3CE8"/>
    <w:rsid w:val="008F42BF"/>
    <w:rsid w:val="008F4DEB"/>
    <w:rsid w:val="008F683E"/>
    <w:rsid w:val="008F6922"/>
    <w:rsid w:val="008F697A"/>
    <w:rsid w:val="008F728E"/>
    <w:rsid w:val="009002D2"/>
    <w:rsid w:val="00900457"/>
    <w:rsid w:val="00900A15"/>
    <w:rsid w:val="0090160A"/>
    <w:rsid w:val="00901A47"/>
    <w:rsid w:val="0090244E"/>
    <w:rsid w:val="009024F5"/>
    <w:rsid w:val="00904FA6"/>
    <w:rsid w:val="0090557A"/>
    <w:rsid w:val="00906F3F"/>
    <w:rsid w:val="0090709A"/>
    <w:rsid w:val="00910184"/>
    <w:rsid w:val="0091127C"/>
    <w:rsid w:val="009126D0"/>
    <w:rsid w:val="00913154"/>
    <w:rsid w:val="009134F1"/>
    <w:rsid w:val="00913ACC"/>
    <w:rsid w:val="00913B64"/>
    <w:rsid w:val="00914671"/>
    <w:rsid w:val="00914946"/>
    <w:rsid w:val="00914B6E"/>
    <w:rsid w:val="00915294"/>
    <w:rsid w:val="009162BC"/>
    <w:rsid w:val="00920B41"/>
    <w:rsid w:val="0092187E"/>
    <w:rsid w:val="00923B1D"/>
    <w:rsid w:val="00923C18"/>
    <w:rsid w:val="00924387"/>
    <w:rsid w:val="009264DC"/>
    <w:rsid w:val="0092751C"/>
    <w:rsid w:val="00930C85"/>
    <w:rsid w:val="00930E39"/>
    <w:rsid w:val="00930E53"/>
    <w:rsid w:val="0093264C"/>
    <w:rsid w:val="009330EE"/>
    <w:rsid w:val="009332C6"/>
    <w:rsid w:val="00933955"/>
    <w:rsid w:val="00934D1B"/>
    <w:rsid w:val="00936736"/>
    <w:rsid w:val="009370D6"/>
    <w:rsid w:val="00937F35"/>
    <w:rsid w:val="009408E7"/>
    <w:rsid w:val="00941713"/>
    <w:rsid w:val="0094257E"/>
    <w:rsid w:val="00942DC6"/>
    <w:rsid w:val="00942DF7"/>
    <w:rsid w:val="00942EE5"/>
    <w:rsid w:val="009433B9"/>
    <w:rsid w:val="0094428F"/>
    <w:rsid w:val="00944330"/>
    <w:rsid w:val="00944338"/>
    <w:rsid w:val="00945313"/>
    <w:rsid w:val="00945679"/>
    <w:rsid w:val="00945BDF"/>
    <w:rsid w:val="0094769D"/>
    <w:rsid w:val="00950576"/>
    <w:rsid w:val="00953A05"/>
    <w:rsid w:val="0095412C"/>
    <w:rsid w:val="0095595D"/>
    <w:rsid w:val="00956107"/>
    <w:rsid w:val="00960FDC"/>
    <w:rsid w:val="00961F39"/>
    <w:rsid w:val="0096217A"/>
    <w:rsid w:val="009623B2"/>
    <w:rsid w:val="009634B1"/>
    <w:rsid w:val="00963E14"/>
    <w:rsid w:val="00963FEA"/>
    <w:rsid w:val="009642DC"/>
    <w:rsid w:val="009653C7"/>
    <w:rsid w:val="009660FC"/>
    <w:rsid w:val="0096689A"/>
    <w:rsid w:val="00967AFF"/>
    <w:rsid w:val="0097025E"/>
    <w:rsid w:val="00970727"/>
    <w:rsid w:val="00971A18"/>
    <w:rsid w:val="00972235"/>
    <w:rsid w:val="00972F13"/>
    <w:rsid w:val="00972FCA"/>
    <w:rsid w:val="00973461"/>
    <w:rsid w:val="009738DD"/>
    <w:rsid w:val="00973D59"/>
    <w:rsid w:val="00973F53"/>
    <w:rsid w:val="0097453B"/>
    <w:rsid w:val="00974AE7"/>
    <w:rsid w:val="00974D72"/>
    <w:rsid w:val="00975735"/>
    <w:rsid w:val="00975FAD"/>
    <w:rsid w:val="009771B3"/>
    <w:rsid w:val="009775A5"/>
    <w:rsid w:val="0097762C"/>
    <w:rsid w:val="0098080A"/>
    <w:rsid w:val="00980A53"/>
    <w:rsid w:val="00980D53"/>
    <w:rsid w:val="00981159"/>
    <w:rsid w:val="009824BE"/>
    <w:rsid w:val="009829A1"/>
    <w:rsid w:val="009836A4"/>
    <w:rsid w:val="0098377D"/>
    <w:rsid w:val="00984783"/>
    <w:rsid w:val="00985053"/>
    <w:rsid w:val="009850D6"/>
    <w:rsid w:val="009850E6"/>
    <w:rsid w:val="00985E65"/>
    <w:rsid w:val="009860D6"/>
    <w:rsid w:val="00986AA4"/>
    <w:rsid w:val="0098790F"/>
    <w:rsid w:val="00987989"/>
    <w:rsid w:val="00987A10"/>
    <w:rsid w:val="009901C7"/>
    <w:rsid w:val="00991CC5"/>
    <w:rsid w:val="00992695"/>
    <w:rsid w:val="0099283D"/>
    <w:rsid w:val="009940F4"/>
    <w:rsid w:val="009947A8"/>
    <w:rsid w:val="00994F28"/>
    <w:rsid w:val="00995190"/>
    <w:rsid w:val="00995361"/>
    <w:rsid w:val="00995777"/>
    <w:rsid w:val="00995828"/>
    <w:rsid w:val="00995BA5"/>
    <w:rsid w:val="00996C08"/>
    <w:rsid w:val="00997D26"/>
    <w:rsid w:val="009A04DA"/>
    <w:rsid w:val="009A1986"/>
    <w:rsid w:val="009A2559"/>
    <w:rsid w:val="009A26AF"/>
    <w:rsid w:val="009A272E"/>
    <w:rsid w:val="009A2901"/>
    <w:rsid w:val="009A2A90"/>
    <w:rsid w:val="009A2E2E"/>
    <w:rsid w:val="009A3203"/>
    <w:rsid w:val="009A37F2"/>
    <w:rsid w:val="009A3C1E"/>
    <w:rsid w:val="009A420C"/>
    <w:rsid w:val="009A4E69"/>
    <w:rsid w:val="009A529A"/>
    <w:rsid w:val="009A5815"/>
    <w:rsid w:val="009A596B"/>
    <w:rsid w:val="009A6475"/>
    <w:rsid w:val="009A6ECD"/>
    <w:rsid w:val="009A6F5C"/>
    <w:rsid w:val="009A7C22"/>
    <w:rsid w:val="009A7ED8"/>
    <w:rsid w:val="009B0CF4"/>
    <w:rsid w:val="009B0EA1"/>
    <w:rsid w:val="009B1AA7"/>
    <w:rsid w:val="009B1C97"/>
    <w:rsid w:val="009B1D1B"/>
    <w:rsid w:val="009B1D84"/>
    <w:rsid w:val="009B32B0"/>
    <w:rsid w:val="009B3767"/>
    <w:rsid w:val="009B40BD"/>
    <w:rsid w:val="009B4223"/>
    <w:rsid w:val="009B4320"/>
    <w:rsid w:val="009B4ECA"/>
    <w:rsid w:val="009B6CA4"/>
    <w:rsid w:val="009B6DBB"/>
    <w:rsid w:val="009B6F06"/>
    <w:rsid w:val="009B7018"/>
    <w:rsid w:val="009C01AA"/>
    <w:rsid w:val="009C087A"/>
    <w:rsid w:val="009C10C1"/>
    <w:rsid w:val="009C1AB3"/>
    <w:rsid w:val="009C28FC"/>
    <w:rsid w:val="009C2AE6"/>
    <w:rsid w:val="009C4A95"/>
    <w:rsid w:val="009C4FC4"/>
    <w:rsid w:val="009C5372"/>
    <w:rsid w:val="009C55CA"/>
    <w:rsid w:val="009C6713"/>
    <w:rsid w:val="009C73D4"/>
    <w:rsid w:val="009C78CE"/>
    <w:rsid w:val="009D0289"/>
    <w:rsid w:val="009D1972"/>
    <w:rsid w:val="009D2567"/>
    <w:rsid w:val="009D2717"/>
    <w:rsid w:val="009D3C94"/>
    <w:rsid w:val="009D4165"/>
    <w:rsid w:val="009D4673"/>
    <w:rsid w:val="009D4B00"/>
    <w:rsid w:val="009D4B15"/>
    <w:rsid w:val="009D4DE6"/>
    <w:rsid w:val="009D5F38"/>
    <w:rsid w:val="009D78DF"/>
    <w:rsid w:val="009D7F31"/>
    <w:rsid w:val="009E00A8"/>
    <w:rsid w:val="009E039A"/>
    <w:rsid w:val="009E07ED"/>
    <w:rsid w:val="009E167B"/>
    <w:rsid w:val="009E293D"/>
    <w:rsid w:val="009E3665"/>
    <w:rsid w:val="009E38EF"/>
    <w:rsid w:val="009E425D"/>
    <w:rsid w:val="009E4994"/>
    <w:rsid w:val="009E4AD2"/>
    <w:rsid w:val="009E55B2"/>
    <w:rsid w:val="009E5E62"/>
    <w:rsid w:val="009E5F43"/>
    <w:rsid w:val="009E6320"/>
    <w:rsid w:val="009E63CF"/>
    <w:rsid w:val="009E704D"/>
    <w:rsid w:val="009E7135"/>
    <w:rsid w:val="009E7B3C"/>
    <w:rsid w:val="009F2431"/>
    <w:rsid w:val="009F2FB7"/>
    <w:rsid w:val="009F373C"/>
    <w:rsid w:val="009F3BED"/>
    <w:rsid w:val="009F5DDE"/>
    <w:rsid w:val="009F659A"/>
    <w:rsid w:val="009F683E"/>
    <w:rsid w:val="00A0287D"/>
    <w:rsid w:val="00A0331B"/>
    <w:rsid w:val="00A03DBF"/>
    <w:rsid w:val="00A04680"/>
    <w:rsid w:val="00A05164"/>
    <w:rsid w:val="00A065E3"/>
    <w:rsid w:val="00A06733"/>
    <w:rsid w:val="00A068BD"/>
    <w:rsid w:val="00A07F01"/>
    <w:rsid w:val="00A110D9"/>
    <w:rsid w:val="00A1171A"/>
    <w:rsid w:val="00A1177F"/>
    <w:rsid w:val="00A11BB3"/>
    <w:rsid w:val="00A125A8"/>
    <w:rsid w:val="00A12AE6"/>
    <w:rsid w:val="00A13127"/>
    <w:rsid w:val="00A136F1"/>
    <w:rsid w:val="00A13C29"/>
    <w:rsid w:val="00A14924"/>
    <w:rsid w:val="00A15204"/>
    <w:rsid w:val="00A16B67"/>
    <w:rsid w:val="00A170F9"/>
    <w:rsid w:val="00A17691"/>
    <w:rsid w:val="00A17A2A"/>
    <w:rsid w:val="00A20C95"/>
    <w:rsid w:val="00A2143C"/>
    <w:rsid w:val="00A21A58"/>
    <w:rsid w:val="00A22858"/>
    <w:rsid w:val="00A228B6"/>
    <w:rsid w:val="00A22A5B"/>
    <w:rsid w:val="00A2309D"/>
    <w:rsid w:val="00A244AD"/>
    <w:rsid w:val="00A25747"/>
    <w:rsid w:val="00A25839"/>
    <w:rsid w:val="00A25E84"/>
    <w:rsid w:val="00A26939"/>
    <w:rsid w:val="00A26969"/>
    <w:rsid w:val="00A269B6"/>
    <w:rsid w:val="00A304CE"/>
    <w:rsid w:val="00A30F3B"/>
    <w:rsid w:val="00A32514"/>
    <w:rsid w:val="00A3254C"/>
    <w:rsid w:val="00A32649"/>
    <w:rsid w:val="00A32DBC"/>
    <w:rsid w:val="00A3387B"/>
    <w:rsid w:val="00A33D2E"/>
    <w:rsid w:val="00A341F6"/>
    <w:rsid w:val="00A3447D"/>
    <w:rsid w:val="00A34945"/>
    <w:rsid w:val="00A3525B"/>
    <w:rsid w:val="00A37720"/>
    <w:rsid w:val="00A37D2C"/>
    <w:rsid w:val="00A37D9F"/>
    <w:rsid w:val="00A41A1B"/>
    <w:rsid w:val="00A41D75"/>
    <w:rsid w:val="00A4202B"/>
    <w:rsid w:val="00A42254"/>
    <w:rsid w:val="00A43341"/>
    <w:rsid w:val="00A43CC2"/>
    <w:rsid w:val="00A43FB7"/>
    <w:rsid w:val="00A4497F"/>
    <w:rsid w:val="00A44B1E"/>
    <w:rsid w:val="00A44F37"/>
    <w:rsid w:val="00A451AA"/>
    <w:rsid w:val="00A4614D"/>
    <w:rsid w:val="00A46440"/>
    <w:rsid w:val="00A46A5C"/>
    <w:rsid w:val="00A46ED2"/>
    <w:rsid w:val="00A473A0"/>
    <w:rsid w:val="00A5146A"/>
    <w:rsid w:val="00A515CC"/>
    <w:rsid w:val="00A54239"/>
    <w:rsid w:val="00A54469"/>
    <w:rsid w:val="00A54865"/>
    <w:rsid w:val="00A5691A"/>
    <w:rsid w:val="00A60482"/>
    <w:rsid w:val="00A612A2"/>
    <w:rsid w:val="00A61691"/>
    <w:rsid w:val="00A61BFC"/>
    <w:rsid w:val="00A621CC"/>
    <w:rsid w:val="00A629FA"/>
    <w:rsid w:val="00A633BB"/>
    <w:rsid w:val="00A6363A"/>
    <w:rsid w:val="00A63B7A"/>
    <w:rsid w:val="00A63CE7"/>
    <w:rsid w:val="00A63DFE"/>
    <w:rsid w:val="00A6425C"/>
    <w:rsid w:val="00A6576C"/>
    <w:rsid w:val="00A658D5"/>
    <w:rsid w:val="00A65C19"/>
    <w:rsid w:val="00A65E86"/>
    <w:rsid w:val="00A661AE"/>
    <w:rsid w:val="00A66A3D"/>
    <w:rsid w:val="00A703CE"/>
    <w:rsid w:val="00A705F6"/>
    <w:rsid w:val="00A7167A"/>
    <w:rsid w:val="00A73BFD"/>
    <w:rsid w:val="00A74FF6"/>
    <w:rsid w:val="00A77287"/>
    <w:rsid w:val="00A77DCC"/>
    <w:rsid w:val="00A77E7C"/>
    <w:rsid w:val="00A815A4"/>
    <w:rsid w:val="00A82B2B"/>
    <w:rsid w:val="00A83727"/>
    <w:rsid w:val="00A8389D"/>
    <w:rsid w:val="00A8570E"/>
    <w:rsid w:val="00A8624B"/>
    <w:rsid w:val="00A862F3"/>
    <w:rsid w:val="00A863F6"/>
    <w:rsid w:val="00A86F42"/>
    <w:rsid w:val="00A90FA4"/>
    <w:rsid w:val="00A917D7"/>
    <w:rsid w:val="00A92D28"/>
    <w:rsid w:val="00A936F2"/>
    <w:rsid w:val="00A9395C"/>
    <w:rsid w:val="00A93F6F"/>
    <w:rsid w:val="00A946A9"/>
    <w:rsid w:val="00A952CA"/>
    <w:rsid w:val="00A9532A"/>
    <w:rsid w:val="00A95C6A"/>
    <w:rsid w:val="00A96191"/>
    <w:rsid w:val="00A96892"/>
    <w:rsid w:val="00A96DB8"/>
    <w:rsid w:val="00A9796A"/>
    <w:rsid w:val="00AA04FA"/>
    <w:rsid w:val="00AA07D6"/>
    <w:rsid w:val="00AA0FAF"/>
    <w:rsid w:val="00AA128A"/>
    <w:rsid w:val="00AA1B14"/>
    <w:rsid w:val="00AA1D82"/>
    <w:rsid w:val="00AA2285"/>
    <w:rsid w:val="00AA2760"/>
    <w:rsid w:val="00AA32E1"/>
    <w:rsid w:val="00AA4338"/>
    <w:rsid w:val="00AA4B17"/>
    <w:rsid w:val="00AA4D69"/>
    <w:rsid w:val="00AA55F5"/>
    <w:rsid w:val="00AA6099"/>
    <w:rsid w:val="00AA7E47"/>
    <w:rsid w:val="00AB06CB"/>
    <w:rsid w:val="00AB0CB0"/>
    <w:rsid w:val="00AB10C5"/>
    <w:rsid w:val="00AB194C"/>
    <w:rsid w:val="00AB1A7D"/>
    <w:rsid w:val="00AB1B94"/>
    <w:rsid w:val="00AB2477"/>
    <w:rsid w:val="00AB39DB"/>
    <w:rsid w:val="00AB3DBE"/>
    <w:rsid w:val="00AB4487"/>
    <w:rsid w:val="00AB48A3"/>
    <w:rsid w:val="00AB697D"/>
    <w:rsid w:val="00AB6BF2"/>
    <w:rsid w:val="00AB6DC8"/>
    <w:rsid w:val="00AB6ECF"/>
    <w:rsid w:val="00AB7F81"/>
    <w:rsid w:val="00AC13F8"/>
    <w:rsid w:val="00AC1638"/>
    <w:rsid w:val="00AC2053"/>
    <w:rsid w:val="00AC3B3D"/>
    <w:rsid w:val="00AC3DC7"/>
    <w:rsid w:val="00AC3F67"/>
    <w:rsid w:val="00AC4042"/>
    <w:rsid w:val="00AC477C"/>
    <w:rsid w:val="00AC4A16"/>
    <w:rsid w:val="00AC4AE6"/>
    <w:rsid w:val="00AC4BE1"/>
    <w:rsid w:val="00AC546F"/>
    <w:rsid w:val="00AC6FD4"/>
    <w:rsid w:val="00AC7C21"/>
    <w:rsid w:val="00AD021A"/>
    <w:rsid w:val="00AD03ED"/>
    <w:rsid w:val="00AD08A3"/>
    <w:rsid w:val="00AD0CF6"/>
    <w:rsid w:val="00AD0EA9"/>
    <w:rsid w:val="00AD1B70"/>
    <w:rsid w:val="00AD2614"/>
    <w:rsid w:val="00AD2928"/>
    <w:rsid w:val="00AD31B3"/>
    <w:rsid w:val="00AD3ADE"/>
    <w:rsid w:val="00AD3CE6"/>
    <w:rsid w:val="00AD3CEE"/>
    <w:rsid w:val="00AD3D4F"/>
    <w:rsid w:val="00AD4F99"/>
    <w:rsid w:val="00AD6D9D"/>
    <w:rsid w:val="00AD7709"/>
    <w:rsid w:val="00AD79A4"/>
    <w:rsid w:val="00AD7E3F"/>
    <w:rsid w:val="00AE0098"/>
    <w:rsid w:val="00AE03AC"/>
    <w:rsid w:val="00AE06C9"/>
    <w:rsid w:val="00AE06CD"/>
    <w:rsid w:val="00AE0DCA"/>
    <w:rsid w:val="00AE14A6"/>
    <w:rsid w:val="00AE1B95"/>
    <w:rsid w:val="00AE2618"/>
    <w:rsid w:val="00AE2BDB"/>
    <w:rsid w:val="00AE457B"/>
    <w:rsid w:val="00AE5F08"/>
    <w:rsid w:val="00AE6B83"/>
    <w:rsid w:val="00AE6C1C"/>
    <w:rsid w:val="00AE77DA"/>
    <w:rsid w:val="00AF1067"/>
    <w:rsid w:val="00AF162F"/>
    <w:rsid w:val="00AF18E8"/>
    <w:rsid w:val="00AF3973"/>
    <w:rsid w:val="00AF4DA4"/>
    <w:rsid w:val="00AF65B2"/>
    <w:rsid w:val="00AF698B"/>
    <w:rsid w:val="00AF7654"/>
    <w:rsid w:val="00AF7A25"/>
    <w:rsid w:val="00AF7EFF"/>
    <w:rsid w:val="00AF7F2A"/>
    <w:rsid w:val="00B00659"/>
    <w:rsid w:val="00B02156"/>
    <w:rsid w:val="00B02167"/>
    <w:rsid w:val="00B030A5"/>
    <w:rsid w:val="00B03574"/>
    <w:rsid w:val="00B03AC2"/>
    <w:rsid w:val="00B058B9"/>
    <w:rsid w:val="00B058C8"/>
    <w:rsid w:val="00B064B4"/>
    <w:rsid w:val="00B064BB"/>
    <w:rsid w:val="00B06B77"/>
    <w:rsid w:val="00B0741F"/>
    <w:rsid w:val="00B07DF7"/>
    <w:rsid w:val="00B101DF"/>
    <w:rsid w:val="00B11929"/>
    <w:rsid w:val="00B124D5"/>
    <w:rsid w:val="00B1499F"/>
    <w:rsid w:val="00B154AE"/>
    <w:rsid w:val="00B16016"/>
    <w:rsid w:val="00B16D56"/>
    <w:rsid w:val="00B2050D"/>
    <w:rsid w:val="00B220C1"/>
    <w:rsid w:val="00B22C86"/>
    <w:rsid w:val="00B22ED3"/>
    <w:rsid w:val="00B24591"/>
    <w:rsid w:val="00B25019"/>
    <w:rsid w:val="00B25344"/>
    <w:rsid w:val="00B255AB"/>
    <w:rsid w:val="00B255DC"/>
    <w:rsid w:val="00B25852"/>
    <w:rsid w:val="00B26037"/>
    <w:rsid w:val="00B30E53"/>
    <w:rsid w:val="00B31079"/>
    <w:rsid w:val="00B31452"/>
    <w:rsid w:val="00B316D7"/>
    <w:rsid w:val="00B31737"/>
    <w:rsid w:val="00B31FC6"/>
    <w:rsid w:val="00B3297F"/>
    <w:rsid w:val="00B32B27"/>
    <w:rsid w:val="00B32B84"/>
    <w:rsid w:val="00B32C64"/>
    <w:rsid w:val="00B363D0"/>
    <w:rsid w:val="00B36430"/>
    <w:rsid w:val="00B36590"/>
    <w:rsid w:val="00B37598"/>
    <w:rsid w:val="00B37BBB"/>
    <w:rsid w:val="00B40C1B"/>
    <w:rsid w:val="00B40EE2"/>
    <w:rsid w:val="00B41176"/>
    <w:rsid w:val="00B41328"/>
    <w:rsid w:val="00B41653"/>
    <w:rsid w:val="00B41730"/>
    <w:rsid w:val="00B41C0B"/>
    <w:rsid w:val="00B41E84"/>
    <w:rsid w:val="00B442DE"/>
    <w:rsid w:val="00B44D5C"/>
    <w:rsid w:val="00B4651C"/>
    <w:rsid w:val="00B46A54"/>
    <w:rsid w:val="00B46EC4"/>
    <w:rsid w:val="00B4724F"/>
    <w:rsid w:val="00B47D78"/>
    <w:rsid w:val="00B5004E"/>
    <w:rsid w:val="00B5054E"/>
    <w:rsid w:val="00B5153C"/>
    <w:rsid w:val="00B51D96"/>
    <w:rsid w:val="00B5201E"/>
    <w:rsid w:val="00B52168"/>
    <w:rsid w:val="00B52C11"/>
    <w:rsid w:val="00B5349E"/>
    <w:rsid w:val="00B55F6D"/>
    <w:rsid w:val="00B571BB"/>
    <w:rsid w:val="00B6086D"/>
    <w:rsid w:val="00B61C36"/>
    <w:rsid w:val="00B6333B"/>
    <w:rsid w:val="00B64984"/>
    <w:rsid w:val="00B65EA2"/>
    <w:rsid w:val="00B66079"/>
    <w:rsid w:val="00B66341"/>
    <w:rsid w:val="00B668C7"/>
    <w:rsid w:val="00B6739D"/>
    <w:rsid w:val="00B67A90"/>
    <w:rsid w:val="00B707B1"/>
    <w:rsid w:val="00B711DC"/>
    <w:rsid w:val="00B71C51"/>
    <w:rsid w:val="00B73D97"/>
    <w:rsid w:val="00B741D5"/>
    <w:rsid w:val="00B753D2"/>
    <w:rsid w:val="00B753D5"/>
    <w:rsid w:val="00B80361"/>
    <w:rsid w:val="00B818B2"/>
    <w:rsid w:val="00B81B5C"/>
    <w:rsid w:val="00B81C15"/>
    <w:rsid w:val="00B826FC"/>
    <w:rsid w:val="00B834F1"/>
    <w:rsid w:val="00B8395F"/>
    <w:rsid w:val="00B842AD"/>
    <w:rsid w:val="00B84DEE"/>
    <w:rsid w:val="00B85760"/>
    <w:rsid w:val="00B85EC7"/>
    <w:rsid w:val="00B86487"/>
    <w:rsid w:val="00B86CD7"/>
    <w:rsid w:val="00B87611"/>
    <w:rsid w:val="00B87F81"/>
    <w:rsid w:val="00B90378"/>
    <w:rsid w:val="00B908A5"/>
    <w:rsid w:val="00B90DA8"/>
    <w:rsid w:val="00B9116F"/>
    <w:rsid w:val="00B9221F"/>
    <w:rsid w:val="00B9252C"/>
    <w:rsid w:val="00B9253B"/>
    <w:rsid w:val="00B9253C"/>
    <w:rsid w:val="00B92A60"/>
    <w:rsid w:val="00B93432"/>
    <w:rsid w:val="00B93474"/>
    <w:rsid w:val="00B93BBC"/>
    <w:rsid w:val="00B93CC5"/>
    <w:rsid w:val="00B94236"/>
    <w:rsid w:val="00B954F6"/>
    <w:rsid w:val="00B95724"/>
    <w:rsid w:val="00B95982"/>
    <w:rsid w:val="00B976CC"/>
    <w:rsid w:val="00BA0A84"/>
    <w:rsid w:val="00BA1014"/>
    <w:rsid w:val="00BA1865"/>
    <w:rsid w:val="00BA227B"/>
    <w:rsid w:val="00BA2871"/>
    <w:rsid w:val="00BA29D4"/>
    <w:rsid w:val="00BA2DDB"/>
    <w:rsid w:val="00BA3AA9"/>
    <w:rsid w:val="00BA4624"/>
    <w:rsid w:val="00BA4C34"/>
    <w:rsid w:val="00BA4D8C"/>
    <w:rsid w:val="00BA4F36"/>
    <w:rsid w:val="00BA5F04"/>
    <w:rsid w:val="00BA6F47"/>
    <w:rsid w:val="00BB1517"/>
    <w:rsid w:val="00BB1740"/>
    <w:rsid w:val="00BB2189"/>
    <w:rsid w:val="00BB2662"/>
    <w:rsid w:val="00BB390A"/>
    <w:rsid w:val="00BB443C"/>
    <w:rsid w:val="00BB49EB"/>
    <w:rsid w:val="00BB4DD1"/>
    <w:rsid w:val="00BB571B"/>
    <w:rsid w:val="00BB5F4C"/>
    <w:rsid w:val="00BB665F"/>
    <w:rsid w:val="00BB6B37"/>
    <w:rsid w:val="00BB6BBD"/>
    <w:rsid w:val="00BB7214"/>
    <w:rsid w:val="00BC0398"/>
    <w:rsid w:val="00BC0ECF"/>
    <w:rsid w:val="00BC1480"/>
    <w:rsid w:val="00BC1A50"/>
    <w:rsid w:val="00BC1B9E"/>
    <w:rsid w:val="00BC3A50"/>
    <w:rsid w:val="00BC3D2A"/>
    <w:rsid w:val="00BC4191"/>
    <w:rsid w:val="00BC4EEF"/>
    <w:rsid w:val="00BC4F0E"/>
    <w:rsid w:val="00BC5262"/>
    <w:rsid w:val="00BC52E5"/>
    <w:rsid w:val="00BC6D23"/>
    <w:rsid w:val="00BC6D73"/>
    <w:rsid w:val="00BD0214"/>
    <w:rsid w:val="00BD09A7"/>
    <w:rsid w:val="00BD0EA8"/>
    <w:rsid w:val="00BD1A41"/>
    <w:rsid w:val="00BD4384"/>
    <w:rsid w:val="00BD4637"/>
    <w:rsid w:val="00BD5311"/>
    <w:rsid w:val="00BD5DC9"/>
    <w:rsid w:val="00BD5F3C"/>
    <w:rsid w:val="00BD6E61"/>
    <w:rsid w:val="00BD7F4F"/>
    <w:rsid w:val="00BE005D"/>
    <w:rsid w:val="00BE1230"/>
    <w:rsid w:val="00BE1535"/>
    <w:rsid w:val="00BE1ADD"/>
    <w:rsid w:val="00BE242B"/>
    <w:rsid w:val="00BE32D3"/>
    <w:rsid w:val="00BE35A6"/>
    <w:rsid w:val="00BE3730"/>
    <w:rsid w:val="00BE39BB"/>
    <w:rsid w:val="00BE4173"/>
    <w:rsid w:val="00BE4389"/>
    <w:rsid w:val="00BE451B"/>
    <w:rsid w:val="00BE5180"/>
    <w:rsid w:val="00BE5E02"/>
    <w:rsid w:val="00BE5EC8"/>
    <w:rsid w:val="00BE6400"/>
    <w:rsid w:val="00BE66E7"/>
    <w:rsid w:val="00BE7598"/>
    <w:rsid w:val="00BF135D"/>
    <w:rsid w:val="00BF241C"/>
    <w:rsid w:val="00BF3653"/>
    <w:rsid w:val="00BF39A1"/>
    <w:rsid w:val="00BF4102"/>
    <w:rsid w:val="00BF476C"/>
    <w:rsid w:val="00BF5742"/>
    <w:rsid w:val="00BF57ED"/>
    <w:rsid w:val="00BF5AFB"/>
    <w:rsid w:val="00BF6EED"/>
    <w:rsid w:val="00BF7F6A"/>
    <w:rsid w:val="00C002DA"/>
    <w:rsid w:val="00C0035A"/>
    <w:rsid w:val="00C0093A"/>
    <w:rsid w:val="00C011CF"/>
    <w:rsid w:val="00C012F0"/>
    <w:rsid w:val="00C01688"/>
    <w:rsid w:val="00C01BCD"/>
    <w:rsid w:val="00C05220"/>
    <w:rsid w:val="00C05C12"/>
    <w:rsid w:val="00C0775A"/>
    <w:rsid w:val="00C1010B"/>
    <w:rsid w:val="00C10BFE"/>
    <w:rsid w:val="00C110B2"/>
    <w:rsid w:val="00C12096"/>
    <w:rsid w:val="00C13A10"/>
    <w:rsid w:val="00C13AA1"/>
    <w:rsid w:val="00C143B5"/>
    <w:rsid w:val="00C1454A"/>
    <w:rsid w:val="00C14F9F"/>
    <w:rsid w:val="00C16097"/>
    <w:rsid w:val="00C16168"/>
    <w:rsid w:val="00C16D47"/>
    <w:rsid w:val="00C1720E"/>
    <w:rsid w:val="00C209BF"/>
    <w:rsid w:val="00C2161D"/>
    <w:rsid w:val="00C21743"/>
    <w:rsid w:val="00C22698"/>
    <w:rsid w:val="00C22AC0"/>
    <w:rsid w:val="00C23749"/>
    <w:rsid w:val="00C23AED"/>
    <w:rsid w:val="00C23C92"/>
    <w:rsid w:val="00C248AF"/>
    <w:rsid w:val="00C24BDF"/>
    <w:rsid w:val="00C2517A"/>
    <w:rsid w:val="00C2524E"/>
    <w:rsid w:val="00C2682D"/>
    <w:rsid w:val="00C2719A"/>
    <w:rsid w:val="00C27745"/>
    <w:rsid w:val="00C30031"/>
    <w:rsid w:val="00C31D73"/>
    <w:rsid w:val="00C32025"/>
    <w:rsid w:val="00C320CD"/>
    <w:rsid w:val="00C347E8"/>
    <w:rsid w:val="00C34E73"/>
    <w:rsid w:val="00C352BD"/>
    <w:rsid w:val="00C36863"/>
    <w:rsid w:val="00C36F98"/>
    <w:rsid w:val="00C4057E"/>
    <w:rsid w:val="00C419B0"/>
    <w:rsid w:val="00C41C66"/>
    <w:rsid w:val="00C41F13"/>
    <w:rsid w:val="00C42089"/>
    <w:rsid w:val="00C423DA"/>
    <w:rsid w:val="00C438C1"/>
    <w:rsid w:val="00C44C62"/>
    <w:rsid w:val="00C451D2"/>
    <w:rsid w:val="00C46544"/>
    <w:rsid w:val="00C46BBB"/>
    <w:rsid w:val="00C502F8"/>
    <w:rsid w:val="00C503AC"/>
    <w:rsid w:val="00C5061A"/>
    <w:rsid w:val="00C50978"/>
    <w:rsid w:val="00C50C7B"/>
    <w:rsid w:val="00C50EC5"/>
    <w:rsid w:val="00C512C4"/>
    <w:rsid w:val="00C529E1"/>
    <w:rsid w:val="00C52AB0"/>
    <w:rsid w:val="00C52BDF"/>
    <w:rsid w:val="00C55EEA"/>
    <w:rsid w:val="00C56ADF"/>
    <w:rsid w:val="00C56B5D"/>
    <w:rsid w:val="00C57E3E"/>
    <w:rsid w:val="00C618DA"/>
    <w:rsid w:val="00C6198D"/>
    <w:rsid w:val="00C61C48"/>
    <w:rsid w:val="00C621F1"/>
    <w:rsid w:val="00C626F5"/>
    <w:rsid w:val="00C62797"/>
    <w:rsid w:val="00C630CE"/>
    <w:rsid w:val="00C63605"/>
    <w:rsid w:val="00C65A7B"/>
    <w:rsid w:val="00C6775C"/>
    <w:rsid w:val="00C6775E"/>
    <w:rsid w:val="00C679DB"/>
    <w:rsid w:val="00C712C2"/>
    <w:rsid w:val="00C718CE"/>
    <w:rsid w:val="00C721D2"/>
    <w:rsid w:val="00C727F6"/>
    <w:rsid w:val="00C732FC"/>
    <w:rsid w:val="00C73681"/>
    <w:rsid w:val="00C7473D"/>
    <w:rsid w:val="00C74B96"/>
    <w:rsid w:val="00C753D9"/>
    <w:rsid w:val="00C75523"/>
    <w:rsid w:val="00C7598E"/>
    <w:rsid w:val="00C76BDB"/>
    <w:rsid w:val="00C771DE"/>
    <w:rsid w:val="00C77C1E"/>
    <w:rsid w:val="00C80148"/>
    <w:rsid w:val="00C8210D"/>
    <w:rsid w:val="00C82C5A"/>
    <w:rsid w:val="00C831CA"/>
    <w:rsid w:val="00C83315"/>
    <w:rsid w:val="00C837D5"/>
    <w:rsid w:val="00C84CE9"/>
    <w:rsid w:val="00C85486"/>
    <w:rsid w:val="00C86C9F"/>
    <w:rsid w:val="00C86CF4"/>
    <w:rsid w:val="00C86ED5"/>
    <w:rsid w:val="00C91D2B"/>
    <w:rsid w:val="00C92A66"/>
    <w:rsid w:val="00C9401A"/>
    <w:rsid w:val="00C95D4A"/>
    <w:rsid w:val="00C965B2"/>
    <w:rsid w:val="00C97090"/>
    <w:rsid w:val="00C973F4"/>
    <w:rsid w:val="00C97AC7"/>
    <w:rsid w:val="00C97E57"/>
    <w:rsid w:val="00CA1481"/>
    <w:rsid w:val="00CA303D"/>
    <w:rsid w:val="00CA35B7"/>
    <w:rsid w:val="00CA3BC3"/>
    <w:rsid w:val="00CA44B7"/>
    <w:rsid w:val="00CA46C0"/>
    <w:rsid w:val="00CA4D53"/>
    <w:rsid w:val="00CA4DC3"/>
    <w:rsid w:val="00CA6226"/>
    <w:rsid w:val="00CA6B5D"/>
    <w:rsid w:val="00CA6E05"/>
    <w:rsid w:val="00CA6F1D"/>
    <w:rsid w:val="00CB0808"/>
    <w:rsid w:val="00CB1298"/>
    <w:rsid w:val="00CB12DE"/>
    <w:rsid w:val="00CB130B"/>
    <w:rsid w:val="00CB323A"/>
    <w:rsid w:val="00CB3993"/>
    <w:rsid w:val="00CB3BD4"/>
    <w:rsid w:val="00CB43BB"/>
    <w:rsid w:val="00CB7CC5"/>
    <w:rsid w:val="00CB7D28"/>
    <w:rsid w:val="00CC071D"/>
    <w:rsid w:val="00CC1FE4"/>
    <w:rsid w:val="00CC27BD"/>
    <w:rsid w:val="00CC3006"/>
    <w:rsid w:val="00CC6315"/>
    <w:rsid w:val="00CC7DF7"/>
    <w:rsid w:val="00CD02E5"/>
    <w:rsid w:val="00CD1C04"/>
    <w:rsid w:val="00CD1DAB"/>
    <w:rsid w:val="00CD25B4"/>
    <w:rsid w:val="00CD263C"/>
    <w:rsid w:val="00CD2730"/>
    <w:rsid w:val="00CD3577"/>
    <w:rsid w:val="00CD37A0"/>
    <w:rsid w:val="00CD3A7B"/>
    <w:rsid w:val="00CD3DD9"/>
    <w:rsid w:val="00CD5671"/>
    <w:rsid w:val="00CD617C"/>
    <w:rsid w:val="00CD755A"/>
    <w:rsid w:val="00CD7845"/>
    <w:rsid w:val="00CD7B48"/>
    <w:rsid w:val="00CE0AC1"/>
    <w:rsid w:val="00CE0FB2"/>
    <w:rsid w:val="00CE17C0"/>
    <w:rsid w:val="00CE1CA9"/>
    <w:rsid w:val="00CE1D43"/>
    <w:rsid w:val="00CE2225"/>
    <w:rsid w:val="00CE413A"/>
    <w:rsid w:val="00CE4D47"/>
    <w:rsid w:val="00CE5C92"/>
    <w:rsid w:val="00CE5E22"/>
    <w:rsid w:val="00CE5E44"/>
    <w:rsid w:val="00CE6EDF"/>
    <w:rsid w:val="00CE701A"/>
    <w:rsid w:val="00CE7503"/>
    <w:rsid w:val="00CE78FC"/>
    <w:rsid w:val="00CF13D1"/>
    <w:rsid w:val="00CF244C"/>
    <w:rsid w:val="00CF2D65"/>
    <w:rsid w:val="00CF3170"/>
    <w:rsid w:val="00CF3212"/>
    <w:rsid w:val="00CF3C8B"/>
    <w:rsid w:val="00CF450C"/>
    <w:rsid w:val="00CF451A"/>
    <w:rsid w:val="00CF48D2"/>
    <w:rsid w:val="00CF4DF5"/>
    <w:rsid w:val="00CF63E0"/>
    <w:rsid w:val="00CF6BC3"/>
    <w:rsid w:val="00CF7940"/>
    <w:rsid w:val="00D00BD9"/>
    <w:rsid w:val="00D010F9"/>
    <w:rsid w:val="00D036F6"/>
    <w:rsid w:val="00D03EDE"/>
    <w:rsid w:val="00D04B5E"/>
    <w:rsid w:val="00D04C20"/>
    <w:rsid w:val="00D05D2C"/>
    <w:rsid w:val="00D06166"/>
    <w:rsid w:val="00D07CB3"/>
    <w:rsid w:val="00D10FAC"/>
    <w:rsid w:val="00D12E74"/>
    <w:rsid w:val="00D14C7A"/>
    <w:rsid w:val="00D15292"/>
    <w:rsid w:val="00D157D7"/>
    <w:rsid w:val="00D1595F"/>
    <w:rsid w:val="00D16278"/>
    <w:rsid w:val="00D16DD2"/>
    <w:rsid w:val="00D17996"/>
    <w:rsid w:val="00D17B62"/>
    <w:rsid w:val="00D2204F"/>
    <w:rsid w:val="00D2279D"/>
    <w:rsid w:val="00D228B9"/>
    <w:rsid w:val="00D228E8"/>
    <w:rsid w:val="00D238BB"/>
    <w:rsid w:val="00D245B6"/>
    <w:rsid w:val="00D25328"/>
    <w:rsid w:val="00D25EE9"/>
    <w:rsid w:val="00D2683F"/>
    <w:rsid w:val="00D2742C"/>
    <w:rsid w:val="00D30213"/>
    <w:rsid w:val="00D3057C"/>
    <w:rsid w:val="00D30960"/>
    <w:rsid w:val="00D31169"/>
    <w:rsid w:val="00D314A7"/>
    <w:rsid w:val="00D31532"/>
    <w:rsid w:val="00D316A5"/>
    <w:rsid w:val="00D31EAD"/>
    <w:rsid w:val="00D332DB"/>
    <w:rsid w:val="00D339AC"/>
    <w:rsid w:val="00D34FEC"/>
    <w:rsid w:val="00D350C2"/>
    <w:rsid w:val="00D37329"/>
    <w:rsid w:val="00D373D9"/>
    <w:rsid w:val="00D37CDB"/>
    <w:rsid w:val="00D37E37"/>
    <w:rsid w:val="00D41BE9"/>
    <w:rsid w:val="00D4269C"/>
    <w:rsid w:val="00D427F6"/>
    <w:rsid w:val="00D42AC3"/>
    <w:rsid w:val="00D42F62"/>
    <w:rsid w:val="00D43194"/>
    <w:rsid w:val="00D44637"/>
    <w:rsid w:val="00D46DF4"/>
    <w:rsid w:val="00D46FC5"/>
    <w:rsid w:val="00D47625"/>
    <w:rsid w:val="00D50145"/>
    <w:rsid w:val="00D5048B"/>
    <w:rsid w:val="00D5257E"/>
    <w:rsid w:val="00D5270B"/>
    <w:rsid w:val="00D54229"/>
    <w:rsid w:val="00D542EF"/>
    <w:rsid w:val="00D5541E"/>
    <w:rsid w:val="00D55481"/>
    <w:rsid w:val="00D55AF4"/>
    <w:rsid w:val="00D56768"/>
    <w:rsid w:val="00D56FB6"/>
    <w:rsid w:val="00D57C26"/>
    <w:rsid w:val="00D57F12"/>
    <w:rsid w:val="00D60C4D"/>
    <w:rsid w:val="00D60E39"/>
    <w:rsid w:val="00D61549"/>
    <w:rsid w:val="00D62FFF"/>
    <w:rsid w:val="00D6314A"/>
    <w:rsid w:val="00D6338F"/>
    <w:rsid w:val="00D63D91"/>
    <w:rsid w:val="00D645FB"/>
    <w:rsid w:val="00D65268"/>
    <w:rsid w:val="00D656B5"/>
    <w:rsid w:val="00D65F99"/>
    <w:rsid w:val="00D670C1"/>
    <w:rsid w:val="00D6739F"/>
    <w:rsid w:val="00D67542"/>
    <w:rsid w:val="00D6773C"/>
    <w:rsid w:val="00D709AF"/>
    <w:rsid w:val="00D7119F"/>
    <w:rsid w:val="00D72753"/>
    <w:rsid w:val="00D72C57"/>
    <w:rsid w:val="00D72EAF"/>
    <w:rsid w:val="00D73CC3"/>
    <w:rsid w:val="00D75304"/>
    <w:rsid w:val="00D7536D"/>
    <w:rsid w:val="00D75CE8"/>
    <w:rsid w:val="00D75E69"/>
    <w:rsid w:val="00D75F95"/>
    <w:rsid w:val="00D7607F"/>
    <w:rsid w:val="00D77316"/>
    <w:rsid w:val="00D776E0"/>
    <w:rsid w:val="00D77F1A"/>
    <w:rsid w:val="00D80A32"/>
    <w:rsid w:val="00D80BF4"/>
    <w:rsid w:val="00D817D9"/>
    <w:rsid w:val="00D827E8"/>
    <w:rsid w:val="00D83EA4"/>
    <w:rsid w:val="00D84E11"/>
    <w:rsid w:val="00D85238"/>
    <w:rsid w:val="00D8572A"/>
    <w:rsid w:val="00D87517"/>
    <w:rsid w:val="00D9132D"/>
    <w:rsid w:val="00D91C6B"/>
    <w:rsid w:val="00D920B8"/>
    <w:rsid w:val="00D922FA"/>
    <w:rsid w:val="00D92844"/>
    <w:rsid w:val="00D92C0F"/>
    <w:rsid w:val="00D92D1F"/>
    <w:rsid w:val="00D93994"/>
    <w:rsid w:val="00D93E62"/>
    <w:rsid w:val="00D93F76"/>
    <w:rsid w:val="00D947E2"/>
    <w:rsid w:val="00D958E7"/>
    <w:rsid w:val="00D95E75"/>
    <w:rsid w:val="00D960CA"/>
    <w:rsid w:val="00D97392"/>
    <w:rsid w:val="00D975C4"/>
    <w:rsid w:val="00D97600"/>
    <w:rsid w:val="00D97879"/>
    <w:rsid w:val="00D97A9D"/>
    <w:rsid w:val="00D97B59"/>
    <w:rsid w:val="00DA0230"/>
    <w:rsid w:val="00DA18B8"/>
    <w:rsid w:val="00DA1B8A"/>
    <w:rsid w:val="00DA22A1"/>
    <w:rsid w:val="00DA2988"/>
    <w:rsid w:val="00DA3052"/>
    <w:rsid w:val="00DA3130"/>
    <w:rsid w:val="00DA364F"/>
    <w:rsid w:val="00DA614F"/>
    <w:rsid w:val="00DA69FF"/>
    <w:rsid w:val="00DB0617"/>
    <w:rsid w:val="00DB0D15"/>
    <w:rsid w:val="00DB19EC"/>
    <w:rsid w:val="00DB21B2"/>
    <w:rsid w:val="00DB2A40"/>
    <w:rsid w:val="00DB3A3D"/>
    <w:rsid w:val="00DB41D5"/>
    <w:rsid w:val="00DB49AA"/>
    <w:rsid w:val="00DB53F4"/>
    <w:rsid w:val="00DB57EA"/>
    <w:rsid w:val="00DB5AB5"/>
    <w:rsid w:val="00DB6C85"/>
    <w:rsid w:val="00DB6EAA"/>
    <w:rsid w:val="00DB79D4"/>
    <w:rsid w:val="00DC04DA"/>
    <w:rsid w:val="00DC0CA5"/>
    <w:rsid w:val="00DC0E5B"/>
    <w:rsid w:val="00DC1E39"/>
    <w:rsid w:val="00DC2A22"/>
    <w:rsid w:val="00DC2C2E"/>
    <w:rsid w:val="00DC3424"/>
    <w:rsid w:val="00DC443C"/>
    <w:rsid w:val="00DC56AC"/>
    <w:rsid w:val="00DC72D0"/>
    <w:rsid w:val="00DC79AF"/>
    <w:rsid w:val="00DC7E55"/>
    <w:rsid w:val="00DD0148"/>
    <w:rsid w:val="00DD574E"/>
    <w:rsid w:val="00DD58F9"/>
    <w:rsid w:val="00DD6A15"/>
    <w:rsid w:val="00DD6A6F"/>
    <w:rsid w:val="00DD6B50"/>
    <w:rsid w:val="00DE0120"/>
    <w:rsid w:val="00DE1C7D"/>
    <w:rsid w:val="00DE2C69"/>
    <w:rsid w:val="00DE3B48"/>
    <w:rsid w:val="00DE4AD7"/>
    <w:rsid w:val="00DE4F9F"/>
    <w:rsid w:val="00DE5596"/>
    <w:rsid w:val="00DE5D91"/>
    <w:rsid w:val="00DE5F2F"/>
    <w:rsid w:val="00DE61B4"/>
    <w:rsid w:val="00DE6944"/>
    <w:rsid w:val="00DE7831"/>
    <w:rsid w:val="00DF0404"/>
    <w:rsid w:val="00DF0E2E"/>
    <w:rsid w:val="00DF2C06"/>
    <w:rsid w:val="00DF3243"/>
    <w:rsid w:val="00DF4A11"/>
    <w:rsid w:val="00DF6192"/>
    <w:rsid w:val="00DF6E0B"/>
    <w:rsid w:val="00DF73F1"/>
    <w:rsid w:val="00E0081C"/>
    <w:rsid w:val="00E00BB4"/>
    <w:rsid w:val="00E01A0C"/>
    <w:rsid w:val="00E01F7C"/>
    <w:rsid w:val="00E02FDB"/>
    <w:rsid w:val="00E048D6"/>
    <w:rsid w:val="00E054D1"/>
    <w:rsid w:val="00E0570B"/>
    <w:rsid w:val="00E06A34"/>
    <w:rsid w:val="00E07DA7"/>
    <w:rsid w:val="00E1156B"/>
    <w:rsid w:val="00E1277D"/>
    <w:rsid w:val="00E12FF1"/>
    <w:rsid w:val="00E151F9"/>
    <w:rsid w:val="00E156BA"/>
    <w:rsid w:val="00E16C36"/>
    <w:rsid w:val="00E16EF6"/>
    <w:rsid w:val="00E17423"/>
    <w:rsid w:val="00E17F99"/>
    <w:rsid w:val="00E208E4"/>
    <w:rsid w:val="00E20E7A"/>
    <w:rsid w:val="00E20F7D"/>
    <w:rsid w:val="00E21790"/>
    <w:rsid w:val="00E220B3"/>
    <w:rsid w:val="00E230E0"/>
    <w:rsid w:val="00E23812"/>
    <w:rsid w:val="00E26411"/>
    <w:rsid w:val="00E26C10"/>
    <w:rsid w:val="00E27230"/>
    <w:rsid w:val="00E27698"/>
    <w:rsid w:val="00E27B87"/>
    <w:rsid w:val="00E27CB0"/>
    <w:rsid w:val="00E33219"/>
    <w:rsid w:val="00E33C75"/>
    <w:rsid w:val="00E37239"/>
    <w:rsid w:val="00E37646"/>
    <w:rsid w:val="00E37710"/>
    <w:rsid w:val="00E4035F"/>
    <w:rsid w:val="00E40812"/>
    <w:rsid w:val="00E40FD7"/>
    <w:rsid w:val="00E4181D"/>
    <w:rsid w:val="00E42760"/>
    <w:rsid w:val="00E42DC0"/>
    <w:rsid w:val="00E43547"/>
    <w:rsid w:val="00E45C61"/>
    <w:rsid w:val="00E4604C"/>
    <w:rsid w:val="00E461F6"/>
    <w:rsid w:val="00E46D5E"/>
    <w:rsid w:val="00E47896"/>
    <w:rsid w:val="00E50181"/>
    <w:rsid w:val="00E50480"/>
    <w:rsid w:val="00E504DB"/>
    <w:rsid w:val="00E54CE6"/>
    <w:rsid w:val="00E54DEB"/>
    <w:rsid w:val="00E55B9A"/>
    <w:rsid w:val="00E5624A"/>
    <w:rsid w:val="00E56F68"/>
    <w:rsid w:val="00E57477"/>
    <w:rsid w:val="00E57B53"/>
    <w:rsid w:val="00E609A0"/>
    <w:rsid w:val="00E60CE2"/>
    <w:rsid w:val="00E60E3F"/>
    <w:rsid w:val="00E61173"/>
    <w:rsid w:val="00E61730"/>
    <w:rsid w:val="00E6221B"/>
    <w:rsid w:val="00E622CD"/>
    <w:rsid w:val="00E634F9"/>
    <w:rsid w:val="00E6588A"/>
    <w:rsid w:val="00E6606D"/>
    <w:rsid w:val="00E67815"/>
    <w:rsid w:val="00E6788D"/>
    <w:rsid w:val="00E67D08"/>
    <w:rsid w:val="00E702C4"/>
    <w:rsid w:val="00E71AB3"/>
    <w:rsid w:val="00E7230A"/>
    <w:rsid w:val="00E72F19"/>
    <w:rsid w:val="00E73DA0"/>
    <w:rsid w:val="00E74661"/>
    <w:rsid w:val="00E74E0C"/>
    <w:rsid w:val="00E75E34"/>
    <w:rsid w:val="00E7645A"/>
    <w:rsid w:val="00E76770"/>
    <w:rsid w:val="00E7782F"/>
    <w:rsid w:val="00E80362"/>
    <w:rsid w:val="00E80431"/>
    <w:rsid w:val="00E808E2"/>
    <w:rsid w:val="00E81457"/>
    <w:rsid w:val="00E8163A"/>
    <w:rsid w:val="00E81D75"/>
    <w:rsid w:val="00E829A6"/>
    <w:rsid w:val="00E83AA1"/>
    <w:rsid w:val="00E84569"/>
    <w:rsid w:val="00E84725"/>
    <w:rsid w:val="00E84883"/>
    <w:rsid w:val="00E85A3E"/>
    <w:rsid w:val="00E85CF0"/>
    <w:rsid w:val="00E85F87"/>
    <w:rsid w:val="00E86478"/>
    <w:rsid w:val="00E8729E"/>
    <w:rsid w:val="00E8774B"/>
    <w:rsid w:val="00E91526"/>
    <w:rsid w:val="00E91B4E"/>
    <w:rsid w:val="00E92BA7"/>
    <w:rsid w:val="00E92BEC"/>
    <w:rsid w:val="00E93DD8"/>
    <w:rsid w:val="00E94097"/>
    <w:rsid w:val="00E953DF"/>
    <w:rsid w:val="00E973F0"/>
    <w:rsid w:val="00EA0291"/>
    <w:rsid w:val="00EA11EE"/>
    <w:rsid w:val="00EA1310"/>
    <w:rsid w:val="00EA15A6"/>
    <w:rsid w:val="00EA1AEF"/>
    <w:rsid w:val="00EA1BB7"/>
    <w:rsid w:val="00EA312C"/>
    <w:rsid w:val="00EA3139"/>
    <w:rsid w:val="00EA3814"/>
    <w:rsid w:val="00EA3C54"/>
    <w:rsid w:val="00EA4AF1"/>
    <w:rsid w:val="00EA4F76"/>
    <w:rsid w:val="00EA50A1"/>
    <w:rsid w:val="00EA56DA"/>
    <w:rsid w:val="00EA56F6"/>
    <w:rsid w:val="00EA6A2B"/>
    <w:rsid w:val="00EA77E8"/>
    <w:rsid w:val="00EB1350"/>
    <w:rsid w:val="00EB136F"/>
    <w:rsid w:val="00EB1F0F"/>
    <w:rsid w:val="00EB2A9C"/>
    <w:rsid w:val="00EB2CD7"/>
    <w:rsid w:val="00EB2DEF"/>
    <w:rsid w:val="00EB3627"/>
    <w:rsid w:val="00EB580F"/>
    <w:rsid w:val="00EB5815"/>
    <w:rsid w:val="00EB5B3F"/>
    <w:rsid w:val="00EB68AE"/>
    <w:rsid w:val="00EB6EAA"/>
    <w:rsid w:val="00EC179D"/>
    <w:rsid w:val="00EC1DE2"/>
    <w:rsid w:val="00EC1F6A"/>
    <w:rsid w:val="00EC4498"/>
    <w:rsid w:val="00EC4633"/>
    <w:rsid w:val="00EC5482"/>
    <w:rsid w:val="00EC5EAA"/>
    <w:rsid w:val="00EC72FB"/>
    <w:rsid w:val="00EC73BA"/>
    <w:rsid w:val="00ED1040"/>
    <w:rsid w:val="00ED157E"/>
    <w:rsid w:val="00ED17C0"/>
    <w:rsid w:val="00ED1D8D"/>
    <w:rsid w:val="00ED3912"/>
    <w:rsid w:val="00ED4312"/>
    <w:rsid w:val="00ED488C"/>
    <w:rsid w:val="00ED4BEF"/>
    <w:rsid w:val="00ED5755"/>
    <w:rsid w:val="00ED58A8"/>
    <w:rsid w:val="00ED6094"/>
    <w:rsid w:val="00ED69A1"/>
    <w:rsid w:val="00ED709D"/>
    <w:rsid w:val="00ED7510"/>
    <w:rsid w:val="00ED7DA7"/>
    <w:rsid w:val="00ED7F73"/>
    <w:rsid w:val="00EE0D8F"/>
    <w:rsid w:val="00EE17BC"/>
    <w:rsid w:val="00EE1AFE"/>
    <w:rsid w:val="00EE2349"/>
    <w:rsid w:val="00EE2472"/>
    <w:rsid w:val="00EE2E40"/>
    <w:rsid w:val="00EE36B7"/>
    <w:rsid w:val="00EE4E5A"/>
    <w:rsid w:val="00EE6AF9"/>
    <w:rsid w:val="00EE6E2F"/>
    <w:rsid w:val="00EF3C0F"/>
    <w:rsid w:val="00EF436E"/>
    <w:rsid w:val="00EF4B02"/>
    <w:rsid w:val="00EF4CED"/>
    <w:rsid w:val="00EF50DE"/>
    <w:rsid w:val="00EF5FD9"/>
    <w:rsid w:val="00EF6246"/>
    <w:rsid w:val="00EF7DCF"/>
    <w:rsid w:val="00F005CF"/>
    <w:rsid w:val="00F006C5"/>
    <w:rsid w:val="00F00C69"/>
    <w:rsid w:val="00F00C91"/>
    <w:rsid w:val="00F00DF7"/>
    <w:rsid w:val="00F01A67"/>
    <w:rsid w:val="00F01B0F"/>
    <w:rsid w:val="00F02BF1"/>
    <w:rsid w:val="00F0338F"/>
    <w:rsid w:val="00F0363C"/>
    <w:rsid w:val="00F03CB1"/>
    <w:rsid w:val="00F049E3"/>
    <w:rsid w:val="00F0680E"/>
    <w:rsid w:val="00F07081"/>
    <w:rsid w:val="00F07B77"/>
    <w:rsid w:val="00F106B7"/>
    <w:rsid w:val="00F120EB"/>
    <w:rsid w:val="00F1224D"/>
    <w:rsid w:val="00F12509"/>
    <w:rsid w:val="00F12DAB"/>
    <w:rsid w:val="00F13E7D"/>
    <w:rsid w:val="00F1423B"/>
    <w:rsid w:val="00F1451D"/>
    <w:rsid w:val="00F14F73"/>
    <w:rsid w:val="00F14FBA"/>
    <w:rsid w:val="00F1563B"/>
    <w:rsid w:val="00F165AE"/>
    <w:rsid w:val="00F1704A"/>
    <w:rsid w:val="00F17732"/>
    <w:rsid w:val="00F20162"/>
    <w:rsid w:val="00F20698"/>
    <w:rsid w:val="00F2169D"/>
    <w:rsid w:val="00F21DB9"/>
    <w:rsid w:val="00F22A0B"/>
    <w:rsid w:val="00F2326B"/>
    <w:rsid w:val="00F24D2A"/>
    <w:rsid w:val="00F24D60"/>
    <w:rsid w:val="00F254B3"/>
    <w:rsid w:val="00F262A7"/>
    <w:rsid w:val="00F2731E"/>
    <w:rsid w:val="00F2780A"/>
    <w:rsid w:val="00F27BDE"/>
    <w:rsid w:val="00F27F0B"/>
    <w:rsid w:val="00F27F30"/>
    <w:rsid w:val="00F30615"/>
    <w:rsid w:val="00F31487"/>
    <w:rsid w:val="00F31796"/>
    <w:rsid w:val="00F31A91"/>
    <w:rsid w:val="00F32843"/>
    <w:rsid w:val="00F32EF2"/>
    <w:rsid w:val="00F33082"/>
    <w:rsid w:val="00F33BC1"/>
    <w:rsid w:val="00F33C1C"/>
    <w:rsid w:val="00F35224"/>
    <w:rsid w:val="00F36370"/>
    <w:rsid w:val="00F402BE"/>
    <w:rsid w:val="00F40326"/>
    <w:rsid w:val="00F406A0"/>
    <w:rsid w:val="00F4081C"/>
    <w:rsid w:val="00F40839"/>
    <w:rsid w:val="00F41AE9"/>
    <w:rsid w:val="00F421B4"/>
    <w:rsid w:val="00F427C7"/>
    <w:rsid w:val="00F44067"/>
    <w:rsid w:val="00F460A7"/>
    <w:rsid w:val="00F479C9"/>
    <w:rsid w:val="00F50EFA"/>
    <w:rsid w:val="00F5103E"/>
    <w:rsid w:val="00F518DE"/>
    <w:rsid w:val="00F52058"/>
    <w:rsid w:val="00F52882"/>
    <w:rsid w:val="00F53382"/>
    <w:rsid w:val="00F54795"/>
    <w:rsid w:val="00F55188"/>
    <w:rsid w:val="00F5560C"/>
    <w:rsid w:val="00F55A42"/>
    <w:rsid w:val="00F55AF6"/>
    <w:rsid w:val="00F55F39"/>
    <w:rsid w:val="00F562DC"/>
    <w:rsid w:val="00F56662"/>
    <w:rsid w:val="00F60DA5"/>
    <w:rsid w:val="00F61BFA"/>
    <w:rsid w:val="00F61D06"/>
    <w:rsid w:val="00F62024"/>
    <w:rsid w:val="00F6228F"/>
    <w:rsid w:val="00F622EB"/>
    <w:rsid w:val="00F62E77"/>
    <w:rsid w:val="00F63539"/>
    <w:rsid w:val="00F6359E"/>
    <w:rsid w:val="00F63C10"/>
    <w:rsid w:val="00F641A8"/>
    <w:rsid w:val="00F6429D"/>
    <w:rsid w:val="00F64BD4"/>
    <w:rsid w:val="00F650C9"/>
    <w:rsid w:val="00F65BBB"/>
    <w:rsid w:val="00F661E8"/>
    <w:rsid w:val="00F67103"/>
    <w:rsid w:val="00F70A5C"/>
    <w:rsid w:val="00F711C1"/>
    <w:rsid w:val="00F71493"/>
    <w:rsid w:val="00F7175B"/>
    <w:rsid w:val="00F72107"/>
    <w:rsid w:val="00F7342D"/>
    <w:rsid w:val="00F73C1B"/>
    <w:rsid w:val="00F76C92"/>
    <w:rsid w:val="00F7743E"/>
    <w:rsid w:val="00F77E64"/>
    <w:rsid w:val="00F821DE"/>
    <w:rsid w:val="00F83D93"/>
    <w:rsid w:val="00F8526A"/>
    <w:rsid w:val="00F85798"/>
    <w:rsid w:val="00F85F01"/>
    <w:rsid w:val="00F86D8D"/>
    <w:rsid w:val="00F87282"/>
    <w:rsid w:val="00F87A48"/>
    <w:rsid w:val="00F9147F"/>
    <w:rsid w:val="00F923FE"/>
    <w:rsid w:val="00F92A66"/>
    <w:rsid w:val="00F9339B"/>
    <w:rsid w:val="00F94AE7"/>
    <w:rsid w:val="00F94F67"/>
    <w:rsid w:val="00F9505E"/>
    <w:rsid w:val="00F951F1"/>
    <w:rsid w:val="00F955F4"/>
    <w:rsid w:val="00F95647"/>
    <w:rsid w:val="00FA058C"/>
    <w:rsid w:val="00FA0699"/>
    <w:rsid w:val="00FA182C"/>
    <w:rsid w:val="00FA28C4"/>
    <w:rsid w:val="00FA3374"/>
    <w:rsid w:val="00FA45CB"/>
    <w:rsid w:val="00FA5F5B"/>
    <w:rsid w:val="00FA6198"/>
    <w:rsid w:val="00FA71A5"/>
    <w:rsid w:val="00FA7FB8"/>
    <w:rsid w:val="00FB0007"/>
    <w:rsid w:val="00FB083E"/>
    <w:rsid w:val="00FB0FF2"/>
    <w:rsid w:val="00FB12C7"/>
    <w:rsid w:val="00FB29A6"/>
    <w:rsid w:val="00FB3697"/>
    <w:rsid w:val="00FB401D"/>
    <w:rsid w:val="00FB4FA0"/>
    <w:rsid w:val="00FB647E"/>
    <w:rsid w:val="00FB6CED"/>
    <w:rsid w:val="00FB7DC9"/>
    <w:rsid w:val="00FC0208"/>
    <w:rsid w:val="00FC0984"/>
    <w:rsid w:val="00FC103A"/>
    <w:rsid w:val="00FC2BFD"/>
    <w:rsid w:val="00FC38CE"/>
    <w:rsid w:val="00FC4918"/>
    <w:rsid w:val="00FC4C31"/>
    <w:rsid w:val="00FC6029"/>
    <w:rsid w:val="00FC6D1D"/>
    <w:rsid w:val="00FC7165"/>
    <w:rsid w:val="00FC71D0"/>
    <w:rsid w:val="00FD0931"/>
    <w:rsid w:val="00FD4688"/>
    <w:rsid w:val="00FD4BC7"/>
    <w:rsid w:val="00FD4CD3"/>
    <w:rsid w:val="00FD72FC"/>
    <w:rsid w:val="00FD7A4E"/>
    <w:rsid w:val="00FE0515"/>
    <w:rsid w:val="00FE0B02"/>
    <w:rsid w:val="00FE14EF"/>
    <w:rsid w:val="00FE157D"/>
    <w:rsid w:val="00FE1A66"/>
    <w:rsid w:val="00FE1B97"/>
    <w:rsid w:val="00FE2916"/>
    <w:rsid w:val="00FE315C"/>
    <w:rsid w:val="00FE6489"/>
    <w:rsid w:val="00FE6554"/>
    <w:rsid w:val="00FE6559"/>
    <w:rsid w:val="00FE6591"/>
    <w:rsid w:val="00FE6C02"/>
    <w:rsid w:val="00FF05C0"/>
    <w:rsid w:val="00FF1F8D"/>
    <w:rsid w:val="00FF282F"/>
    <w:rsid w:val="00FF28BC"/>
    <w:rsid w:val="00FF3D83"/>
    <w:rsid w:val="00FF4366"/>
    <w:rsid w:val="00FF4C94"/>
    <w:rsid w:val="00FF5B27"/>
    <w:rsid w:val="00FF685D"/>
    <w:rsid w:val="00FF68F4"/>
    <w:rsid w:val="00FF794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0B"/>
    <w:pPr>
      <w:spacing w:after="0" w:line="240" w:lineRule="auto"/>
      <w:jc w:val="both"/>
    </w:pPr>
    <w:rPr>
      <w:rFonts w:ascii="Verdana" w:eastAsia="Calibri" w:hAnsi="Verdana" w:cs="Calibri"/>
      <w:sz w:val="20"/>
      <w:lang w:val="es-MX"/>
    </w:rPr>
  </w:style>
  <w:style w:type="paragraph" w:styleId="Heading1">
    <w:name w:val="heading 1"/>
    <w:aliases w:val="Título Verdana"/>
    <w:basedOn w:val="Normal"/>
    <w:next w:val="Normal"/>
    <w:link w:val="Heading1Char"/>
    <w:qFormat/>
    <w:rsid w:val="003D717E"/>
    <w:pPr>
      <w:jc w:val="center"/>
      <w:outlineLvl w:val="0"/>
    </w:pPr>
    <w:rPr>
      <w:b/>
      <w:lang w:eastAsia="es-CR"/>
    </w:rPr>
  </w:style>
  <w:style w:type="paragraph" w:styleId="Heading2">
    <w:name w:val="heading 2"/>
    <w:basedOn w:val="Normal"/>
    <w:next w:val="Normal"/>
    <w:link w:val="Heading2Char"/>
    <w:uiPriority w:val="9"/>
    <w:unhideWhenUsed/>
    <w:qFormat/>
    <w:rsid w:val="003D717E"/>
    <w:pPr>
      <w:tabs>
        <w:tab w:val="left" w:pos="567"/>
        <w:tab w:val="left" w:pos="993"/>
      </w:tabs>
      <w:ind w:left="930" w:hanging="360"/>
      <w:outlineLvl w:val="1"/>
    </w:pPr>
    <w:rPr>
      <w:b/>
      <w:i/>
      <w:lang w:eastAsia="es-MX"/>
    </w:rPr>
  </w:style>
  <w:style w:type="paragraph" w:styleId="Heading3">
    <w:name w:val="heading 3"/>
    <w:basedOn w:val="Normal"/>
    <w:next w:val="Normal"/>
    <w:link w:val="Heading3Char"/>
    <w:uiPriority w:val="9"/>
    <w:unhideWhenUsed/>
    <w:qFormat/>
    <w:rsid w:val="003D717E"/>
    <w:pPr>
      <w:ind w:left="993"/>
      <w:outlineLvl w:val="2"/>
    </w:pPr>
    <w:rPr>
      <w:b/>
      <w:lang w:val="es-ES"/>
    </w:rPr>
  </w:style>
  <w:style w:type="paragraph" w:styleId="Heading4">
    <w:name w:val="heading 4"/>
    <w:basedOn w:val="Heading3"/>
    <w:next w:val="Normal"/>
    <w:link w:val="Heading4Char"/>
    <w:uiPriority w:val="9"/>
    <w:unhideWhenUsed/>
    <w:qFormat/>
    <w:rsid w:val="003D717E"/>
    <w:pPr>
      <w:ind w:left="1418"/>
      <w:outlineLvl w:val="3"/>
    </w:pPr>
    <w:rPr>
      <w:b w:val="0"/>
      <w:u w:val="single"/>
    </w:rPr>
  </w:style>
  <w:style w:type="paragraph" w:styleId="Heading5">
    <w:name w:val="heading 5"/>
    <w:basedOn w:val="Normal"/>
    <w:next w:val="Normal"/>
    <w:link w:val="Heading5Char"/>
    <w:uiPriority w:val="9"/>
    <w:semiHidden/>
    <w:unhideWhenUsed/>
    <w:qFormat/>
    <w:rsid w:val="003D71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D717E"/>
    <w:pPr>
      <w:keepNext w:val="0"/>
      <w:keepLines w:val="0"/>
      <w:numPr>
        <w:ilvl w:val="4"/>
        <w:numId w:val="2"/>
      </w:numPr>
      <w:spacing w:before="0"/>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rsid w:val="003D717E"/>
    <w:rPr>
      <w:rFonts w:ascii="Verdana" w:eastAsia="Calibri" w:hAnsi="Verdana" w:cs="Calibri"/>
      <w:b/>
      <w:sz w:val="20"/>
      <w:lang w:val="es-MX" w:eastAsia="es-CR"/>
    </w:rPr>
  </w:style>
  <w:style w:type="character" w:customStyle="1" w:styleId="Heading2Char">
    <w:name w:val="Heading 2 Char"/>
    <w:basedOn w:val="DefaultParagraphFont"/>
    <w:link w:val="Heading2"/>
    <w:uiPriority w:val="9"/>
    <w:rsid w:val="003D717E"/>
    <w:rPr>
      <w:rFonts w:ascii="Verdana" w:eastAsia="Calibri" w:hAnsi="Verdana" w:cs="Calibri"/>
      <w:b/>
      <w:i/>
      <w:sz w:val="20"/>
      <w:lang w:val="es-MX" w:eastAsia="es-MX"/>
    </w:rPr>
  </w:style>
  <w:style w:type="character" w:customStyle="1" w:styleId="Heading3Char">
    <w:name w:val="Heading 3 Char"/>
    <w:basedOn w:val="DefaultParagraphFont"/>
    <w:link w:val="Heading3"/>
    <w:uiPriority w:val="9"/>
    <w:rsid w:val="003D717E"/>
    <w:rPr>
      <w:rFonts w:ascii="Verdana" w:eastAsia="Calibri" w:hAnsi="Verdana" w:cs="Calibri"/>
      <w:b/>
      <w:sz w:val="20"/>
      <w:lang w:val="es-ES"/>
    </w:rPr>
  </w:style>
  <w:style w:type="character" w:customStyle="1" w:styleId="Heading4Char">
    <w:name w:val="Heading 4 Char"/>
    <w:basedOn w:val="DefaultParagraphFont"/>
    <w:link w:val="Heading4"/>
    <w:uiPriority w:val="9"/>
    <w:rsid w:val="003D717E"/>
    <w:rPr>
      <w:rFonts w:ascii="Verdana" w:eastAsia="Calibri" w:hAnsi="Verdana" w:cs="Calibri"/>
      <w:sz w:val="20"/>
      <w:u w:val="single"/>
      <w:lang w:val="es-ES"/>
    </w:rPr>
  </w:style>
  <w:style w:type="character" w:customStyle="1" w:styleId="Heading5Char">
    <w:name w:val="Heading 5 Char"/>
    <w:basedOn w:val="DefaultParagraphFont"/>
    <w:link w:val="Heading5"/>
    <w:uiPriority w:val="9"/>
    <w:semiHidden/>
    <w:rsid w:val="003D717E"/>
    <w:rPr>
      <w:rFonts w:asciiTheme="majorHAnsi" w:eastAsiaTheme="majorEastAsia" w:hAnsiTheme="majorHAnsi" w:cstheme="majorBidi"/>
      <w:color w:val="243F60" w:themeColor="accent1" w:themeShade="7F"/>
      <w:sz w:val="20"/>
      <w:lang w:val="es-MX"/>
    </w:rPr>
  </w:style>
  <w:style w:type="character" w:customStyle="1" w:styleId="Heading6Char">
    <w:name w:val="Heading 6 Char"/>
    <w:basedOn w:val="DefaultParagraphFont"/>
    <w:link w:val="Heading6"/>
    <w:uiPriority w:val="9"/>
    <w:rsid w:val="003D717E"/>
    <w:rPr>
      <w:rFonts w:ascii="Verdana" w:eastAsia="Times New Roman" w:hAnsi="Verdana" w:cs="Times New Roman"/>
      <w:spacing w:val="-2"/>
      <w:sz w:val="20"/>
      <w:szCs w:val="20"/>
      <w:lang w:val="es-ES_tradnl" w:eastAsia="es-CR"/>
    </w:rPr>
  </w:style>
  <w:style w:type="paragraph" w:styleId="Title">
    <w:name w:val="Title"/>
    <w:basedOn w:val="Normal"/>
    <w:next w:val="Normal"/>
    <w:link w:val="TitleChar"/>
    <w:uiPriority w:val="10"/>
    <w:qFormat/>
    <w:rsid w:val="003D717E"/>
    <w:pPr>
      <w:jc w:val="center"/>
    </w:pPr>
    <w:rPr>
      <w:b/>
    </w:rPr>
  </w:style>
  <w:style w:type="character" w:customStyle="1" w:styleId="TitleChar">
    <w:name w:val="Title Char"/>
    <w:basedOn w:val="DefaultParagraphFont"/>
    <w:link w:val="Title"/>
    <w:uiPriority w:val="10"/>
    <w:rsid w:val="003D717E"/>
    <w:rPr>
      <w:rFonts w:ascii="Verdana" w:eastAsia="Calibri" w:hAnsi="Verdana" w:cs="Calibri"/>
      <w:b/>
      <w:sz w:val="20"/>
      <w:lang w:val="es-MX"/>
    </w:rPr>
  </w:style>
  <w:style w:type="paragraph" w:styleId="ListParagraph">
    <w:name w:val="List Paragraph"/>
    <w:aliases w:val="Footnote,List Paragraph1,Párrafo de lista1,List Paragraph2"/>
    <w:basedOn w:val="Normal"/>
    <w:link w:val="ListParagraphChar"/>
    <w:uiPriority w:val="34"/>
    <w:qFormat/>
    <w:rsid w:val="003D717E"/>
    <w:pPr>
      <w:widowControl w:val="0"/>
      <w:numPr>
        <w:ilvl w:val="1"/>
        <w:numId w:val="1"/>
      </w:numPr>
      <w:autoSpaceDE w:val="0"/>
      <w:autoSpaceDN w:val="0"/>
      <w:adjustRightInd w:val="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3D717E"/>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3D717E"/>
    <w:pPr>
      <w:tabs>
        <w:tab w:val="left" w:pos="567"/>
      </w:tabs>
    </w:pPr>
    <w:rPr>
      <w:rFonts w:cs="Verdana"/>
      <w:sz w:val="16"/>
      <w:szCs w:val="16"/>
      <w:lang w:val="es-ES_tradnl" w:eastAsia="es-ES"/>
    </w:rPr>
  </w:style>
  <w:style w:type="character" w:customStyle="1" w:styleId="FootnoteTextChar">
    <w:name w:val="Footnote Text Char"/>
    <w:aliases w:val="Footnote Text Cha Char,FA Fuﬂnotentext Char,Ca Char,C Char,2. Footnote Text Char,Footnote Tesina Char,FA Fu Char1,Footnote Text Char Char Char Char Char Char1,Footnote Text Char Char Char Char Char2,Footnote reference Char1,Ca Char1"/>
    <w:basedOn w:val="DefaultParagraphFont"/>
    <w:rsid w:val="003D717E"/>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locked/>
    <w:rsid w:val="003D717E"/>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3D717E"/>
    <w:pPr>
      <w:spacing w:after="120"/>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3D717E"/>
    <w:rPr>
      <w:rFonts w:ascii="Times" w:eastAsia="Calibri" w:hAnsi="Times" w:cs="Times"/>
      <w:sz w:val="24"/>
      <w:szCs w:val="24"/>
      <w:lang w:val="es-ES_tradnl" w:eastAsia="es-ES"/>
    </w:rPr>
  </w:style>
  <w:style w:type="paragraph" w:styleId="Header">
    <w:name w:val="header"/>
    <w:basedOn w:val="Normal"/>
    <w:link w:val="HeaderChar"/>
    <w:uiPriority w:val="99"/>
    <w:rsid w:val="003D717E"/>
    <w:pPr>
      <w:tabs>
        <w:tab w:val="center" w:pos="4252"/>
        <w:tab w:val="right" w:pos="8504"/>
      </w:tabs>
    </w:pPr>
  </w:style>
  <w:style w:type="character" w:customStyle="1" w:styleId="HeaderChar">
    <w:name w:val="Header Char"/>
    <w:basedOn w:val="DefaultParagraphFont"/>
    <w:link w:val="Header"/>
    <w:uiPriority w:val="99"/>
    <w:rsid w:val="003D717E"/>
    <w:rPr>
      <w:rFonts w:ascii="Verdana" w:eastAsia="Calibri" w:hAnsi="Verdana" w:cs="Calibri"/>
      <w:sz w:val="20"/>
      <w:lang w:val="es-MX"/>
    </w:rPr>
  </w:style>
  <w:style w:type="paragraph" w:customStyle="1" w:styleId="ColorfulList-Accent11">
    <w:name w:val="Colorful List - Accent 11"/>
    <w:basedOn w:val="Normal"/>
    <w:uiPriority w:val="99"/>
    <w:rsid w:val="003D717E"/>
    <w:pPr>
      <w:ind w:left="720"/>
    </w:pPr>
    <w:rPr>
      <w:rFonts w:ascii="Times" w:eastAsia="MS Mincho" w:hAnsi="Times" w:cs="Times"/>
      <w:sz w:val="24"/>
      <w:szCs w:val="24"/>
      <w:lang w:val="es-ES_tradnl"/>
    </w:rPr>
  </w:style>
  <w:style w:type="paragraph" w:customStyle="1" w:styleId="Default">
    <w:name w:val="Default"/>
    <w:rsid w:val="003D717E"/>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3D717E"/>
  </w:style>
  <w:style w:type="paragraph" w:styleId="BalloonText">
    <w:name w:val="Balloon Text"/>
    <w:basedOn w:val="Normal"/>
    <w:link w:val="BalloonTextChar"/>
    <w:uiPriority w:val="99"/>
    <w:semiHidden/>
    <w:unhideWhenUsed/>
    <w:rsid w:val="003D717E"/>
    <w:rPr>
      <w:rFonts w:ascii="Tahoma" w:hAnsi="Tahoma" w:cs="Tahoma"/>
      <w:sz w:val="16"/>
      <w:szCs w:val="16"/>
    </w:rPr>
  </w:style>
  <w:style w:type="character" w:customStyle="1" w:styleId="BalloonTextChar">
    <w:name w:val="Balloon Text Char"/>
    <w:basedOn w:val="DefaultParagraphFont"/>
    <w:link w:val="BalloonText"/>
    <w:uiPriority w:val="99"/>
    <w:semiHidden/>
    <w:rsid w:val="003D717E"/>
    <w:rPr>
      <w:rFonts w:ascii="Tahoma" w:eastAsia="Calibri" w:hAnsi="Tahoma" w:cs="Tahoma"/>
      <w:sz w:val="16"/>
      <w:szCs w:val="16"/>
      <w:lang w:val="es-MX"/>
    </w:rPr>
  </w:style>
  <w:style w:type="character" w:styleId="CommentReference">
    <w:name w:val="annotation reference"/>
    <w:basedOn w:val="DefaultParagraphFont"/>
    <w:uiPriority w:val="99"/>
    <w:unhideWhenUsed/>
    <w:rsid w:val="003D717E"/>
    <w:rPr>
      <w:sz w:val="18"/>
      <w:szCs w:val="18"/>
    </w:rPr>
  </w:style>
  <w:style w:type="paragraph" w:styleId="CommentText">
    <w:name w:val="annotation text"/>
    <w:basedOn w:val="Normal"/>
    <w:link w:val="CommentTextChar"/>
    <w:uiPriority w:val="99"/>
    <w:unhideWhenUsed/>
    <w:rsid w:val="003D717E"/>
    <w:rPr>
      <w:sz w:val="24"/>
      <w:szCs w:val="24"/>
    </w:rPr>
  </w:style>
  <w:style w:type="character" w:customStyle="1" w:styleId="CommentTextChar">
    <w:name w:val="Comment Text Char"/>
    <w:basedOn w:val="DefaultParagraphFont"/>
    <w:link w:val="CommentText"/>
    <w:uiPriority w:val="99"/>
    <w:rsid w:val="003D717E"/>
    <w:rPr>
      <w:rFonts w:ascii="Verdana" w:eastAsia="Calibri" w:hAnsi="Verdana" w:cs="Calibri"/>
      <w:sz w:val="24"/>
      <w:szCs w:val="24"/>
      <w:lang w:val="es-MX"/>
    </w:rPr>
  </w:style>
  <w:style w:type="paragraph" w:styleId="CommentSubject">
    <w:name w:val="annotation subject"/>
    <w:basedOn w:val="CommentText"/>
    <w:next w:val="CommentText"/>
    <w:link w:val="CommentSubjectChar"/>
    <w:uiPriority w:val="99"/>
    <w:semiHidden/>
    <w:unhideWhenUsed/>
    <w:rsid w:val="003D717E"/>
    <w:rPr>
      <w:b/>
      <w:bCs/>
      <w:sz w:val="20"/>
      <w:szCs w:val="20"/>
    </w:rPr>
  </w:style>
  <w:style w:type="character" w:customStyle="1" w:styleId="CommentSubjectChar">
    <w:name w:val="Comment Subject Char"/>
    <w:basedOn w:val="CommentTextChar"/>
    <w:link w:val="CommentSubject"/>
    <w:uiPriority w:val="99"/>
    <w:semiHidden/>
    <w:rsid w:val="003D717E"/>
    <w:rPr>
      <w:rFonts w:ascii="Verdana" w:eastAsia="Calibri" w:hAnsi="Verdana" w:cs="Calibri"/>
      <w:b/>
      <w:bCs/>
      <w:sz w:val="20"/>
      <w:szCs w:val="20"/>
      <w:lang w:val="es-MX"/>
    </w:rPr>
  </w:style>
  <w:style w:type="paragraph" w:styleId="NoSpacing">
    <w:name w:val="No Spacing"/>
    <w:uiPriority w:val="1"/>
    <w:qFormat/>
    <w:rsid w:val="003D717E"/>
    <w:pPr>
      <w:spacing w:after="0" w:line="240" w:lineRule="auto"/>
      <w:jc w:val="both"/>
    </w:pPr>
    <w:rPr>
      <w:rFonts w:ascii="Verdana" w:eastAsia="Calibri" w:hAnsi="Verdana" w:cs="Calibri"/>
      <w:sz w:val="20"/>
      <w:lang w:val="es-MX"/>
    </w:rPr>
  </w:style>
  <w:style w:type="paragraph" w:customStyle="1" w:styleId="citaindirecta">
    <w:name w:val="cita indirecta"/>
    <w:basedOn w:val="Normal"/>
    <w:rsid w:val="003D717E"/>
    <w:pPr>
      <w:ind w:left="708"/>
    </w:pPr>
    <w:rPr>
      <w:rFonts w:eastAsia="Times New Roman" w:cs="Times New Roman"/>
      <w:szCs w:val="20"/>
      <w:lang w:val="es-ES_tradnl" w:eastAsia="es-MX"/>
    </w:rPr>
  </w:style>
  <w:style w:type="paragraph" w:customStyle="1" w:styleId="Footnotes">
    <w:name w:val="**. Footnotes"/>
    <w:basedOn w:val="FootnoteText"/>
    <w:link w:val="FootnotesChar"/>
    <w:qFormat/>
    <w:rsid w:val="003D717E"/>
    <w:rPr>
      <w:rFonts w:eastAsia="Times New Roman" w:cs="Palatino-Italic"/>
      <w:iCs/>
      <w:spacing w:val="-4"/>
      <w:lang w:val="es-ES" w:eastAsia="en-US" w:bidi="en-US"/>
    </w:rPr>
  </w:style>
  <w:style w:type="character" w:customStyle="1" w:styleId="FootnotesChar">
    <w:name w:val="**. Footnotes Char"/>
    <w:basedOn w:val="DefaultParagraphFont"/>
    <w:link w:val="Footnotes"/>
    <w:rsid w:val="003D717E"/>
    <w:rPr>
      <w:rFonts w:ascii="Verdana" w:eastAsia="Times New Roman" w:hAnsi="Verdana" w:cs="Palatino-Italic"/>
      <w:iCs/>
      <w:spacing w:val="-4"/>
      <w:sz w:val="16"/>
      <w:szCs w:val="16"/>
      <w:lang w:val="es-ES" w:bidi="en-US"/>
    </w:rPr>
  </w:style>
  <w:style w:type="paragraph" w:styleId="DocumentMap">
    <w:name w:val="Document Map"/>
    <w:basedOn w:val="Normal"/>
    <w:link w:val="DocumentMapChar"/>
    <w:uiPriority w:val="99"/>
    <w:semiHidden/>
    <w:unhideWhenUsed/>
    <w:rsid w:val="003D717E"/>
    <w:rPr>
      <w:rFonts w:ascii="Tahoma" w:hAnsi="Tahoma" w:cs="Tahoma"/>
      <w:sz w:val="16"/>
      <w:szCs w:val="16"/>
    </w:rPr>
  </w:style>
  <w:style w:type="character" w:customStyle="1" w:styleId="DocumentMapChar">
    <w:name w:val="Document Map Char"/>
    <w:basedOn w:val="DefaultParagraphFont"/>
    <w:link w:val="DocumentMap"/>
    <w:uiPriority w:val="99"/>
    <w:semiHidden/>
    <w:rsid w:val="003D717E"/>
    <w:rPr>
      <w:rFonts w:ascii="Tahoma" w:eastAsia="Calibri" w:hAnsi="Tahoma" w:cs="Tahoma"/>
      <w:sz w:val="16"/>
      <w:szCs w:val="16"/>
      <w:lang w:val="es-MX"/>
    </w:rPr>
  </w:style>
  <w:style w:type="paragraph" w:styleId="NormalWeb">
    <w:name w:val="Normal (Web)"/>
    <w:aliases w:val="Normal (Web) Char1,Normal (Web) Char Char,Normal (Web) Char1 Char,Normal (Web) Char Char Char"/>
    <w:basedOn w:val="Normal"/>
    <w:uiPriority w:val="39"/>
    <w:unhideWhenUsed/>
    <w:qFormat/>
    <w:rsid w:val="003D717E"/>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uiPriority w:val="99"/>
    <w:unhideWhenUsed/>
    <w:rsid w:val="003D717E"/>
    <w:rPr>
      <w:color w:val="0000FF"/>
      <w:u w:val="single"/>
    </w:rPr>
  </w:style>
  <w:style w:type="character" w:customStyle="1" w:styleId="ListParagraphChar">
    <w:name w:val="List Paragraph Char"/>
    <w:aliases w:val="Footnote Char,List Paragraph1 Char,Párrafo de lista1 Char,List Paragraph2 Char"/>
    <w:link w:val="ListParagraph"/>
    <w:uiPriority w:val="34"/>
    <w:rsid w:val="003D717E"/>
    <w:rPr>
      <w:rFonts w:ascii="Verdana" w:eastAsia="Calibri" w:hAnsi="Verdana" w:cs="Verdana"/>
      <w:sz w:val="20"/>
      <w:szCs w:val="20"/>
      <w:lang w:val="es-MX"/>
    </w:rPr>
  </w:style>
  <w:style w:type="paragraph" w:customStyle="1" w:styleId="PrrafodeSentencia">
    <w:name w:val="*. Párrafo de Sentencia"/>
    <w:basedOn w:val="Normal"/>
    <w:next w:val="Normal"/>
    <w:link w:val="PrrafodeSentenciaChar"/>
    <w:qFormat/>
    <w:rsid w:val="003D717E"/>
    <w:pPr>
      <w:numPr>
        <w:numId w:val="41"/>
      </w:numPr>
      <w:tabs>
        <w:tab w:val="left" w:pos="567"/>
      </w:tabs>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3D717E"/>
    <w:rPr>
      <w:rFonts w:ascii="Verdana" w:eastAsia="Batang" w:hAnsi="Verdana" w:cs="Times New Roman"/>
      <w:spacing w:val="-4"/>
      <w:sz w:val="20"/>
      <w:lang w:eastAsia="es-MX"/>
    </w:rPr>
  </w:style>
  <w:style w:type="character" w:styleId="Strong">
    <w:name w:val="Strong"/>
    <w:basedOn w:val="DefaultParagraphFont"/>
    <w:uiPriority w:val="22"/>
    <w:qFormat/>
    <w:rsid w:val="003D717E"/>
    <w:rPr>
      <w:b/>
      <w:bCs/>
    </w:rPr>
  </w:style>
  <w:style w:type="character" w:customStyle="1" w:styleId="ListParagraphChar1">
    <w:name w:val="List Paragraph Char1"/>
    <w:aliases w:val="Colorful List - Accent 11 Char1"/>
    <w:uiPriority w:val="99"/>
    <w:locked/>
    <w:rsid w:val="003D717E"/>
    <w:rPr>
      <w:rFonts w:ascii="Verdana" w:eastAsia="Times New Roman" w:hAnsi="Verdana"/>
      <w:lang w:val="es-ES_tradnl"/>
    </w:rPr>
  </w:style>
  <w:style w:type="character" w:customStyle="1" w:styleId="Refdenotaalpie1">
    <w:name w:val="Ref. de nota al pie1"/>
    <w:basedOn w:val="DefaultParagraphFont"/>
    <w:rsid w:val="003D717E"/>
    <w:rPr>
      <w:sz w:val="20"/>
      <w:vertAlign w:val="superscript"/>
    </w:rPr>
  </w:style>
  <w:style w:type="paragraph" w:styleId="EndnoteText">
    <w:name w:val="endnote text"/>
    <w:basedOn w:val="Normal"/>
    <w:link w:val="EndnoteTextChar"/>
    <w:uiPriority w:val="99"/>
    <w:semiHidden/>
    <w:unhideWhenUsed/>
    <w:rsid w:val="003D717E"/>
    <w:rPr>
      <w:szCs w:val="20"/>
    </w:rPr>
  </w:style>
  <w:style w:type="character" w:customStyle="1" w:styleId="EndnoteTextChar">
    <w:name w:val="Endnote Text Char"/>
    <w:basedOn w:val="DefaultParagraphFont"/>
    <w:link w:val="EndnoteText"/>
    <w:uiPriority w:val="99"/>
    <w:semiHidden/>
    <w:rsid w:val="003D717E"/>
    <w:rPr>
      <w:rFonts w:ascii="Verdana" w:eastAsia="Calibri" w:hAnsi="Verdana" w:cs="Calibri"/>
      <w:sz w:val="20"/>
      <w:szCs w:val="20"/>
      <w:lang w:val="es-MX"/>
    </w:rPr>
  </w:style>
  <w:style w:type="character" w:styleId="EndnoteReference">
    <w:name w:val="endnote reference"/>
    <w:basedOn w:val="DefaultParagraphFont"/>
    <w:uiPriority w:val="99"/>
    <w:semiHidden/>
    <w:unhideWhenUsed/>
    <w:rsid w:val="003D717E"/>
    <w:rPr>
      <w:vertAlign w:val="superscript"/>
    </w:rPr>
  </w:style>
  <w:style w:type="paragraph" w:styleId="Revision">
    <w:name w:val="Revision"/>
    <w:hidden/>
    <w:uiPriority w:val="99"/>
    <w:semiHidden/>
    <w:rsid w:val="003D717E"/>
    <w:pPr>
      <w:spacing w:after="0" w:line="240" w:lineRule="auto"/>
    </w:pPr>
    <w:rPr>
      <w:rFonts w:ascii="Verdana" w:eastAsia="Calibri" w:hAnsi="Verdana" w:cs="Calibri"/>
      <w:sz w:val="20"/>
      <w:lang w:val="es-MX"/>
    </w:rPr>
  </w:style>
  <w:style w:type="character" w:styleId="FollowedHyperlink">
    <w:name w:val="FollowedHyperlink"/>
    <w:basedOn w:val="DefaultParagraphFont"/>
    <w:uiPriority w:val="99"/>
    <w:semiHidden/>
    <w:unhideWhenUsed/>
    <w:rsid w:val="003D717E"/>
    <w:rPr>
      <w:color w:val="800080" w:themeColor="followedHyperlink"/>
      <w:u w:val="single"/>
    </w:rPr>
  </w:style>
  <w:style w:type="paragraph" w:styleId="Footer">
    <w:name w:val="footer"/>
    <w:basedOn w:val="Normal"/>
    <w:link w:val="FooterChar"/>
    <w:uiPriority w:val="99"/>
    <w:unhideWhenUsed/>
    <w:rsid w:val="003D717E"/>
    <w:pPr>
      <w:tabs>
        <w:tab w:val="center" w:pos="4419"/>
        <w:tab w:val="right" w:pos="8838"/>
      </w:tabs>
    </w:pPr>
    <w:rPr>
      <w:rFonts w:eastAsiaTheme="minorEastAsia" w:cstheme="minorBidi"/>
      <w:lang w:val="es-PE" w:eastAsia="es-PE"/>
    </w:rPr>
  </w:style>
  <w:style w:type="character" w:customStyle="1" w:styleId="FooterChar">
    <w:name w:val="Footer Char"/>
    <w:basedOn w:val="DefaultParagraphFont"/>
    <w:link w:val="Footer"/>
    <w:uiPriority w:val="99"/>
    <w:rsid w:val="003D717E"/>
    <w:rPr>
      <w:rFonts w:ascii="Verdana" w:eastAsiaTheme="minorEastAsia" w:hAnsi="Verdana"/>
      <w:sz w:val="20"/>
      <w:lang w:val="es-PE" w:eastAsia="es-PE"/>
    </w:rPr>
  </w:style>
  <w:style w:type="character" w:customStyle="1" w:styleId="apple-style-span">
    <w:name w:val="apple-style-span"/>
    <w:basedOn w:val="DefaultParagraphFont"/>
    <w:rsid w:val="003D717E"/>
  </w:style>
  <w:style w:type="paragraph" w:styleId="TOC1">
    <w:name w:val="toc 1"/>
    <w:basedOn w:val="Normal"/>
    <w:next w:val="Normal"/>
    <w:autoRedefine/>
    <w:uiPriority w:val="39"/>
    <w:unhideWhenUsed/>
    <w:rsid w:val="008009BB"/>
    <w:pPr>
      <w:spacing w:before="360" w:after="360"/>
      <w:jc w:val="left"/>
    </w:pPr>
    <w:rPr>
      <w:rFonts w:asciiTheme="minorHAnsi" w:hAnsiTheme="minorHAnsi"/>
      <w:b/>
      <w:bCs/>
      <w:caps/>
      <w:sz w:val="22"/>
      <w:u w:val="single"/>
    </w:rPr>
  </w:style>
  <w:style w:type="paragraph" w:styleId="TOC2">
    <w:name w:val="toc 2"/>
    <w:basedOn w:val="Normal"/>
    <w:next w:val="Normal"/>
    <w:autoRedefine/>
    <w:uiPriority w:val="39"/>
    <w:unhideWhenUsed/>
    <w:rsid w:val="00F31A91"/>
    <w:pPr>
      <w:jc w:val="left"/>
    </w:pPr>
    <w:rPr>
      <w:rFonts w:asciiTheme="minorHAnsi" w:hAnsiTheme="minorHAnsi"/>
      <w:b/>
      <w:bCs/>
      <w:smallCaps/>
      <w:sz w:val="22"/>
    </w:rPr>
  </w:style>
  <w:style w:type="paragraph" w:styleId="TOC3">
    <w:name w:val="toc 3"/>
    <w:basedOn w:val="Normal"/>
    <w:next w:val="Normal"/>
    <w:autoRedefine/>
    <w:uiPriority w:val="39"/>
    <w:unhideWhenUsed/>
    <w:rsid w:val="00A4202B"/>
    <w:pPr>
      <w:tabs>
        <w:tab w:val="right" w:leader="dot" w:pos="9736"/>
      </w:tabs>
      <w:ind w:left="567"/>
      <w:jc w:val="left"/>
    </w:pPr>
    <w:rPr>
      <w:rFonts w:asciiTheme="minorHAnsi" w:hAnsiTheme="minorHAnsi"/>
      <w:smallCaps/>
      <w:sz w:val="22"/>
    </w:rPr>
  </w:style>
  <w:style w:type="character" w:customStyle="1" w:styleId="sb8d990e2">
    <w:name w:val="sb8d990e2"/>
    <w:basedOn w:val="DefaultParagraphFont"/>
    <w:rsid w:val="003D717E"/>
  </w:style>
  <w:style w:type="character" w:customStyle="1" w:styleId="s6b621b36">
    <w:name w:val="s6b621b36"/>
    <w:basedOn w:val="DefaultParagraphFont"/>
    <w:rsid w:val="003D717E"/>
  </w:style>
  <w:style w:type="table" w:styleId="TableGrid">
    <w:name w:val="Table Grid"/>
    <w:basedOn w:val="TableNormal"/>
    <w:uiPriority w:val="59"/>
    <w:rsid w:val="003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717E"/>
  </w:style>
  <w:style w:type="paragraph" w:customStyle="1" w:styleId="Prrafodelista2">
    <w:name w:val="Párrafo de lista2"/>
    <w:basedOn w:val="Normal"/>
    <w:uiPriority w:val="99"/>
    <w:rsid w:val="003D717E"/>
    <w:pPr>
      <w:ind w:left="720"/>
      <w:jc w:val="left"/>
    </w:pPr>
    <w:rPr>
      <w:rFonts w:eastAsia="MS Mincho" w:cs="Times New Roman"/>
      <w:szCs w:val="20"/>
      <w:lang w:val="es-ES_tradnl" w:bidi="en-US"/>
    </w:rPr>
  </w:style>
  <w:style w:type="character" w:styleId="Emphasis">
    <w:name w:val="Emphasis"/>
    <w:basedOn w:val="DefaultParagraphFont"/>
    <w:uiPriority w:val="20"/>
    <w:qFormat/>
    <w:rsid w:val="003D717E"/>
    <w:rPr>
      <w:i/>
      <w:iCs/>
    </w:rPr>
  </w:style>
  <w:style w:type="character" w:customStyle="1" w:styleId="documentbody1">
    <w:name w:val="documentbody1"/>
    <w:uiPriority w:val="99"/>
    <w:rsid w:val="003D717E"/>
    <w:rPr>
      <w:rFonts w:ascii="Verdana" w:hAnsi="Verdana"/>
      <w:sz w:val="19"/>
    </w:rPr>
  </w:style>
  <w:style w:type="character" w:customStyle="1" w:styleId="ju-005fpara--char">
    <w:name w:val="ju-005fpara--char"/>
    <w:basedOn w:val="DefaultParagraphFont"/>
    <w:rsid w:val="003D717E"/>
  </w:style>
  <w:style w:type="character" w:customStyle="1" w:styleId="normal--char">
    <w:name w:val="normal--char"/>
    <w:basedOn w:val="DefaultParagraphFont"/>
    <w:rsid w:val="003D717E"/>
  </w:style>
  <w:style w:type="paragraph" w:customStyle="1" w:styleId="Estilo1">
    <w:name w:val="Estilo1"/>
    <w:basedOn w:val="Normal"/>
    <w:link w:val="Estilo1Car"/>
    <w:qFormat/>
    <w:rsid w:val="003D717E"/>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3D717E"/>
    <w:rPr>
      <w:rFonts w:ascii="Verdana" w:eastAsia="Calibri" w:hAnsi="Verdana" w:cs="Times New Roman"/>
      <w:sz w:val="20"/>
      <w:szCs w:val="20"/>
      <w:lang w:val="es-ES"/>
    </w:rPr>
  </w:style>
  <w:style w:type="paragraph" w:customStyle="1" w:styleId="Estilo2">
    <w:name w:val="Estilo2"/>
    <w:basedOn w:val="Normal"/>
    <w:qFormat/>
    <w:rsid w:val="003D717E"/>
    <w:pPr>
      <w:tabs>
        <w:tab w:val="left" w:pos="567"/>
        <w:tab w:val="left" w:pos="1134"/>
        <w:tab w:val="num" w:pos="4767"/>
      </w:tabs>
      <w:spacing w:after="120"/>
      <w:ind w:firstLine="357"/>
    </w:pPr>
    <w:rPr>
      <w:rFonts w:cs="Times New Roman"/>
      <w:szCs w:val="20"/>
      <w:lang w:val="es-ES"/>
    </w:rPr>
  </w:style>
  <w:style w:type="paragraph" w:styleId="TOC4">
    <w:name w:val="toc 4"/>
    <w:basedOn w:val="Normal"/>
    <w:next w:val="Normal"/>
    <w:autoRedefine/>
    <w:uiPriority w:val="39"/>
    <w:unhideWhenUsed/>
    <w:rsid w:val="00930E53"/>
    <w:pPr>
      <w:jc w:val="left"/>
    </w:pPr>
    <w:rPr>
      <w:rFonts w:asciiTheme="minorHAnsi" w:hAnsiTheme="minorHAnsi"/>
      <w:sz w:val="22"/>
    </w:rPr>
  </w:style>
  <w:style w:type="character" w:customStyle="1" w:styleId="s3">
    <w:name w:val="s3"/>
    <w:basedOn w:val="DefaultParagraphFont"/>
    <w:rsid w:val="009A1986"/>
  </w:style>
  <w:style w:type="character" w:styleId="PageNumber">
    <w:name w:val="page number"/>
    <w:basedOn w:val="DefaultParagraphFont"/>
    <w:uiPriority w:val="99"/>
    <w:semiHidden/>
    <w:unhideWhenUsed/>
    <w:rsid w:val="00D157D7"/>
  </w:style>
  <w:style w:type="character" w:customStyle="1" w:styleId="sf1c7242d">
    <w:name w:val="sf1c7242d"/>
    <w:basedOn w:val="DefaultParagraphFont"/>
    <w:rsid w:val="0084681D"/>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11BBE"/>
    <w:rPr>
      <w:rFonts w:eastAsiaTheme="minorHAnsi" w:cs="Verdana"/>
      <w:sz w:val="16"/>
      <w:szCs w:val="16"/>
      <w:vertAlign w:val="superscript"/>
      <w:lang w:val="es-CR"/>
    </w:rPr>
  </w:style>
  <w:style w:type="paragraph" w:styleId="Subtitle">
    <w:name w:val="Subtitle"/>
    <w:basedOn w:val="Normal"/>
    <w:next w:val="Normal"/>
    <w:link w:val="SubtitleChar"/>
    <w:uiPriority w:val="11"/>
    <w:qFormat/>
    <w:rsid w:val="0095595D"/>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95595D"/>
    <w:rPr>
      <w:rFonts w:asciiTheme="majorHAnsi" w:eastAsiaTheme="majorEastAsia" w:hAnsiTheme="majorHAnsi" w:cstheme="majorBidi"/>
      <w:i/>
      <w:iCs/>
      <w:color w:val="4F81BD" w:themeColor="accent1"/>
      <w:spacing w:val="15"/>
      <w:sz w:val="24"/>
      <w:szCs w:val="24"/>
      <w:lang w:val="en-US"/>
    </w:rPr>
  </w:style>
  <w:style w:type="character" w:customStyle="1" w:styleId="Smbolodenotaalpie">
    <w:name w:val="Símbolo de nota al pie"/>
    <w:rsid w:val="0095595D"/>
    <w:rPr>
      <w:rFonts w:ascii="Times New Roman" w:hAnsi="Times New Roman" w:cs="Times New Roman" w:hint="default"/>
      <w:szCs w:val="20"/>
      <w:vertAlign w:val="superscript"/>
    </w:rPr>
  </w:style>
  <w:style w:type="paragraph" w:customStyle="1" w:styleId="Estilo3">
    <w:name w:val="Estilo3"/>
    <w:basedOn w:val="ListParagraph"/>
    <w:qFormat/>
    <w:rsid w:val="0095595D"/>
    <w:pPr>
      <w:widowControl/>
      <w:numPr>
        <w:ilvl w:val="4"/>
        <w:numId w:val="16"/>
      </w:numPr>
      <w:autoSpaceDE/>
      <w:autoSpaceDN/>
      <w:adjustRightInd/>
      <w:spacing w:after="120" w:line="216" w:lineRule="auto"/>
      <w:ind w:right="17"/>
    </w:pPr>
    <w:rPr>
      <w:rFonts w:cs="Times New Roman"/>
      <w:spacing w:val="-2"/>
      <w:lang w:eastAsia="x-none"/>
    </w:rPr>
  </w:style>
  <w:style w:type="paragraph" w:customStyle="1" w:styleId="Estilo5">
    <w:name w:val="Estilo5"/>
    <w:basedOn w:val="ListParagraph"/>
    <w:link w:val="Estilo5Car"/>
    <w:qFormat/>
    <w:rsid w:val="0095595D"/>
    <w:pPr>
      <w:widowControl/>
      <w:numPr>
        <w:ilvl w:val="0"/>
        <w:numId w:val="16"/>
      </w:numPr>
      <w:autoSpaceDE/>
      <w:autoSpaceDN/>
      <w:adjustRightInd/>
      <w:spacing w:after="120" w:line="216" w:lineRule="auto"/>
      <w:ind w:left="0" w:right="18" w:firstLine="0"/>
    </w:pPr>
    <w:rPr>
      <w:rFonts w:cs="Times New Roman"/>
      <w:spacing w:val="-2"/>
      <w:lang w:eastAsia="x-none"/>
    </w:rPr>
  </w:style>
  <w:style w:type="character" w:customStyle="1" w:styleId="Estilo5Car">
    <w:name w:val="Estilo5 Car"/>
    <w:link w:val="Estilo5"/>
    <w:rsid w:val="0095595D"/>
    <w:rPr>
      <w:rFonts w:ascii="Verdana" w:eastAsia="Calibri" w:hAnsi="Verdana" w:cs="Times New Roman"/>
      <w:spacing w:val="-2"/>
      <w:sz w:val="20"/>
      <w:szCs w:val="20"/>
      <w:lang w:val="es-MX" w:eastAsia="x-none"/>
    </w:rPr>
  </w:style>
  <w:style w:type="paragraph" w:customStyle="1" w:styleId="Estilo8">
    <w:name w:val="Estilo8"/>
    <w:basedOn w:val="Estilo3"/>
    <w:qFormat/>
    <w:rsid w:val="0095595D"/>
    <w:pPr>
      <w:numPr>
        <w:ilvl w:val="5"/>
      </w:numPr>
      <w:ind w:left="1080" w:hanging="358"/>
    </w:pPr>
  </w:style>
  <w:style w:type="paragraph" w:styleId="TOCHeading">
    <w:name w:val="TOC Heading"/>
    <w:basedOn w:val="Heading1"/>
    <w:next w:val="Normal"/>
    <w:uiPriority w:val="39"/>
    <w:unhideWhenUsed/>
    <w:qFormat/>
    <w:rsid w:val="00D60E39"/>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eastAsia="es-ES_tradnl"/>
    </w:rPr>
  </w:style>
  <w:style w:type="paragraph" w:styleId="TOC5">
    <w:name w:val="toc 5"/>
    <w:basedOn w:val="Normal"/>
    <w:next w:val="Normal"/>
    <w:autoRedefine/>
    <w:uiPriority w:val="39"/>
    <w:unhideWhenUsed/>
    <w:rsid w:val="00D60E39"/>
    <w:pPr>
      <w:jc w:val="left"/>
    </w:pPr>
    <w:rPr>
      <w:rFonts w:asciiTheme="minorHAnsi" w:hAnsiTheme="minorHAnsi"/>
      <w:sz w:val="22"/>
    </w:rPr>
  </w:style>
  <w:style w:type="paragraph" w:styleId="TOC6">
    <w:name w:val="toc 6"/>
    <w:basedOn w:val="Normal"/>
    <w:next w:val="Normal"/>
    <w:autoRedefine/>
    <w:uiPriority w:val="39"/>
    <w:unhideWhenUsed/>
    <w:rsid w:val="00D60E39"/>
    <w:pPr>
      <w:jc w:val="left"/>
    </w:pPr>
    <w:rPr>
      <w:rFonts w:asciiTheme="minorHAnsi" w:hAnsiTheme="minorHAnsi"/>
      <w:sz w:val="22"/>
    </w:rPr>
  </w:style>
  <w:style w:type="paragraph" w:styleId="TOC7">
    <w:name w:val="toc 7"/>
    <w:basedOn w:val="Normal"/>
    <w:next w:val="Normal"/>
    <w:autoRedefine/>
    <w:uiPriority w:val="39"/>
    <w:unhideWhenUsed/>
    <w:rsid w:val="00D60E39"/>
    <w:pPr>
      <w:jc w:val="left"/>
    </w:pPr>
    <w:rPr>
      <w:rFonts w:asciiTheme="minorHAnsi" w:hAnsiTheme="minorHAnsi"/>
      <w:sz w:val="22"/>
    </w:rPr>
  </w:style>
  <w:style w:type="paragraph" w:styleId="TOC8">
    <w:name w:val="toc 8"/>
    <w:basedOn w:val="Normal"/>
    <w:next w:val="Normal"/>
    <w:autoRedefine/>
    <w:uiPriority w:val="39"/>
    <w:unhideWhenUsed/>
    <w:rsid w:val="00D60E39"/>
    <w:pPr>
      <w:jc w:val="left"/>
    </w:pPr>
    <w:rPr>
      <w:rFonts w:asciiTheme="minorHAnsi" w:hAnsiTheme="minorHAnsi"/>
      <w:sz w:val="22"/>
    </w:rPr>
  </w:style>
  <w:style w:type="paragraph" w:styleId="TOC9">
    <w:name w:val="toc 9"/>
    <w:basedOn w:val="Normal"/>
    <w:next w:val="Normal"/>
    <w:autoRedefine/>
    <w:uiPriority w:val="39"/>
    <w:unhideWhenUsed/>
    <w:rsid w:val="00D60E39"/>
    <w:pPr>
      <w:jc w:val="left"/>
    </w:pPr>
    <w:rPr>
      <w:rFonts w:asciiTheme="minorHAnsi" w:hAnsiTheme="minorHAnsi"/>
      <w:sz w:val="22"/>
    </w:rPr>
  </w:style>
  <w:style w:type="character" w:styleId="PlaceholderText">
    <w:name w:val="Placeholder Text"/>
    <w:basedOn w:val="DefaultParagraphFont"/>
    <w:uiPriority w:val="99"/>
    <w:semiHidden/>
    <w:rsid w:val="002F6B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0B"/>
    <w:pPr>
      <w:spacing w:after="0" w:line="240" w:lineRule="auto"/>
      <w:jc w:val="both"/>
    </w:pPr>
    <w:rPr>
      <w:rFonts w:ascii="Verdana" w:eastAsia="Calibri" w:hAnsi="Verdana" w:cs="Calibri"/>
      <w:sz w:val="20"/>
      <w:lang w:val="es-MX"/>
    </w:rPr>
  </w:style>
  <w:style w:type="paragraph" w:styleId="Heading1">
    <w:name w:val="heading 1"/>
    <w:aliases w:val="Título Verdana"/>
    <w:basedOn w:val="Normal"/>
    <w:next w:val="Normal"/>
    <w:link w:val="Heading1Char"/>
    <w:qFormat/>
    <w:rsid w:val="003D717E"/>
    <w:pPr>
      <w:jc w:val="center"/>
      <w:outlineLvl w:val="0"/>
    </w:pPr>
    <w:rPr>
      <w:b/>
      <w:lang w:eastAsia="es-CR"/>
    </w:rPr>
  </w:style>
  <w:style w:type="paragraph" w:styleId="Heading2">
    <w:name w:val="heading 2"/>
    <w:basedOn w:val="Normal"/>
    <w:next w:val="Normal"/>
    <w:link w:val="Heading2Char"/>
    <w:uiPriority w:val="9"/>
    <w:unhideWhenUsed/>
    <w:qFormat/>
    <w:rsid w:val="003D717E"/>
    <w:pPr>
      <w:tabs>
        <w:tab w:val="left" w:pos="567"/>
        <w:tab w:val="left" w:pos="993"/>
      </w:tabs>
      <w:ind w:left="930" w:hanging="360"/>
      <w:outlineLvl w:val="1"/>
    </w:pPr>
    <w:rPr>
      <w:b/>
      <w:i/>
      <w:lang w:eastAsia="es-MX"/>
    </w:rPr>
  </w:style>
  <w:style w:type="paragraph" w:styleId="Heading3">
    <w:name w:val="heading 3"/>
    <w:basedOn w:val="Normal"/>
    <w:next w:val="Normal"/>
    <w:link w:val="Heading3Char"/>
    <w:uiPriority w:val="9"/>
    <w:unhideWhenUsed/>
    <w:qFormat/>
    <w:rsid w:val="003D717E"/>
    <w:pPr>
      <w:ind w:left="993"/>
      <w:outlineLvl w:val="2"/>
    </w:pPr>
    <w:rPr>
      <w:b/>
      <w:lang w:val="es-ES"/>
    </w:rPr>
  </w:style>
  <w:style w:type="paragraph" w:styleId="Heading4">
    <w:name w:val="heading 4"/>
    <w:basedOn w:val="Heading3"/>
    <w:next w:val="Normal"/>
    <w:link w:val="Heading4Char"/>
    <w:uiPriority w:val="9"/>
    <w:unhideWhenUsed/>
    <w:qFormat/>
    <w:rsid w:val="003D717E"/>
    <w:pPr>
      <w:ind w:left="1418"/>
      <w:outlineLvl w:val="3"/>
    </w:pPr>
    <w:rPr>
      <w:b w:val="0"/>
      <w:u w:val="single"/>
    </w:rPr>
  </w:style>
  <w:style w:type="paragraph" w:styleId="Heading5">
    <w:name w:val="heading 5"/>
    <w:basedOn w:val="Normal"/>
    <w:next w:val="Normal"/>
    <w:link w:val="Heading5Char"/>
    <w:uiPriority w:val="9"/>
    <w:semiHidden/>
    <w:unhideWhenUsed/>
    <w:qFormat/>
    <w:rsid w:val="003D71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D717E"/>
    <w:pPr>
      <w:keepNext w:val="0"/>
      <w:keepLines w:val="0"/>
      <w:numPr>
        <w:ilvl w:val="4"/>
        <w:numId w:val="2"/>
      </w:numPr>
      <w:spacing w:before="0"/>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rsid w:val="003D717E"/>
    <w:rPr>
      <w:rFonts w:ascii="Verdana" w:eastAsia="Calibri" w:hAnsi="Verdana" w:cs="Calibri"/>
      <w:b/>
      <w:sz w:val="20"/>
      <w:lang w:val="es-MX" w:eastAsia="es-CR"/>
    </w:rPr>
  </w:style>
  <w:style w:type="character" w:customStyle="1" w:styleId="Heading2Char">
    <w:name w:val="Heading 2 Char"/>
    <w:basedOn w:val="DefaultParagraphFont"/>
    <w:link w:val="Heading2"/>
    <w:uiPriority w:val="9"/>
    <w:rsid w:val="003D717E"/>
    <w:rPr>
      <w:rFonts w:ascii="Verdana" w:eastAsia="Calibri" w:hAnsi="Verdana" w:cs="Calibri"/>
      <w:b/>
      <w:i/>
      <w:sz w:val="20"/>
      <w:lang w:val="es-MX" w:eastAsia="es-MX"/>
    </w:rPr>
  </w:style>
  <w:style w:type="character" w:customStyle="1" w:styleId="Heading3Char">
    <w:name w:val="Heading 3 Char"/>
    <w:basedOn w:val="DefaultParagraphFont"/>
    <w:link w:val="Heading3"/>
    <w:uiPriority w:val="9"/>
    <w:rsid w:val="003D717E"/>
    <w:rPr>
      <w:rFonts w:ascii="Verdana" w:eastAsia="Calibri" w:hAnsi="Verdana" w:cs="Calibri"/>
      <w:b/>
      <w:sz w:val="20"/>
      <w:lang w:val="es-ES"/>
    </w:rPr>
  </w:style>
  <w:style w:type="character" w:customStyle="1" w:styleId="Heading4Char">
    <w:name w:val="Heading 4 Char"/>
    <w:basedOn w:val="DefaultParagraphFont"/>
    <w:link w:val="Heading4"/>
    <w:uiPriority w:val="9"/>
    <w:rsid w:val="003D717E"/>
    <w:rPr>
      <w:rFonts w:ascii="Verdana" w:eastAsia="Calibri" w:hAnsi="Verdana" w:cs="Calibri"/>
      <w:sz w:val="20"/>
      <w:u w:val="single"/>
      <w:lang w:val="es-ES"/>
    </w:rPr>
  </w:style>
  <w:style w:type="character" w:customStyle="1" w:styleId="Heading5Char">
    <w:name w:val="Heading 5 Char"/>
    <w:basedOn w:val="DefaultParagraphFont"/>
    <w:link w:val="Heading5"/>
    <w:uiPriority w:val="9"/>
    <w:semiHidden/>
    <w:rsid w:val="003D717E"/>
    <w:rPr>
      <w:rFonts w:asciiTheme="majorHAnsi" w:eastAsiaTheme="majorEastAsia" w:hAnsiTheme="majorHAnsi" w:cstheme="majorBidi"/>
      <w:color w:val="243F60" w:themeColor="accent1" w:themeShade="7F"/>
      <w:sz w:val="20"/>
      <w:lang w:val="es-MX"/>
    </w:rPr>
  </w:style>
  <w:style w:type="character" w:customStyle="1" w:styleId="Heading6Char">
    <w:name w:val="Heading 6 Char"/>
    <w:basedOn w:val="DefaultParagraphFont"/>
    <w:link w:val="Heading6"/>
    <w:uiPriority w:val="9"/>
    <w:rsid w:val="003D717E"/>
    <w:rPr>
      <w:rFonts w:ascii="Verdana" w:eastAsia="Times New Roman" w:hAnsi="Verdana" w:cs="Times New Roman"/>
      <w:spacing w:val="-2"/>
      <w:sz w:val="20"/>
      <w:szCs w:val="20"/>
      <w:lang w:val="es-ES_tradnl" w:eastAsia="es-CR"/>
    </w:rPr>
  </w:style>
  <w:style w:type="paragraph" w:styleId="Title">
    <w:name w:val="Title"/>
    <w:basedOn w:val="Normal"/>
    <w:next w:val="Normal"/>
    <w:link w:val="TitleChar"/>
    <w:uiPriority w:val="10"/>
    <w:qFormat/>
    <w:rsid w:val="003D717E"/>
    <w:pPr>
      <w:jc w:val="center"/>
    </w:pPr>
    <w:rPr>
      <w:b/>
    </w:rPr>
  </w:style>
  <w:style w:type="character" w:customStyle="1" w:styleId="TitleChar">
    <w:name w:val="Title Char"/>
    <w:basedOn w:val="DefaultParagraphFont"/>
    <w:link w:val="Title"/>
    <w:uiPriority w:val="10"/>
    <w:rsid w:val="003D717E"/>
    <w:rPr>
      <w:rFonts w:ascii="Verdana" w:eastAsia="Calibri" w:hAnsi="Verdana" w:cs="Calibri"/>
      <w:b/>
      <w:sz w:val="20"/>
      <w:lang w:val="es-MX"/>
    </w:rPr>
  </w:style>
  <w:style w:type="paragraph" w:styleId="ListParagraph">
    <w:name w:val="List Paragraph"/>
    <w:aliases w:val="Footnote,List Paragraph1,Párrafo de lista1,List Paragraph2"/>
    <w:basedOn w:val="Normal"/>
    <w:link w:val="ListParagraphChar"/>
    <w:uiPriority w:val="34"/>
    <w:qFormat/>
    <w:rsid w:val="003D717E"/>
    <w:pPr>
      <w:widowControl w:val="0"/>
      <w:numPr>
        <w:ilvl w:val="1"/>
        <w:numId w:val="1"/>
      </w:numPr>
      <w:autoSpaceDE w:val="0"/>
      <w:autoSpaceDN w:val="0"/>
      <w:adjustRightInd w:val="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3D717E"/>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3D717E"/>
    <w:pPr>
      <w:tabs>
        <w:tab w:val="left" w:pos="567"/>
      </w:tabs>
    </w:pPr>
    <w:rPr>
      <w:rFonts w:cs="Verdana"/>
      <w:sz w:val="16"/>
      <w:szCs w:val="16"/>
      <w:lang w:val="es-ES_tradnl" w:eastAsia="es-ES"/>
    </w:rPr>
  </w:style>
  <w:style w:type="character" w:customStyle="1" w:styleId="FootnoteTextChar">
    <w:name w:val="Footnote Text Char"/>
    <w:aliases w:val="Footnote Text Cha Char,FA Fuﬂnotentext Char,Ca Char,C Char,2. Footnote Text Char,Footnote Tesina Char,FA Fu Char1,Footnote Text Char Char Char Char Char Char1,Footnote Text Char Char Char Char Char2,Footnote reference Char1,Ca Char1"/>
    <w:basedOn w:val="DefaultParagraphFont"/>
    <w:rsid w:val="003D717E"/>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locked/>
    <w:rsid w:val="003D717E"/>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3D717E"/>
    <w:pPr>
      <w:spacing w:after="120"/>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3D717E"/>
    <w:rPr>
      <w:rFonts w:ascii="Times" w:eastAsia="Calibri" w:hAnsi="Times" w:cs="Times"/>
      <w:sz w:val="24"/>
      <w:szCs w:val="24"/>
      <w:lang w:val="es-ES_tradnl" w:eastAsia="es-ES"/>
    </w:rPr>
  </w:style>
  <w:style w:type="paragraph" w:styleId="Header">
    <w:name w:val="header"/>
    <w:basedOn w:val="Normal"/>
    <w:link w:val="HeaderChar"/>
    <w:uiPriority w:val="99"/>
    <w:rsid w:val="003D717E"/>
    <w:pPr>
      <w:tabs>
        <w:tab w:val="center" w:pos="4252"/>
        <w:tab w:val="right" w:pos="8504"/>
      </w:tabs>
    </w:pPr>
  </w:style>
  <w:style w:type="character" w:customStyle="1" w:styleId="HeaderChar">
    <w:name w:val="Header Char"/>
    <w:basedOn w:val="DefaultParagraphFont"/>
    <w:link w:val="Header"/>
    <w:uiPriority w:val="99"/>
    <w:rsid w:val="003D717E"/>
    <w:rPr>
      <w:rFonts w:ascii="Verdana" w:eastAsia="Calibri" w:hAnsi="Verdana" w:cs="Calibri"/>
      <w:sz w:val="20"/>
      <w:lang w:val="es-MX"/>
    </w:rPr>
  </w:style>
  <w:style w:type="paragraph" w:customStyle="1" w:styleId="ColorfulList-Accent11">
    <w:name w:val="Colorful List - Accent 11"/>
    <w:basedOn w:val="Normal"/>
    <w:uiPriority w:val="99"/>
    <w:rsid w:val="003D717E"/>
    <w:pPr>
      <w:ind w:left="720"/>
    </w:pPr>
    <w:rPr>
      <w:rFonts w:ascii="Times" w:eastAsia="MS Mincho" w:hAnsi="Times" w:cs="Times"/>
      <w:sz w:val="24"/>
      <w:szCs w:val="24"/>
      <w:lang w:val="es-ES_tradnl"/>
    </w:rPr>
  </w:style>
  <w:style w:type="paragraph" w:customStyle="1" w:styleId="Default">
    <w:name w:val="Default"/>
    <w:rsid w:val="003D717E"/>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3D717E"/>
  </w:style>
  <w:style w:type="paragraph" w:styleId="BalloonText">
    <w:name w:val="Balloon Text"/>
    <w:basedOn w:val="Normal"/>
    <w:link w:val="BalloonTextChar"/>
    <w:uiPriority w:val="99"/>
    <w:semiHidden/>
    <w:unhideWhenUsed/>
    <w:rsid w:val="003D717E"/>
    <w:rPr>
      <w:rFonts w:ascii="Tahoma" w:hAnsi="Tahoma" w:cs="Tahoma"/>
      <w:sz w:val="16"/>
      <w:szCs w:val="16"/>
    </w:rPr>
  </w:style>
  <w:style w:type="character" w:customStyle="1" w:styleId="BalloonTextChar">
    <w:name w:val="Balloon Text Char"/>
    <w:basedOn w:val="DefaultParagraphFont"/>
    <w:link w:val="BalloonText"/>
    <w:uiPriority w:val="99"/>
    <w:semiHidden/>
    <w:rsid w:val="003D717E"/>
    <w:rPr>
      <w:rFonts w:ascii="Tahoma" w:eastAsia="Calibri" w:hAnsi="Tahoma" w:cs="Tahoma"/>
      <w:sz w:val="16"/>
      <w:szCs w:val="16"/>
      <w:lang w:val="es-MX"/>
    </w:rPr>
  </w:style>
  <w:style w:type="character" w:styleId="CommentReference">
    <w:name w:val="annotation reference"/>
    <w:basedOn w:val="DefaultParagraphFont"/>
    <w:uiPriority w:val="99"/>
    <w:unhideWhenUsed/>
    <w:rsid w:val="003D717E"/>
    <w:rPr>
      <w:sz w:val="18"/>
      <w:szCs w:val="18"/>
    </w:rPr>
  </w:style>
  <w:style w:type="paragraph" w:styleId="CommentText">
    <w:name w:val="annotation text"/>
    <w:basedOn w:val="Normal"/>
    <w:link w:val="CommentTextChar"/>
    <w:uiPriority w:val="99"/>
    <w:unhideWhenUsed/>
    <w:rsid w:val="003D717E"/>
    <w:rPr>
      <w:sz w:val="24"/>
      <w:szCs w:val="24"/>
    </w:rPr>
  </w:style>
  <w:style w:type="character" w:customStyle="1" w:styleId="CommentTextChar">
    <w:name w:val="Comment Text Char"/>
    <w:basedOn w:val="DefaultParagraphFont"/>
    <w:link w:val="CommentText"/>
    <w:uiPriority w:val="99"/>
    <w:rsid w:val="003D717E"/>
    <w:rPr>
      <w:rFonts w:ascii="Verdana" w:eastAsia="Calibri" w:hAnsi="Verdana" w:cs="Calibri"/>
      <w:sz w:val="24"/>
      <w:szCs w:val="24"/>
      <w:lang w:val="es-MX"/>
    </w:rPr>
  </w:style>
  <w:style w:type="paragraph" w:styleId="CommentSubject">
    <w:name w:val="annotation subject"/>
    <w:basedOn w:val="CommentText"/>
    <w:next w:val="CommentText"/>
    <w:link w:val="CommentSubjectChar"/>
    <w:uiPriority w:val="99"/>
    <w:semiHidden/>
    <w:unhideWhenUsed/>
    <w:rsid w:val="003D717E"/>
    <w:rPr>
      <w:b/>
      <w:bCs/>
      <w:sz w:val="20"/>
      <w:szCs w:val="20"/>
    </w:rPr>
  </w:style>
  <w:style w:type="character" w:customStyle="1" w:styleId="CommentSubjectChar">
    <w:name w:val="Comment Subject Char"/>
    <w:basedOn w:val="CommentTextChar"/>
    <w:link w:val="CommentSubject"/>
    <w:uiPriority w:val="99"/>
    <w:semiHidden/>
    <w:rsid w:val="003D717E"/>
    <w:rPr>
      <w:rFonts w:ascii="Verdana" w:eastAsia="Calibri" w:hAnsi="Verdana" w:cs="Calibri"/>
      <w:b/>
      <w:bCs/>
      <w:sz w:val="20"/>
      <w:szCs w:val="20"/>
      <w:lang w:val="es-MX"/>
    </w:rPr>
  </w:style>
  <w:style w:type="paragraph" w:styleId="NoSpacing">
    <w:name w:val="No Spacing"/>
    <w:uiPriority w:val="1"/>
    <w:qFormat/>
    <w:rsid w:val="003D717E"/>
    <w:pPr>
      <w:spacing w:after="0" w:line="240" w:lineRule="auto"/>
      <w:jc w:val="both"/>
    </w:pPr>
    <w:rPr>
      <w:rFonts w:ascii="Verdana" w:eastAsia="Calibri" w:hAnsi="Verdana" w:cs="Calibri"/>
      <w:sz w:val="20"/>
      <w:lang w:val="es-MX"/>
    </w:rPr>
  </w:style>
  <w:style w:type="paragraph" w:customStyle="1" w:styleId="citaindirecta">
    <w:name w:val="cita indirecta"/>
    <w:basedOn w:val="Normal"/>
    <w:rsid w:val="003D717E"/>
    <w:pPr>
      <w:ind w:left="708"/>
    </w:pPr>
    <w:rPr>
      <w:rFonts w:eastAsia="Times New Roman" w:cs="Times New Roman"/>
      <w:szCs w:val="20"/>
      <w:lang w:val="es-ES_tradnl" w:eastAsia="es-MX"/>
    </w:rPr>
  </w:style>
  <w:style w:type="paragraph" w:customStyle="1" w:styleId="Footnotes">
    <w:name w:val="**. Footnotes"/>
    <w:basedOn w:val="FootnoteText"/>
    <w:link w:val="FootnotesChar"/>
    <w:qFormat/>
    <w:rsid w:val="003D717E"/>
    <w:rPr>
      <w:rFonts w:eastAsia="Times New Roman" w:cs="Palatino-Italic"/>
      <w:iCs/>
      <w:spacing w:val="-4"/>
      <w:lang w:val="es-ES" w:eastAsia="en-US" w:bidi="en-US"/>
    </w:rPr>
  </w:style>
  <w:style w:type="character" w:customStyle="1" w:styleId="FootnotesChar">
    <w:name w:val="**. Footnotes Char"/>
    <w:basedOn w:val="DefaultParagraphFont"/>
    <w:link w:val="Footnotes"/>
    <w:rsid w:val="003D717E"/>
    <w:rPr>
      <w:rFonts w:ascii="Verdana" w:eastAsia="Times New Roman" w:hAnsi="Verdana" w:cs="Palatino-Italic"/>
      <w:iCs/>
      <w:spacing w:val="-4"/>
      <w:sz w:val="16"/>
      <w:szCs w:val="16"/>
      <w:lang w:val="es-ES" w:bidi="en-US"/>
    </w:rPr>
  </w:style>
  <w:style w:type="paragraph" w:styleId="DocumentMap">
    <w:name w:val="Document Map"/>
    <w:basedOn w:val="Normal"/>
    <w:link w:val="DocumentMapChar"/>
    <w:uiPriority w:val="99"/>
    <w:semiHidden/>
    <w:unhideWhenUsed/>
    <w:rsid w:val="003D717E"/>
    <w:rPr>
      <w:rFonts w:ascii="Tahoma" w:hAnsi="Tahoma" w:cs="Tahoma"/>
      <w:sz w:val="16"/>
      <w:szCs w:val="16"/>
    </w:rPr>
  </w:style>
  <w:style w:type="character" w:customStyle="1" w:styleId="DocumentMapChar">
    <w:name w:val="Document Map Char"/>
    <w:basedOn w:val="DefaultParagraphFont"/>
    <w:link w:val="DocumentMap"/>
    <w:uiPriority w:val="99"/>
    <w:semiHidden/>
    <w:rsid w:val="003D717E"/>
    <w:rPr>
      <w:rFonts w:ascii="Tahoma" w:eastAsia="Calibri" w:hAnsi="Tahoma" w:cs="Tahoma"/>
      <w:sz w:val="16"/>
      <w:szCs w:val="16"/>
      <w:lang w:val="es-MX"/>
    </w:rPr>
  </w:style>
  <w:style w:type="paragraph" w:styleId="NormalWeb">
    <w:name w:val="Normal (Web)"/>
    <w:aliases w:val="Normal (Web) Char1,Normal (Web) Char Char,Normal (Web) Char1 Char,Normal (Web) Char Char Char"/>
    <w:basedOn w:val="Normal"/>
    <w:uiPriority w:val="39"/>
    <w:unhideWhenUsed/>
    <w:qFormat/>
    <w:rsid w:val="003D717E"/>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uiPriority w:val="99"/>
    <w:unhideWhenUsed/>
    <w:rsid w:val="003D717E"/>
    <w:rPr>
      <w:color w:val="0000FF"/>
      <w:u w:val="single"/>
    </w:rPr>
  </w:style>
  <w:style w:type="character" w:customStyle="1" w:styleId="ListParagraphChar">
    <w:name w:val="List Paragraph Char"/>
    <w:aliases w:val="Footnote Char,List Paragraph1 Char,Párrafo de lista1 Char,List Paragraph2 Char"/>
    <w:link w:val="ListParagraph"/>
    <w:uiPriority w:val="34"/>
    <w:rsid w:val="003D717E"/>
    <w:rPr>
      <w:rFonts w:ascii="Verdana" w:eastAsia="Calibri" w:hAnsi="Verdana" w:cs="Verdana"/>
      <w:sz w:val="20"/>
      <w:szCs w:val="20"/>
      <w:lang w:val="es-MX"/>
    </w:rPr>
  </w:style>
  <w:style w:type="paragraph" w:customStyle="1" w:styleId="PrrafodeSentencia">
    <w:name w:val="*. Párrafo de Sentencia"/>
    <w:basedOn w:val="Normal"/>
    <w:next w:val="Normal"/>
    <w:link w:val="PrrafodeSentenciaChar"/>
    <w:qFormat/>
    <w:rsid w:val="003D717E"/>
    <w:pPr>
      <w:numPr>
        <w:numId w:val="41"/>
      </w:numPr>
      <w:tabs>
        <w:tab w:val="left" w:pos="567"/>
      </w:tabs>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3D717E"/>
    <w:rPr>
      <w:rFonts w:ascii="Verdana" w:eastAsia="Batang" w:hAnsi="Verdana" w:cs="Times New Roman"/>
      <w:spacing w:val="-4"/>
      <w:sz w:val="20"/>
      <w:lang w:eastAsia="es-MX"/>
    </w:rPr>
  </w:style>
  <w:style w:type="character" w:styleId="Strong">
    <w:name w:val="Strong"/>
    <w:basedOn w:val="DefaultParagraphFont"/>
    <w:uiPriority w:val="22"/>
    <w:qFormat/>
    <w:rsid w:val="003D717E"/>
    <w:rPr>
      <w:b/>
      <w:bCs/>
    </w:rPr>
  </w:style>
  <w:style w:type="character" w:customStyle="1" w:styleId="ListParagraphChar1">
    <w:name w:val="List Paragraph Char1"/>
    <w:aliases w:val="Colorful List - Accent 11 Char1"/>
    <w:uiPriority w:val="99"/>
    <w:locked/>
    <w:rsid w:val="003D717E"/>
    <w:rPr>
      <w:rFonts w:ascii="Verdana" w:eastAsia="Times New Roman" w:hAnsi="Verdana"/>
      <w:lang w:val="es-ES_tradnl"/>
    </w:rPr>
  </w:style>
  <w:style w:type="character" w:customStyle="1" w:styleId="Refdenotaalpie1">
    <w:name w:val="Ref. de nota al pie1"/>
    <w:basedOn w:val="DefaultParagraphFont"/>
    <w:rsid w:val="003D717E"/>
    <w:rPr>
      <w:sz w:val="20"/>
      <w:vertAlign w:val="superscript"/>
    </w:rPr>
  </w:style>
  <w:style w:type="paragraph" w:styleId="EndnoteText">
    <w:name w:val="endnote text"/>
    <w:basedOn w:val="Normal"/>
    <w:link w:val="EndnoteTextChar"/>
    <w:uiPriority w:val="99"/>
    <w:semiHidden/>
    <w:unhideWhenUsed/>
    <w:rsid w:val="003D717E"/>
    <w:rPr>
      <w:szCs w:val="20"/>
    </w:rPr>
  </w:style>
  <w:style w:type="character" w:customStyle="1" w:styleId="EndnoteTextChar">
    <w:name w:val="Endnote Text Char"/>
    <w:basedOn w:val="DefaultParagraphFont"/>
    <w:link w:val="EndnoteText"/>
    <w:uiPriority w:val="99"/>
    <w:semiHidden/>
    <w:rsid w:val="003D717E"/>
    <w:rPr>
      <w:rFonts w:ascii="Verdana" w:eastAsia="Calibri" w:hAnsi="Verdana" w:cs="Calibri"/>
      <w:sz w:val="20"/>
      <w:szCs w:val="20"/>
      <w:lang w:val="es-MX"/>
    </w:rPr>
  </w:style>
  <w:style w:type="character" w:styleId="EndnoteReference">
    <w:name w:val="endnote reference"/>
    <w:basedOn w:val="DefaultParagraphFont"/>
    <w:uiPriority w:val="99"/>
    <w:semiHidden/>
    <w:unhideWhenUsed/>
    <w:rsid w:val="003D717E"/>
    <w:rPr>
      <w:vertAlign w:val="superscript"/>
    </w:rPr>
  </w:style>
  <w:style w:type="paragraph" w:styleId="Revision">
    <w:name w:val="Revision"/>
    <w:hidden/>
    <w:uiPriority w:val="99"/>
    <w:semiHidden/>
    <w:rsid w:val="003D717E"/>
    <w:pPr>
      <w:spacing w:after="0" w:line="240" w:lineRule="auto"/>
    </w:pPr>
    <w:rPr>
      <w:rFonts w:ascii="Verdana" w:eastAsia="Calibri" w:hAnsi="Verdana" w:cs="Calibri"/>
      <w:sz w:val="20"/>
      <w:lang w:val="es-MX"/>
    </w:rPr>
  </w:style>
  <w:style w:type="character" w:styleId="FollowedHyperlink">
    <w:name w:val="FollowedHyperlink"/>
    <w:basedOn w:val="DefaultParagraphFont"/>
    <w:uiPriority w:val="99"/>
    <w:semiHidden/>
    <w:unhideWhenUsed/>
    <w:rsid w:val="003D717E"/>
    <w:rPr>
      <w:color w:val="800080" w:themeColor="followedHyperlink"/>
      <w:u w:val="single"/>
    </w:rPr>
  </w:style>
  <w:style w:type="paragraph" w:styleId="Footer">
    <w:name w:val="footer"/>
    <w:basedOn w:val="Normal"/>
    <w:link w:val="FooterChar"/>
    <w:uiPriority w:val="99"/>
    <w:unhideWhenUsed/>
    <w:rsid w:val="003D717E"/>
    <w:pPr>
      <w:tabs>
        <w:tab w:val="center" w:pos="4419"/>
        <w:tab w:val="right" w:pos="8838"/>
      </w:tabs>
    </w:pPr>
    <w:rPr>
      <w:rFonts w:eastAsiaTheme="minorEastAsia" w:cstheme="minorBidi"/>
      <w:lang w:val="es-PE" w:eastAsia="es-PE"/>
    </w:rPr>
  </w:style>
  <w:style w:type="character" w:customStyle="1" w:styleId="FooterChar">
    <w:name w:val="Footer Char"/>
    <w:basedOn w:val="DefaultParagraphFont"/>
    <w:link w:val="Footer"/>
    <w:uiPriority w:val="99"/>
    <w:rsid w:val="003D717E"/>
    <w:rPr>
      <w:rFonts w:ascii="Verdana" w:eastAsiaTheme="minorEastAsia" w:hAnsi="Verdana"/>
      <w:sz w:val="20"/>
      <w:lang w:val="es-PE" w:eastAsia="es-PE"/>
    </w:rPr>
  </w:style>
  <w:style w:type="character" w:customStyle="1" w:styleId="apple-style-span">
    <w:name w:val="apple-style-span"/>
    <w:basedOn w:val="DefaultParagraphFont"/>
    <w:rsid w:val="003D717E"/>
  </w:style>
  <w:style w:type="paragraph" w:styleId="TOC1">
    <w:name w:val="toc 1"/>
    <w:basedOn w:val="Normal"/>
    <w:next w:val="Normal"/>
    <w:autoRedefine/>
    <w:uiPriority w:val="39"/>
    <w:unhideWhenUsed/>
    <w:rsid w:val="008009BB"/>
    <w:pPr>
      <w:spacing w:before="360" w:after="360"/>
      <w:jc w:val="left"/>
    </w:pPr>
    <w:rPr>
      <w:rFonts w:asciiTheme="minorHAnsi" w:hAnsiTheme="minorHAnsi"/>
      <w:b/>
      <w:bCs/>
      <w:caps/>
      <w:sz w:val="22"/>
      <w:u w:val="single"/>
    </w:rPr>
  </w:style>
  <w:style w:type="paragraph" w:styleId="TOC2">
    <w:name w:val="toc 2"/>
    <w:basedOn w:val="Normal"/>
    <w:next w:val="Normal"/>
    <w:autoRedefine/>
    <w:uiPriority w:val="39"/>
    <w:unhideWhenUsed/>
    <w:rsid w:val="00F31A91"/>
    <w:pPr>
      <w:jc w:val="left"/>
    </w:pPr>
    <w:rPr>
      <w:rFonts w:asciiTheme="minorHAnsi" w:hAnsiTheme="minorHAnsi"/>
      <w:b/>
      <w:bCs/>
      <w:smallCaps/>
      <w:sz w:val="22"/>
    </w:rPr>
  </w:style>
  <w:style w:type="paragraph" w:styleId="TOC3">
    <w:name w:val="toc 3"/>
    <w:basedOn w:val="Normal"/>
    <w:next w:val="Normal"/>
    <w:autoRedefine/>
    <w:uiPriority w:val="39"/>
    <w:unhideWhenUsed/>
    <w:rsid w:val="00A4202B"/>
    <w:pPr>
      <w:tabs>
        <w:tab w:val="right" w:leader="dot" w:pos="9736"/>
      </w:tabs>
      <w:ind w:left="567"/>
      <w:jc w:val="left"/>
    </w:pPr>
    <w:rPr>
      <w:rFonts w:asciiTheme="minorHAnsi" w:hAnsiTheme="minorHAnsi"/>
      <w:smallCaps/>
      <w:sz w:val="22"/>
    </w:rPr>
  </w:style>
  <w:style w:type="character" w:customStyle="1" w:styleId="sb8d990e2">
    <w:name w:val="sb8d990e2"/>
    <w:basedOn w:val="DefaultParagraphFont"/>
    <w:rsid w:val="003D717E"/>
  </w:style>
  <w:style w:type="character" w:customStyle="1" w:styleId="s6b621b36">
    <w:name w:val="s6b621b36"/>
    <w:basedOn w:val="DefaultParagraphFont"/>
    <w:rsid w:val="003D717E"/>
  </w:style>
  <w:style w:type="table" w:styleId="TableGrid">
    <w:name w:val="Table Grid"/>
    <w:basedOn w:val="TableNormal"/>
    <w:uiPriority w:val="59"/>
    <w:rsid w:val="003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717E"/>
  </w:style>
  <w:style w:type="paragraph" w:customStyle="1" w:styleId="Prrafodelista2">
    <w:name w:val="Párrafo de lista2"/>
    <w:basedOn w:val="Normal"/>
    <w:uiPriority w:val="99"/>
    <w:rsid w:val="003D717E"/>
    <w:pPr>
      <w:ind w:left="720"/>
      <w:jc w:val="left"/>
    </w:pPr>
    <w:rPr>
      <w:rFonts w:eastAsia="MS Mincho" w:cs="Times New Roman"/>
      <w:szCs w:val="20"/>
      <w:lang w:val="es-ES_tradnl" w:bidi="en-US"/>
    </w:rPr>
  </w:style>
  <w:style w:type="character" w:styleId="Emphasis">
    <w:name w:val="Emphasis"/>
    <w:basedOn w:val="DefaultParagraphFont"/>
    <w:uiPriority w:val="20"/>
    <w:qFormat/>
    <w:rsid w:val="003D717E"/>
    <w:rPr>
      <w:i/>
      <w:iCs/>
    </w:rPr>
  </w:style>
  <w:style w:type="character" w:customStyle="1" w:styleId="documentbody1">
    <w:name w:val="documentbody1"/>
    <w:uiPriority w:val="99"/>
    <w:rsid w:val="003D717E"/>
    <w:rPr>
      <w:rFonts w:ascii="Verdana" w:hAnsi="Verdana"/>
      <w:sz w:val="19"/>
    </w:rPr>
  </w:style>
  <w:style w:type="character" w:customStyle="1" w:styleId="ju-005fpara--char">
    <w:name w:val="ju-005fpara--char"/>
    <w:basedOn w:val="DefaultParagraphFont"/>
    <w:rsid w:val="003D717E"/>
  </w:style>
  <w:style w:type="character" w:customStyle="1" w:styleId="normal--char">
    <w:name w:val="normal--char"/>
    <w:basedOn w:val="DefaultParagraphFont"/>
    <w:rsid w:val="003D717E"/>
  </w:style>
  <w:style w:type="paragraph" w:customStyle="1" w:styleId="Estilo1">
    <w:name w:val="Estilo1"/>
    <w:basedOn w:val="Normal"/>
    <w:link w:val="Estilo1Car"/>
    <w:qFormat/>
    <w:rsid w:val="003D717E"/>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3D717E"/>
    <w:rPr>
      <w:rFonts w:ascii="Verdana" w:eastAsia="Calibri" w:hAnsi="Verdana" w:cs="Times New Roman"/>
      <w:sz w:val="20"/>
      <w:szCs w:val="20"/>
      <w:lang w:val="es-ES"/>
    </w:rPr>
  </w:style>
  <w:style w:type="paragraph" w:customStyle="1" w:styleId="Estilo2">
    <w:name w:val="Estilo2"/>
    <w:basedOn w:val="Normal"/>
    <w:qFormat/>
    <w:rsid w:val="003D717E"/>
    <w:pPr>
      <w:tabs>
        <w:tab w:val="left" w:pos="567"/>
        <w:tab w:val="left" w:pos="1134"/>
        <w:tab w:val="num" w:pos="4767"/>
      </w:tabs>
      <w:spacing w:after="120"/>
      <w:ind w:firstLine="357"/>
    </w:pPr>
    <w:rPr>
      <w:rFonts w:cs="Times New Roman"/>
      <w:szCs w:val="20"/>
      <w:lang w:val="es-ES"/>
    </w:rPr>
  </w:style>
  <w:style w:type="paragraph" w:styleId="TOC4">
    <w:name w:val="toc 4"/>
    <w:basedOn w:val="Normal"/>
    <w:next w:val="Normal"/>
    <w:autoRedefine/>
    <w:uiPriority w:val="39"/>
    <w:unhideWhenUsed/>
    <w:rsid w:val="00930E53"/>
    <w:pPr>
      <w:jc w:val="left"/>
    </w:pPr>
    <w:rPr>
      <w:rFonts w:asciiTheme="minorHAnsi" w:hAnsiTheme="minorHAnsi"/>
      <w:sz w:val="22"/>
    </w:rPr>
  </w:style>
  <w:style w:type="character" w:customStyle="1" w:styleId="s3">
    <w:name w:val="s3"/>
    <w:basedOn w:val="DefaultParagraphFont"/>
    <w:rsid w:val="009A1986"/>
  </w:style>
  <w:style w:type="character" w:styleId="PageNumber">
    <w:name w:val="page number"/>
    <w:basedOn w:val="DefaultParagraphFont"/>
    <w:uiPriority w:val="99"/>
    <w:semiHidden/>
    <w:unhideWhenUsed/>
    <w:rsid w:val="00D157D7"/>
  </w:style>
  <w:style w:type="character" w:customStyle="1" w:styleId="sf1c7242d">
    <w:name w:val="sf1c7242d"/>
    <w:basedOn w:val="DefaultParagraphFont"/>
    <w:rsid w:val="0084681D"/>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11BBE"/>
    <w:rPr>
      <w:rFonts w:eastAsiaTheme="minorHAnsi" w:cs="Verdana"/>
      <w:sz w:val="16"/>
      <w:szCs w:val="16"/>
      <w:vertAlign w:val="superscript"/>
      <w:lang w:val="es-CR"/>
    </w:rPr>
  </w:style>
  <w:style w:type="paragraph" w:styleId="Subtitle">
    <w:name w:val="Subtitle"/>
    <w:basedOn w:val="Normal"/>
    <w:next w:val="Normal"/>
    <w:link w:val="SubtitleChar"/>
    <w:uiPriority w:val="11"/>
    <w:qFormat/>
    <w:rsid w:val="0095595D"/>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95595D"/>
    <w:rPr>
      <w:rFonts w:asciiTheme="majorHAnsi" w:eastAsiaTheme="majorEastAsia" w:hAnsiTheme="majorHAnsi" w:cstheme="majorBidi"/>
      <w:i/>
      <w:iCs/>
      <w:color w:val="4F81BD" w:themeColor="accent1"/>
      <w:spacing w:val="15"/>
      <w:sz w:val="24"/>
      <w:szCs w:val="24"/>
      <w:lang w:val="en-US"/>
    </w:rPr>
  </w:style>
  <w:style w:type="character" w:customStyle="1" w:styleId="Smbolodenotaalpie">
    <w:name w:val="Símbolo de nota al pie"/>
    <w:rsid w:val="0095595D"/>
    <w:rPr>
      <w:rFonts w:ascii="Times New Roman" w:hAnsi="Times New Roman" w:cs="Times New Roman" w:hint="default"/>
      <w:szCs w:val="20"/>
      <w:vertAlign w:val="superscript"/>
    </w:rPr>
  </w:style>
  <w:style w:type="paragraph" w:customStyle="1" w:styleId="Estilo3">
    <w:name w:val="Estilo3"/>
    <w:basedOn w:val="ListParagraph"/>
    <w:qFormat/>
    <w:rsid w:val="0095595D"/>
    <w:pPr>
      <w:widowControl/>
      <w:numPr>
        <w:ilvl w:val="4"/>
        <w:numId w:val="16"/>
      </w:numPr>
      <w:autoSpaceDE/>
      <w:autoSpaceDN/>
      <w:adjustRightInd/>
      <w:spacing w:after="120" w:line="216" w:lineRule="auto"/>
      <w:ind w:right="17"/>
    </w:pPr>
    <w:rPr>
      <w:rFonts w:cs="Times New Roman"/>
      <w:spacing w:val="-2"/>
      <w:lang w:eastAsia="x-none"/>
    </w:rPr>
  </w:style>
  <w:style w:type="paragraph" w:customStyle="1" w:styleId="Estilo5">
    <w:name w:val="Estilo5"/>
    <w:basedOn w:val="ListParagraph"/>
    <w:link w:val="Estilo5Car"/>
    <w:qFormat/>
    <w:rsid w:val="0095595D"/>
    <w:pPr>
      <w:widowControl/>
      <w:numPr>
        <w:ilvl w:val="0"/>
        <w:numId w:val="16"/>
      </w:numPr>
      <w:autoSpaceDE/>
      <w:autoSpaceDN/>
      <w:adjustRightInd/>
      <w:spacing w:after="120" w:line="216" w:lineRule="auto"/>
      <w:ind w:left="0" w:right="18" w:firstLine="0"/>
    </w:pPr>
    <w:rPr>
      <w:rFonts w:cs="Times New Roman"/>
      <w:spacing w:val="-2"/>
      <w:lang w:eastAsia="x-none"/>
    </w:rPr>
  </w:style>
  <w:style w:type="character" w:customStyle="1" w:styleId="Estilo5Car">
    <w:name w:val="Estilo5 Car"/>
    <w:link w:val="Estilo5"/>
    <w:rsid w:val="0095595D"/>
    <w:rPr>
      <w:rFonts w:ascii="Verdana" w:eastAsia="Calibri" w:hAnsi="Verdana" w:cs="Times New Roman"/>
      <w:spacing w:val="-2"/>
      <w:sz w:val="20"/>
      <w:szCs w:val="20"/>
      <w:lang w:val="es-MX" w:eastAsia="x-none"/>
    </w:rPr>
  </w:style>
  <w:style w:type="paragraph" w:customStyle="1" w:styleId="Estilo8">
    <w:name w:val="Estilo8"/>
    <w:basedOn w:val="Estilo3"/>
    <w:qFormat/>
    <w:rsid w:val="0095595D"/>
    <w:pPr>
      <w:numPr>
        <w:ilvl w:val="5"/>
      </w:numPr>
      <w:ind w:left="1080" w:hanging="358"/>
    </w:pPr>
  </w:style>
  <w:style w:type="paragraph" w:styleId="TOCHeading">
    <w:name w:val="TOC Heading"/>
    <w:basedOn w:val="Heading1"/>
    <w:next w:val="Normal"/>
    <w:uiPriority w:val="39"/>
    <w:unhideWhenUsed/>
    <w:qFormat/>
    <w:rsid w:val="00D60E39"/>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eastAsia="es-ES_tradnl"/>
    </w:rPr>
  </w:style>
  <w:style w:type="paragraph" w:styleId="TOC5">
    <w:name w:val="toc 5"/>
    <w:basedOn w:val="Normal"/>
    <w:next w:val="Normal"/>
    <w:autoRedefine/>
    <w:uiPriority w:val="39"/>
    <w:unhideWhenUsed/>
    <w:rsid w:val="00D60E39"/>
    <w:pPr>
      <w:jc w:val="left"/>
    </w:pPr>
    <w:rPr>
      <w:rFonts w:asciiTheme="minorHAnsi" w:hAnsiTheme="minorHAnsi"/>
      <w:sz w:val="22"/>
    </w:rPr>
  </w:style>
  <w:style w:type="paragraph" w:styleId="TOC6">
    <w:name w:val="toc 6"/>
    <w:basedOn w:val="Normal"/>
    <w:next w:val="Normal"/>
    <w:autoRedefine/>
    <w:uiPriority w:val="39"/>
    <w:unhideWhenUsed/>
    <w:rsid w:val="00D60E39"/>
    <w:pPr>
      <w:jc w:val="left"/>
    </w:pPr>
    <w:rPr>
      <w:rFonts w:asciiTheme="minorHAnsi" w:hAnsiTheme="minorHAnsi"/>
      <w:sz w:val="22"/>
    </w:rPr>
  </w:style>
  <w:style w:type="paragraph" w:styleId="TOC7">
    <w:name w:val="toc 7"/>
    <w:basedOn w:val="Normal"/>
    <w:next w:val="Normal"/>
    <w:autoRedefine/>
    <w:uiPriority w:val="39"/>
    <w:unhideWhenUsed/>
    <w:rsid w:val="00D60E39"/>
    <w:pPr>
      <w:jc w:val="left"/>
    </w:pPr>
    <w:rPr>
      <w:rFonts w:asciiTheme="minorHAnsi" w:hAnsiTheme="minorHAnsi"/>
      <w:sz w:val="22"/>
    </w:rPr>
  </w:style>
  <w:style w:type="paragraph" w:styleId="TOC8">
    <w:name w:val="toc 8"/>
    <w:basedOn w:val="Normal"/>
    <w:next w:val="Normal"/>
    <w:autoRedefine/>
    <w:uiPriority w:val="39"/>
    <w:unhideWhenUsed/>
    <w:rsid w:val="00D60E39"/>
    <w:pPr>
      <w:jc w:val="left"/>
    </w:pPr>
    <w:rPr>
      <w:rFonts w:asciiTheme="minorHAnsi" w:hAnsiTheme="minorHAnsi"/>
      <w:sz w:val="22"/>
    </w:rPr>
  </w:style>
  <w:style w:type="paragraph" w:styleId="TOC9">
    <w:name w:val="toc 9"/>
    <w:basedOn w:val="Normal"/>
    <w:next w:val="Normal"/>
    <w:autoRedefine/>
    <w:uiPriority w:val="39"/>
    <w:unhideWhenUsed/>
    <w:rsid w:val="00D60E39"/>
    <w:pPr>
      <w:jc w:val="left"/>
    </w:pPr>
    <w:rPr>
      <w:rFonts w:asciiTheme="minorHAnsi" w:hAnsiTheme="minorHAnsi"/>
      <w:sz w:val="22"/>
    </w:rPr>
  </w:style>
  <w:style w:type="character" w:styleId="PlaceholderText">
    <w:name w:val="Placeholder Text"/>
    <w:basedOn w:val="DefaultParagraphFont"/>
    <w:uiPriority w:val="99"/>
    <w:semiHidden/>
    <w:rsid w:val="002F6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9713">
      <w:bodyDiv w:val="1"/>
      <w:marLeft w:val="0"/>
      <w:marRight w:val="0"/>
      <w:marTop w:val="0"/>
      <w:marBottom w:val="0"/>
      <w:divBdr>
        <w:top w:val="none" w:sz="0" w:space="0" w:color="auto"/>
        <w:left w:val="none" w:sz="0" w:space="0" w:color="auto"/>
        <w:bottom w:val="none" w:sz="0" w:space="0" w:color="auto"/>
        <w:right w:val="none" w:sz="0" w:space="0" w:color="auto"/>
      </w:divBdr>
    </w:div>
    <w:div w:id="39522281">
      <w:bodyDiv w:val="1"/>
      <w:marLeft w:val="0"/>
      <w:marRight w:val="0"/>
      <w:marTop w:val="0"/>
      <w:marBottom w:val="0"/>
      <w:divBdr>
        <w:top w:val="none" w:sz="0" w:space="0" w:color="auto"/>
        <w:left w:val="none" w:sz="0" w:space="0" w:color="auto"/>
        <w:bottom w:val="none" w:sz="0" w:space="0" w:color="auto"/>
        <w:right w:val="none" w:sz="0" w:space="0" w:color="auto"/>
      </w:divBdr>
    </w:div>
    <w:div w:id="72049602">
      <w:bodyDiv w:val="1"/>
      <w:marLeft w:val="0"/>
      <w:marRight w:val="0"/>
      <w:marTop w:val="0"/>
      <w:marBottom w:val="0"/>
      <w:divBdr>
        <w:top w:val="none" w:sz="0" w:space="0" w:color="auto"/>
        <w:left w:val="none" w:sz="0" w:space="0" w:color="auto"/>
        <w:bottom w:val="none" w:sz="0" w:space="0" w:color="auto"/>
        <w:right w:val="none" w:sz="0" w:space="0" w:color="auto"/>
      </w:divBdr>
    </w:div>
    <w:div w:id="96487400">
      <w:bodyDiv w:val="1"/>
      <w:marLeft w:val="0"/>
      <w:marRight w:val="0"/>
      <w:marTop w:val="0"/>
      <w:marBottom w:val="0"/>
      <w:divBdr>
        <w:top w:val="none" w:sz="0" w:space="0" w:color="auto"/>
        <w:left w:val="none" w:sz="0" w:space="0" w:color="auto"/>
        <w:bottom w:val="none" w:sz="0" w:space="0" w:color="auto"/>
        <w:right w:val="none" w:sz="0" w:space="0" w:color="auto"/>
      </w:divBdr>
    </w:div>
    <w:div w:id="194925403">
      <w:bodyDiv w:val="1"/>
      <w:marLeft w:val="0"/>
      <w:marRight w:val="0"/>
      <w:marTop w:val="0"/>
      <w:marBottom w:val="0"/>
      <w:divBdr>
        <w:top w:val="none" w:sz="0" w:space="0" w:color="auto"/>
        <w:left w:val="none" w:sz="0" w:space="0" w:color="auto"/>
        <w:bottom w:val="none" w:sz="0" w:space="0" w:color="auto"/>
        <w:right w:val="none" w:sz="0" w:space="0" w:color="auto"/>
      </w:divBdr>
    </w:div>
    <w:div w:id="208760478">
      <w:bodyDiv w:val="1"/>
      <w:marLeft w:val="0"/>
      <w:marRight w:val="0"/>
      <w:marTop w:val="0"/>
      <w:marBottom w:val="0"/>
      <w:divBdr>
        <w:top w:val="none" w:sz="0" w:space="0" w:color="auto"/>
        <w:left w:val="none" w:sz="0" w:space="0" w:color="auto"/>
        <w:bottom w:val="none" w:sz="0" w:space="0" w:color="auto"/>
        <w:right w:val="none" w:sz="0" w:space="0" w:color="auto"/>
      </w:divBdr>
    </w:div>
    <w:div w:id="250627025">
      <w:bodyDiv w:val="1"/>
      <w:marLeft w:val="0"/>
      <w:marRight w:val="0"/>
      <w:marTop w:val="0"/>
      <w:marBottom w:val="0"/>
      <w:divBdr>
        <w:top w:val="none" w:sz="0" w:space="0" w:color="auto"/>
        <w:left w:val="none" w:sz="0" w:space="0" w:color="auto"/>
        <w:bottom w:val="none" w:sz="0" w:space="0" w:color="auto"/>
        <w:right w:val="none" w:sz="0" w:space="0" w:color="auto"/>
      </w:divBdr>
    </w:div>
    <w:div w:id="283780724">
      <w:bodyDiv w:val="1"/>
      <w:marLeft w:val="0"/>
      <w:marRight w:val="0"/>
      <w:marTop w:val="0"/>
      <w:marBottom w:val="0"/>
      <w:divBdr>
        <w:top w:val="none" w:sz="0" w:space="0" w:color="auto"/>
        <w:left w:val="none" w:sz="0" w:space="0" w:color="auto"/>
        <w:bottom w:val="none" w:sz="0" w:space="0" w:color="auto"/>
        <w:right w:val="none" w:sz="0" w:space="0" w:color="auto"/>
      </w:divBdr>
    </w:div>
    <w:div w:id="285552548">
      <w:bodyDiv w:val="1"/>
      <w:marLeft w:val="0"/>
      <w:marRight w:val="0"/>
      <w:marTop w:val="0"/>
      <w:marBottom w:val="0"/>
      <w:divBdr>
        <w:top w:val="none" w:sz="0" w:space="0" w:color="auto"/>
        <w:left w:val="none" w:sz="0" w:space="0" w:color="auto"/>
        <w:bottom w:val="none" w:sz="0" w:space="0" w:color="auto"/>
        <w:right w:val="none" w:sz="0" w:space="0" w:color="auto"/>
      </w:divBdr>
    </w:div>
    <w:div w:id="317271948">
      <w:bodyDiv w:val="1"/>
      <w:marLeft w:val="0"/>
      <w:marRight w:val="0"/>
      <w:marTop w:val="0"/>
      <w:marBottom w:val="0"/>
      <w:divBdr>
        <w:top w:val="none" w:sz="0" w:space="0" w:color="auto"/>
        <w:left w:val="none" w:sz="0" w:space="0" w:color="auto"/>
        <w:bottom w:val="none" w:sz="0" w:space="0" w:color="auto"/>
        <w:right w:val="none" w:sz="0" w:space="0" w:color="auto"/>
      </w:divBdr>
    </w:div>
    <w:div w:id="342367733">
      <w:bodyDiv w:val="1"/>
      <w:marLeft w:val="0"/>
      <w:marRight w:val="0"/>
      <w:marTop w:val="0"/>
      <w:marBottom w:val="0"/>
      <w:divBdr>
        <w:top w:val="none" w:sz="0" w:space="0" w:color="auto"/>
        <w:left w:val="none" w:sz="0" w:space="0" w:color="auto"/>
        <w:bottom w:val="none" w:sz="0" w:space="0" w:color="auto"/>
        <w:right w:val="none" w:sz="0" w:space="0" w:color="auto"/>
      </w:divBdr>
    </w:div>
    <w:div w:id="379788101">
      <w:bodyDiv w:val="1"/>
      <w:marLeft w:val="0"/>
      <w:marRight w:val="0"/>
      <w:marTop w:val="0"/>
      <w:marBottom w:val="0"/>
      <w:divBdr>
        <w:top w:val="none" w:sz="0" w:space="0" w:color="auto"/>
        <w:left w:val="none" w:sz="0" w:space="0" w:color="auto"/>
        <w:bottom w:val="none" w:sz="0" w:space="0" w:color="auto"/>
        <w:right w:val="none" w:sz="0" w:space="0" w:color="auto"/>
      </w:divBdr>
    </w:div>
    <w:div w:id="504438566">
      <w:bodyDiv w:val="1"/>
      <w:marLeft w:val="0"/>
      <w:marRight w:val="0"/>
      <w:marTop w:val="0"/>
      <w:marBottom w:val="0"/>
      <w:divBdr>
        <w:top w:val="none" w:sz="0" w:space="0" w:color="auto"/>
        <w:left w:val="none" w:sz="0" w:space="0" w:color="auto"/>
        <w:bottom w:val="none" w:sz="0" w:space="0" w:color="auto"/>
        <w:right w:val="none" w:sz="0" w:space="0" w:color="auto"/>
      </w:divBdr>
    </w:div>
    <w:div w:id="542906954">
      <w:bodyDiv w:val="1"/>
      <w:marLeft w:val="0"/>
      <w:marRight w:val="0"/>
      <w:marTop w:val="0"/>
      <w:marBottom w:val="0"/>
      <w:divBdr>
        <w:top w:val="none" w:sz="0" w:space="0" w:color="auto"/>
        <w:left w:val="none" w:sz="0" w:space="0" w:color="auto"/>
        <w:bottom w:val="none" w:sz="0" w:space="0" w:color="auto"/>
        <w:right w:val="none" w:sz="0" w:space="0" w:color="auto"/>
      </w:divBdr>
      <w:divsChild>
        <w:div w:id="1413119302">
          <w:marLeft w:val="0"/>
          <w:marRight w:val="0"/>
          <w:marTop w:val="0"/>
          <w:marBottom w:val="0"/>
          <w:divBdr>
            <w:top w:val="none" w:sz="0" w:space="0" w:color="auto"/>
            <w:left w:val="none" w:sz="0" w:space="0" w:color="auto"/>
            <w:bottom w:val="none" w:sz="0" w:space="0" w:color="auto"/>
            <w:right w:val="none" w:sz="0" w:space="0" w:color="auto"/>
          </w:divBdr>
          <w:divsChild>
            <w:div w:id="385564532">
              <w:marLeft w:val="0"/>
              <w:marRight w:val="0"/>
              <w:marTop w:val="0"/>
              <w:marBottom w:val="0"/>
              <w:divBdr>
                <w:top w:val="none" w:sz="0" w:space="0" w:color="auto"/>
                <w:left w:val="none" w:sz="0" w:space="0" w:color="auto"/>
                <w:bottom w:val="none" w:sz="0" w:space="0" w:color="auto"/>
                <w:right w:val="none" w:sz="0" w:space="0" w:color="auto"/>
              </w:divBdr>
              <w:divsChild>
                <w:div w:id="1426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5483">
      <w:bodyDiv w:val="1"/>
      <w:marLeft w:val="0"/>
      <w:marRight w:val="0"/>
      <w:marTop w:val="0"/>
      <w:marBottom w:val="0"/>
      <w:divBdr>
        <w:top w:val="none" w:sz="0" w:space="0" w:color="auto"/>
        <w:left w:val="none" w:sz="0" w:space="0" w:color="auto"/>
        <w:bottom w:val="none" w:sz="0" w:space="0" w:color="auto"/>
        <w:right w:val="none" w:sz="0" w:space="0" w:color="auto"/>
      </w:divBdr>
    </w:div>
    <w:div w:id="757600073">
      <w:bodyDiv w:val="1"/>
      <w:marLeft w:val="0"/>
      <w:marRight w:val="0"/>
      <w:marTop w:val="0"/>
      <w:marBottom w:val="0"/>
      <w:divBdr>
        <w:top w:val="none" w:sz="0" w:space="0" w:color="auto"/>
        <w:left w:val="none" w:sz="0" w:space="0" w:color="auto"/>
        <w:bottom w:val="none" w:sz="0" w:space="0" w:color="auto"/>
        <w:right w:val="none" w:sz="0" w:space="0" w:color="auto"/>
      </w:divBdr>
    </w:div>
    <w:div w:id="774517363">
      <w:bodyDiv w:val="1"/>
      <w:marLeft w:val="0"/>
      <w:marRight w:val="0"/>
      <w:marTop w:val="0"/>
      <w:marBottom w:val="0"/>
      <w:divBdr>
        <w:top w:val="none" w:sz="0" w:space="0" w:color="auto"/>
        <w:left w:val="none" w:sz="0" w:space="0" w:color="auto"/>
        <w:bottom w:val="none" w:sz="0" w:space="0" w:color="auto"/>
        <w:right w:val="none" w:sz="0" w:space="0" w:color="auto"/>
      </w:divBdr>
    </w:div>
    <w:div w:id="795488435">
      <w:bodyDiv w:val="1"/>
      <w:marLeft w:val="0"/>
      <w:marRight w:val="0"/>
      <w:marTop w:val="0"/>
      <w:marBottom w:val="0"/>
      <w:divBdr>
        <w:top w:val="none" w:sz="0" w:space="0" w:color="auto"/>
        <w:left w:val="none" w:sz="0" w:space="0" w:color="auto"/>
        <w:bottom w:val="none" w:sz="0" w:space="0" w:color="auto"/>
        <w:right w:val="none" w:sz="0" w:space="0" w:color="auto"/>
      </w:divBdr>
    </w:div>
    <w:div w:id="941693610">
      <w:bodyDiv w:val="1"/>
      <w:marLeft w:val="0"/>
      <w:marRight w:val="0"/>
      <w:marTop w:val="0"/>
      <w:marBottom w:val="0"/>
      <w:divBdr>
        <w:top w:val="none" w:sz="0" w:space="0" w:color="auto"/>
        <w:left w:val="none" w:sz="0" w:space="0" w:color="auto"/>
        <w:bottom w:val="none" w:sz="0" w:space="0" w:color="auto"/>
        <w:right w:val="none" w:sz="0" w:space="0" w:color="auto"/>
      </w:divBdr>
    </w:div>
    <w:div w:id="967971616">
      <w:bodyDiv w:val="1"/>
      <w:marLeft w:val="0"/>
      <w:marRight w:val="0"/>
      <w:marTop w:val="0"/>
      <w:marBottom w:val="0"/>
      <w:divBdr>
        <w:top w:val="none" w:sz="0" w:space="0" w:color="auto"/>
        <w:left w:val="none" w:sz="0" w:space="0" w:color="auto"/>
        <w:bottom w:val="none" w:sz="0" w:space="0" w:color="auto"/>
        <w:right w:val="none" w:sz="0" w:space="0" w:color="auto"/>
      </w:divBdr>
      <w:divsChild>
        <w:div w:id="1650472471">
          <w:marLeft w:val="0"/>
          <w:marRight w:val="0"/>
          <w:marTop w:val="0"/>
          <w:marBottom w:val="0"/>
          <w:divBdr>
            <w:top w:val="none" w:sz="0" w:space="0" w:color="auto"/>
            <w:left w:val="none" w:sz="0" w:space="0" w:color="auto"/>
            <w:bottom w:val="none" w:sz="0" w:space="0" w:color="auto"/>
            <w:right w:val="none" w:sz="0" w:space="0" w:color="auto"/>
          </w:divBdr>
          <w:divsChild>
            <w:div w:id="1056078032">
              <w:marLeft w:val="0"/>
              <w:marRight w:val="0"/>
              <w:marTop w:val="0"/>
              <w:marBottom w:val="0"/>
              <w:divBdr>
                <w:top w:val="none" w:sz="0" w:space="0" w:color="auto"/>
                <w:left w:val="none" w:sz="0" w:space="0" w:color="auto"/>
                <w:bottom w:val="none" w:sz="0" w:space="0" w:color="auto"/>
                <w:right w:val="none" w:sz="0" w:space="0" w:color="auto"/>
              </w:divBdr>
              <w:divsChild>
                <w:div w:id="1875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676">
      <w:bodyDiv w:val="1"/>
      <w:marLeft w:val="0"/>
      <w:marRight w:val="0"/>
      <w:marTop w:val="0"/>
      <w:marBottom w:val="0"/>
      <w:divBdr>
        <w:top w:val="none" w:sz="0" w:space="0" w:color="auto"/>
        <w:left w:val="none" w:sz="0" w:space="0" w:color="auto"/>
        <w:bottom w:val="none" w:sz="0" w:space="0" w:color="auto"/>
        <w:right w:val="none" w:sz="0" w:space="0" w:color="auto"/>
      </w:divBdr>
    </w:div>
    <w:div w:id="997730403">
      <w:bodyDiv w:val="1"/>
      <w:marLeft w:val="0"/>
      <w:marRight w:val="0"/>
      <w:marTop w:val="0"/>
      <w:marBottom w:val="0"/>
      <w:divBdr>
        <w:top w:val="none" w:sz="0" w:space="0" w:color="auto"/>
        <w:left w:val="none" w:sz="0" w:space="0" w:color="auto"/>
        <w:bottom w:val="none" w:sz="0" w:space="0" w:color="auto"/>
        <w:right w:val="none" w:sz="0" w:space="0" w:color="auto"/>
      </w:divBdr>
    </w:div>
    <w:div w:id="1005740076">
      <w:bodyDiv w:val="1"/>
      <w:marLeft w:val="0"/>
      <w:marRight w:val="0"/>
      <w:marTop w:val="0"/>
      <w:marBottom w:val="0"/>
      <w:divBdr>
        <w:top w:val="none" w:sz="0" w:space="0" w:color="auto"/>
        <w:left w:val="none" w:sz="0" w:space="0" w:color="auto"/>
        <w:bottom w:val="none" w:sz="0" w:space="0" w:color="auto"/>
        <w:right w:val="none" w:sz="0" w:space="0" w:color="auto"/>
      </w:divBdr>
    </w:div>
    <w:div w:id="1013454609">
      <w:bodyDiv w:val="1"/>
      <w:marLeft w:val="0"/>
      <w:marRight w:val="0"/>
      <w:marTop w:val="0"/>
      <w:marBottom w:val="0"/>
      <w:divBdr>
        <w:top w:val="none" w:sz="0" w:space="0" w:color="auto"/>
        <w:left w:val="none" w:sz="0" w:space="0" w:color="auto"/>
        <w:bottom w:val="none" w:sz="0" w:space="0" w:color="auto"/>
        <w:right w:val="none" w:sz="0" w:space="0" w:color="auto"/>
      </w:divBdr>
    </w:div>
    <w:div w:id="1051465389">
      <w:bodyDiv w:val="1"/>
      <w:marLeft w:val="0"/>
      <w:marRight w:val="0"/>
      <w:marTop w:val="0"/>
      <w:marBottom w:val="0"/>
      <w:divBdr>
        <w:top w:val="none" w:sz="0" w:space="0" w:color="auto"/>
        <w:left w:val="none" w:sz="0" w:space="0" w:color="auto"/>
        <w:bottom w:val="none" w:sz="0" w:space="0" w:color="auto"/>
        <w:right w:val="none" w:sz="0" w:space="0" w:color="auto"/>
      </w:divBdr>
    </w:div>
    <w:div w:id="1115252345">
      <w:bodyDiv w:val="1"/>
      <w:marLeft w:val="0"/>
      <w:marRight w:val="0"/>
      <w:marTop w:val="0"/>
      <w:marBottom w:val="0"/>
      <w:divBdr>
        <w:top w:val="none" w:sz="0" w:space="0" w:color="auto"/>
        <w:left w:val="none" w:sz="0" w:space="0" w:color="auto"/>
        <w:bottom w:val="none" w:sz="0" w:space="0" w:color="auto"/>
        <w:right w:val="none" w:sz="0" w:space="0" w:color="auto"/>
      </w:divBdr>
    </w:div>
    <w:div w:id="1122920787">
      <w:bodyDiv w:val="1"/>
      <w:marLeft w:val="0"/>
      <w:marRight w:val="0"/>
      <w:marTop w:val="0"/>
      <w:marBottom w:val="0"/>
      <w:divBdr>
        <w:top w:val="none" w:sz="0" w:space="0" w:color="auto"/>
        <w:left w:val="none" w:sz="0" w:space="0" w:color="auto"/>
        <w:bottom w:val="none" w:sz="0" w:space="0" w:color="auto"/>
        <w:right w:val="none" w:sz="0" w:space="0" w:color="auto"/>
      </w:divBdr>
      <w:divsChild>
        <w:div w:id="2109617768">
          <w:marLeft w:val="0"/>
          <w:marRight w:val="0"/>
          <w:marTop w:val="0"/>
          <w:marBottom w:val="0"/>
          <w:divBdr>
            <w:top w:val="none" w:sz="0" w:space="0" w:color="auto"/>
            <w:left w:val="none" w:sz="0" w:space="0" w:color="auto"/>
            <w:bottom w:val="none" w:sz="0" w:space="0" w:color="auto"/>
            <w:right w:val="none" w:sz="0" w:space="0" w:color="auto"/>
          </w:divBdr>
          <w:divsChild>
            <w:div w:id="1391267521">
              <w:marLeft w:val="0"/>
              <w:marRight w:val="0"/>
              <w:marTop w:val="0"/>
              <w:marBottom w:val="0"/>
              <w:divBdr>
                <w:top w:val="none" w:sz="0" w:space="0" w:color="auto"/>
                <w:left w:val="none" w:sz="0" w:space="0" w:color="auto"/>
                <w:bottom w:val="none" w:sz="0" w:space="0" w:color="auto"/>
                <w:right w:val="none" w:sz="0" w:space="0" w:color="auto"/>
              </w:divBdr>
              <w:divsChild>
                <w:div w:id="5183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2425">
      <w:bodyDiv w:val="1"/>
      <w:marLeft w:val="0"/>
      <w:marRight w:val="0"/>
      <w:marTop w:val="0"/>
      <w:marBottom w:val="0"/>
      <w:divBdr>
        <w:top w:val="none" w:sz="0" w:space="0" w:color="auto"/>
        <w:left w:val="none" w:sz="0" w:space="0" w:color="auto"/>
        <w:bottom w:val="none" w:sz="0" w:space="0" w:color="auto"/>
        <w:right w:val="none" w:sz="0" w:space="0" w:color="auto"/>
      </w:divBdr>
    </w:div>
    <w:div w:id="1152721721">
      <w:bodyDiv w:val="1"/>
      <w:marLeft w:val="0"/>
      <w:marRight w:val="0"/>
      <w:marTop w:val="0"/>
      <w:marBottom w:val="0"/>
      <w:divBdr>
        <w:top w:val="none" w:sz="0" w:space="0" w:color="auto"/>
        <w:left w:val="none" w:sz="0" w:space="0" w:color="auto"/>
        <w:bottom w:val="none" w:sz="0" w:space="0" w:color="auto"/>
        <w:right w:val="none" w:sz="0" w:space="0" w:color="auto"/>
      </w:divBdr>
    </w:div>
    <w:div w:id="1191796619">
      <w:bodyDiv w:val="1"/>
      <w:marLeft w:val="0"/>
      <w:marRight w:val="0"/>
      <w:marTop w:val="0"/>
      <w:marBottom w:val="0"/>
      <w:divBdr>
        <w:top w:val="none" w:sz="0" w:space="0" w:color="auto"/>
        <w:left w:val="none" w:sz="0" w:space="0" w:color="auto"/>
        <w:bottom w:val="none" w:sz="0" w:space="0" w:color="auto"/>
        <w:right w:val="none" w:sz="0" w:space="0" w:color="auto"/>
      </w:divBdr>
      <w:divsChild>
        <w:div w:id="799880397">
          <w:marLeft w:val="0"/>
          <w:marRight w:val="0"/>
          <w:marTop w:val="0"/>
          <w:marBottom w:val="0"/>
          <w:divBdr>
            <w:top w:val="none" w:sz="0" w:space="0" w:color="auto"/>
            <w:left w:val="none" w:sz="0" w:space="0" w:color="auto"/>
            <w:bottom w:val="none" w:sz="0" w:space="0" w:color="auto"/>
            <w:right w:val="none" w:sz="0" w:space="0" w:color="auto"/>
          </w:divBdr>
          <w:divsChild>
            <w:div w:id="1321231281">
              <w:marLeft w:val="0"/>
              <w:marRight w:val="0"/>
              <w:marTop w:val="0"/>
              <w:marBottom w:val="0"/>
              <w:divBdr>
                <w:top w:val="none" w:sz="0" w:space="0" w:color="auto"/>
                <w:left w:val="none" w:sz="0" w:space="0" w:color="auto"/>
                <w:bottom w:val="none" w:sz="0" w:space="0" w:color="auto"/>
                <w:right w:val="none" w:sz="0" w:space="0" w:color="auto"/>
              </w:divBdr>
              <w:divsChild>
                <w:div w:id="8040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8082">
      <w:bodyDiv w:val="1"/>
      <w:marLeft w:val="0"/>
      <w:marRight w:val="0"/>
      <w:marTop w:val="0"/>
      <w:marBottom w:val="0"/>
      <w:divBdr>
        <w:top w:val="none" w:sz="0" w:space="0" w:color="auto"/>
        <w:left w:val="none" w:sz="0" w:space="0" w:color="auto"/>
        <w:bottom w:val="none" w:sz="0" w:space="0" w:color="auto"/>
        <w:right w:val="none" w:sz="0" w:space="0" w:color="auto"/>
      </w:divBdr>
    </w:div>
    <w:div w:id="1217357924">
      <w:bodyDiv w:val="1"/>
      <w:marLeft w:val="0"/>
      <w:marRight w:val="0"/>
      <w:marTop w:val="0"/>
      <w:marBottom w:val="0"/>
      <w:divBdr>
        <w:top w:val="none" w:sz="0" w:space="0" w:color="auto"/>
        <w:left w:val="none" w:sz="0" w:space="0" w:color="auto"/>
        <w:bottom w:val="none" w:sz="0" w:space="0" w:color="auto"/>
        <w:right w:val="none" w:sz="0" w:space="0" w:color="auto"/>
      </w:divBdr>
    </w:div>
    <w:div w:id="1230192797">
      <w:bodyDiv w:val="1"/>
      <w:marLeft w:val="0"/>
      <w:marRight w:val="0"/>
      <w:marTop w:val="0"/>
      <w:marBottom w:val="0"/>
      <w:divBdr>
        <w:top w:val="none" w:sz="0" w:space="0" w:color="auto"/>
        <w:left w:val="none" w:sz="0" w:space="0" w:color="auto"/>
        <w:bottom w:val="none" w:sz="0" w:space="0" w:color="auto"/>
        <w:right w:val="none" w:sz="0" w:space="0" w:color="auto"/>
      </w:divBdr>
    </w:div>
    <w:div w:id="1278100104">
      <w:bodyDiv w:val="1"/>
      <w:marLeft w:val="0"/>
      <w:marRight w:val="0"/>
      <w:marTop w:val="0"/>
      <w:marBottom w:val="0"/>
      <w:divBdr>
        <w:top w:val="none" w:sz="0" w:space="0" w:color="auto"/>
        <w:left w:val="none" w:sz="0" w:space="0" w:color="auto"/>
        <w:bottom w:val="none" w:sz="0" w:space="0" w:color="auto"/>
        <w:right w:val="none" w:sz="0" w:space="0" w:color="auto"/>
      </w:divBdr>
    </w:div>
    <w:div w:id="1334067417">
      <w:bodyDiv w:val="1"/>
      <w:marLeft w:val="0"/>
      <w:marRight w:val="0"/>
      <w:marTop w:val="0"/>
      <w:marBottom w:val="0"/>
      <w:divBdr>
        <w:top w:val="none" w:sz="0" w:space="0" w:color="auto"/>
        <w:left w:val="none" w:sz="0" w:space="0" w:color="auto"/>
        <w:bottom w:val="none" w:sz="0" w:space="0" w:color="auto"/>
        <w:right w:val="none" w:sz="0" w:space="0" w:color="auto"/>
      </w:divBdr>
    </w:div>
    <w:div w:id="1344285593">
      <w:bodyDiv w:val="1"/>
      <w:marLeft w:val="0"/>
      <w:marRight w:val="0"/>
      <w:marTop w:val="0"/>
      <w:marBottom w:val="0"/>
      <w:divBdr>
        <w:top w:val="none" w:sz="0" w:space="0" w:color="auto"/>
        <w:left w:val="none" w:sz="0" w:space="0" w:color="auto"/>
        <w:bottom w:val="none" w:sz="0" w:space="0" w:color="auto"/>
        <w:right w:val="none" w:sz="0" w:space="0" w:color="auto"/>
      </w:divBdr>
    </w:div>
    <w:div w:id="1390108539">
      <w:bodyDiv w:val="1"/>
      <w:marLeft w:val="0"/>
      <w:marRight w:val="0"/>
      <w:marTop w:val="0"/>
      <w:marBottom w:val="0"/>
      <w:divBdr>
        <w:top w:val="none" w:sz="0" w:space="0" w:color="auto"/>
        <w:left w:val="none" w:sz="0" w:space="0" w:color="auto"/>
        <w:bottom w:val="none" w:sz="0" w:space="0" w:color="auto"/>
        <w:right w:val="none" w:sz="0" w:space="0" w:color="auto"/>
      </w:divBdr>
    </w:div>
    <w:div w:id="1397514091">
      <w:bodyDiv w:val="1"/>
      <w:marLeft w:val="0"/>
      <w:marRight w:val="0"/>
      <w:marTop w:val="0"/>
      <w:marBottom w:val="0"/>
      <w:divBdr>
        <w:top w:val="none" w:sz="0" w:space="0" w:color="auto"/>
        <w:left w:val="none" w:sz="0" w:space="0" w:color="auto"/>
        <w:bottom w:val="none" w:sz="0" w:space="0" w:color="auto"/>
        <w:right w:val="none" w:sz="0" w:space="0" w:color="auto"/>
      </w:divBdr>
    </w:div>
    <w:div w:id="1503085741">
      <w:bodyDiv w:val="1"/>
      <w:marLeft w:val="0"/>
      <w:marRight w:val="0"/>
      <w:marTop w:val="0"/>
      <w:marBottom w:val="0"/>
      <w:divBdr>
        <w:top w:val="none" w:sz="0" w:space="0" w:color="auto"/>
        <w:left w:val="none" w:sz="0" w:space="0" w:color="auto"/>
        <w:bottom w:val="none" w:sz="0" w:space="0" w:color="auto"/>
        <w:right w:val="none" w:sz="0" w:space="0" w:color="auto"/>
      </w:divBdr>
    </w:div>
    <w:div w:id="1528177456">
      <w:bodyDiv w:val="1"/>
      <w:marLeft w:val="0"/>
      <w:marRight w:val="0"/>
      <w:marTop w:val="0"/>
      <w:marBottom w:val="0"/>
      <w:divBdr>
        <w:top w:val="none" w:sz="0" w:space="0" w:color="auto"/>
        <w:left w:val="none" w:sz="0" w:space="0" w:color="auto"/>
        <w:bottom w:val="none" w:sz="0" w:space="0" w:color="auto"/>
        <w:right w:val="none" w:sz="0" w:space="0" w:color="auto"/>
      </w:divBdr>
    </w:div>
    <w:div w:id="1633098176">
      <w:bodyDiv w:val="1"/>
      <w:marLeft w:val="0"/>
      <w:marRight w:val="0"/>
      <w:marTop w:val="0"/>
      <w:marBottom w:val="0"/>
      <w:divBdr>
        <w:top w:val="none" w:sz="0" w:space="0" w:color="auto"/>
        <w:left w:val="none" w:sz="0" w:space="0" w:color="auto"/>
        <w:bottom w:val="none" w:sz="0" w:space="0" w:color="auto"/>
        <w:right w:val="none" w:sz="0" w:space="0" w:color="auto"/>
      </w:divBdr>
    </w:div>
    <w:div w:id="1633244157">
      <w:bodyDiv w:val="1"/>
      <w:marLeft w:val="0"/>
      <w:marRight w:val="0"/>
      <w:marTop w:val="0"/>
      <w:marBottom w:val="0"/>
      <w:divBdr>
        <w:top w:val="none" w:sz="0" w:space="0" w:color="auto"/>
        <w:left w:val="none" w:sz="0" w:space="0" w:color="auto"/>
        <w:bottom w:val="none" w:sz="0" w:space="0" w:color="auto"/>
        <w:right w:val="none" w:sz="0" w:space="0" w:color="auto"/>
      </w:divBdr>
    </w:div>
    <w:div w:id="1709722807">
      <w:bodyDiv w:val="1"/>
      <w:marLeft w:val="0"/>
      <w:marRight w:val="0"/>
      <w:marTop w:val="0"/>
      <w:marBottom w:val="0"/>
      <w:divBdr>
        <w:top w:val="none" w:sz="0" w:space="0" w:color="auto"/>
        <w:left w:val="none" w:sz="0" w:space="0" w:color="auto"/>
        <w:bottom w:val="none" w:sz="0" w:space="0" w:color="auto"/>
        <w:right w:val="none" w:sz="0" w:space="0" w:color="auto"/>
      </w:divBdr>
      <w:divsChild>
        <w:div w:id="955716338">
          <w:marLeft w:val="0"/>
          <w:marRight w:val="0"/>
          <w:marTop w:val="0"/>
          <w:marBottom w:val="0"/>
          <w:divBdr>
            <w:top w:val="none" w:sz="0" w:space="0" w:color="auto"/>
            <w:left w:val="none" w:sz="0" w:space="0" w:color="auto"/>
            <w:bottom w:val="none" w:sz="0" w:space="0" w:color="auto"/>
            <w:right w:val="none" w:sz="0" w:space="0" w:color="auto"/>
          </w:divBdr>
          <w:divsChild>
            <w:div w:id="960308265">
              <w:marLeft w:val="0"/>
              <w:marRight w:val="0"/>
              <w:marTop w:val="0"/>
              <w:marBottom w:val="0"/>
              <w:divBdr>
                <w:top w:val="none" w:sz="0" w:space="0" w:color="auto"/>
                <w:left w:val="none" w:sz="0" w:space="0" w:color="auto"/>
                <w:bottom w:val="none" w:sz="0" w:space="0" w:color="auto"/>
                <w:right w:val="none" w:sz="0" w:space="0" w:color="auto"/>
              </w:divBdr>
              <w:divsChild>
                <w:div w:id="110324351">
                  <w:marLeft w:val="0"/>
                  <w:marRight w:val="0"/>
                  <w:marTop w:val="0"/>
                  <w:marBottom w:val="0"/>
                  <w:divBdr>
                    <w:top w:val="none" w:sz="0" w:space="0" w:color="auto"/>
                    <w:left w:val="none" w:sz="0" w:space="0" w:color="auto"/>
                    <w:bottom w:val="none" w:sz="0" w:space="0" w:color="auto"/>
                    <w:right w:val="none" w:sz="0" w:space="0" w:color="auto"/>
                  </w:divBdr>
                  <w:divsChild>
                    <w:div w:id="1303540501">
                      <w:marLeft w:val="0"/>
                      <w:marRight w:val="0"/>
                      <w:marTop w:val="0"/>
                      <w:marBottom w:val="375"/>
                      <w:divBdr>
                        <w:top w:val="none" w:sz="0" w:space="0" w:color="auto"/>
                        <w:left w:val="none" w:sz="0" w:space="0" w:color="auto"/>
                        <w:bottom w:val="none" w:sz="0" w:space="0" w:color="auto"/>
                        <w:right w:val="none" w:sz="0" w:space="0" w:color="auto"/>
                      </w:divBdr>
                      <w:divsChild>
                        <w:div w:id="1226187413">
                          <w:marLeft w:val="0"/>
                          <w:marRight w:val="0"/>
                          <w:marTop w:val="0"/>
                          <w:marBottom w:val="0"/>
                          <w:divBdr>
                            <w:top w:val="none" w:sz="0" w:space="0" w:color="auto"/>
                            <w:left w:val="none" w:sz="0" w:space="0" w:color="auto"/>
                            <w:bottom w:val="none" w:sz="0" w:space="0" w:color="auto"/>
                            <w:right w:val="none" w:sz="0" w:space="0" w:color="auto"/>
                          </w:divBdr>
                          <w:divsChild>
                            <w:div w:id="130750184">
                              <w:marLeft w:val="0"/>
                              <w:marRight w:val="0"/>
                              <w:marTop w:val="0"/>
                              <w:marBottom w:val="0"/>
                              <w:divBdr>
                                <w:top w:val="none" w:sz="0" w:space="0" w:color="auto"/>
                                <w:left w:val="none" w:sz="0" w:space="0" w:color="auto"/>
                                <w:bottom w:val="none" w:sz="0" w:space="0" w:color="auto"/>
                                <w:right w:val="none" w:sz="0" w:space="0" w:color="auto"/>
                              </w:divBdr>
                              <w:divsChild>
                                <w:div w:id="20248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795224">
      <w:bodyDiv w:val="1"/>
      <w:marLeft w:val="0"/>
      <w:marRight w:val="0"/>
      <w:marTop w:val="0"/>
      <w:marBottom w:val="0"/>
      <w:divBdr>
        <w:top w:val="none" w:sz="0" w:space="0" w:color="auto"/>
        <w:left w:val="none" w:sz="0" w:space="0" w:color="auto"/>
        <w:bottom w:val="none" w:sz="0" w:space="0" w:color="auto"/>
        <w:right w:val="none" w:sz="0" w:space="0" w:color="auto"/>
      </w:divBdr>
    </w:div>
    <w:div w:id="1803424997">
      <w:bodyDiv w:val="1"/>
      <w:marLeft w:val="0"/>
      <w:marRight w:val="0"/>
      <w:marTop w:val="0"/>
      <w:marBottom w:val="0"/>
      <w:divBdr>
        <w:top w:val="none" w:sz="0" w:space="0" w:color="auto"/>
        <w:left w:val="none" w:sz="0" w:space="0" w:color="auto"/>
        <w:bottom w:val="none" w:sz="0" w:space="0" w:color="auto"/>
        <w:right w:val="none" w:sz="0" w:space="0" w:color="auto"/>
      </w:divBdr>
    </w:div>
    <w:div w:id="1833250406">
      <w:bodyDiv w:val="1"/>
      <w:marLeft w:val="0"/>
      <w:marRight w:val="0"/>
      <w:marTop w:val="0"/>
      <w:marBottom w:val="0"/>
      <w:divBdr>
        <w:top w:val="none" w:sz="0" w:space="0" w:color="auto"/>
        <w:left w:val="none" w:sz="0" w:space="0" w:color="auto"/>
        <w:bottom w:val="none" w:sz="0" w:space="0" w:color="auto"/>
        <w:right w:val="none" w:sz="0" w:space="0" w:color="auto"/>
      </w:divBdr>
    </w:div>
    <w:div w:id="1907253710">
      <w:bodyDiv w:val="1"/>
      <w:marLeft w:val="0"/>
      <w:marRight w:val="0"/>
      <w:marTop w:val="0"/>
      <w:marBottom w:val="0"/>
      <w:divBdr>
        <w:top w:val="none" w:sz="0" w:space="0" w:color="auto"/>
        <w:left w:val="none" w:sz="0" w:space="0" w:color="auto"/>
        <w:bottom w:val="none" w:sz="0" w:space="0" w:color="auto"/>
        <w:right w:val="none" w:sz="0" w:space="0" w:color="auto"/>
      </w:divBdr>
      <w:divsChild>
        <w:div w:id="111167643">
          <w:marLeft w:val="0"/>
          <w:marRight w:val="0"/>
          <w:marTop w:val="0"/>
          <w:marBottom w:val="0"/>
          <w:divBdr>
            <w:top w:val="none" w:sz="0" w:space="0" w:color="auto"/>
            <w:left w:val="none" w:sz="0" w:space="0" w:color="auto"/>
            <w:bottom w:val="none" w:sz="0" w:space="0" w:color="auto"/>
            <w:right w:val="none" w:sz="0" w:space="0" w:color="auto"/>
          </w:divBdr>
          <w:divsChild>
            <w:div w:id="200438185">
              <w:marLeft w:val="0"/>
              <w:marRight w:val="0"/>
              <w:marTop w:val="0"/>
              <w:marBottom w:val="0"/>
              <w:divBdr>
                <w:top w:val="none" w:sz="0" w:space="0" w:color="auto"/>
                <w:left w:val="none" w:sz="0" w:space="0" w:color="auto"/>
                <w:bottom w:val="none" w:sz="0" w:space="0" w:color="auto"/>
                <w:right w:val="none" w:sz="0" w:space="0" w:color="auto"/>
              </w:divBdr>
              <w:divsChild>
                <w:div w:id="7218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3549">
      <w:bodyDiv w:val="1"/>
      <w:marLeft w:val="0"/>
      <w:marRight w:val="0"/>
      <w:marTop w:val="0"/>
      <w:marBottom w:val="0"/>
      <w:divBdr>
        <w:top w:val="none" w:sz="0" w:space="0" w:color="auto"/>
        <w:left w:val="none" w:sz="0" w:space="0" w:color="auto"/>
        <w:bottom w:val="none" w:sz="0" w:space="0" w:color="auto"/>
        <w:right w:val="none" w:sz="0" w:space="0" w:color="auto"/>
      </w:divBdr>
      <w:divsChild>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 w:id="2072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ngelfire.com/ca5/mas/gobi/dip.html" TargetMode="External"/><Relationship Id="rId2" Type="http://schemas.openxmlformats.org/officeDocument/2006/relationships/hyperlink" Target="https://www.youtube.com/watch?v=vwvkbeQgHLo" TargetMode="External"/><Relationship Id="rId1" Type="http://schemas.openxmlformats.org/officeDocument/2006/relationships/hyperlink" Target="http://www.angelfire.com/ca5/mas/gobi/d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5F5B-FCF5-4361-B3B9-BB1A84B7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27904</Words>
  <Characters>145660</Characters>
  <Application>Microsoft Office Word</Application>
  <DocSecurity>0</DocSecurity>
  <Lines>2511</Lines>
  <Paragraphs>515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2017-12-19T19:30:00Z</cp:lastPrinted>
  <dcterms:created xsi:type="dcterms:W3CDTF">2017-12-19T21:05:00Z</dcterms:created>
  <dcterms:modified xsi:type="dcterms:W3CDTF">2017-12-19T21:05:00Z</dcterms:modified>
</cp:coreProperties>
</file>